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0AD09" w14:textId="77777777" w:rsidR="00A27A22" w:rsidRDefault="0032366B">
      <w:pPr>
        <w:spacing w:after="80"/>
        <w:jc w:val="center"/>
      </w:pPr>
      <w:r>
        <w:rPr>
          <w:b/>
          <w:bCs/>
          <w:sz w:val="32"/>
          <w:szCs w:val="32"/>
        </w:rPr>
        <w:t>An Intelligent Web-Based Framework for Automated Sales Analytics and Revenue Forecasting Using Ensemble Learning</w:t>
      </w:r>
    </w:p>
    <w:p w14:paraId="1776E9EB" w14:textId="77777777" w:rsidR="00A27A22" w:rsidRDefault="00A27A22">
      <w:pPr>
        <w:pBdr>
          <w:bottom w:val="single" w:sz="6" w:space="0" w:color="111111"/>
        </w:pBdr>
        <w:spacing w:before="60" w:after="60"/>
      </w:pPr>
    </w:p>
    <w:p w14:paraId="47F8A56D" w14:textId="77777777" w:rsidR="00A27A22" w:rsidRDefault="0032366B">
      <w:pPr>
        <w:spacing w:before="40" w:after="40" w:line="220" w:lineRule="auto"/>
        <w:jc w:val="both"/>
      </w:pPr>
      <w:r>
        <w:rPr>
          <w:b/>
          <w:bCs/>
          <w:sz w:val="18"/>
          <w:szCs w:val="18"/>
        </w:rPr>
        <w:t>Abstract—</w:t>
      </w:r>
      <w:r>
        <w:rPr>
          <w:sz w:val="18"/>
          <w:szCs w:val="18"/>
        </w:rPr>
        <w:t>Organisations of every scale are confronted with a growing surplus of transactional records that outpaces their capacity for interpretation. Conventional</w:t>
      </w:r>
      <w:r>
        <w:rPr>
          <w:sz w:val="18"/>
          <w:szCs w:val="18"/>
        </w:rPr>
        <w:t xml:space="preserve"> spreadsheet-based workflows impose considerable manual effort, preclude real-time interactivity, and offer no mechanism for forward-looking revenue estimation. This paper introduces an intelligent, browser-accessible analytics framework—implemented entire</w:t>
      </w:r>
      <w:r>
        <w:rPr>
          <w:sz w:val="18"/>
          <w:szCs w:val="18"/>
        </w:rPr>
        <w:t xml:space="preserve">ly in Python using </w:t>
      </w:r>
      <w:proofErr w:type="spellStart"/>
      <w:r>
        <w:rPr>
          <w:sz w:val="18"/>
          <w:szCs w:val="18"/>
        </w:rPr>
        <w:t>Streamlit</w:t>
      </w:r>
      <w:proofErr w:type="spellEnd"/>
      <w:r>
        <w:rPr>
          <w:sz w:val="18"/>
          <w:szCs w:val="18"/>
        </w:rPr>
        <w:t xml:space="preserve">, Pandas, </w:t>
      </w:r>
      <w:proofErr w:type="spellStart"/>
      <w:r>
        <w:rPr>
          <w:sz w:val="18"/>
          <w:szCs w:val="18"/>
        </w:rPr>
        <w:t>Plotly</w:t>
      </w:r>
      <w:proofErr w:type="spellEnd"/>
      <w:r>
        <w:rPr>
          <w:sz w:val="18"/>
          <w:szCs w:val="18"/>
        </w:rPr>
        <w:t xml:space="preserve"> Express, NumPy, and Scikit-learn—that ingests comma-separated value (CSV) sales exports and automatically produces a rich suite of interactive visualisations together with a data-driven sales forecast. The forec</w:t>
      </w:r>
      <w:r>
        <w:rPr>
          <w:sz w:val="18"/>
          <w:szCs w:val="18"/>
        </w:rPr>
        <w:t>asting engine employs a Random Forest Regressor configured with 200 decision trees, selected on account of its demonstrated resilience to overfitting on moderately sized tabular datasets. Controlled experiments across datasets ranging from one hundred to t</w:t>
      </w:r>
      <w:r>
        <w:rPr>
          <w:sz w:val="18"/>
          <w:szCs w:val="18"/>
        </w:rPr>
        <w:t>en thousand transaction records yield coefficient-of-determination (R²) values between 0.82 and 0.94, while the complete upload-to-prediction pipeline completes in fewer than fifteen seconds for typical workloads. A formal user-acceptance evaluation involv</w:t>
      </w:r>
      <w:r>
        <w:rPr>
          <w:sz w:val="18"/>
          <w:szCs w:val="18"/>
        </w:rPr>
        <w:t>ing four domain stakeholders confirms high usability and practical business relevance. The proposed framework makes advanced predictive analytics accessible to non-specialist users at near-zero infrastructure cost, addressing a well-documented capability g</w:t>
      </w:r>
      <w:r>
        <w:rPr>
          <w:sz w:val="18"/>
          <w:szCs w:val="18"/>
        </w:rPr>
        <w:t>ap within the small-and-medium enterprise segment.</w:t>
      </w:r>
    </w:p>
    <w:p w14:paraId="28EF2442" w14:textId="77777777" w:rsidR="00A27A22" w:rsidRDefault="0032366B">
      <w:pPr>
        <w:spacing w:after="40" w:line="220" w:lineRule="auto"/>
        <w:jc w:val="both"/>
      </w:pPr>
      <w:r>
        <w:rPr>
          <w:b/>
          <w:bCs/>
          <w:sz w:val="18"/>
          <w:szCs w:val="18"/>
        </w:rPr>
        <w:t>Keywords—</w:t>
      </w:r>
      <w:r>
        <w:rPr>
          <w:i/>
          <w:iCs/>
          <w:sz w:val="18"/>
          <w:szCs w:val="18"/>
        </w:rPr>
        <w:t xml:space="preserve">ensemble learning; revenue prediction; business intelligence; interactive dashboards; Random Forest Regression; </w:t>
      </w:r>
      <w:proofErr w:type="spellStart"/>
      <w:r>
        <w:rPr>
          <w:i/>
          <w:iCs/>
          <w:sz w:val="18"/>
          <w:szCs w:val="18"/>
        </w:rPr>
        <w:t>Streamlit</w:t>
      </w:r>
      <w:proofErr w:type="spellEnd"/>
      <w:r>
        <w:rPr>
          <w:i/>
          <w:iCs/>
          <w:sz w:val="18"/>
          <w:szCs w:val="18"/>
        </w:rPr>
        <w:t>; open-source analytics; SME data science</w:t>
      </w:r>
    </w:p>
    <w:p w14:paraId="794ED3C3" w14:textId="77777777" w:rsidR="00A27A22" w:rsidRDefault="00A27A22">
      <w:pPr>
        <w:pBdr>
          <w:bottom w:val="single" w:sz="6" w:space="0" w:color="111111"/>
        </w:pBdr>
        <w:spacing w:before="60" w:after="60"/>
      </w:pPr>
    </w:p>
    <w:p w14:paraId="601ECD3C" w14:textId="77777777" w:rsidR="00A27A22" w:rsidRDefault="00A27A22">
      <w:pPr>
        <w:spacing w:after="60"/>
      </w:pPr>
      <w:bookmarkStart w:id="0" w:name="_GoBack"/>
      <w:bookmarkEnd w:id="0"/>
    </w:p>
    <w:tbl>
      <w:tblPr>
        <w:tblW w:w="10080" w:type="dxa"/>
        <w:tblCellMar>
          <w:left w:w="10" w:type="dxa"/>
          <w:right w:w="10" w:type="dxa"/>
        </w:tblCellMar>
        <w:tblLook w:val="04A0" w:firstRow="1" w:lastRow="0" w:firstColumn="1" w:lastColumn="0" w:noHBand="0" w:noVBand="1"/>
      </w:tblPr>
      <w:tblGrid>
        <w:gridCol w:w="4750"/>
        <w:gridCol w:w="580"/>
        <w:gridCol w:w="4750"/>
      </w:tblGrid>
      <w:tr w:rsidR="00A27A22" w14:paraId="3B6FAC71" w14:textId="77777777" w:rsidTr="004D3BCA">
        <w:tc>
          <w:tcPr>
            <w:tcW w:w="4740" w:type="dxa"/>
            <w:tcMar>
              <w:top w:w="0" w:type="dxa"/>
              <w:left w:w="0" w:type="dxa"/>
              <w:bottom w:w="0" w:type="dxa"/>
              <w:right w:w="0" w:type="dxa"/>
            </w:tcMar>
          </w:tcPr>
          <w:p w14:paraId="18B45822" w14:textId="77777777" w:rsidR="00A27A22" w:rsidRDefault="0032366B">
            <w:pPr>
              <w:pBdr>
                <w:bottom w:val="single" w:sz="4" w:space="0" w:color="222222"/>
              </w:pBdr>
              <w:spacing w:before="140" w:after="56"/>
              <w:jc w:val="center"/>
            </w:pPr>
            <w:r>
              <w:rPr>
                <w:b/>
                <w:bCs/>
              </w:rPr>
              <w:t>I. INTRODUCTION</w:t>
            </w:r>
          </w:p>
          <w:p w14:paraId="59A5C1F4" w14:textId="77777777" w:rsidR="00A27A22" w:rsidRDefault="0032366B">
            <w:pPr>
              <w:spacing w:after="72" w:line="232" w:lineRule="auto"/>
              <w:ind w:firstLine="360"/>
              <w:jc w:val="both"/>
            </w:pPr>
            <w:r>
              <w:t>Contemporary co</w:t>
            </w:r>
            <w:r>
              <w:t>mmerce is characterised by the continuous generation of high-volume transactional records spanning products, geographies, and time horizons. For large corporations, dedicated Business Intelligence (BI) infrastructure transforms this torrent of data into na</w:t>
            </w:r>
            <w:r>
              <w:t>vigable dashboards and actionable forecasts. For small-and-medium enterprises (SMEs), however, the same capability remains largely inaccessible. Licensing fees for market-leading BI platforms routinely exceed six figures annually per organisational seat, a</w:t>
            </w:r>
            <w:r>
              <w:t>nd the configuration burden demands expertise that SME teams seldom possess internally.</w:t>
            </w:r>
          </w:p>
          <w:p w14:paraId="470E90EC" w14:textId="77777777" w:rsidR="00A27A22" w:rsidRDefault="0032366B">
            <w:pPr>
              <w:spacing w:after="72" w:line="232" w:lineRule="auto"/>
              <w:ind w:firstLine="360"/>
              <w:jc w:val="both"/>
            </w:pPr>
            <w:r>
              <w:t>The practical consequence is a persistent reliance on manual workflows: sales figures are compiled in spreadsheet applications, charts are constructed by hand each repo</w:t>
            </w:r>
            <w:r>
              <w:t>rting cycle, and forward projections are derived through intuitive estimation rather than statistical modelling. Each stage introduces latency and human-induced inaccuracy, and none of these stages benefits from the pattern-recognition capability that mach</w:t>
            </w:r>
            <w:r>
              <w:t>ine learning offers.</w:t>
            </w:r>
          </w:p>
          <w:p w14:paraId="14DA7B10" w14:textId="77777777" w:rsidR="00A27A22" w:rsidRDefault="0032366B">
            <w:pPr>
              <w:spacing w:after="72" w:line="232" w:lineRule="auto"/>
              <w:ind w:firstLine="360"/>
              <w:jc w:val="both"/>
            </w:pPr>
            <w:r>
              <w:t>This paper addresses that gap by presenting a self-contained, open-source analytics application—hereafter designated ISFASF (Intelligent Sales Forecasting and Analytics System Framework)—that ingests a user-supplied CSV file and, withi</w:t>
            </w:r>
            <w:r>
              <w:t>n seconds, renders five categories of interactive charts together with a calibrated revenue forecast derived from a Random Forest Regressor. The application requires no knowledge of programming, database administration, or statistical modelling; its entire</w:t>
            </w:r>
            <w:r>
              <w:t xml:space="preserve"> interaction surface is a web browser.</w:t>
            </w:r>
          </w:p>
          <w:p w14:paraId="1CAFD9AD" w14:textId="77777777" w:rsidR="00A27A22" w:rsidRDefault="0032366B">
            <w:pPr>
              <w:spacing w:after="72" w:line="232" w:lineRule="auto"/>
              <w:ind w:firstLine="360"/>
              <w:jc w:val="both"/>
            </w:pPr>
            <w:r>
              <w:t>Three design imperatives guided the engineering effort. First, accessibility: the system must accommodate users without data-science backgrounds. Second, affordability: the entire software stack must be freely availab</w:t>
            </w:r>
            <w:r>
              <w:t>le under open-source licences. Third, analytical completeness: the system must span descriptive, diagnostic, and predictive analytics within a single workflow session.</w:t>
            </w:r>
          </w:p>
          <w:p w14:paraId="213E728E" w14:textId="77777777" w:rsidR="00A27A22" w:rsidRDefault="0032366B">
            <w:pPr>
              <w:spacing w:after="72" w:line="232" w:lineRule="auto"/>
              <w:ind w:firstLine="360"/>
              <w:jc w:val="both"/>
            </w:pPr>
            <w:r>
              <w:t>This paper is organised as follows. Section II situates the work within the existing lit</w:t>
            </w:r>
            <w:r>
              <w:t xml:space="preserve">erature. Section III details the system architecture and module decomposition. Section IV describes the machine-learning pipeline in full. Section V </w:t>
            </w:r>
            <w:r>
              <w:lastRenderedPageBreak/>
              <w:t>analyses experimental outcomes. Section VI examines security posture and deployment strategies. Section VII</w:t>
            </w:r>
            <w:r>
              <w:t xml:space="preserve"> draws conclusions and outlines future directions.</w:t>
            </w:r>
          </w:p>
          <w:p w14:paraId="73BD679B" w14:textId="77777777" w:rsidR="00A27A22" w:rsidRDefault="0032366B">
            <w:pPr>
              <w:pBdr>
                <w:bottom w:val="single" w:sz="4" w:space="0" w:color="222222"/>
              </w:pBdr>
              <w:spacing w:before="140" w:after="56"/>
              <w:jc w:val="center"/>
            </w:pPr>
            <w:r>
              <w:rPr>
                <w:b/>
                <w:bCs/>
              </w:rPr>
              <w:t>II. LITERATURE SURVEY</w:t>
            </w:r>
          </w:p>
          <w:p w14:paraId="443CA416" w14:textId="77777777" w:rsidR="00A27A22" w:rsidRDefault="0032366B">
            <w:pPr>
              <w:spacing w:after="72" w:line="232" w:lineRule="auto"/>
              <w:ind w:firstLine="360"/>
              <w:jc w:val="both"/>
            </w:pPr>
            <w:r>
              <w:t>The challenge of extracting predictive intelligence from retail and enterprise sales records has attracted sustained scholarly attention. Early contributions focused on time-series ap</w:t>
            </w:r>
            <w:r>
              <w:t>proaches, notably autoregressive integrated moving-average (ARIMA) models, which perform reliably under assumptions of weak stationarity and linear autocorrelation structure [1]. When those assumptions break down—as frequently occurs with seasonal or promo</w:t>
            </w:r>
            <w:r>
              <w:t>tion-driven sales patterns—ARIMA variants such as SARIMA and ARIMAX are employed, though at the cost of increased parameterisation complexity [2].</w:t>
            </w:r>
          </w:p>
          <w:p w14:paraId="656FC6B8" w14:textId="77777777" w:rsidR="00A27A22" w:rsidRDefault="0032366B">
            <w:pPr>
              <w:spacing w:after="72" w:line="232" w:lineRule="auto"/>
              <w:ind w:firstLine="360"/>
              <w:jc w:val="both"/>
            </w:pPr>
            <w:r>
              <w:t>The machine-learning literature offers compelling alternatives. Gradient-boosted trees and Random Forests hav</w:t>
            </w:r>
            <w:r>
              <w:t>e shown consistent superiority over classical regression on heterogeneous tabular data [3]. The Random Forest algorithm, introduced by Breiman, constructs an ensemble of independently trained decision trees, each fit to a bootstrap resample of the training</w:t>
            </w:r>
            <w:r>
              <w:t xml:space="preserve"> set and restricted to a random feature subset at each split node; the final regression output is the arithmetic mean of individual tree predictions [4]. This procedure simultaneously reduces variance through averaging and controls bias through sufficient </w:t>
            </w:r>
            <w:r>
              <w:t>tree depth, making it a robust default for sales regression tasks.</w:t>
            </w:r>
          </w:p>
          <w:p w14:paraId="0C275BCF" w14:textId="77777777" w:rsidR="00A27A22" w:rsidRDefault="0032366B">
            <w:pPr>
              <w:spacing w:after="72" w:line="232" w:lineRule="auto"/>
              <w:ind w:firstLine="360"/>
              <w:jc w:val="both"/>
            </w:pPr>
            <w:r>
              <w:t xml:space="preserve">Recent comparative studies confirm that Random Forest Regressors achieve R² improvements of eight to twenty percentage points over ordinary least-squares regression when applied to </w:t>
            </w:r>
            <w:r>
              <w:t xml:space="preserve">multi-product, multi-region retail datasets [5]. Deep-learning architectures, including long short-term memory networks, offer additional gains on large sequential datasets but require substantially more data and computational resources than are typically </w:t>
            </w:r>
            <w:r>
              <w:t>available to SME practitioners [6].</w:t>
            </w:r>
          </w:p>
          <w:p w14:paraId="5CF9DB4E" w14:textId="77777777" w:rsidR="00A27A22" w:rsidRDefault="0032366B">
            <w:pPr>
              <w:spacing w:after="72" w:line="232" w:lineRule="auto"/>
              <w:ind w:firstLine="360"/>
              <w:jc w:val="both"/>
            </w:pPr>
            <w:r>
              <w:t xml:space="preserve">On the tooling side, </w:t>
            </w:r>
            <w:proofErr w:type="spellStart"/>
            <w:r>
              <w:t>Streamlit</w:t>
            </w:r>
            <w:proofErr w:type="spellEnd"/>
            <w:r>
              <w:t xml:space="preserve"> emerged in 2019 as a Python-native mechanism for constructing interactive web applications without front-end development expertise [7]. Its adoption within the data-science community has be</w:t>
            </w:r>
            <w:r>
              <w:t xml:space="preserve">en rapid, and published case studies confirm its suitability for analytical dashboards spanning healthcare, geospatial analysis, and financial reporting domains [8]. However, a formal evaluation of </w:t>
            </w:r>
            <w:proofErr w:type="spellStart"/>
            <w:r>
              <w:t>Streamlit</w:t>
            </w:r>
            <w:proofErr w:type="spellEnd"/>
            <w:r>
              <w:t xml:space="preserve"> as a delivery vehicle for an integrated sales-pr</w:t>
            </w:r>
            <w:r>
              <w:t>ediction pipeline targeting SME users has not appeared in the peer-reviewed literature, representing the gap this work addresses.</w:t>
            </w:r>
          </w:p>
          <w:p w14:paraId="785F27A2" w14:textId="77777777" w:rsidR="00A27A22" w:rsidRDefault="0032366B">
            <w:pPr>
              <w:spacing w:after="72" w:line="232" w:lineRule="auto"/>
              <w:ind w:firstLine="360"/>
              <w:jc w:val="both"/>
            </w:pPr>
            <w:r>
              <w:t>Existing commercial dashboarding products—including Microsoft Power BI, Tableau, and Google Looker Studio—provide visualisatio</w:t>
            </w:r>
            <w:r>
              <w:t xml:space="preserve">n capabilities broadly comparable to those implemented here, but each mandates cloud connectivity, user-account provisioning, and non-trivial configuration. Open-source self-hosted alternatives such as </w:t>
            </w:r>
            <w:proofErr w:type="spellStart"/>
            <w:r>
              <w:t>Metabase</w:t>
            </w:r>
            <w:proofErr w:type="spellEnd"/>
            <w:r>
              <w:t xml:space="preserve"> and Apache Superset impose database back-end </w:t>
            </w:r>
            <w:r>
              <w:t>prerequisites and DevOps competencies. The proposed framework distinguishes itself by demanding nothing beyond a local Python runtime, thereby minimising both the deployment burden and the organisational privacy risk associated with uploading sensitive sal</w:t>
            </w:r>
            <w:r>
              <w:t>es data to external cloud services.</w:t>
            </w:r>
          </w:p>
          <w:p w14:paraId="75806C0F" w14:textId="77777777" w:rsidR="00A27A22" w:rsidRDefault="0032366B">
            <w:pPr>
              <w:pBdr>
                <w:bottom w:val="single" w:sz="4" w:space="0" w:color="222222"/>
              </w:pBdr>
              <w:spacing w:before="140" w:after="56"/>
              <w:jc w:val="center"/>
            </w:pPr>
            <w:r>
              <w:rPr>
                <w:b/>
                <w:bCs/>
              </w:rPr>
              <w:t>III. SYSTEM ARCHITECTURE AND DESIGN</w:t>
            </w:r>
          </w:p>
          <w:p w14:paraId="5ABE5F2D" w14:textId="77777777" w:rsidR="00A27A22" w:rsidRDefault="0032366B">
            <w:pPr>
              <w:spacing w:before="96" w:after="40"/>
            </w:pPr>
            <w:r>
              <w:rPr>
                <w:i/>
                <w:iCs/>
              </w:rPr>
              <w:t>A. Architectural Overview</w:t>
            </w:r>
          </w:p>
          <w:p w14:paraId="5456388F" w14:textId="77777777" w:rsidR="00A27A22" w:rsidRDefault="0032366B">
            <w:pPr>
              <w:spacing w:after="72" w:line="232" w:lineRule="auto"/>
              <w:ind w:firstLine="360"/>
              <w:jc w:val="both"/>
            </w:pPr>
            <w:r>
              <w:lastRenderedPageBreak/>
              <w:t xml:space="preserve">ISFASF is organised as a three-tier architecture. The Presentation Tier, implemented in </w:t>
            </w:r>
            <w:proofErr w:type="spellStart"/>
            <w:r>
              <w:t>Streamlit</w:t>
            </w:r>
            <w:proofErr w:type="spellEnd"/>
            <w:r>
              <w:t>, handles browser rendering, widget state, and file-upload ne</w:t>
            </w:r>
            <w:r>
              <w:t xml:space="preserve">gotiation. The Logic Tier encapsulates all data transformation, statistical computation, and machine-learning operations. The Data Tier consists of volatile in-memory </w:t>
            </w:r>
            <w:proofErr w:type="spellStart"/>
            <w:r>
              <w:t>DataFrames</w:t>
            </w:r>
            <w:proofErr w:type="spellEnd"/>
            <w:r>
              <w:t xml:space="preserve"> constructed from the user-supplied CSV; no persistent storage backend is requi</w:t>
            </w:r>
            <w:r>
              <w:t>red. This stateless, single-file deployment model eliminates infrastructure dependencies and enables the application to run on any machine with Python 3.8 or later.</w:t>
            </w:r>
          </w:p>
          <w:p w14:paraId="0AC49F6B" w14:textId="77777777" w:rsidR="00A27A22" w:rsidRDefault="0032366B">
            <w:pPr>
              <w:spacing w:before="96" w:after="40"/>
            </w:pPr>
            <w:r>
              <w:rPr>
                <w:i/>
                <w:iCs/>
              </w:rPr>
              <w:t>B. Technology Stack</w:t>
            </w:r>
          </w:p>
          <w:tbl>
            <w:tblPr>
              <w:tblW w:w="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1100"/>
              <w:gridCol w:w="900"/>
              <w:gridCol w:w="1640"/>
            </w:tblGrid>
            <w:tr w:rsidR="00A27A22" w14:paraId="360BCC5A" w14:textId="77777777">
              <w:trPr>
                <w:tblHeader/>
              </w:trPr>
              <w:tc>
                <w:tcPr>
                  <w:tcW w:w="11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34247AB4" w14:textId="77777777" w:rsidR="00A27A22" w:rsidRDefault="0032366B">
                  <w:pPr>
                    <w:spacing w:line="220" w:lineRule="auto"/>
                    <w:jc w:val="center"/>
                  </w:pPr>
                  <w:r>
                    <w:rPr>
                      <w:b/>
                      <w:bCs/>
                      <w:sz w:val="17"/>
                      <w:szCs w:val="17"/>
                    </w:rPr>
                    <w:t>Component</w:t>
                  </w:r>
                </w:p>
              </w:tc>
              <w:tc>
                <w:tcPr>
                  <w:tcW w:w="11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76841305" w14:textId="77777777" w:rsidR="00A27A22" w:rsidRDefault="0032366B">
                  <w:pPr>
                    <w:spacing w:line="220" w:lineRule="auto"/>
                    <w:jc w:val="center"/>
                  </w:pPr>
                  <w:r>
                    <w:rPr>
                      <w:b/>
                      <w:bCs/>
                      <w:sz w:val="17"/>
                      <w:szCs w:val="17"/>
                    </w:rPr>
                    <w:t>Library</w:t>
                  </w:r>
                </w:p>
              </w:tc>
              <w:tc>
                <w:tcPr>
                  <w:tcW w:w="9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43DA9988" w14:textId="77777777" w:rsidR="00A27A22" w:rsidRDefault="0032366B">
                  <w:pPr>
                    <w:spacing w:line="220" w:lineRule="auto"/>
                    <w:jc w:val="center"/>
                  </w:pPr>
                  <w:r>
                    <w:rPr>
                      <w:b/>
                      <w:bCs/>
                      <w:sz w:val="17"/>
                      <w:szCs w:val="17"/>
                    </w:rPr>
                    <w:t>Version</w:t>
                  </w:r>
                </w:p>
              </w:tc>
              <w:tc>
                <w:tcPr>
                  <w:tcW w:w="164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3440D3D8" w14:textId="77777777" w:rsidR="00A27A22" w:rsidRDefault="0032366B">
                  <w:pPr>
                    <w:spacing w:line="220" w:lineRule="auto"/>
                    <w:jc w:val="center"/>
                  </w:pPr>
                  <w:r>
                    <w:rPr>
                      <w:b/>
                      <w:bCs/>
                      <w:sz w:val="17"/>
                      <w:szCs w:val="17"/>
                    </w:rPr>
                    <w:t>Function</w:t>
                  </w:r>
                </w:p>
              </w:tc>
            </w:tr>
            <w:tr w:rsidR="00A27A22" w14:paraId="67F995CF" w14:textId="77777777">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DAB6C16" w14:textId="77777777" w:rsidR="00A27A22" w:rsidRDefault="0032366B">
                  <w:pPr>
                    <w:spacing w:line="220" w:lineRule="auto"/>
                    <w:jc w:val="center"/>
                  </w:pPr>
                  <w:r>
                    <w:rPr>
                      <w:sz w:val="17"/>
                      <w:szCs w:val="17"/>
                    </w:rPr>
                    <w:t>Runtime</w:t>
                  </w:r>
                </w:p>
              </w:tc>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345E8E90" w14:textId="77777777" w:rsidR="00A27A22" w:rsidRDefault="0032366B">
                  <w:pPr>
                    <w:spacing w:line="220" w:lineRule="auto"/>
                    <w:jc w:val="center"/>
                  </w:pPr>
                  <w:r>
                    <w:rPr>
                      <w:sz w:val="17"/>
                      <w:szCs w:val="17"/>
                    </w:rPr>
                    <w:t>Python</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2A900CD8" w14:textId="77777777" w:rsidR="00A27A22" w:rsidRDefault="0032366B">
                  <w:pPr>
                    <w:spacing w:line="220" w:lineRule="auto"/>
                    <w:jc w:val="center"/>
                  </w:pPr>
                  <w:r>
                    <w:rPr>
                      <w:sz w:val="17"/>
                      <w:szCs w:val="17"/>
                    </w:rPr>
                    <w:t>3.8+</w:t>
                  </w:r>
                </w:p>
              </w:tc>
              <w:tc>
                <w:tcPr>
                  <w:tcW w:w="16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3498ED6" w14:textId="77777777" w:rsidR="00A27A22" w:rsidRDefault="0032366B">
                  <w:pPr>
                    <w:spacing w:line="220" w:lineRule="auto"/>
                    <w:jc w:val="center"/>
                  </w:pPr>
                  <w:r>
                    <w:rPr>
                      <w:sz w:val="17"/>
                      <w:szCs w:val="17"/>
                    </w:rPr>
                    <w:t xml:space="preserve">Core execution </w:t>
                  </w:r>
                  <w:r>
                    <w:rPr>
                      <w:sz w:val="17"/>
                      <w:szCs w:val="17"/>
                    </w:rPr>
                    <w:t>environment</w:t>
                  </w:r>
                </w:p>
              </w:tc>
            </w:tr>
            <w:tr w:rsidR="00A27A22" w14:paraId="2543C035" w14:textId="77777777">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6CF51FF5" w14:textId="77777777" w:rsidR="00A27A22" w:rsidRDefault="0032366B">
                  <w:pPr>
                    <w:spacing w:line="220" w:lineRule="auto"/>
                    <w:jc w:val="center"/>
                  </w:pPr>
                  <w:r>
                    <w:rPr>
                      <w:sz w:val="17"/>
                      <w:szCs w:val="17"/>
                    </w:rPr>
                    <w:t>Web Interface</w:t>
                  </w:r>
                </w:p>
              </w:tc>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12D7DA37" w14:textId="77777777" w:rsidR="00A27A22" w:rsidRDefault="0032366B">
                  <w:pPr>
                    <w:spacing w:line="220" w:lineRule="auto"/>
                    <w:jc w:val="center"/>
                  </w:pPr>
                  <w:proofErr w:type="spellStart"/>
                  <w:r>
                    <w:rPr>
                      <w:sz w:val="17"/>
                      <w:szCs w:val="17"/>
                    </w:rPr>
                    <w:t>Streamlit</w:t>
                  </w:r>
                  <w:proofErr w:type="spellEnd"/>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DDB2C25" w14:textId="77777777" w:rsidR="00A27A22" w:rsidRDefault="0032366B">
                  <w:pPr>
                    <w:spacing w:line="220" w:lineRule="auto"/>
                    <w:jc w:val="center"/>
                  </w:pPr>
                  <w:r>
                    <w:rPr>
                      <w:sz w:val="17"/>
                      <w:szCs w:val="17"/>
                    </w:rPr>
                    <w:t>≥1.28</w:t>
                  </w:r>
                </w:p>
              </w:tc>
              <w:tc>
                <w:tcPr>
                  <w:tcW w:w="16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5C39822C" w14:textId="77777777" w:rsidR="00A27A22" w:rsidRDefault="0032366B">
                  <w:pPr>
                    <w:spacing w:line="220" w:lineRule="auto"/>
                    <w:jc w:val="center"/>
                  </w:pPr>
                  <w:r>
                    <w:rPr>
                      <w:sz w:val="17"/>
                      <w:szCs w:val="17"/>
                    </w:rPr>
                    <w:t>UI rendering, session state</w:t>
                  </w:r>
                </w:p>
              </w:tc>
            </w:tr>
            <w:tr w:rsidR="00A27A22" w14:paraId="584211F8" w14:textId="77777777">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33316C26" w14:textId="77777777" w:rsidR="00A27A22" w:rsidRDefault="0032366B">
                  <w:pPr>
                    <w:spacing w:line="220" w:lineRule="auto"/>
                    <w:jc w:val="center"/>
                  </w:pPr>
                  <w:r>
                    <w:rPr>
                      <w:sz w:val="17"/>
                      <w:szCs w:val="17"/>
                    </w:rPr>
                    <w:t>Data Processing</w:t>
                  </w:r>
                </w:p>
              </w:tc>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0A0EBECE" w14:textId="77777777" w:rsidR="00A27A22" w:rsidRDefault="0032366B">
                  <w:pPr>
                    <w:spacing w:line="220" w:lineRule="auto"/>
                    <w:jc w:val="center"/>
                  </w:pPr>
                  <w:r>
                    <w:rPr>
                      <w:sz w:val="17"/>
                      <w:szCs w:val="17"/>
                    </w:rPr>
                    <w:t>Pandas / NumPy</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2BAA5DF" w14:textId="77777777" w:rsidR="00A27A22" w:rsidRDefault="0032366B">
                  <w:pPr>
                    <w:spacing w:line="220" w:lineRule="auto"/>
                    <w:jc w:val="center"/>
                  </w:pPr>
                  <w:r>
                    <w:rPr>
                      <w:sz w:val="17"/>
                      <w:szCs w:val="17"/>
                    </w:rPr>
                    <w:t>1.5+ / 1.21+</w:t>
                  </w:r>
                </w:p>
              </w:tc>
              <w:tc>
                <w:tcPr>
                  <w:tcW w:w="16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D7A4F53" w14:textId="77777777" w:rsidR="00A27A22" w:rsidRDefault="0032366B">
                  <w:pPr>
                    <w:spacing w:line="220" w:lineRule="auto"/>
                    <w:jc w:val="center"/>
                  </w:pPr>
                  <w:proofErr w:type="spellStart"/>
                  <w:r>
                    <w:rPr>
                      <w:sz w:val="17"/>
                      <w:szCs w:val="17"/>
                    </w:rPr>
                    <w:t>DataFrame</w:t>
                  </w:r>
                  <w:proofErr w:type="spellEnd"/>
                  <w:r>
                    <w:rPr>
                      <w:sz w:val="17"/>
                      <w:szCs w:val="17"/>
                    </w:rPr>
                    <w:t xml:space="preserve"> operations</w:t>
                  </w:r>
                </w:p>
              </w:tc>
            </w:tr>
            <w:tr w:rsidR="00A27A22" w14:paraId="0DE88D1C" w14:textId="77777777">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9B849CE" w14:textId="77777777" w:rsidR="00A27A22" w:rsidRDefault="0032366B">
                  <w:pPr>
                    <w:spacing w:line="220" w:lineRule="auto"/>
                    <w:jc w:val="center"/>
                  </w:pPr>
                  <w:r>
                    <w:rPr>
                      <w:sz w:val="17"/>
                      <w:szCs w:val="17"/>
                    </w:rPr>
                    <w:t>Visualisation</w:t>
                  </w:r>
                </w:p>
              </w:tc>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2DF46790" w14:textId="77777777" w:rsidR="00A27A22" w:rsidRDefault="0032366B">
                  <w:pPr>
                    <w:spacing w:line="220" w:lineRule="auto"/>
                    <w:jc w:val="center"/>
                  </w:pPr>
                  <w:r>
                    <w:rPr>
                      <w:sz w:val="17"/>
                      <w:szCs w:val="17"/>
                    </w:rPr>
                    <w:t>Plotly Express</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1435BF61" w14:textId="77777777" w:rsidR="00A27A22" w:rsidRDefault="0032366B">
                  <w:pPr>
                    <w:spacing w:line="220" w:lineRule="auto"/>
                    <w:jc w:val="center"/>
                  </w:pPr>
                  <w:r>
                    <w:rPr>
                      <w:sz w:val="17"/>
                      <w:szCs w:val="17"/>
                    </w:rPr>
                    <w:t>5.0+</w:t>
                  </w:r>
                </w:p>
              </w:tc>
              <w:tc>
                <w:tcPr>
                  <w:tcW w:w="16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6CFBAB53" w14:textId="77777777" w:rsidR="00A27A22" w:rsidRDefault="0032366B">
                  <w:pPr>
                    <w:spacing w:line="220" w:lineRule="auto"/>
                    <w:jc w:val="center"/>
                  </w:pPr>
                  <w:r>
                    <w:rPr>
                      <w:sz w:val="17"/>
                      <w:szCs w:val="17"/>
                    </w:rPr>
                    <w:t>Interactive chart generation</w:t>
                  </w:r>
                </w:p>
              </w:tc>
            </w:tr>
            <w:tr w:rsidR="00A27A22" w14:paraId="1C6E806E" w14:textId="77777777">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2D7A2BB0" w14:textId="77777777" w:rsidR="00A27A22" w:rsidRDefault="0032366B">
                  <w:pPr>
                    <w:spacing w:line="220" w:lineRule="auto"/>
                    <w:jc w:val="center"/>
                  </w:pPr>
                  <w:r>
                    <w:rPr>
                      <w:sz w:val="17"/>
                      <w:szCs w:val="17"/>
                    </w:rPr>
                    <w:t>ML Engine</w:t>
                  </w:r>
                </w:p>
              </w:tc>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42EAC179" w14:textId="77777777" w:rsidR="00A27A22" w:rsidRDefault="0032366B">
                  <w:pPr>
                    <w:spacing w:line="220" w:lineRule="auto"/>
                    <w:jc w:val="center"/>
                  </w:pPr>
                  <w:r>
                    <w:rPr>
                      <w:sz w:val="17"/>
                      <w:szCs w:val="17"/>
                    </w:rPr>
                    <w:t>Scikit-learn</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430D242F" w14:textId="77777777" w:rsidR="00A27A22" w:rsidRDefault="0032366B">
                  <w:pPr>
                    <w:spacing w:line="220" w:lineRule="auto"/>
                    <w:jc w:val="center"/>
                  </w:pPr>
                  <w:r>
                    <w:rPr>
                      <w:sz w:val="17"/>
                      <w:szCs w:val="17"/>
                    </w:rPr>
                    <w:t>1.0+</w:t>
                  </w:r>
                </w:p>
              </w:tc>
              <w:tc>
                <w:tcPr>
                  <w:tcW w:w="16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6A32081F" w14:textId="77777777" w:rsidR="00A27A22" w:rsidRDefault="0032366B">
                  <w:pPr>
                    <w:spacing w:line="220" w:lineRule="auto"/>
                    <w:jc w:val="center"/>
                  </w:pPr>
                  <w:r>
                    <w:rPr>
                      <w:sz w:val="17"/>
                      <w:szCs w:val="17"/>
                    </w:rPr>
                    <w:t xml:space="preserve">Encoding, training, </w:t>
                  </w:r>
                  <w:r>
                    <w:rPr>
                      <w:sz w:val="17"/>
                      <w:szCs w:val="17"/>
                    </w:rPr>
                    <w:t>scoring</w:t>
                  </w:r>
                </w:p>
              </w:tc>
            </w:tr>
          </w:tbl>
          <w:p w14:paraId="5641B667" w14:textId="77777777" w:rsidR="00A27A22" w:rsidRDefault="0032366B">
            <w:pPr>
              <w:spacing w:before="32" w:after="80"/>
              <w:jc w:val="center"/>
            </w:pPr>
            <w:r>
              <w:rPr>
                <w:i/>
                <w:iCs/>
                <w:sz w:val="17"/>
                <w:szCs w:val="17"/>
              </w:rPr>
              <w:t>Table I. Technology Stack Summary</w:t>
            </w:r>
          </w:p>
          <w:p w14:paraId="31FF8155" w14:textId="77777777" w:rsidR="00A27A22" w:rsidRDefault="0032366B">
            <w:pPr>
              <w:spacing w:before="96" w:after="40"/>
            </w:pPr>
            <w:r>
              <w:rPr>
                <w:i/>
                <w:iCs/>
              </w:rPr>
              <w:t>C. Module Decomposition</w:t>
            </w:r>
          </w:p>
          <w:p w14:paraId="321173A5" w14:textId="77777777" w:rsidR="00A27A22" w:rsidRDefault="0032366B">
            <w:pPr>
              <w:spacing w:after="72" w:line="232" w:lineRule="auto"/>
              <w:ind w:firstLine="360"/>
              <w:jc w:val="both"/>
            </w:pPr>
            <w:r>
              <w:t xml:space="preserve">The logic tier decomposes into six functionally cohesive modules. The File Ingestion Module accepts and validates the CSV upload, rejects non-CSV payloads, and instantiates the primary </w:t>
            </w:r>
            <w:proofErr w:type="spellStart"/>
            <w:r>
              <w:t>Data</w:t>
            </w:r>
            <w:r>
              <w:t>Frame</w:t>
            </w:r>
            <w:proofErr w:type="spellEnd"/>
            <w:r>
              <w:t xml:space="preserve">. The Data Preparation Module audits column presence, coerces data types, and synthesises the </w:t>
            </w:r>
            <w:proofErr w:type="spellStart"/>
            <w:r>
              <w:t>Total_Sales</w:t>
            </w:r>
            <w:proofErr w:type="spellEnd"/>
            <w:r>
              <w:t xml:space="preserve"> column when absent by computing the elementwise product of Price and Quantity vectors. The Visualisation Engine dispatches five parallel renderin</w:t>
            </w:r>
            <w:r>
              <w:t>g calls to Plotly Express, producing a top-products bar chart, a category-breakdown donut chart, a region-comparative bar chart, a monthly trend line chart, and a numerical correlation heatmap. The ML Training Module encodes categorical predictors, partiti</w:t>
            </w:r>
            <w:r>
              <w:t xml:space="preserve">ons the dataset, trains the Random Forest, and exposes the fitted model and encoder objects through </w:t>
            </w:r>
            <w:proofErr w:type="spellStart"/>
            <w:r>
              <w:t>Streamlit</w:t>
            </w:r>
            <w:proofErr w:type="spellEnd"/>
            <w:r>
              <w:t xml:space="preserve"> session state. The Prediction Interface Module retrieves these objects, applies consistent encoding to user inputs, invokes the model's predict me</w:t>
            </w:r>
            <w:r>
              <w:t>thod, and derives an estimated unit volume. The Statistics Module invokes Pandas' describe function to populate a descriptive-summary table.</w:t>
            </w:r>
          </w:p>
          <w:p w14:paraId="628E4BA5" w14:textId="77777777" w:rsidR="00A27A22" w:rsidRDefault="0032366B">
            <w:pPr>
              <w:spacing w:before="96" w:after="40"/>
            </w:pPr>
            <w:r>
              <w:rPr>
                <w:i/>
                <w:iCs/>
              </w:rPr>
              <w:t>D. Data Flow</w:t>
            </w:r>
          </w:p>
          <w:p w14:paraId="07F8D675" w14:textId="77777777" w:rsidR="00A27A22" w:rsidRDefault="0032366B">
            <w:pPr>
              <w:spacing w:after="72" w:line="232" w:lineRule="auto"/>
              <w:ind w:firstLine="360"/>
              <w:jc w:val="both"/>
            </w:pPr>
            <w:r>
              <w:t xml:space="preserve">Data traverses the system in a directed acyclic flow: ingestion produces a raw </w:t>
            </w:r>
            <w:proofErr w:type="spellStart"/>
            <w:r>
              <w:t>DataFrame</w:t>
            </w:r>
            <w:proofErr w:type="spellEnd"/>
            <w:r>
              <w:t xml:space="preserve"> that passes t</w:t>
            </w:r>
            <w:r>
              <w:t xml:space="preserve">hrough preparation to yield a clean, feature-complete </w:t>
            </w:r>
            <w:proofErr w:type="spellStart"/>
            <w:r>
              <w:t>DataFrame</w:t>
            </w:r>
            <w:proofErr w:type="spellEnd"/>
            <w:r>
              <w:t>. This clean frame is consumed independently by the Visualisation Engine, the ML Training Module, and the Statistics Module. Encoder objects produced during training are persisted in session st</w:t>
            </w:r>
            <w:r>
              <w:t>ate so that the Prediction Interface can apply the identical categorical mapping to unseen inputs, preserving label-space consistency between training and inference.</w:t>
            </w:r>
          </w:p>
          <w:p w14:paraId="7047EDFD" w14:textId="77777777" w:rsidR="00A27A22" w:rsidRDefault="0032366B">
            <w:pPr>
              <w:pBdr>
                <w:bottom w:val="single" w:sz="4" w:space="0" w:color="222222"/>
              </w:pBdr>
              <w:spacing w:before="140" w:after="56"/>
              <w:jc w:val="center"/>
            </w:pPr>
            <w:r>
              <w:rPr>
                <w:b/>
                <w:bCs/>
              </w:rPr>
              <w:t>IV. MACHINE LEARNING METHODOLOGY</w:t>
            </w:r>
          </w:p>
          <w:p w14:paraId="1281F88D" w14:textId="77777777" w:rsidR="00A27A22" w:rsidRDefault="0032366B">
            <w:pPr>
              <w:spacing w:before="96" w:after="40"/>
            </w:pPr>
            <w:r>
              <w:rPr>
                <w:i/>
                <w:iCs/>
              </w:rPr>
              <w:t>A. Problem Formulation</w:t>
            </w:r>
          </w:p>
          <w:p w14:paraId="1F28F398" w14:textId="77777777" w:rsidR="00A27A22" w:rsidRDefault="0032366B">
            <w:pPr>
              <w:spacing w:after="72" w:line="232" w:lineRule="auto"/>
              <w:ind w:firstLine="360"/>
              <w:jc w:val="both"/>
            </w:pPr>
            <w:r>
              <w:t xml:space="preserve">The prediction task is formulated </w:t>
            </w:r>
            <w:r>
              <w:t>as a supervised regression problem. Given a feature vector x = [</w:t>
            </w:r>
            <w:proofErr w:type="spellStart"/>
            <w:r>
              <w:t>e_p</w:t>
            </w:r>
            <w:proofErr w:type="spellEnd"/>
            <w:r>
              <w:t xml:space="preserve">, </w:t>
            </w:r>
            <w:proofErr w:type="spellStart"/>
            <w:r>
              <w:t>e_m</w:t>
            </w:r>
            <w:proofErr w:type="spellEnd"/>
            <w:r>
              <w:t xml:space="preserve">, </w:t>
            </w:r>
            <w:proofErr w:type="spellStart"/>
            <w:r>
              <w:t>v_c</w:t>
            </w:r>
            <w:proofErr w:type="spellEnd"/>
            <w:r>
              <w:t xml:space="preserve">]ᵀ, where </w:t>
            </w:r>
            <w:proofErr w:type="spellStart"/>
            <w:r>
              <w:t>e_p</w:t>
            </w:r>
            <w:proofErr w:type="spellEnd"/>
            <w:r>
              <w:t xml:space="preserve"> is the label-encoded product identifier, </w:t>
            </w:r>
            <w:proofErr w:type="spellStart"/>
            <w:r>
              <w:t>e_m</w:t>
            </w:r>
            <w:proofErr w:type="spellEnd"/>
            <w:r>
              <w:t xml:space="preserve"> </w:t>
            </w:r>
            <w:r>
              <w:lastRenderedPageBreak/>
              <w:t xml:space="preserve">is the label-encoded month identifier, and </w:t>
            </w:r>
            <w:proofErr w:type="spellStart"/>
            <w:r>
              <w:t>v_c</w:t>
            </w:r>
            <w:proofErr w:type="spellEnd"/>
            <w:r>
              <w:t xml:space="preserve"> is the unit selling price, the objective is to learn a function f: ℝ³ → ℝ</w:t>
            </w:r>
            <w:r>
              <w:t xml:space="preserve"> that maps x to the expected total sales revenue y. The Random Forest Regressor serves as the hypothesis class for f.</w:t>
            </w:r>
          </w:p>
          <w:p w14:paraId="0115D4CE" w14:textId="77777777" w:rsidR="00A27A22" w:rsidRDefault="0032366B">
            <w:pPr>
              <w:spacing w:before="96" w:after="40"/>
            </w:pPr>
            <w:r>
              <w:rPr>
                <w:i/>
                <w:iCs/>
              </w:rPr>
              <w:t>B. Feature Engineering and Encoding</w:t>
            </w:r>
          </w:p>
          <w:p w14:paraId="3D919A5C" w14:textId="77777777" w:rsidR="00A27A22" w:rsidRDefault="0032366B">
            <w:pPr>
              <w:spacing w:after="72" w:line="232" w:lineRule="auto"/>
              <w:ind w:firstLine="360"/>
              <w:jc w:val="both"/>
            </w:pPr>
            <w:r>
              <w:t xml:space="preserve">Categorical attributes—Product and Month—are converted to integer indices via </w:t>
            </w:r>
            <w:proofErr w:type="spellStart"/>
            <w:r>
              <w:t>Scikit-learn's</w:t>
            </w:r>
            <w:proofErr w:type="spellEnd"/>
            <w:r>
              <w:t xml:space="preserve"> </w:t>
            </w:r>
            <w:proofErr w:type="spellStart"/>
            <w:r>
              <w:t>LabelEnco</w:t>
            </w:r>
            <w:r>
              <w:t>der</w:t>
            </w:r>
            <w:proofErr w:type="spellEnd"/>
            <w:r>
              <w:t>, which assigns each unique string label a deterministic integer in the range [0, C−1] where C is the cardinality of the category. Critically, the fitted encoder objects are preserved across the training and inference phases to ensure that the same inte</w:t>
            </w:r>
            <w:r>
              <w:t xml:space="preserve">ger is assigned to each label token regardless of when the prediction request is issued. The continuous Price feature is admitted without transformation; Random Forest tree splits are threshold-based and therefore invariant to feature scale, obviating the </w:t>
            </w:r>
            <w:r>
              <w:t>need for normalisation or standardisation.</w:t>
            </w:r>
          </w:p>
          <w:p w14:paraId="15DB85C1" w14:textId="77777777" w:rsidR="00A27A22" w:rsidRDefault="0032366B">
            <w:pPr>
              <w:spacing w:before="96" w:after="40"/>
            </w:pPr>
            <w:r>
              <w:rPr>
                <w:i/>
                <w:iCs/>
              </w:rPr>
              <w:t>C. Model Configuration</w:t>
            </w:r>
          </w:p>
          <w:p w14:paraId="21A70340" w14:textId="77777777" w:rsidR="00A27A22" w:rsidRDefault="0032366B">
            <w:pPr>
              <w:spacing w:after="72" w:line="232" w:lineRule="auto"/>
              <w:ind w:firstLine="360"/>
              <w:jc w:val="both"/>
            </w:pPr>
            <w:r>
              <w:t>The ensemble is configured with 200 base estimators (</w:t>
            </w:r>
            <w:proofErr w:type="spellStart"/>
            <w:r>
              <w:t>n_estimators</w:t>
            </w:r>
            <w:proofErr w:type="spellEnd"/>
            <w:r>
              <w:t xml:space="preserve"> = 200). Ablation studies across the evaluation datasets confirm that prediction variance stabilises beyond approximately 150</w:t>
            </w:r>
            <w:r>
              <w:t xml:space="preserve"> trees; 200 trees provides a conservative margin while keeping training latency below ten seconds on workloads of up to ten thousand records. The maximum features per split is set to the Scikit-learn default of one-third of the total feature count (</w:t>
            </w:r>
            <w:proofErr w:type="spellStart"/>
            <w:r>
              <w:t>max_fea</w:t>
            </w:r>
            <w:r>
              <w:t>tures</w:t>
            </w:r>
            <w:proofErr w:type="spellEnd"/>
            <w:r>
              <w:t xml:space="preserve"> = 'auto'), and a fixed random seed (</w:t>
            </w:r>
            <w:proofErr w:type="spellStart"/>
            <w:r>
              <w:t>random_state</w:t>
            </w:r>
            <w:proofErr w:type="spellEnd"/>
            <w:r>
              <w:t xml:space="preserve"> = 42) guarantees result reproducibility. No explicit depth restriction is applied; trees are grown until leaf nodes contain a single sample, maximising individual tree expressiveness while relying on e</w:t>
            </w:r>
            <w:r>
              <w:t>nsemble averaging to control generalisation error.</w:t>
            </w:r>
          </w:p>
        </w:tc>
        <w:tc>
          <w:tcPr>
            <w:tcW w:w="600" w:type="dxa"/>
            <w:tcMar>
              <w:top w:w="0" w:type="dxa"/>
              <w:left w:w="0" w:type="dxa"/>
              <w:bottom w:w="0" w:type="dxa"/>
              <w:right w:w="0" w:type="dxa"/>
            </w:tcMar>
          </w:tcPr>
          <w:p w14:paraId="1F346254" w14:textId="77777777" w:rsidR="00A27A22" w:rsidRDefault="00A27A22"/>
        </w:tc>
        <w:tc>
          <w:tcPr>
            <w:tcW w:w="4740" w:type="dxa"/>
            <w:tcMar>
              <w:top w:w="0" w:type="dxa"/>
              <w:left w:w="0" w:type="dxa"/>
              <w:bottom w:w="0" w:type="dxa"/>
              <w:right w:w="0" w:type="dxa"/>
            </w:tcMar>
          </w:tcPr>
          <w:p w14:paraId="37ACED35" w14:textId="77777777" w:rsidR="00A27A22" w:rsidRDefault="0032366B">
            <w:pPr>
              <w:spacing w:before="96" w:after="40"/>
            </w:pPr>
            <w:r>
              <w:rPr>
                <w:i/>
                <w:iCs/>
              </w:rPr>
              <w:t>D. Training and Evaluation Protocol</w:t>
            </w:r>
          </w:p>
          <w:p w14:paraId="0014E90B" w14:textId="77777777" w:rsidR="00A27A22" w:rsidRDefault="0032366B">
            <w:pPr>
              <w:spacing w:after="72" w:line="232" w:lineRule="auto"/>
              <w:ind w:firstLine="360"/>
              <w:jc w:val="both"/>
            </w:pPr>
            <w:r>
              <w:t>The labelled dataset is divided into a training partition (80 percent) and a held-out evaluation partition (20 percent) via a deterministic random split (</w:t>
            </w:r>
            <w:proofErr w:type="spellStart"/>
            <w:r>
              <w:t>random_state</w:t>
            </w:r>
            <w:proofErr w:type="spellEnd"/>
            <w:r>
              <w:t xml:space="preserve"> =</w:t>
            </w:r>
            <w:r>
              <w:t xml:space="preserve"> 42). The ensemble is fitted exclusively on the training partition. Evaluation is performed on the held-out partition using the R² coefficient of determination as the primary metric and Mean Absolute Error (MAE) as an interpretable secondary metric. An R² </w:t>
            </w:r>
            <w:r>
              <w:t>below 0.60 triggers a system-level warning advising the operator to augment the dataset. All reported scores are single-split evaluations; cross-validated scores are planned for a forthcoming release.</w:t>
            </w:r>
          </w:p>
          <w:p w14:paraId="3D3CF5DB" w14:textId="77777777" w:rsidR="00A27A22" w:rsidRDefault="0032366B">
            <w:pPr>
              <w:spacing w:before="96" w:after="40"/>
            </w:pPr>
            <w:r>
              <w:rPr>
                <w:i/>
                <w:iCs/>
              </w:rPr>
              <w:t>E. Inference Pipeline</w:t>
            </w:r>
          </w:p>
          <w:p w14:paraId="66B0A880" w14:textId="77777777" w:rsidR="00A27A22" w:rsidRDefault="0032366B">
            <w:pPr>
              <w:spacing w:after="72" w:line="232" w:lineRule="auto"/>
              <w:ind w:firstLine="360"/>
              <w:jc w:val="both"/>
            </w:pPr>
            <w:r>
              <w:t>At inference time, the operator s</w:t>
            </w:r>
            <w:r>
              <w:t xml:space="preserve">pecifies a product, a month, and a unit price through </w:t>
            </w:r>
            <w:proofErr w:type="spellStart"/>
            <w:r>
              <w:t>Streamlit</w:t>
            </w:r>
            <w:proofErr w:type="spellEnd"/>
            <w:r>
              <w:t xml:space="preserve"> selection widgets. The product and month tokens are transformed to integers using the previously fitted </w:t>
            </w:r>
            <w:proofErr w:type="spellStart"/>
            <w:r>
              <w:t>LabelEncoder</w:t>
            </w:r>
            <w:proofErr w:type="spellEnd"/>
            <w:r>
              <w:t xml:space="preserve"> objects retrieved from session state, and the resulting three-element vecto</w:t>
            </w:r>
            <w:r>
              <w:t>r is passed to the fitted model's predict method. The returned scalar is the predicted total sales revenue. An estimated unit volume is obtained by dividing the predicted revenue by the user-supplied price, yielding a practical inventory-planning signal.</w:t>
            </w:r>
          </w:p>
          <w:p w14:paraId="223D2B17" w14:textId="77777777" w:rsidR="00A27A22" w:rsidRDefault="0032366B">
            <w:pPr>
              <w:pBdr>
                <w:bottom w:val="single" w:sz="4" w:space="0" w:color="222222"/>
              </w:pBdr>
              <w:spacing w:before="140" w:after="56"/>
              <w:jc w:val="center"/>
            </w:pPr>
            <w:r>
              <w:rPr>
                <w:b/>
                <w:bCs/>
              </w:rPr>
              <w:t>V</w:t>
            </w:r>
            <w:r>
              <w:rPr>
                <w:b/>
                <w:bCs/>
              </w:rPr>
              <w:t>. EXPERIMENTAL RESULTS AND DISCUSSION</w:t>
            </w:r>
          </w:p>
          <w:p w14:paraId="1FAADD1C" w14:textId="77777777" w:rsidR="00A27A22" w:rsidRDefault="0032366B">
            <w:pPr>
              <w:spacing w:before="96" w:after="40"/>
            </w:pPr>
            <w:r>
              <w:rPr>
                <w:i/>
                <w:iCs/>
              </w:rPr>
              <w:t>A. Predictive Accuracy</w:t>
            </w:r>
          </w:p>
          <w:p w14:paraId="78F14725" w14:textId="77777777" w:rsidR="00A27A22" w:rsidRDefault="0032366B">
            <w:pPr>
              <w:spacing w:after="72" w:line="232" w:lineRule="auto"/>
              <w:ind w:firstLine="360"/>
              <w:jc w:val="both"/>
            </w:pPr>
            <w:r>
              <w:t>Experiments were conducted on three synthetic datasets representative of typical SME sales CSV exports, stratified by record count. Table II presents R² and Mean Absolute Error (MAE) for each con</w:t>
            </w:r>
            <w:r>
              <w:t>figuration. The ensemble achieves strong predictive fidelity across all three conditions, with R² increasing monotonically with dataset size—consistent with the theoretical expectation that ensemble variance contracts as training-set cardinality grows.</w:t>
            </w:r>
          </w:p>
          <w:p w14:paraId="5B435DB0" w14:textId="77777777" w:rsidR="00A27A22" w:rsidRDefault="00A27A22">
            <w:pPr>
              <w:spacing w:after="40"/>
            </w:pPr>
          </w:p>
          <w:tbl>
            <w:tblPr>
              <w:tblW w:w="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900"/>
              <w:gridCol w:w="900"/>
              <w:gridCol w:w="700"/>
              <w:gridCol w:w="1140"/>
            </w:tblGrid>
            <w:tr w:rsidR="00A27A22" w14:paraId="458A5FC9" w14:textId="77777777">
              <w:trPr>
                <w:tblHeader/>
              </w:trPr>
              <w:tc>
                <w:tcPr>
                  <w:tcW w:w="11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426DFD88" w14:textId="77777777" w:rsidR="00A27A22" w:rsidRDefault="0032366B">
                  <w:pPr>
                    <w:spacing w:line="220" w:lineRule="auto"/>
                    <w:jc w:val="center"/>
                  </w:pPr>
                  <w:r>
                    <w:rPr>
                      <w:b/>
                      <w:bCs/>
                      <w:sz w:val="17"/>
                      <w:szCs w:val="17"/>
                    </w:rPr>
                    <w:t>Da</w:t>
                  </w:r>
                  <w:r>
                    <w:rPr>
                      <w:b/>
                      <w:bCs/>
                      <w:sz w:val="17"/>
                      <w:szCs w:val="17"/>
                    </w:rPr>
                    <w:t>taset</w:t>
                  </w:r>
                </w:p>
              </w:tc>
              <w:tc>
                <w:tcPr>
                  <w:tcW w:w="9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10A42705" w14:textId="77777777" w:rsidR="00A27A22" w:rsidRDefault="0032366B">
                  <w:pPr>
                    <w:spacing w:line="220" w:lineRule="auto"/>
                    <w:jc w:val="center"/>
                  </w:pPr>
                  <w:r>
                    <w:rPr>
                      <w:b/>
                      <w:bCs/>
                      <w:sz w:val="17"/>
                      <w:szCs w:val="17"/>
                    </w:rPr>
                    <w:t>Records</w:t>
                  </w:r>
                </w:p>
              </w:tc>
              <w:tc>
                <w:tcPr>
                  <w:tcW w:w="9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0479B1C7" w14:textId="77777777" w:rsidR="00A27A22" w:rsidRDefault="0032366B">
                  <w:pPr>
                    <w:spacing w:line="220" w:lineRule="auto"/>
                    <w:jc w:val="center"/>
                  </w:pPr>
                  <w:r>
                    <w:rPr>
                      <w:b/>
                      <w:bCs/>
                      <w:sz w:val="17"/>
                      <w:szCs w:val="17"/>
                    </w:rPr>
                    <w:t>Features</w:t>
                  </w:r>
                </w:p>
              </w:tc>
              <w:tc>
                <w:tcPr>
                  <w:tcW w:w="7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4BA5D34B" w14:textId="77777777" w:rsidR="00A27A22" w:rsidRDefault="0032366B">
                  <w:pPr>
                    <w:spacing w:line="220" w:lineRule="auto"/>
                    <w:jc w:val="center"/>
                  </w:pPr>
                  <w:r>
                    <w:rPr>
                      <w:b/>
                      <w:bCs/>
                      <w:sz w:val="17"/>
                      <w:szCs w:val="17"/>
                    </w:rPr>
                    <w:t>R²</w:t>
                  </w:r>
                </w:p>
              </w:tc>
              <w:tc>
                <w:tcPr>
                  <w:tcW w:w="114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33A7C056" w14:textId="77777777" w:rsidR="00A27A22" w:rsidRDefault="0032366B">
                  <w:pPr>
                    <w:spacing w:line="220" w:lineRule="auto"/>
                    <w:jc w:val="center"/>
                  </w:pPr>
                  <w:r>
                    <w:rPr>
                      <w:b/>
                      <w:bCs/>
                      <w:sz w:val="17"/>
                      <w:szCs w:val="17"/>
                    </w:rPr>
                    <w:t>MAE (₹)</w:t>
                  </w:r>
                </w:p>
              </w:tc>
            </w:tr>
            <w:tr w:rsidR="00A27A22" w14:paraId="257B1CAB" w14:textId="77777777">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688972DD" w14:textId="77777777" w:rsidR="00A27A22" w:rsidRDefault="0032366B">
                  <w:pPr>
                    <w:spacing w:line="220" w:lineRule="auto"/>
                    <w:jc w:val="center"/>
                  </w:pPr>
                  <w:r>
                    <w:rPr>
                      <w:sz w:val="17"/>
                      <w:szCs w:val="17"/>
                    </w:rPr>
                    <w:t>DS-1 (Small)</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C08881C" w14:textId="77777777" w:rsidR="00A27A22" w:rsidRDefault="0032366B">
                  <w:pPr>
                    <w:spacing w:line="220" w:lineRule="auto"/>
                    <w:jc w:val="center"/>
                  </w:pPr>
                  <w:r>
                    <w:rPr>
                      <w:sz w:val="17"/>
                      <w:szCs w:val="17"/>
                    </w:rPr>
                    <w:t>100</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6E5A95BA" w14:textId="77777777" w:rsidR="00A27A22" w:rsidRDefault="0032366B">
                  <w:pPr>
                    <w:spacing w:line="220" w:lineRule="auto"/>
                    <w:jc w:val="center"/>
                  </w:pPr>
                  <w:r>
                    <w:rPr>
                      <w:sz w:val="17"/>
                      <w:szCs w:val="17"/>
                    </w:rPr>
                    <w:t>3</w:t>
                  </w:r>
                </w:p>
              </w:tc>
              <w:tc>
                <w:tcPr>
                  <w:tcW w:w="7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242EEEA4" w14:textId="77777777" w:rsidR="00A27A22" w:rsidRDefault="0032366B">
                  <w:pPr>
                    <w:spacing w:line="220" w:lineRule="auto"/>
                    <w:jc w:val="center"/>
                  </w:pPr>
                  <w:r>
                    <w:rPr>
                      <w:sz w:val="17"/>
                      <w:szCs w:val="17"/>
                    </w:rPr>
                    <w:t>0.82</w:t>
                  </w:r>
                </w:p>
              </w:tc>
              <w:tc>
                <w:tcPr>
                  <w:tcW w:w="11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3785DCF9" w14:textId="77777777" w:rsidR="00A27A22" w:rsidRDefault="0032366B">
                  <w:pPr>
                    <w:spacing w:line="220" w:lineRule="auto"/>
                    <w:jc w:val="center"/>
                  </w:pPr>
                  <w:r>
                    <w:rPr>
                      <w:sz w:val="17"/>
                      <w:szCs w:val="17"/>
                    </w:rPr>
                    <w:t>4,210</w:t>
                  </w:r>
                </w:p>
              </w:tc>
            </w:tr>
            <w:tr w:rsidR="00A27A22" w14:paraId="60EE6334" w14:textId="77777777">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F078849" w14:textId="77777777" w:rsidR="00A27A22" w:rsidRDefault="0032366B">
                  <w:pPr>
                    <w:spacing w:line="220" w:lineRule="auto"/>
                    <w:jc w:val="center"/>
                  </w:pPr>
                  <w:r>
                    <w:rPr>
                      <w:sz w:val="17"/>
                      <w:szCs w:val="17"/>
                    </w:rPr>
                    <w:t>DS-2 (Medium)</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5F045340" w14:textId="77777777" w:rsidR="00A27A22" w:rsidRDefault="0032366B">
                  <w:pPr>
                    <w:spacing w:line="220" w:lineRule="auto"/>
                    <w:jc w:val="center"/>
                  </w:pPr>
                  <w:r>
                    <w:rPr>
                      <w:sz w:val="17"/>
                      <w:szCs w:val="17"/>
                    </w:rPr>
                    <w:t>1,000</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43FAAC78" w14:textId="77777777" w:rsidR="00A27A22" w:rsidRDefault="0032366B">
                  <w:pPr>
                    <w:spacing w:line="220" w:lineRule="auto"/>
                    <w:jc w:val="center"/>
                  </w:pPr>
                  <w:r>
                    <w:rPr>
                      <w:sz w:val="17"/>
                      <w:szCs w:val="17"/>
                    </w:rPr>
                    <w:t>3</w:t>
                  </w:r>
                </w:p>
              </w:tc>
              <w:tc>
                <w:tcPr>
                  <w:tcW w:w="7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02B758DB" w14:textId="77777777" w:rsidR="00A27A22" w:rsidRDefault="0032366B">
                  <w:pPr>
                    <w:spacing w:line="220" w:lineRule="auto"/>
                    <w:jc w:val="center"/>
                  </w:pPr>
                  <w:r>
                    <w:rPr>
                      <w:sz w:val="17"/>
                      <w:szCs w:val="17"/>
                    </w:rPr>
                    <w:t>0.91</w:t>
                  </w:r>
                </w:p>
              </w:tc>
              <w:tc>
                <w:tcPr>
                  <w:tcW w:w="11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4ED87431" w14:textId="77777777" w:rsidR="00A27A22" w:rsidRDefault="0032366B">
                  <w:pPr>
                    <w:spacing w:line="220" w:lineRule="auto"/>
                    <w:jc w:val="center"/>
                  </w:pPr>
                  <w:r>
                    <w:rPr>
                      <w:sz w:val="17"/>
                      <w:szCs w:val="17"/>
                    </w:rPr>
                    <w:t>2,870</w:t>
                  </w:r>
                </w:p>
              </w:tc>
            </w:tr>
            <w:tr w:rsidR="00A27A22" w14:paraId="4F30BD7F" w14:textId="77777777">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3460A5D9" w14:textId="77777777" w:rsidR="00A27A22" w:rsidRDefault="0032366B">
                  <w:pPr>
                    <w:spacing w:line="220" w:lineRule="auto"/>
                    <w:jc w:val="center"/>
                  </w:pPr>
                  <w:r>
                    <w:rPr>
                      <w:sz w:val="17"/>
                      <w:szCs w:val="17"/>
                    </w:rPr>
                    <w:lastRenderedPageBreak/>
                    <w:t>DS-3 (Large)</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AC73525" w14:textId="77777777" w:rsidR="00A27A22" w:rsidRDefault="0032366B">
                  <w:pPr>
                    <w:spacing w:line="220" w:lineRule="auto"/>
                    <w:jc w:val="center"/>
                  </w:pPr>
                  <w:r>
                    <w:rPr>
                      <w:sz w:val="17"/>
                      <w:szCs w:val="17"/>
                    </w:rPr>
                    <w:t>10,000</w:t>
                  </w:r>
                </w:p>
              </w:tc>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474EB8F0" w14:textId="77777777" w:rsidR="00A27A22" w:rsidRDefault="0032366B">
                  <w:pPr>
                    <w:spacing w:line="220" w:lineRule="auto"/>
                    <w:jc w:val="center"/>
                  </w:pPr>
                  <w:r>
                    <w:rPr>
                      <w:sz w:val="17"/>
                      <w:szCs w:val="17"/>
                    </w:rPr>
                    <w:t>3</w:t>
                  </w:r>
                </w:p>
              </w:tc>
              <w:tc>
                <w:tcPr>
                  <w:tcW w:w="7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3219A9A1" w14:textId="77777777" w:rsidR="00A27A22" w:rsidRDefault="0032366B">
                  <w:pPr>
                    <w:spacing w:line="220" w:lineRule="auto"/>
                    <w:jc w:val="center"/>
                  </w:pPr>
                  <w:r>
                    <w:rPr>
                      <w:sz w:val="17"/>
                      <w:szCs w:val="17"/>
                    </w:rPr>
                    <w:t>0.94</w:t>
                  </w:r>
                </w:p>
              </w:tc>
              <w:tc>
                <w:tcPr>
                  <w:tcW w:w="11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1D8D422F" w14:textId="77777777" w:rsidR="00A27A22" w:rsidRDefault="0032366B">
                  <w:pPr>
                    <w:spacing w:line="220" w:lineRule="auto"/>
                    <w:jc w:val="center"/>
                  </w:pPr>
                  <w:r>
                    <w:rPr>
                      <w:sz w:val="17"/>
                      <w:szCs w:val="17"/>
                    </w:rPr>
                    <w:t>1,640</w:t>
                  </w:r>
                </w:p>
              </w:tc>
            </w:tr>
          </w:tbl>
          <w:p w14:paraId="1BE2825D" w14:textId="77777777" w:rsidR="00A27A22" w:rsidRDefault="0032366B">
            <w:pPr>
              <w:spacing w:before="32" w:after="80"/>
              <w:jc w:val="center"/>
            </w:pPr>
            <w:r>
              <w:rPr>
                <w:i/>
                <w:iCs/>
                <w:sz w:val="17"/>
                <w:szCs w:val="17"/>
              </w:rPr>
              <w:t>Table II. Prediction Accuracy by Dataset Scale</w:t>
            </w:r>
          </w:p>
          <w:p w14:paraId="5BAFD95D" w14:textId="77777777" w:rsidR="00A27A22" w:rsidRDefault="0032366B">
            <w:pPr>
              <w:spacing w:before="96" w:after="40"/>
            </w:pPr>
            <w:r>
              <w:rPr>
                <w:i/>
                <w:iCs/>
              </w:rPr>
              <w:t>B. End-to-End Pipeline Latency</w:t>
            </w:r>
          </w:p>
          <w:p w14:paraId="0432ABBE" w14:textId="77777777" w:rsidR="00A27A22" w:rsidRDefault="0032366B">
            <w:pPr>
              <w:spacing w:after="72" w:line="232" w:lineRule="auto"/>
              <w:ind w:firstLine="360"/>
              <w:jc w:val="both"/>
            </w:pPr>
            <w:r>
              <w:t xml:space="preserve">Wall-clock pipeline latency was measured on </w:t>
            </w:r>
            <w:r>
              <w:t>a reference workstation (Intel Core i5-10400, 8 GB DDR4, no GPU) from file upload through visualisation rendering to completion of model training. Table III shows that the system delivers a sub-fifteen-second experience for the predominant SME workload ran</w:t>
            </w:r>
            <w:r>
              <w:t>ge (up to ten thousand records). The 60-second ML-training cost at the one-hundred-thousand-record scale is acknowledged as a current limitation and is addressed in the future-work plan.</w:t>
            </w:r>
          </w:p>
          <w:p w14:paraId="26F33B2B" w14:textId="77777777" w:rsidR="00A27A22" w:rsidRDefault="00A27A22">
            <w:pPr>
              <w:spacing w:after="40"/>
            </w:pPr>
          </w:p>
          <w:tbl>
            <w:tblPr>
              <w:tblW w:w="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3"/>
              <w:gridCol w:w="982"/>
              <w:gridCol w:w="1145"/>
              <w:gridCol w:w="990"/>
              <w:gridCol w:w="730"/>
            </w:tblGrid>
            <w:tr w:rsidR="00A27A22" w14:paraId="6D4E99DA" w14:textId="77777777">
              <w:trPr>
                <w:tblHeader/>
              </w:trPr>
              <w:tc>
                <w:tcPr>
                  <w:tcW w:w="9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5C319B5D" w14:textId="77777777" w:rsidR="00A27A22" w:rsidRDefault="0032366B">
                  <w:pPr>
                    <w:spacing w:line="220" w:lineRule="auto"/>
                    <w:jc w:val="center"/>
                  </w:pPr>
                  <w:r>
                    <w:rPr>
                      <w:b/>
                      <w:bCs/>
                      <w:sz w:val="17"/>
                      <w:szCs w:val="17"/>
                    </w:rPr>
                    <w:t>Records</w:t>
                  </w:r>
                </w:p>
              </w:tc>
              <w:tc>
                <w:tcPr>
                  <w:tcW w:w="10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76222835" w14:textId="77777777" w:rsidR="00A27A22" w:rsidRDefault="0032366B">
                  <w:pPr>
                    <w:spacing w:line="220" w:lineRule="auto"/>
                    <w:jc w:val="center"/>
                  </w:pPr>
                  <w:r>
                    <w:rPr>
                      <w:b/>
                      <w:bCs/>
                      <w:sz w:val="17"/>
                      <w:szCs w:val="17"/>
                    </w:rPr>
                    <w:t>Upload &amp; Parse</w:t>
                  </w:r>
                </w:p>
              </w:tc>
              <w:tc>
                <w:tcPr>
                  <w:tcW w:w="11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176D68E6" w14:textId="77777777" w:rsidR="00A27A22" w:rsidRDefault="0032366B">
                  <w:pPr>
                    <w:spacing w:line="220" w:lineRule="auto"/>
                    <w:jc w:val="center"/>
                  </w:pPr>
                  <w:r>
                    <w:rPr>
                      <w:b/>
                      <w:bCs/>
                      <w:sz w:val="17"/>
                      <w:szCs w:val="17"/>
                    </w:rPr>
                    <w:t>Visualisation</w:t>
                  </w:r>
                </w:p>
              </w:tc>
              <w:tc>
                <w:tcPr>
                  <w:tcW w:w="100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5B5E0BE8" w14:textId="77777777" w:rsidR="00A27A22" w:rsidRDefault="0032366B">
                  <w:pPr>
                    <w:spacing w:line="220" w:lineRule="auto"/>
                    <w:jc w:val="center"/>
                  </w:pPr>
                  <w:r>
                    <w:rPr>
                      <w:b/>
                      <w:bCs/>
                      <w:sz w:val="17"/>
                      <w:szCs w:val="17"/>
                    </w:rPr>
                    <w:t>ML Training</w:t>
                  </w:r>
                </w:p>
              </w:tc>
              <w:tc>
                <w:tcPr>
                  <w:tcW w:w="740" w:type="dxa"/>
                  <w:tcBorders>
                    <w:top w:val="single" w:sz="4" w:space="0" w:color="333333"/>
                    <w:left w:val="single" w:sz="4" w:space="0" w:color="333333"/>
                    <w:bottom w:val="single" w:sz="4" w:space="0" w:color="333333"/>
                    <w:right w:val="single" w:sz="4" w:space="0" w:color="333333"/>
                  </w:tcBorders>
                  <w:shd w:val="clear" w:color="auto" w:fill="CCCCCC"/>
                  <w:tcMar>
                    <w:top w:w="56" w:type="dxa"/>
                    <w:left w:w="100" w:type="dxa"/>
                    <w:bottom w:w="56" w:type="dxa"/>
                    <w:right w:w="100" w:type="dxa"/>
                  </w:tcMar>
                  <w:vAlign w:val="center"/>
                </w:tcPr>
                <w:p w14:paraId="41FBA0A4" w14:textId="77777777" w:rsidR="00A27A22" w:rsidRDefault="0032366B">
                  <w:pPr>
                    <w:spacing w:line="220" w:lineRule="auto"/>
                    <w:jc w:val="center"/>
                  </w:pPr>
                  <w:r>
                    <w:rPr>
                      <w:b/>
                      <w:bCs/>
                      <w:sz w:val="17"/>
                      <w:szCs w:val="17"/>
                    </w:rPr>
                    <w:t>Total</w:t>
                  </w:r>
                </w:p>
              </w:tc>
            </w:tr>
            <w:tr w:rsidR="00A27A22" w14:paraId="3ABDB18A" w14:textId="77777777">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B713E12" w14:textId="77777777" w:rsidR="00A27A22" w:rsidRDefault="0032366B">
                  <w:pPr>
                    <w:spacing w:line="220" w:lineRule="auto"/>
                    <w:jc w:val="center"/>
                  </w:pPr>
                  <w:r>
                    <w:rPr>
                      <w:sz w:val="17"/>
                      <w:szCs w:val="17"/>
                    </w:rPr>
                    <w:t>100</w:t>
                  </w:r>
                </w:p>
              </w:tc>
              <w:tc>
                <w:tcPr>
                  <w:tcW w:w="10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42673EBC" w14:textId="77777777" w:rsidR="00A27A22" w:rsidRDefault="0032366B">
                  <w:pPr>
                    <w:spacing w:line="220" w:lineRule="auto"/>
                    <w:jc w:val="center"/>
                  </w:pPr>
                  <w:r>
                    <w:rPr>
                      <w:sz w:val="17"/>
                      <w:szCs w:val="17"/>
                    </w:rPr>
                    <w:t>0.4 s</w:t>
                  </w:r>
                </w:p>
              </w:tc>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0DDE986D" w14:textId="77777777" w:rsidR="00A27A22" w:rsidRDefault="0032366B">
                  <w:pPr>
                    <w:spacing w:line="220" w:lineRule="auto"/>
                    <w:jc w:val="center"/>
                  </w:pPr>
                  <w:r>
                    <w:rPr>
                      <w:sz w:val="17"/>
                      <w:szCs w:val="17"/>
                    </w:rPr>
                    <w:t>2.1 s</w:t>
                  </w:r>
                </w:p>
              </w:tc>
              <w:tc>
                <w:tcPr>
                  <w:tcW w:w="10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2F8A572E" w14:textId="77777777" w:rsidR="00A27A22" w:rsidRDefault="0032366B">
                  <w:pPr>
                    <w:spacing w:line="220" w:lineRule="auto"/>
                    <w:jc w:val="center"/>
                  </w:pPr>
                  <w:r>
                    <w:rPr>
                      <w:sz w:val="17"/>
                      <w:szCs w:val="17"/>
                    </w:rPr>
                    <w:t>0.9 s</w:t>
                  </w:r>
                </w:p>
              </w:tc>
              <w:tc>
                <w:tcPr>
                  <w:tcW w:w="7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693F416C" w14:textId="77777777" w:rsidR="00A27A22" w:rsidRDefault="0032366B">
                  <w:pPr>
                    <w:spacing w:line="220" w:lineRule="auto"/>
                    <w:jc w:val="center"/>
                  </w:pPr>
                  <w:r>
                    <w:rPr>
                      <w:sz w:val="17"/>
                      <w:szCs w:val="17"/>
                    </w:rPr>
                    <w:t>~3.4 s</w:t>
                  </w:r>
                </w:p>
              </w:tc>
            </w:tr>
            <w:tr w:rsidR="00A27A22" w14:paraId="7A8D87CE" w14:textId="77777777">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1A50C4CA" w14:textId="77777777" w:rsidR="00A27A22" w:rsidRDefault="0032366B">
                  <w:pPr>
                    <w:spacing w:line="220" w:lineRule="auto"/>
                    <w:jc w:val="center"/>
                  </w:pPr>
                  <w:r>
                    <w:rPr>
                      <w:sz w:val="17"/>
                      <w:szCs w:val="17"/>
                    </w:rPr>
                    <w:t>1,000</w:t>
                  </w:r>
                </w:p>
              </w:tc>
              <w:tc>
                <w:tcPr>
                  <w:tcW w:w="10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279A4211" w14:textId="77777777" w:rsidR="00A27A22" w:rsidRDefault="0032366B">
                  <w:pPr>
                    <w:spacing w:line="220" w:lineRule="auto"/>
                    <w:jc w:val="center"/>
                  </w:pPr>
                  <w:r>
                    <w:rPr>
                      <w:sz w:val="17"/>
                      <w:szCs w:val="17"/>
                    </w:rPr>
                    <w:t>0.7 s</w:t>
                  </w:r>
                </w:p>
              </w:tc>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63E540FE" w14:textId="77777777" w:rsidR="00A27A22" w:rsidRDefault="0032366B">
                  <w:pPr>
                    <w:spacing w:line="220" w:lineRule="auto"/>
                    <w:jc w:val="center"/>
                  </w:pPr>
                  <w:r>
                    <w:rPr>
                      <w:sz w:val="17"/>
                      <w:szCs w:val="17"/>
                    </w:rPr>
                    <w:t>2.4 s</w:t>
                  </w:r>
                </w:p>
              </w:tc>
              <w:tc>
                <w:tcPr>
                  <w:tcW w:w="10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6CFB40AA" w14:textId="77777777" w:rsidR="00A27A22" w:rsidRDefault="0032366B">
                  <w:pPr>
                    <w:spacing w:line="220" w:lineRule="auto"/>
                    <w:jc w:val="center"/>
                  </w:pPr>
                  <w:r>
                    <w:rPr>
                      <w:sz w:val="17"/>
                      <w:szCs w:val="17"/>
                    </w:rPr>
                    <w:t>2.8 s</w:t>
                  </w:r>
                </w:p>
              </w:tc>
              <w:tc>
                <w:tcPr>
                  <w:tcW w:w="7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7DECA547" w14:textId="77777777" w:rsidR="00A27A22" w:rsidRDefault="0032366B">
                  <w:pPr>
                    <w:spacing w:line="220" w:lineRule="auto"/>
                    <w:jc w:val="center"/>
                  </w:pPr>
                  <w:r>
                    <w:rPr>
                      <w:sz w:val="17"/>
                      <w:szCs w:val="17"/>
                    </w:rPr>
                    <w:t>~5.9 s</w:t>
                  </w:r>
                </w:p>
              </w:tc>
            </w:tr>
            <w:tr w:rsidR="00A27A22" w14:paraId="56809805" w14:textId="77777777">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229FE326" w14:textId="77777777" w:rsidR="00A27A22" w:rsidRDefault="0032366B">
                  <w:pPr>
                    <w:spacing w:line="220" w:lineRule="auto"/>
                    <w:jc w:val="center"/>
                  </w:pPr>
                  <w:r>
                    <w:rPr>
                      <w:sz w:val="17"/>
                      <w:szCs w:val="17"/>
                    </w:rPr>
                    <w:t>10,000</w:t>
                  </w:r>
                </w:p>
              </w:tc>
              <w:tc>
                <w:tcPr>
                  <w:tcW w:w="10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6AD9DF46" w14:textId="77777777" w:rsidR="00A27A22" w:rsidRDefault="0032366B">
                  <w:pPr>
                    <w:spacing w:line="220" w:lineRule="auto"/>
                    <w:jc w:val="center"/>
                  </w:pPr>
                  <w:r>
                    <w:rPr>
                      <w:sz w:val="17"/>
                      <w:szCs w:val="17"/>
                    </w:rPr>
                    <w:t>1.4 s</w:t>
                  </w:r>
                </w:p>
              </w:tc>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435782A8" w14:textId="77777777" w:rsidR="00A27A22" w:rsidRDefault="0032366B">
                  <w:pPr>
                    <w:spacing w:line="220" w:lineRule="auto"/>
                    <w:jc w:val="center"/>
                  </w:pPr>
                  <w:r>
                    <w:rPr>
                      <w:sz w:val="17"/>
                      <w:szCs w:val="17"/>
                    </w:rPr>
                    <w:t>3.1 s</w:t>
                  </w:r>
                </w:p>
              </w:tc>
              <w:tc>
                <w:tcPr>
                  <w:tcW w:w="10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0F3C352F" w14:textId="77777777" w:rsidR="00A27A22" w:rsidRDefault="0032366B">
                  <w:pPr>
                    <w:spacing w:line="220" w:lineRule="auto"/>
                    <w:jc w:val="center"/>
                  </w:pPr>
                  <w:r>
                    <w:rPr>
                      <w:sz w:val="17"/>
                      <w:szCs w:val="17"/>
                    </w:rPr>
                    <w:t>7.6 s</w:t>
                  </w:r>
                </w:p>
              </w:tc>
              <w:tc>
                <w:tcPr>
                  <w:tcW w:w="7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13D110DD" w14:textId="77777777" w:rsidR="00A27A22" w:rsidRDefault="0032366B">
                  <w:pPr>
                    <w:spacing w:line="220" w:lineRule="auto"/>
                    <w:jc w:val="center"/>
                  </w:pPr>
                  <w:r>
                    <w:rPr>
                      <w:sz w:val="17"/>
                      <w:szCs w:val="17"/>
                    </w:rPr>
                    <w:t>~12.1 s</w:t>
                  </w:r>
                </w:p>
              </w:tc>
            </w:tr>
            <w:tr w:rsidR="00A27A22" w14:paraId="0F96B036" w14:textId="77777777">
              <w:tc>
                <w:tcPr>
                  <w:tcW w:w="9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1E54D854" w14:textId="77777777" w:rsidR="00A27A22" w:rsidRDefault="0032366B">
                  <w:pPr>
                    <w:spacing w:line="220" w:lineRule="auto"/>
                    <w:jc w:val="center"/>
                  </w:pPr>
                  <w:r>
                    <w:rPr>
                      <w:sz w:val="17"/>
                      <w:szCs w:val="17"/>
                    </w:rPr>
                    <w:t>100,000</w:t>
                  </w:r>
                </w:p>
              </w:tc>
              <w:tc>
                <w:tcPr>
                  <w:tcW w:w="10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37FBC032" w14:textId="77777777" w:rsidR="00A27A22" w:rsidRDefault="0032366B">
                  <w:pPr>
                    <w:spacing w:line="220" w:lineRule="auto"/>
                    <w:jc w:val="center"/>
                  </w:pPr>
                  <w:r>
                    <w:rPr>
                      <w:sz w:val="17"/>
                      <w:szCs w:val="17"/>
                    </w:rPr>
                    <w:t>4.8 s</w:t>
                  </w:r>
                </w:p>
              </w:tc>
              <w:tc>
                <w:tcPr>
                  <w:tcW w:w="11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5009020C" w14:textId="77777777" w:rsidR="00A27A22" w:rsidRDefault="0032366B">
                  <w:pPr>
                    <w:spacing w:line="220" w:lineRule="auto"/>
                    <w:jc w:val="center"/>
                  </w:pPr>
                  <w:r>
                    <w:rPr>
                      <w:sz w:val="17"/>
                      <w:szCs w:val="17"/>
                    </w:rPr>
                    <w:t>5.0 s</w:t>
                  </w:r>
                </w:p>
              </w:tc>
              <w:tc>
                <w:tcPr>
                  <w:tcW w:w="100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04A075EE" w14:textId="77777777" w:rsidR="00A27A22" w:rsidRDefault="0032366B">
                  <w:pPr>
                    <w:spacing w:line="220" w:lineRule="auto"/>
                    <w:jc w:val="center"/>
                  </w:pPr>
                  <w:r>
                    <w:rPr>
                      <w:sz w:val="17"/>
                      <w:szCs w:val="17"/>
                    </w:rPr>
                    <w:t>58.0 s</w:t>
                  </w:r>
                </w:p>
              </w:tc>
              <w:tc>
                <w:tcPr>
                  <w:tcW w:w="740" w:type="dxa"/>
                  <w:tcBorders>
                    <w:top w:val="single" w:sz="4" w:space="0" w:color="333333"/>
                    <w:left w:val="single" w:sz="4" w:space="0" w:color="333333"/>
                    <w:bottom w:val="single" w:sz="4" w:space="0" w:color="333333"/>
                    <w:right w:val="single" w:sz="4" w:space="0" w:color="333333"/>
                  </w:tcBorders>
                  <w:tcMar>
                    <w:top w:w="56" w:type="dxa"/>
                    <w:left w:w="100" w:type="dxa"/>
                    <w:bottom w:w="56" w:type="dxa"/>
                    <w:right w:w="100" w:type="dxa"/>
                  </w:tcMar>
                  <w:vAlign w:val="center"/>
                </w:tcPr>
                <w:p w14:paraId="1AD8F0B3" w14:textId="77777777" w:rsidR="00A27A22" w:rsidRDefault="0032366B">
                  <w:pPr>
                    <w:spacing w:line="220" w:lineRule="auto"/>
                    <w:jc w:val="center"/>
                  </w:pPr>
                  <w:r>
                    <w:rPr>
                      <w:sz w:val="17"/>
                      <w:szCs w:val="17"/>
                    </w:rPr>
                    <w:t>~67.8 s</w:t>
                  </w:r>
                </w:p>
              </w:tc>
            </w:tr>
          </w:tbl>
          <w:p w14:paraId="22F2CF67" w14:textId="77777777" w:rsidR="00A27A22" w:rsidRDefault="0032366B">
            <w:pPr>
              <w:spacing w:before="32" w:after="80"/>
              <w:jc w:val="center"/>
            </w:pPr>
            <w:r>
              <w:rPr>
                <w:i/>
                <w:iCs/>
                <w:sz w:val="17"/>
                <w:szCs w:val="17"/>
              </w:rPr>
              <w:t>Table III. Pipeline Latency by Dataset Scale</w:t>
            </w:r>
          </w:p>
          <w:p w14:paraId="580B5658" w14:textId="77777777" w:rsidR="00A27A22" w:rsidRDefault="0032366B">
            <w:pPr>
              <w:spacing w:before="96" w:after="40"/>
            </w:pPr>
            <w:r>
              <w:rPr>
                <w:i/>
                <w:iCs/>
              </w:rPr>
              <w:t>C. Comparative Benchmarking</w:t>
            </w:r>
          </w:p>
          <w:p w14:paraId="45FC4316" w14:textId="77777777" w:rsidR="00A27A22" w:rsidRDefault="0032366B">
            <w:pPr>
              <w:spacing w:after="72" w:line="232" w:lineRule="auto"/>
              <w:ind w:firstLine="360"/>
              <w:jc w:val="both"/>
            </w:pPr>
            <w:r>
              <w:t xml:space="preserve">To situate ISFASF's predictive performance relative to </w:t>
            </w:r>
            <w:r>
              <w:t>standard baselines, the three datasets were also evaluated using Ordinary Least Squares (OLS) regression and a single unpruned Decision Tree. On DS-1, OLS achieved R² = 0.61 and the Decision Tree achieved R² = 0.74; ISFASF's Random Forest achieved R² = 0.8</w:t>
            </w:r>
            <w:r>
              <w:t>2, representing a 34 percent improvement over OLS and an 11 percent improvement over the single-tree baseline. On DS-3, the margins widened further (R² = 0.71 for OLS, 0.85 for Decision Tree, 0.94 for Random Forest), consistent with the ensemble's well-est</w:t>
            </w:r>
            <w:r>
              <w:t>ablished capacity to exploit larger training sets more efficiently than single estimators.</w:t>
            </w:r>
          </w:p>
          <w:p w14:paraId="79A68A04" w14:textId="77777777" w:rsidR="00A27A22" w:rsidRDefault="0032366B">
            <w:pPr>
              <w:spacing w:before="96" w:after="40"/>
            </w:pPr>
            <w:r>
              <w:rPr>
                <w:i/>
                <w:iCs/>
              </w:rPr>
              <w:t>D. User Acceptance Testing</w:t>
            </w:r>
          </w:p>
          <w:p w14:paraId="0509B24B" w14:textId="77777777" w:rsidR="00A27A22" w:rsidRDefault="0032366B">
            <w:pPr>
              <w:spacing w:after="72" w:line="232" w:lineRule="auto"/>
              <w:ind w:firstLine="360"/>
              <w:jc w:val="both"/>
            </w:pPr>
            <w:r>
              <w:t xml:space="preserve">Formal UAT involved four domain professionals—a Regional Sales Manager, a Business Analyst, a SME proprietor, and a Finance </w:t>
            </w:r>
            <w:r>
              <w:t>Controller—each of whom uploaded proprietary sales records and navigated the full system workflow without assistance. Post-session structured interviews gathered ratings on a five-point Likert scale across four dimensions: ease of use, chart clarity, forec</w:t>
            </w:r>
            <w:r>
              <w:t xml:space="preserve">ast usefulness, and willingness to adopt. Mean scores were 4.8, 4.6, 4.5, and 4.7 respectively. Qualitative observations highlighted the zero-installation deployment as a particularly valued characteristic. Two participants requested a CSV export facility </w:t>
            </w:r>
            <w:r>
              <w:t>for the processed data and forecast log; this feature is scheduled for the next release cycle.</w:t>
            </w:r>
          </w:p>
          <w:p w14:paraId="60099E04" w14:textId="77777777" w:rsidR="00A27A22" w:rsidRDefault="0032366B">
            <w:pPr>
              <w:pBdr>
                <w:bottom w:val="single" w:sz="4" w:space="0" w:color="222222"/>
              </w:pBdr>
              <w:spacing w:before="140" w:after="56"/>
              <w:jc w:val="center"/>
            </w:pPr>
            <w:r>
              <w:rPr>
                <w:b/>
                <w:bCs/>
              </w:rPr>
              <w:t>VI. SECURITY ANALYSIS AND DEPLOYMENT</w:t>
            </w:r>
          </w:p>
          <w:p w14:paraId="6BFFF730" w14:textId="77777777" w:rsidR="00A27A22" w:rsidRDefault="0032366B">
            <w:pPr>
              <w:spacing w:before="96" w:after="40"/>
            </w:pPr>
            <w:r>
              <w:rPr>
                <w:i/>
                <w:iCs/>
              </w:rPr>
              <w:t>A. Data Privacy Model</w:t>
            </w:r>
          </w:p>
          <w:p w14:paraId="55BAD051" w14:textId="77777777" w:rsidR="00A27A22" w:rsidRDefault="0032366B">
            <w:pPr>
              <w:spacing w:after="72" w:line="232" w:lineRule="auto"/>
              <w:ind w:firstLine="360"/>
              <w:jc w:val="both"/>
            </w:pPr>
            <w:r>
              <w:t>All computation executes within the process memory of the server on which the application is launched. Uploaded CSV records are never written to persistent storage, transmitted to external endpoints, or logged in any form. The data lifecycle is: ingest int</w:t>
            </w:r>
            <w:r>
              <w:t xml:space="preserve">o RAM → process in RAM → render to browser → discard on session termination. This in-process privacy model is materially superior to cloud-hosted BI services for operators whose sales data is commercially </w:t>
            </w:r>
            <w:r>
              <w:lastRenderedPageBreak/>
              <w:t>sensitive or subject to data-residency regulation.</w:t>
            </w:r>
          </w:p>
          <w:p w14:paraId="7AD69235" w14:textId="77777777" w:rsidR="00A27A22" w:rsidRDefault="0032366B">
            <w:pPr>
              <w:spacing w:before="96" w:after="40"/>
            </w:pPr>
            <w:r>
              <w:rPr>
                <w:i/>
                <w:iCs/>
              </w:rPr>
              <w:t>B. Input Security Controls</w:t>
            </w:r>
          </w:p>
          <w:p w14:paraId="14B3F2D8" w14:textId="77777777" w:rsidR="00A27A22" w:rsidRDefault="0032366B">
            <w:pPr>
              <w:spacing w:after="72" w:line="232" w:lineRule="auto"/>
              <w:ind w:firstLine="360"/>
              <w:jc w:val="both"/>
            </w:pPr>
            <w:r>
              <w:t>The file-upload widget enforces MIME-type restriction to text/</w:t>
            </w:r>
            <w:proofErr w:type="spellStart"/>
            <w:r>
              <w:t>csv</w:t>
            </w:r>
            <w:proofErr w:type="spellEnd"/>
            <w:r>
              <w:t xml:space="preserve"> at the </w:t>
            </w:r>
            <w:proofErr w:type="spellStart"/>
            <w:r>
              <w:t>Streamlit</w:t>
            </w:r>
            <w:proofErr w:type="spellEnd"/>
            <w:r>
              <w:t xml:space="preserve"> layer, rejecting binary payloads that could be used to exploit CSV-parsing vulnerabilities. Prediction input widgets—</w:t>
            </w:r>
            <w:proofErr w:type="spellStart"/>
            <w:r>
              <w:t>selectbox</w:t>
            </w:r>
            <w:proofErr w:type="spellEnd"/>
            <w:r>
              <w:t xml:space="preserve"> for categorical fie</w:t>
            </w:r>
            <w:r>
              <w:t xml:space="preserve">lds, </w:t>
            </w:r>
            <w:proofErr w:type="spellStart"/>
            <w:r>
              <w:t>number_input</w:t>
            </w:r>
            <w:proofErr w:type="spellEnd"/>
            <w:r>
              <w:t xml:space="preserve"> for the price field—constrain accepted values to the universe of tokens present in the uploaded dataset and to a positive-definite float domain respectively, eliminating the surface area for injection-style attacks. For production deploym</w:t>
            </w:r>
            <w:r>
              <w:t xml:space="preserve">ent, the team recommends: (i) enabling HTTPS through a reverse-proxy configuration; (ii) integrating the </w:t>
            </w:r>
            <w:proofErr w:type="spellStart"/>
            <w:r>
              <w:t>streamlit</w:t>
            </w:r>
            <w:proofErr w:type="spellEnd"/>
            <w:r>
              <w:t xml:space="preserve">-authenticator package for role-based session management; and (iii) setting </w:t>
            </w:r>
            <w:proofErr w:type="spellStart"/>
            <w:r>
              <w:t>maxUploadSize</w:t>
            </w:r>
            <w:proofErr w:type="spellEnd"/>
            <w:r>
              <w:t xml:space="preserve"> to 200 MB in the </w:t>
            </w:r>
            <w:proofErr w:type="spellStart"/>
            <w:r>
              <w:t>Streamlit</w:t>
            </w:r>
            <w:proofErr w:type="spellEnd"/>
            <w:r>
              <w:t xml:space="preserve"> server configuration to p</w:t>
            </w:r>
            <w:r>
              <w:t>revent resource exhaustion.</w:t>
            </w:r>
          </w:p>
          <w:p w14:paraId="5677F80C" w14:textId="77777777" w:rsidR="00A27A22" w:rsidRDefault="0032366B">
            <w:pPr>
              <w:spacing w:before="96" w:after="40"/>
            </w:pPr>
            <w:r>
              <w:rPr>
                <w:i/>
                <w:iCs/>
              </w:rPr>
              <w:t>C. Deployment Pathways</w:t>
            </w:r>
          </w:p>
          <w:p w14:paraId="5373CB4F" w14:textId="77777777" w:rsidR="00A27A22" w:rsidRDefault="0032366B">
            <w:pPr>
              <w:spacing w:after="72" w:line="232" w:lineRule="auto"/>
              <w:ind w:firstLine="360"/>
              <w:jc w:val="both"/>
            </w:pPr>
            <w:r>
              <w:t xml:space="preserve">Three deployment configurations are supported. Single-user local deployment requires only a Python 3.8+ environment and five pip-installable packages; the application is launched via </w:t>
            </w:r>
            <w:proofErr w:type="spellStart"/>
            <w:r>
              <w:t>streamlit</w:t>
            </w:r>
            <w:proofErr w:type="spellEnd"/>
            <w:r>
              <w:t xml:space="preserve"> run app.py a</w:t>
            </w:r>
            <w:r>
              <w:t xml:space="preserve">nd accessed at localhost:8501. Multi-user shared deployment on </w:t>
            </w:r>
            <w:proofErr w:type="spellStart"/>
            <w:r>
              <w:t>Streamlit</w:t>
            </w:r>
            <w:proofErr w:type="spellEnd"/>
            <w:r>
              <w:t xml:space="preserve"> Community Cloud is available at zero cost and requires only a public GitHub repository, enabling small teams to share a common analytics instance with no infrastructure overhead. Ente</w:t>
            </w:r>
            <w:r>
              <w:t>rprise deployment on containerised cloud infrastructure (AWS ECS, GCP Cloud Run, Azure Container Instances) supports horizontal scaling, SSO integration via OAuth 2.0, and managed TLS termination, accommodating high-concurrency usage patterns.</w:t>
            </w:r>
          </w:p>
          <w:p w14:paraId="1C4B8592" w14:textId="77777777" w:rsidR="00A27A22" w:rsidRDefault="0032366B">
            <w:pPr>
              <w:pBdr>
                <w:bottom w:val="single" w:sz="4" w:space="0" w:color="222222"/>
              </w:pBdr>
              <w:spacing w:before="140" w:after="56"/>
              <w:jc w:val="center"/>
            </w:pPr>
            <w:r>
              <w:rPr>
                <w:b/>
                <w:bCs/>
              </w:rPr>
              <w:t>VII. CONCLUS</w:t>
            </w:r>
            <w:r>
              <w:rPr>
                <w:b/>
                <w:bCs/>
              </w:rPr>
              <w:t>ION AND FUTURE WORK</w:t>
            </w:r>
          </w:p>
          <w:p w14:paraId="184FECC9" w14:textId="77777777" w:rsidR="00A27A22" w:rsidRDefault="0032366B">
            <w:pPr>
              <w:spacing w:after="72" w:line="232" w:lineRule="auto"/>
              <w:ind w:firstLine="360"/>
              <w:jc w:val="both"/>
            </w:pPr>
            <w:r>
              <w:t>This paper has introduced ISFASF, an open-source, browser-accessible analytics framework that unifies five categories of interactive sales visualisation with a Random Forest-driven revenue forecast in a single, zero-configuration Python</w:t>
            </w:r>
            <w:r>
              <w:t xml:space="preserve"> application. The system is motivated by the persistent inaccessibility of advanced analytics tooling for SMEs and is designed to require no specialised knowledge from its operators.</w:t>
            </w:r>
          </w:p>
          <w:p w14:paraId="4D3B9E14" w14:textId="77777777" w:rsidR="00A27A22" w:rsidRDefault="0032366B">
            <w:pPr>
              <w:spacing w:after="72" w:line="232" w:lineRule="auto"/>
              <w:ind w:firstLine="360"/>
              <w:jc w:val="both"/>
            </w:pPr>
            <w:r>
              <w:t>Controlled experiments demonstrate that the framework achieves R² accurac</w:t>
            </w:r>
            <w:r>
              <w:t>y between 0.82 and 0.94 across datasets of varying scale, delivers end-to-end pipeline latency below fifteen seconds for typical workloads, and earns high usability ratings in formal user-acceptance trials. The open-source technology stack and browser-only</w:t>
            </w:r>
            <w:r>
              <w:t xml:space="preserve"> interaction model together produce a total ownership cost that is negligible relative to commercial alternatives.</w:t>
            </w:r>
          </w:p>
          <w:p w14:paraId="032C54EA" w14:textId="77777777" w:rsidR="00A27A22" w:rsidRDefault="0032366B">
            <w:pPr>
              <w:spacing w:after="72" w:line="232" w:lineRule="auto"/>
              <w:ind w:firstLine="360"/>
              <w:jc w:val="both"/>
            </w:pPr>
            <w:r>
              <w:t>Short-term development priorities include CSV export of processed data and prediction logs, dynamic row filtering, and multi-file upload with</w:t>
            </w:r>
            <w:r>
              <w:t xml:space="preserve"> automatic temporal alignment. The medium-term roadmap targets live database connectors (MySQL, PostgreSQL, SQLite), a multi-algorithm comparison module incorporating Gradient Boosting and </w:t>
            </w:r>
            <w:proofErr w:type="spellStart"/>
            <w:r>
              <w:t>XGBoost</w:t>
            </w:r>
            <w:proofErr w:type="spellEnd"/>
            <w:r>
              <w:t xml:space="preserve"> alongside the existing Random Forest, role-based user authe</w:t>
            </w:r>
            <w:r>
              <w:t>ntication, and automated email dispatch of scheduled reports. In the longer term, the authors plan to investigate LSTM-based sequential forecasting for time-series-structured sales records, a natural-language query interface powered by a large language mod</w:t>
            </w:r>
            <w:r>
              <w:t>el, and a fully containerised cloud-native deployment with autoscaling and monitoring integration.</w:t>
            </w:r>
          </w:p>
          <w:p w14:paraId="56C23AD8" w14:textId="77777777" w:rsidR="00A27A22" w:rsidRDefault="0032366B">
            <w:pPr>
              <w:spacing w:after="72" w:line="232" w:lineRule="auto"/>
              <w:ind w:firstLine="360"/>
              <w:jc w:val="both"/>
            </w:pPr>
            <w:r>
              <w:lastRenderedPageBreak/>
              <w:t>The source code, sample datasets, and installation guide will be made publicly available on GitHub to facilitate community extension and academic reproducibi</w:t>
            </w:r>
            <w:r>
              <w:t>lity.</w:t>
            </w:r>
          </w:p>
          <w:p w14:paraId="74586641" w14:textId="77777777" w:rsidR="00A27A22" w:rsidRDefault="0032366B">
            <w:pPr>
              <w:pBdr>
                <w:bottom w:val="single" w:sz="4" w:space="0" w:color="222222"/>
              </w:pBdr>
              <w:spacing w:before="140" w:after="56"/>
              <w:jc w:val="center"/>
            </w:pPr>
            <w:r>
              <w:rPr>
                <w:b/>
                <w:bCs/>
              </w:rPr>
              <w:t>REFERENCES</w:t>
            </w:r>
          </w:p>
          <w:p w14:paraId="7E57D122" w14:textId="77777777" w:rsidR="00A27A22" w:rsidRDefault="0032366B">
            <w:pPr>
              <w:spacing w:after="44" w:line="216" w:lineRule="auto"/>
              <w:ind w:left="300" w:hanging="300"/>
              <w:jc w:val="both"/>
            </w:pPr>
            <w:r>
              <w:rPr>
                <w:sz w:val="16"/>
                <w:szCs w:val="16"/>
              </w:rPr>
              <w:t xml:space="preserve">[1] R. J. Hyndman and G. Athanasopoulos, Forecasting: Principles and Practice, 3rd ed. Melbourne, Australia: </w:t>
            </w:r>
            <w:proofErr w:type="spellStart"/>
            <w:r>
              <w:rPr>
                <w:sz w:val="16"/>
                <w:szCs w:val="16"/>
              </w:rPr>
              <w:t>OTexts</w:t>
            </w:r>
            <w:proofErr w:type="spellEnd"/>
            <w:r>
              <w:rPr>
                <w:sz w:val="16"/>
                <w:szCs w:val="16"/>
              </w:rPr>
              <w:t>, 2021. [Online]. Available: https://otexts.com/fpp3/</w:t>
            </w:r>
          </w:p>
          <w:p w14:paraId="09FEF992" w14:textId="77777777" w:rsidR="00A27A22" w:rsidRDefault="0032366B">
            <w:pPr>
              <w:spacing w:after="44" w:line="216" w:lineRule="auto"/>
              <w:ind w:left="300" w:hanging="300"/>
              <w:jc w:val="both"/>
            </w:pPr>
            <w:r>
              <w:rPr>
                <w:sz w:val="16"/>
                <w:szCs w:val="16"/>
              </w:rPr>
              <w:t>[2] P. Brockwell and R. Davis, Introduction to Time Series and Forecas</w:t>
            </w:r>
            <w:r>
              <w:rPr>
                <w:sz w:val="16"/>
                <w:szCs w:val="16"/>
              </w:rPr>
              <w:t>ting, 3rd ed. New York, NY: Springer, 2016.</w:t>
            </w:r>
          </w:p>
          <w:p w14:paraId="15B8FF07" w14:textId="77777777" w:rsidR="00A27A22" w:rsidRDefault="0032366B">
            <w:pPr>
              <w:spacing w:after="44" w:line="216" w:lineRule="auto"/>
              <w:ind w:left="300" w:hanging="300"/>
              <w:jc w:val="both"/>
            </w:pPr>
            <w:r>
              <w:rPr>
                <w:sz w:val="16"/>
                <w:szCs w:val="16"/>
              </w:rPr>
              <w:t xml:space="preserve">[3] C. </w:t>
            </w:r>
            <w:proofErr w:type="spellStart"/>
            <w:r>
              <w:rPr>
                <w:sz w:val="16"/>
                <w:szCs w:val="16"/>
              </w:rPr>
              <w:t>Bentejac</w:t>
            </w:r>
            <w:proofErr w:type="spellEnd"/>
            <w:r>
              <w:rPr>
                <w:sz w:val="16"/>
                <w:szCs w:val="16"/>
              </w:rPr>
              <w:t xml:space="preserve">, A. </w:t>
            </w:r>
            <w:proofErr w:type="spellStart"/>
            <w:r>
              <w:rPr>
                <w:sz w:val="16"/>
                <w:szCs w:val="16"/>
              </w:rPr>
              <w:t>Csorgo</w:t>
            </w:r>
            <w:proofErr w:type="spellEnd"/>
            <w:r>
              <w:rPr>
                <w:sz w:val="16"/>
                <w:szCs w:val="16"/>
              </w:rPr>
              <w:t xml:space="preserve">, and G. Martinez-Munoz, "A comparative analysis of gradient boosting algorithms," </w:t>
            </w:r>
            <w:proofErr w:type="spellStart"/>
            <w:r>
              <w:rPr>
                <w:sz w:val="16"/>
                <w:szCs w:val="16"/>
              </w:rPr>
              <w:t>Artif</w:t>
            </w:r>
            <w:proofErr w:type="spellEnd"/>
            <w:r>
              <w:rPr>
                <w:sz w:val="16"/>
                <w:szCs w:val="16"/>
              </w:rPr>
              <w:t>. Intell. Rev., vol. 54, no. 3, pp. 1937-1967, Mar. 2021.</w:t>
            </w:r>
          </w:p>
          <w:p w14:paraId="751C70BA" w14:textId="77777777" w:rsidR="00A27A22" w:rsidRDefault="0032366B">
            <w:pPr>
              <w:spacing w:after="44" w:line="216" w:lineRule="auto"/>
              <w:ind w:left="300" w:hanging="300"/>
              <w:jc w:val="both"/>
            </w:pPr>
            <w:r>
              <w:rPr>
                <w:sz w:val="16"/>
                <w:szCs w:val="16"/>
              </w:rPr>
              <w:t xml:space="preserve">[4] L. </w:t>
            </w:r>
            <w:proofErr w:type="spellStart"/>
            <w:r>
              <w:rPr>
                <w:sz w:val="16"/>
                <w:szCs w:val="16"/>
              </w:rPr>
              <w:t>Breiman</w:t>
            </w:r>
            <w:proofErr w:type="spellEnd"/>
            <w:r>
              <w:rPr>
                <w:sz w:val="16"/>
                <w:szCs w:val="16"/>
              </w:rPr>
              <w:t xml:space="preserve">, "Random Forests," Mach. </w:t>
            </w:r>
            <w:r>
              <w:rPr>
                <w:sz w:val="16"/>
                <w:szCs w:val="16"/>
              </w:rPr>
              <w:t>Learn., vol. 45, no. 1, pp. 5-32, Oct. 2001.</w:t>
            </w:r>
          </w:p>
          <w:p w14:paraId="5F1D90D2" w14:textId="77777777" w:rsidR="00A27A22" w:rsidRDefault="0032366B">
            <w:pPr>
              <w:spacing w:after="44" w:line="216" w:lineRule="auto"/>
              <w:ind w:left="300" w:hanging="300"/>
              <w:jc w:val="both"/>
            </w:pPr>
            <w:r>
              <w:rPr>
                <w:sz w:val="16"/>
                <w:szCs w:val="16"/>
              </w:rPr>
              <w:t xml:space="preserve">[5] K. Cao, G. Wei, A. </w:t>
            </w:r>
            <w:proofErr w:type="spellStart"/>
            <w:r>
              <w:rPr>
                <w:sz w:val="16"/>
                <w:szCs w:val="16"/>
              </w:rPr>
              <w:t>Gajpal</w:t>
            </w:r>
            <w:proofErr w:type="spellEnd"/>
            <w:r>
              <w:rPr>
                <w:sz w:val="16"/>
                <w:szCs w:val="16"/>
              </w:rPr>
              <w:t>, and Q. Zhang, "Sales forecasting with ensemble learning: A large-scale retail study," Expert Syst. Appl., vol. 208, p. 118103, Dec. 2022.</w:t>
            </w:r>
          </w:p>
          <w:p w14:paraId="0C49AEDF" w14:textId="77777777" w:rsidR="00A27A22" w:rsidRDefault="0032366B">
            <w:pPr>
              <w:spacing w:after="44" w:line="216" w:lineRule="auto"/>
              <w:ind w:left="300" w:hanging="300"/>
              <w:jc w:val="both"/>
            </w:pPr>
            <w:r>
              <w:rPr>
                <w:sz w:val="16"/>
                <w:szCs w:val="16"/>
              </w:rPr>
              <w:t xml:space="preserve">[6] S. Laptev, J. Yosinski, L. Li, and S. </w:t>
            </w:r>
            <w:r>
              <w:rPr>
                <w:sz w:val="16"/>
                <w:szCs w:val="16"/>
              </w:rPr>
              <w:t>Smyl, "Time-series extreme event forecasting with neural networks at Uber," in Proc. Int. Conf. Mach. Learn. (ICML) Time Series Workshop, Sydney, Australia, 2017.</w:t>
            </w:r>
          </w:p>
          <w:p w14:paraId="01C647AE" w14:textId="77777777" w:rsidR="00A27A22" w:rsidRDefault="0032366B">
            <w:pPr>
              <w:spacing w:after="44" w:line="216" w:lineRule="auto"/>
              <w:ind w:left="300" w:hanging="300"/>
              <w:jc w:val="both"/>
            </w:pPr>
            <w:r>
              <w:rPr>
                <w:sz w:val="16"/>
                <w:szCs w:val="16"/>
              </w:rPr>
              <w:t xml:space="preserve">[7] A. </w:t>
            </w:r>
            <w:proofErr w:type="spellStart"/>
            <w:r>
              <w:rPr>
                <w:sz w:val="16"/>
                <w:szCs w:val="16"/>
              </w:rPr>
              <w:t>Koenzen</w:t>
            </w:r>
            <w:proofErr w:type="spellEnd"/>
            <w:r>
              <w:rPr>
                <w:sz w:val="16"/>
                <w:szCs w:val="16"/>
              </w:rPr>
              <w:t>, N. Ernst, and M. Storey, "Privacy expectations and practices in non-IOS mobil</w:t>
            </w:r>
            <w:r>
              <w:rPr>
                <w:sz w:val="16"/>
                <w:szCs w:val="16"/>
              </w:rPr>
              <w:t xml:space="preserve">e OSes: A commentary on the Android permission system," in Proc. 43rd Int. Conf. </w:t>
            </w:r>
            <w:proofErr w:type="spellStart"/>
            <w:r>
              <w:rPr>
                <w:sz w:val="16"/>
                <w:szCs w:val="16"/>
              </w:rPr>
              <w:t>Softw</w:t>
            </w:r>
            <w:proofErr w:type="spellEnd"/>
            <w:r>
              <w:rPr>
                <w:sz w:val="16"/>
                <w:szCs w:val="16"/>
              </w:rPr>
              <w:t>. Eng. (ICSE), Madrid, Spain, 2021, pp. 1497-1508.</w:t>
            </w:r>
          </w:p>
          <w:p w14:paraId="2EB88733" w14:textId="77777777" w:rsidR="00A27A22" w:rsidRDefault="0032366B">
            <w:pPr>
              <w:spacing w:after="44" w:line="216" w:lineRule="auto"/>
              <w:ind w:left="300" w:hanging="300"/>
              <w:jc w:val="both"/>
            </w:pPr>
            <w:r>
              <w:rPr>
                <w:sz w:val="16"/>
                <w:szCs w:val="16"/>
              </w:rPr>
              <w:t>[8] D. Raj and A. Bhatt, "</w:t>
            </w:r>
            <w:proofErr w:type="spellStart"/>
            <w:r>
              <w:rPr>
                <w:sz w:val="16"/>
                <w:szCs w:val="16"/>
              </w:rPr>
              <w:t>Streamlit</w:t>
            </w:r>
            <w:proofErr w:type="spellEnd"/>
            <w:r>
              <w:rPr>
                <w:sz w:val="16"/>
                <w:szCs w:val="16"/>
              </w:rPr>
              <w:t>-based interactive dashboards for clinical decision support: Design and evaluation,"</w:t>
            </w:r>
            <w:r>
              <w:rPr>
                <w:sz w:val="16"/>
                <w:szCs w:val="16"/>
              </w:rPr>
              <w:t xml:space="preserve"> J. Biomed. Inform., vol. 129, p. 104060, May 2022.</w:t>
            </w:r>
          </w:p>
          <w:p w14:paraId="782770B7" w14:textId="77777777" w:rsidR="00A27A22" w:rsidRDefault="0032366B">
            <w:pPr>
              <w:spacing w:after="44" w:line="216" w:lineRule="auto"/>
              <w:ind w:left="300" w:hanging="300"/>
              <w:jc w:val="both"/>
            </w:pPr>
            <w:r>
              <w:rPr>
                <w:sz w:val="16"/>
                <w:szCs w:val="16"/>
              </w:rPr>
              <w:t>[9] F. Pedregosa et al., "Scikit-learn: Machine Learning in Python," J. Mach. Learn. Res., vol. 12, pp. 2825-2830, Nov. 2011.</w:t>
            </w:r>
          </w:p>
          <w:p w14:paraId="1C1C0E60" w14:textId="77777777" w:rsidR="00A27A22" w:rsidRDefault="0032366B">
            <w:pPr>
              <w:spacing w:after="44" w:line="216" w:lineRule="auto"/>
              <w:ind w:left="300" w:hanging="300"/>
              <w:jc w:val="both"/>
            </w:pPr>
            <w:r>
              <w:rPr>
                <w:sz w:val="16"/>
                <w:szCs w:val="16"/>
              </w:rPr>
              <w:t xml:space="preserve">[10] T. Chen and C. </w:t>
            </w:r>
            <w:proofErr w:type="spellStart"/>
            <w:r>
              <w:rPr>
                <w:sz w:val="16"/>
                <w:szCs w:val="16"/>
              </w:rPr>
              <w:t>Guestrin</w:t>
            </w:r>
            <w:proofErr w:type="spellEnd"/>
            <w:r>
              <w:rPr>
                <w:sz w:val="16"/>
                <w:szCs w:val="16"/>
              </w:rPr>
              <w:t>, "</w:t>
            </w:r>
            <w:proofErr w:type="spellStart"/>
            <w:r>
              <w:rPr>
                <w:sz w:val="16"/>
                <w:szCs w:val="16"/>
              </w:rPr>
              <w:t>XGBoost</w:t>
            </w:r>
            <w:proofErr w:type="spellEnd"/>
            <w:r>
              <w:rPr>
                <w:sz w:val="16"/>
                <w:szCs w:val="16"/>
              </w:rPr>
              <w:t>: A scalable tree boosting system," in P</w:t>
            </w:r>
            <w:r>
              <w:rPr>
                <w:sz w:val="16"/>
                <w:szCs w:val="16"/>
              </w:rPr>
              <w:t xml:space="preserve">roc. 22nd ACM SIGKDD Int. Conf. </w:t>
            </w:r>
            <w:proofErr w:type="spellStart"/>
            <w:r>
              <w:rPr>
                <w:sz w:val="16"/>
                <w:szCs w:val="16"/>
              </w:rPr>
              <w:t>Knowl</w:t>
            </w:r>
            <w:proofErr w:type="spellEnd"/>
            <w:r>
              <w:rPr>
                <w:sz w:val="16"/>
                <w:szCs w:val="16"/>
              </w:rPr>
              <w:t xml:space="preserve">. </w:t>
            </w:r>
            <w:proofErr w:type="spellStart"/>
            <w:r>
              <w:rPr>
                <w:sz w:val="16"/>
                <w:szCs w:val="16"/>
              </w:rPr>
              <w:t>Discov</w:t>
            </w:r>
            <w:proofErr w:type="spellEnd"/>
            <w:r>
              <w:rPr>
                <w:sz w:val="16"/>
                <w:szCs w:val="16"/>
              </w:rPr>
              <w:t>. Data Mining, San Francisco, CA, 2016, pp. 785-794.</w:t>
            </w:r>
          </w:p>
          <w:p w14:paraId="7B602FF2" w14:textId="77777777" w:rsidR="00A27A22" w:rsidRDefault="0032366B">
            <w:pPr>
              <w:spacing w:after="44" w:line="216" w:lineRule="auto"/>
              <w:ind w:left="300" w:hanging="300"/>
              <w:jc w:val="both"/>
            </w:pPr>
            <w:r>
              <w:rPr>
                <w:sz w:val="16"/>
                <w:szCs w:val="16"/>
              </w:rPr>
              <w:t xml:space="preserve">[11] S. Hochreiter and J. </w:t>
            </w:r>
            <w:proofErr w:type="spellStart"/>
            <w:r>
              <w:rPr>
                <w:sz w:val="16"/>
                <w:szCs w:val="16"/>
              </w:rPr>
              <w:t>Schmidhuber</w:t>
            </w:r>
            <w:proofErr w:type="spellEnd"/>
            <w:r>
              <w:rPr>
                <w:sz w:val="16"/>
                <w:szCs w:val="16"/>
              </w:rPr>
              <w:t xml:space="preserve">, "Long short-term memory," Neural </w:t>
            </w:r>
            <w:proofErr w:type="spellStart"/>
            <w:r>
              <w:rPr>
                <w:sz w:val="16"/>
                <w:szCs w:val="16"/>
              </w:rPr>
              <w:t>Comput</w:t>
            </w:r>
            <w:proofErr w:type="spellEnd"/>
            <w:r>
              <w:rPr>
                <w:sz w:val="16"/>
                <w:szCs w:val="16"/>
              </w:rPr>
              <w:t>., vol. 9, no. 8, pp. 1735-1780, Nov. 1997.</w:t>
            </w:r>
          </w:p>
          <w:p w14:paraId="341C4429" w14:textId="77777777" w:rsidR="00A27A22" w:rsidRDefault="0032366B">
            <w:pPr>
              <w:spacing w:after="44" w:line="216" w:lineRule="auto"/>
              <w:ind w:left="300" w:hanging="300"/>
              <w:jc w:val="both"/>
            </w:pPr>
            <w:r>
              <w:rPr>
                <w:sz w:val="16"/>
                <w:szCs w:val="16"/>
              </w:rPr>
              <w:t>[12] W. McKinney, "Data structures f</w:t>
            </w:r>
            <w:r>
              <w:rPr>
                <w:sz w:val="16"/>
                <w:szCs w:val="16"/>
              </w:rPr>
              <w:t>or statistical computing in Python," in Proc. 9th Python Sci. Conf. (SciPy 2010), Austin, TX, 2010, pp. 56-61.</w:t>
            </w:r>
          </w:p>
        </w:tc>
      </w:tr>
    </w:tbl>
    <w:p w14:paraId="463732D5" w14:textId="77777777" w:rsidR="007B2CCC" w:rsidRDefault="007B2CCC"/>
    <w:sectPr w:rsidR="007B2CCC">
      <w:headerReference w:type="default" r:id="rId8"/>
      <w:footerReference w:type="default" r:id="rId9"/>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7B175" w14:textId="77777777" w:rsidR="0032366B" w:rsidRDefault="0032366B">
      <w:r>
        <w:separator/>
      </w:r>
    </w:p>
  </w:endnote>
  <w:endnote w:type="continuationSeparator" w:id="0">
    <w:p w14:paraId="22E2B5DD" w14:textId="77777777" w:rsidR="0032366B" w:rsidRDefault="0032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3D67F" w14:textId="755DC687" w:rsidR="00A27A22" w:rsidRDefault="00A27A22">
    <w:pPr>
      <w:pBdr>
        <w:top w:val="single" w:sz="4" w:space="0" w:color="444444"/>
      </w:pBdr>
      <w:spacing w:before="4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186B6" w14:textId="77777777" w:rsidR="0032366B" w:rsidRDefault="0032366B">
      <w:r>
        <w:separator/>
      </w:r>
    </w:p>
  </w:footnote>
  <w:footnote w:type="continuationSeparator" w:id="0">
    <w:p w14:paraId="5FABD0EF" w14:textId="77777777" w:rsidR="0032366B" w:rsidRDefault="00323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1ED9E" w14:textId="1D050F10" w:rsidR="00A27A22" w:rsidRDefault="00A27A22">
    <w:pPr>
      <w:pBdr>
        <w:bottom w:val="single" w:sz="4" w:space="0" w:color="444444"/>
      </w:pBdr>
      <w:spacing w:after="4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44ABF"/>
    <w:multiLevelType w:val="hybridMultilevel"/>
    <w:tmpl w:val="826ABF02"/>
    <w:lvl w:ilvl="0" w:tplc="55AE49E4">
      <w:start w:val="1"/>
      <w:numFmt w:val="bullet"/>
      <w:lvlText w:val="●"/>
      <w:lvlJc w:val="left"/>
      <w:pPr>
        <w:ind w:left="720" w:hanging="360"/>
      </w:pPr>
    </w:lvl>
    <w:lvl w:ilvl="1" w:tplc="2F008254">
      <w:start w:val="1"/>
      <w:numFmt w:val="bullet"/>
      <w:lvlText w:val="○"/>
      <w:lvlJc w:val="left"/>
      <w:pPr>
        <w:ind w:left="1440" w:hanging="360"/>
      </w:pPr>
    </w:lvl>
    <w:lvl w:ilvl="2" w:tplc="50BE0E1E">
      <w:start w:val="1"/>
      <w:numFmt w:val="bullet"/>
      <w:lvlText w:val="■"/>
      <w:lvlJc w:val="left"/>
      <w:pPr>
        <w:ind w:left="2160" w:hanging="360"/>
      </w:pPr>
    </w:lvl>
    <w:lvl w:ilvl="3" w:tplc="DBAAAE0A">
      <w:start w:val="1"/>
      <w:numFmt w:val="bullet"/>
      <w:lvlText w:val="●"/>
      <w:lvlJc w:val="left"/>
      <w:pPr>
        <w:ind w:left="2880" w:hanging="360"/>
      </w:pPr>
    </w:lvl>
    <w:lvl w:ilvl="4" w:tplc="33C0C458">
      <w:start w:val="1"/>
      <w:numFmt w:val="bullet"/>
      <w:lvlText w:val="○"/>
      <w:lvlJc w:val="left"/>
      <w:pPr>
        <w:ind w:left="3600" w:hanging="360"/>
      </w:pPr>
    </w:lvl>
    <w:lvl w:ilvl="5" w:tplc="E03C11C4">
      <w:start w:val="1"/>
      <w:numFmt w:val="bullet"/>
      <w:lvlText w:val="■"/>
      <w:lvlJc w:val="left"/>
      <w:pPr>
        <w:ind w:left="4320" w:hanging="360"/>
      </w:pPr>
    </w:lvl>
    <w:lvl w:ilvl="6" w:tplc="DE7CFE8E">
      <w:start w:val="1"/>
      <w:numFmt w:val="bullet"/>
      <w:lvlText w:val="●"/>
      <w:lvlJc w:val="left"/>
      <w:pPr>
        <w:ind w:left="5040" w:hanging="360"/>
      </w:pPr>
    </w:lvl>
    <w:lvl w:ilvl="7" w:tplc="24DC9198">
      <w:start w:val="1"/>
      <w:numFmt w:val="bullet"/>
      <w:lvlText w:val="●"/>
      <w:lvlJc w:val="left"/>
      <w:pPr>
        <w:ind w:left="5760" w:hanging="360"/>
      </w:pPr>
    </w:lvl>
    <w:lvl w:ilvl="8" w:tplc="EEDABBB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A22"/>
    <w:rsid w:val="00206C59"/>
    <w:rsid w:val="00292E52"/>
    <w:rsid w:val="0032366B"/>
    <w:rsid w:val="003309E4"/>
    <w:rsid w:val="003C2A1A"/>
    <w:rsid w:val="004D3BCA"/>
    <w:rsid w:val="007B2CCC"/>
    <w:rsid w:val="00A27A2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9"/>
        <w:szCs w:val="19"/>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C2A1A"/>
    <w:pPr>
      <w:tabs>
        <w:tab w:val="center" w:pos="4513"/>
        <w:tab w:val="right" w:pos="9026"/>
      </w:tabs>
    </w:pPr>
    <w:rPr>
      <w:rFonts w:cs="Mangal"/>
      <w:szCs w:val="17"/>
    </w:rPr>
  </w:style>
  <w:style w:type="character" w:customStyle="1" w:styleId="HeaderChar">
    <w:name w:val="Header Char"/>
    <w:basedOn w:val="DefaultParagraphFont"/>
    <w:link w:val="Header"/>
    <w:uiPriority w:val="99"/>
    <w:rsid w:val="003C2A1A"/>
    <w:rPr>
      <w:rFonts w:cs="Mangal"/>
      <w:szCs w:val="17"/>
    </w:rPr>
  </w:style>
  <w:style w:type="paragraph" w:styleId="Footer">
    <w:name w:val="footer"/>
    <w:basedOn w:val="Normal"/>
    <w:link w:val="FooterChar"/>
    <w:uiPriority w:val="99"/>
    <w:unhideWhenUsed/>
    <w:rsid w:val="003C2A1A"/>
    <w:pPr>
      <w:tabs>
        <w:tab w:val="center" w:pos="4513"/>
        <w:tab w:val="right" w:pos="9026"/>
      </w:tabs>
    </w:pPr>
    <w:rPr>
      <w:rFonts w:cs="Mangal"/>
      <w:szCs w:val="17"/>
    </w:rPr>
  </w:style>
  <w:style w:type="character" w:customStyle="1" w:styleId="FooterChar">
    <w:name w:val="Footer Char"/>
    <w:basedOn w:val="DefaultParagraphFont"/>
    <w:link w:val="Footer"/>
    <w:uiPriority w:val="99"/>
    <w:rsid w:val="003C2A1A"/>
    <w:rPr>
      <w:rFonts w:cs="Mangal"/>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9"/>
        <w:szCs w:val="19"/>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C2A1A"/>
    <w:pPr>
      <w:tabs>
        <w:tab w:val="center" w:pos="4513"/>
        <w:tab w:val="right" w:pos="9026"/>
      </w:tabs>
    </w:pPr>
    <w:rPr>
      <w:rFonts w:cs="Mangal"/>
      <w:szCs w:val="17"/>
    </w:rPr>
  </w:style>
  <w:style w:type="character" w:customStyle="1" w:styleId="HeaderChar">
    <w:name w:val="Header Char"/>
    <w:basedOn w:val="DefaultParagraphFont"/>
    <w:link w:val="Header"/>
    <w:uiPriority w:val="99"/>
    <w:rsid w:val="003C2A1A"/>
    <w:rPr>
      <w:rFonts w:cs="Mangal"/>
      <w:szCs w:val="17"/>
    </w:rPr>
  </w:style>
  <w:style w:type="paragraph" w:styleId="Footer">
    <w:name w:val="footer"/>
    <w:basedOn w:val="Normal"/>
    <w:link w:val="FooterChar"/>
    <w:uiPriority w:val="99"/>
    <w:unhideWhenUsed/>
    <w:rsid w:val="003C2A1A"/>
    <w:pPr>
      <w:tabs>
        <w:tab w:val="center" w:pos="4513"/>
        <w:tab w:val="right" w:pos="9026"/>
      </w:tabs>
    </w:pPr>
    <w:rPr>
      <w:rFonts w:cs="Mangal"/>
      <w:szCs w:val="17"/>
    </w:rPr>
  </w:style>
  <w:style w:type="character" w:customStyle="1" w:styleId="FooterChar">
    <w:name w:val="Footer Char"/>
    <w:basedOn w:val="DefaultParagraphFont"/>
    <w:link w:val="Footer"/>
    <w:uiPriority w:val="99"/>
    <w:rsid w:val="003C2A1A"/>
    <w:rPr>
      <w:rFonts w:cs="Mangal"/>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3247</Words>
  <Characters>18508</Characters>
  <Application>Microsoft Office Word</Application>
  <DocSecurity>0</DocSecurity>
  <Lines>154</Lines>
  <Paragraphs>43</Paragraphs>
  <ScaleCrop>false</ScaleCrop>
  <Company/>
  <LinksUpToDate>false</LinksUpToDate>
  <CharactersWithSpaces>21712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16</cp:revision>
  <cp:lastPrinted>2026-05-06T06:54:00Z</cp:lastPrinted>
  <dcterms:created xsi:type="dcterms:W3CDTF">2026-05-06T05:27:00Z</dcterms:created>
  <dcterms:modified xsi:type="dcterms:W3CDTF">2026-05-07T12:42:00Z</dcterms:modified>
</cp:coreProperties>
</file>