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B09CB" w14:textId="6B36EE99" w:rsidR="00B664FA" w:rsidRPr="00336A33" w:rsidRDefault="00F863C1" w:rsidP="008A7EC4">
      <w:pPr>
        <w:spacing w:before="240" w:after="240" w:line="240" w:lineRule="auto"/>
        <w:jc w:val="center"/>
        <w:rPr>
          <w:rFonts w:ascii="Times New Roman" w:hAnsi="Times New Roman" w:cs="Times New Roman"/>
          <w:b/>
          <w:bCs/>
          <w:sz w:val="36"/>
          <w:szCs w:val="36"/>
        </w:rPr>
      </w:pPr>
      <w:r w:rsidRPr="00F863C1">
        <w:rPr>
          <w:rFonts w:ascii="Times New Roman" w:hAnsi="Times New Roman" w:cs="Times New Roman"/>
          <w:b/>
          <w:bCs/>
          <w:sz w:val="36"/>
          <w:szCs w:val="36"/>
        </w:rPr>
        <w:t>Affordable Housing as a Catalyst for Sustainable Regional Development: An Interdisciplinary Framework for Inclusive Urban Growth</w:t>
      </w:r>
    </w:p>
    <w:p w14:paraId="4D572D6F" w14:textId="62AFFD4A" w:rsidR="00B664FA" w:rsidRPr="003F14D5" w:rsidRDefault="003F14D5" w:rsidP="008A7EC4">
      <w:pPr>
        <w:spacing w:before="240" w:after="240" w:line="240" w:lineRule="auto"/>
        <w:jc w:val="both"/>
        <w:rPr>
          <w:rFonts w:ascii="Times New Roman" w:hAnsi="Times New Roman" w:cs="Times New Roman"/>
          <w:b/>
          <w:bCs/>
          <w:sz w:val="28"/>
          <w:szCs w:val="28"/>
        </w:rPr>
      </w:pPr>
      <w:bookmarkStart w:id="0" w:name="_GoBack"/>
      <w:bookmarkEnd w:id="0"/>
      <w:r w:rsidRPr="003F14D5">
        <w:rPr>
          <w:rFonts w:ascii="Times New Roman" w:hAnsi="Times New Roman" w:cs="Times New Roman"/>
          <w:b/>
          <w:bCs/>
          <w:sz w:val="28"/>
          <w:szCs w:val="28"/>
        </w:rPr>
        <w:t>ABSTRACT</w:t>
      </w:r>
    </w:p>
    <w:p w14:paraId="26578847" w14:textId="663E1EFF" w:rsidR="001C7832" w:rsidRPr="001C7832" w:rsidRDefault="00F32601" w:rsidP="008A7EC4">
      <w:pPr>
        <w:spacing w:before="240" w:after="240" w:line="240" w:lineRule="auto"/>
        <w:jc w:val="both"/>
        <w:rPr>
          <w:rFonts w:ascii="Times New Roman" w:hAnsi="Times New Roman" w:cs="Times New Roman"/>
        </w:rPr>
      </w:pPr>
      <w:r w:rsidRPr="00F32601">
        <w:rPr>
          <w:rFonts w:ascii="Times New Roman" w:hAnsi="Times New Roman" w:cs="Times New Roman"/>
        </w:rPr>
        <w:t xml:space="preserve">Rapid urbanisation, widening housing deficits, and uneven regional development continue to threaten sustainable urban growth, particularly within rapidly urbanising developing economies. This study examines affordable housing as a strategic instrument for sustainable regional development and inclusive urban growth through interdisciplinary collaboration between architecture and urban and regional planning. Using a PRISMA-based systematic review, 519 records were identified from the Scopus and Web of Science databases, of which 55 peer-reviewed journal articles published between 2016 and 2026 met the inclusion criteria. </w:t>
      </w:r>
      <w:r w:rsidR="00D0579F">
        <w:rPr>
          <w:rFonts w:ascii="Times New Roman" w:hAnsi="Times New Roman" w:cs="Times New Roman"/>
        </w:rPr>
        <w:t>Policy reports from the United Nations Human Settlements Programme, the World Bank, the United Nations, and the Intergovernmental Panel on Climate Change further supported the review</w:t>
      </w:r>
      <w:r w:rsidRPr="00F32601">
        <w:rPr>
          <w:rFonts w:ascii="Times New Roman" w:hAnsi="Times New Roman" w:cs="Times New Roman"/>
        </w:rPr>
        <w:t>. Thematic synthesis, Weighted Frequency Index analysis, regression modelling (R² = 0.67), and inferential validation (χ² = 0.91, p &gt; 0.05; κ = 0.84) were employed to evaluate relationships among housing affordability, governance coordination, infrastructure provision, spatial planning, and regional growth. Findings show that integrated housing and planning systems improve urban inclusiveness by 31.4%, reduce spatial inequality by 26.8%, and enhance regional productivity by 24.7%, while fragmented urban growth intensifies environmental and infrastructure pressures. The study advances a systems-oriented</w:t>
      </w:r>
      <w:r w:rsidR="00D0579F">
        <w:rPr>
          <w:rFonts w:ascii="Times New Roman" w:hAnsi="Times New Roman" w:cs="Times New Roman"/>
        </w:rPr>
        <w:t>, interdisciplinary framework that links affordable housing, governance systems, infrastructure integration, and environmental sustainability to achieve</w:t>
      </w:r>
      <w:r w:rsidRPr="00F32601">
        <w:rPr>
          <w:rFonts w:ascii="Times New Roman" w:hAnsi="Times New Roman" w:cs="Times New Roman"/>
        </w:rPr>
        <w:t xml:space="preserve"> inclusive, resilient, and sustainable urban futures</w:t>
      </w:r>
      <w:r w:rsidR="001C7832" w:rsidRPr="001C7832">
        <w:rPr>
          <w:rFonts w:ascii="Times New Roman" w:hAnsi="Times New Roman" w:cs="Times New Roman"/>
        </w:rPr>
        <w:t>.</w:t>
      </w:r>
    </w:p>
    <w:p w14:paraId="02F2200B" w14:textId="7696083D" w:rsidR="00B664FA" w:rsidRPr="00B664FA" w:rsidRDefault="00B664FA" w:rsidP="008A7EC4">
      <w:pPr>
        <w:spacing w:before="240" w:after="240" w:line="240" w:lineRule="auto"/>
        <w:jc w:val="both"/>
        <w:rPr>
          <w:rFonts w:ascii="Times New Roman" w:hAnsi="Times New Roman" w:cs="Times New Roman"/>
        </w:rPr>
      </w:pPr>
      <w:r w:rsidRPr="00B664FA">
        <w:rPr>
          <w:rFonts w:ascii="Times New Roman" w:hAnsi="Times New Roman" w:cs="Times New Roman"/>
          <w:b/>
          <w:bCs/>
        </w:rPr>
        <w:t>Keywords</w:t>
      </w:r>
      <w:r>
        <w:rPr>
          <w:rFonts w:ascii="Times New Roman" w:hAnsi="Times New Roman" w:cs="Times New Roman"/>
          <w:b/>
          <w:bCs/>
        </w:rPr>
        <w:t xml:space="preserve">: </w:t>
      </w:r>
      <w:r w:rsidR="00F32601" w:rsidRPr="00F32601">
        <w:rPr>
          <w:rFonts w:ascii="Times New Roman" w:hAnsi="Times New Roman" w:cs="Times New Roman"/>
        </w:rPr>
        <w:t>Affordable housing governance; Sustainable regional development; Inclusive urban growth; Compact urban development; Transit-oriented development; Spatial equity; Climate-responsive planning</w:t>
      </w:r>
    </w:p>
    <w:p w14:paraId="1B54C8B8" w14:textId="7AD425B1" w:rsidR="00B664FA" w:rsidRPr="00847EFD" w:rsidRDefault="00B664FA"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1.0 Introduction</w:t>
      </w:r>
    </w:p>
    <w:p w14:paraId="0B85AA99" w14:textId="4D2EA9AF"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Rapid urbanisation remains one of the most significant spatial transformations of the twenty-first century, reshaping housing demand, regional economies, land-use systems, infrastructure networks, and environmental conditions across developed and developing regions. Although urbanisation promotes economic concentration, technological advancement, and improved access to services, it also intensifies informal settlement growth, infrastructure deficits, socio-spatial exclusion, and environmental degradation where governance and planning systems are weak (Zhang, 2016; United Nations, 2019; Kundu &amp; </w:t>
      </w:r>
      <w:proofErr w:type="spellStart"/>
      <w:r w:rsidRPr="00F32601">
        <w:rPr>
          <w:rFonts w:ascii="Times New Roman" w:hAnsi="Times New Roman" w:cs="Times New Roman"/>
        </w:rPr>
        <w:t>Pandey</w:t>
      </w:r>
      <w:proofErr w:type="spellEnd"/>
      <w:r w:rsidRPr="00F32601">
        <w:rPr>
          <w:rFonts w:ascii="Times New Roman" w:hAnsi="Times New Roman" w:cs="Times New Roman"/>
        </w:rPr>
        <w:t xml:space="preserve">, 2020; </w:t>
      </w:r>
      <w:proofErr w:type="spellStart"/>
      <w:r w:rsidRPr="00F32601">
        <w:rPr>
          <w:rFonts w:ascii="Times New Roman" w:hAnsi="Times New Roman" w:cs="Times New Roman"/>
        </w:rPr>
        <w:t>Güneralp</w:t>
      </w:r>
      <w:proofErr w:type="spellEnd"/>
      <w:r w:rsidRPr="00F32601">
        <w:rPr>
          <w:rFonts w:ascii="Times New Roman" w:hAnsi="Times New Roman" w:cs="Times New Roman"/>
        </w:rPr>
        <w:t xml:space="preserve"> et al., 2017; Xu et al., 2019; Awuah &amp; Abdulai, 2022; Olaniran &amp; Aule, 2025). These pressures demonstrate that urbanisation is not merely demographic expansion but a complex </w:t>
      </w:r>
      <w:r w:rsidR="00D0579F">
        <w:rPr>
          <w:rFonts w:ascii="Times New Roman" w:hAnsi="Times New Roman" w:cs="Times New Roman"/>
        </w:rPr>
        <w:t>challenge for governance and spatial planning, requiring integrated responses in housing, infrastructure, environmental, and regional development</w:t>
      </w:r>
      <w:r w:rsidRPr="00F32601">
        <w:rPr>
          <w:rFonts w:ascii="Times New Roman" w:hAnsi="Times New Roman" w:cs="Times New Roman"/>
        </w:rPr>
        <w:t>.</w:t>
      </w:r>
    </w:p>
    <w:p w14:paraId="21EE5AAB" w14:textId="3B33265A"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These challenges further align with global sustainability agendas, particularly Sustainable Development Goal 11, which advocates inclusive, safe, resilient, and sustainable cities and communities. The New Urban Agenda and the Paris Climate Agreement similarly emphasise integrated urban planning, climate-responsive housing systems, and sustainable infrastructure development as critical pathways for addressing contemporary urbanisation pressures (United Nations, 2019; UN-Habitat, 2020; IPCC, 2022). Consequently, affordable housing increasingly occupies a central position </w:t>
      </w:r>
      <w:r w:rsidR="00D0579F">
        <w:rPr>
          <w:rFonts w:ascii="Times New Roman" w:hAnsi="Times New Roman" w:cs="Times New Roman"/>
        </w:rPr>
        <w:t>in global sustainability discourse as a mechanism to promote</w:t>
      </w:r>
      <w:r w:rsidRPr="00F32601">
        <w:rPr>
          <w:rFonts w:ascii="Times New Roman" w:hAnsi="Times New Roman" w:cs="Times New Roman"/>
        </w:rPr>
        <w:t xml:space="preserve"> spatial equity, climate resilience, territorial cohesion, and inclusive regional transformation.</w:t>
      </w:r>
    </w:p>
    <w:p w14:paraId="5019169B" w14:textId="4DF924C2"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Affordable housing occupies a strategic position within this challenge because it shapes labour mobility, social welfare, economic productivity, environmental sustainability, and regional competitiveness. Housing accessibility improves access to employment, transport systems, public services, and urban opportunities, thereby strengthening social inclusion and regional productivity (Wetzstein, 2017; Jiang et al., 2021; Lee et al., 2022). Conversely, housing unaffordability intensifies inequality, informal urbanisation, spatial segregation, and exclusion from productive urban systems (</w:t>
      </w:r>
      <w:proofErr w:type="spellStart"/>
      <w:r w:rsidRPr="00F32601">
        <w:rPr>
          <w:rFonts w:ascii="Times New Roman" w:hAnsi="Times New Roman" w:cs="Times New Roman"/>
        </w:rPr>
        <w:t>Kajiita</w:t>
      </w:r>
      <w:proofErr w:type="spellEnd"/>
      <w:r w:rsidRPr="00F32601">
        <w:rPr>
          <w:rFonts w:ascii="Times New Roman" w:hAnsi="Times New Roman" w:cs="Times New Roman"/>
        </w:rPr>
        <w:t xml:space="preserve"> &amp; </w:t>
      </w:r>
      <w:proofErr w:type="spellStart"/>
      <w:r w:rsidRPr="00F32601">
        <w:rPr>
          <w:rFonts w:ascii="Times New Roman" w:hAnsi="Times New Roman" w:cs="Times New Roman"/>
        </w:rPr>
        <w:t>Kang’ethe</w:t>
      </w:r>
      <w:proofErr w:type="spellEnd"/>
      <w:r w:rsidRPr="00F32601">
        <w:rPr>
          <w:rFonts w:ascii="Times New Roman" w:hAnsi="Times New Roman" w:cs="Times New Roman"/>
        </w:rPr>
        <w:t xml:space="preserve">, 2024; Levine &amp; Yavo Ayalon, 2024; </w:t>
      </w:r>
      <w:r w:rsidRPr="00F32601">
        <w:rPr>
          <w:rFonts w:ascii="Times New Roman" w:hAnsi="Times New Roman" w:cs="Times New Roman"/>
        </w:rPr>
        <w:lastRenderedPageBreak/>
        <w:t>McKee et al., 2026). These pressures are particularly severe in developing economies</w:t>
      </w:r>
      <w:r w:rsidR="00D0579F">
        <w:rPr>
          <w:rFonts w:ascii="Times New Roman" w:hAnsi="Times New Roman" w:cs="Times New Roman"/>
        </w:rPr>
        <w:t xml:space="preserve">, where rapid population growth and rural–urban migration continue to outpace the capacity of </w:t>
      </w:r>
      <w:r w:rsidRPr="00F32601">
        <w:rPr>
          <w:rFonts w:ascii="Times New Roman" w:hAnsi="Times New Roman" w:cs="Times New Roman"/>
        </w:rPr>
        <w:t>formal housing delivery systems (</w:t>
      </w:r>
      <w:proofErr w:type="spellStart"/>
      <w:r w:rsidRPr="00F32601">
        <w:rPr>
          <w:rFonts w:ascii="Times New Roman" w:hAnsi="Times New Roman" w:cs="Times New Roman"/>
        </w:rPr>
        <w:t>Nwalusi</w:t>
      </w:r>
      <w:proofErr w:type="spellEnd"/>
      <w:r w:rsidRPr="00F32601">
        <w:rPr>
          <w:rFonts w:ascii="Times New Roman" w:hAnsi="Times New Roman" w:cs="Times New Roman"/>
        </w:rPr>
        <w:t xml:space="preserve"> et al., 2022; </w:t>
      </w:r>
      <w:proofErr w:type="spellStart"/>
      <w:r w:rsidRPr="00F32601">
        <w:rPr>
          <w:rFonts w:ascii="Times New Roman" w:hAnsi="Times New Roman" w:cs="Times New Roman"/>
        </w:rPr>
        <w:t>Deki</w:t>
      </w:r>
      <w:proofErr w:type="spellEnd"/>
      <w:r w:rsidRPr="00F32601">
        <w:rPr>
          <w:rFonts w:ascii="Times New Roman" w:hAnsi="Times New Roman" w:cs="Times New Roman"/>
        </w:rPr>
        <w:t xml:space="preserve"> et al., 2025).</w:t>
      </w:r>
    </w:p>
    <w:p w14:paraId="6D8512E5"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In Nigeria and other Sub-Saharan African countries, housing delivery is further constrained by weak land administration, inadequate housing finance, institutional fragmentation, and rising construction costs. Existing studies reveal persistent deficiencies in affordability, accessibility, governance efficiency, and environmental performance (</w:t>
      </w:r>
      <w:proofErr w:type="spellStart"/>
      <w:r w:rsidRPr="00F32601">
        <w:rPr>
          <w:rFonts w:ascii="Times New Roman" w:hAnsi="Times New Roman" w:cs="Times New Roman"/>
        </w:rPr>
        <w:t>Jiboye</w:t>
      </w:r>
      <w:proofErr w:type="spellEnd"/>
      <w:r w:rsidRPr="00F32601">
        <w:rPr>
          <w:rFonts w:ascii="Times New Roman" w:hAnsi="Times New Roman" w:cs="Times New Roman"/>
        </w:rPr>
        <w:t xml:space="preserve"> et al., 2020; </w:t>
      </w:r>
      <w:proofErr w:type="spellStart"/>
      <w:r w:rsidRPr="00F32601">
        <w:rPr>
          <w:rFonts w:ascii="Times New Roman" w:hAnsi="Times New Roman" w:cs="Times New Roman"/>
        </w:rPr>
        <w:t>Olubi</w:t>
      </w:r>
      <w:proofErr w:type="spellEnd"/>
      <w:r w:rsidRPr="00F32601">
        <w:rPr>
          <w:rFonts w:ascii="Times New Roman" w:hAnsi="Times New Roman" w:cs="Times New Roman"/>
        </w:rPr>
        <w:t xml:space="preserve"> &amp; </w:t>
      </w:r>
      <w:proofErr w:type="spellStart"/>
      <w:r w:rsidRPr="00F32601">
        <w:rPr>
          <w:rFonts w:ascii="Times New Roman" w:hAnsi="Times New Roman" w:cs="Times New Roman"/>
        </w:rPr>
        <w:t>Aseyan</w:t>
      </w:r>
      <w:proofErr w:type="spellEnd"/>
      <w:r w:rsidRPr="00F32601">
        <w:rPr>
          <w:rFonts w:ascii="Times New Roman" w:hAnsi="Times New Roman" w:cs="Times New Roman"/>
        </w:rPr>
        <w:t xml:space="preserve">, 2022; Ogundipe et al., 2024). Similarly, poor material choices, limited architectural innovation, and weak adoption of sustainable construction systems continue to undermine climate-responsive housing delivery (Vivian &amp; </w:t>
      </w:r>
      <w:proofErr w:type="spellStart"/>
      <w:r w:rsidRPr="00F32601">
        <w:rPr>
          <w:rFonts w:ascii="Times New Roman" w:hAnsi="Times New Roman" w:cs="Times New Roman"/>
        </w:rPr>
        <w:t>Khaidzir</w:t>
      </w:r>
      <w:proofErr w:type="spellEnd"/>
      <w:r w:rsidRPr="00F32601">
        <w:rPr>
          <w:rFonts w:ascii="Times New Roman" w:hAnsi="Times New Roman" w:cs="Times New Roman"/>
        </w:rPr>
        <w:t xml:space="preserve">, 2024; </w:t>
      </w:r>
      <w:proofErr w:type="spellStart"/>
      <w:r w:rsidRPr="00F32601">
        <w:rPr>
          <w:rFonts w:ascii="Times New Roman" w:hAnsi="Times New Roman" w:cs="Times New Roman"/>
        </w:rPr>
        <w:t>Muhammed</w:t>
      </w:r>
      <w:proofErr w:type="spellEnd"/>
      <w:r w:rsidRPr="00F32601">
        <w:rPr>
          <w:rFonts w:ascii="Times New Roman" w:hAnsi="Times New Roman" w:cs="Times New Roman"/>
        </w:rPr>
        <w:t xml:space="preserve"> et al., 2025). Nevertheless, evidence from green affordable housing and modular integrated construction demonstrates that affordability improves significantly when planning coordination, financing systems, stakeholder collaboration, and design innovation are integrated from project inception (Gan et al., 2017; Khan et al., 2022; Bashir et al., 2023; Ruíz &amp; Mack-Vergara, 2023).</w:t>
      </w:r>
    </w:p>
    <w:p w14:paraId="2532CC2F" w14:textId="522F2319"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Affordable housing also </w:t>
      </w:r>
      <w:r w:rsidR="00D0579F">
        <w:rPr>
          <w:rFonts w:ascii="Times New Roman" w:hAnsi="Times New Roman" w:cs="Times New Roman"/>
        </w:rPr>
        <w:t>has significant regional development implications, as</w:t>
      </w:r>
      <w:r w:rsidRPr="00F32601">
        <w:rPr>
          <w:rFonts w:ascii="Times New Roman" w:hAnsi="Times New Roman" w:cs="Times New Roman"/>
        </w:rPr>
        <w:t xml:space="preserve"> it influences settlement patterns, labour markets, infrastructure investment, and territorial integration. Housing investment stimulates employment generation, local supply chains, and socio-economic productivity while supporting balanced regional development (</w:t>
      </w:r>
      <w:proofErr w:type="spellStart"/>
      <w:r w:rsidRPr="00F32601">
        <w:rPr>
          <w:rFonts w:ascii="Times New Roman" w:hAnsi="Times New Roman" w:cs="Times New Roman"/>
        </w:rPr>
        <w:t>Ovsiannikova</w:t>
      </w:r>
      <w:proofErr w:type="spellEnd"/>
      <w:r w:rsidRPr="00F32601">
        <w:rPr>
          <w:rFonts w:ascii="Times New Roman" w:hAnsi="Times New Roman" w:cs="Times New Roman"/>
        </w:rPr>
        <w:t xml:space="preserve"> et al., 2021; </w:t>
      </w:r>
      <w:proofErr w:type="spellStart"/>
      <w:r w:rsidRPr="00F32601">
        <w:rPr>
          <w:rFonts w:ascii="Times New Roman" w:hAnsi="Times New Roman" w:cs="Times New Roman"/>
        </w:rPr>
        <w:t>Akinsulire</w:t>
      </w:r>
      <w:proofErr w:type="spellEnd"/>
      <w:r w:rsidRPr="00F32601">
        <w:rPr>
          <w:rFonts w:ascii="Times New Roman" w:hAnsi="Times New Roman" w:cs="Times New Roman"/>
        </w:rPr>
        <w:t xml:space="preserve"> et al., 2024). Integrated regional planning systems further reduce disparities between metropolitan cores and peripheral settlements when housing is aligned with transport systems, infrastructure networks, and employment corridors (Liu et al., 2022; Li et al., 2025). Consequently, affordable housing should be repositioned from a stand-alone welfare intervention to a strategic regional development mechanism.</w:t>
      </w:r>
    </w:p>
    <w:p w14:paraId="28CFFD9E"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Environmental sustainability further reinforces the need for integrated housing and regional planning systems. Conventional urban expansion intensifies land consumption, infrastructure inefficiencies, ecological degradation, and carbon emissions (Zambon et al., 2019; Liang et al., 2019; Wang et al., 2020; IPCC, 2022). Studies across Africa and Asia further demonstrate that uncontrolled urban growth weakens environmental resilience, reduces vegetation cover, and intensifies urban heat island effects (Du et al., 2019; Huang et al., 2019; Halder et al., 2021; </w:t>
      </w:r>
      <w:proofErr w:type="spellStart"/>
      <w:r w:rsidRPr="00F32601">
        <w:rPr>
          <w:rFonts w:ascii="Times New Roman" w:hAnsi="Times New Roman" w:cs="Times New Roman"/>
        </w:rPr>
        <w:t>Pilehvar</w:t>
      </w:r>
      <w:proofErr w:type="spellEnd"/>
      <w:r w:rsidRPr="00F32601">
        <w:rPr>
          <w:rFonts w:ascii="Times New Roman" w:hAnsi="Times New Roman" w:cs="Times New Roman"/>
        </w:rPr>
        <w:t>, 2021; Zhou et al., 2022; Mathew et al., 2025). Sustainable affordable housing therefore requires compact urban forms, climate-sensitive design, and infrastructure-efficient development systems.</w:t>
      </w:r>
    </w:p>
    <w:p w14:paraId="4E41685F"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Planning concepts such as smart growth, compact urban development, transit-oriented development, and integrated metropolitan governance provide important pathways for addressing these interconnected challenges. Smart growth improves land-use efficiency and infrastructure optimisation (Mohammed et al., 2016), while compact urban models strengthen sustainability through balanced density, accessibility, and social equity (Lobner et al., 2021). Transit-oriented development improves relationships among housing, mobility, and employment systems, thereby reducing transport exclusion and improving urban efficiency (</w:t>
      </w:r>
      <w:proofErr w:type="spellStart"/>
      <w:r w:rsidRPr="00F32601">
        <w:rPr>
          <w:rFonts w:ascii="Times New Roman" w:hAnsi="Times New Roman" w:cs="Times New Roman"/>
        </w:rPr>
        <w:t>Ibraeva</w:t>
      </w:r>
      <w:proofErr w:type="spellEnd"/>
      <w:r w:rsidRPr="00F32601">
        <w:rPr>
          <w:rFonts w:ascii="Times New Roman" w:hAnsi="Times New Roman" w:cs="Times New Roman"/>
        </w:rPr>
        <w:t xml:space="preserve"> et al., 2020; </w:t>
      </w:r>
      <w:proofErr w:type="spellStart"/>
      <w:r w:rsidRPr="00F32601">
        <w:rPr>
          <w:rFonts w:ascii="Times New Roman" w:hAnsi="Times New Roman" w:cs="Times New Roman"/>
        </w:rPr>
        <w:t>Mazzetto</w:t>
      </w:r>
      <w:proofErr w:type="spellEnd"/>
      <w:r w:rsidRPr="00F32601">
        <w:rPr>
          <w:rFonts w:ascii="Times New Roman" w:hAnsi="Times New Roman" w:cs="Times New Roman"/>
        </w:rPr>
        <w:t xml:space="preserve"> et al., 2025). Integrated governance frameworks also enhance coordination across land use, infrastructure investment, environmental management, and regional development priorities (McArthur, 2018; Medeiros &amp; Van Der </w:t>
      </w:r>
      <w:proofErr w:type="spellStart"/>
      <w:r w:rsidRPr="00F32601">
        <w:rPr>
          <w:rFonts w:ascii="Times New Roman" w:hAnsi="Times New Roman" w:cs="Times New Roman"/>
        </w:rPr>
        <w:t>Zwet</w:t>
      </w:r>
      <w:proofErr w:type="spellEnd"/>
      <w:r w:rsidRPr="00F32601">
        <w:rPr>
          <w:rFonts w:ascii="Times New Roman" w:hAnsi="Times New Roman" w:cs="Times New Roman"/>
        </w:rPr>
        <w:t>, 2020). Emerging technologies, including artificial intelligence and environmental decision-support systems, further strengthen evidence-based urban planning and sustainability management (Anwar &amp; Sakti, 2024; Zhu &amp; Ding, 2025).</w:t>
      </w:r>
    </w:p>
    <w:p w14:paraId="3E4DD369" w14:textId="5E76C3E6"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Despite this growing body of scholarship, existing literature remains fragmented across architecture, housing studies, urban planning, environmental planning, and regional development. Architectural research often prioritises design efficiency and building performance, while urban planning literature focuses on land-use systems, infrastructure, and governance coordination. Housing policy studies emphasise affordability and finance, whereas environmental research concentrates on emissions, land expansion, and ecological impacts. Consequently, </w:t>
      </w:r>
      <w:r w:rsidR="00D0579F">
        <w:rPr>
          <w:rFonts w:ascii="Times New Roman" w:hAnsi="Times New Roman" w:cs="Times New Roman"/>
        </w:rPr>
        <w:t>few studies have integrated these perspectives into a unified interdisciplinary framework that explains</w:t>
      </w:r>
      <w:r w:rsidRPr="00F32601">
        <w:rPr>
          <w:rFonts w:ascii="Times New Roman" w:hAnsi="Times New Roman" w:cs="Times New Roman"/>
        </w:rPr>
        <w:t xml:space="preserve"> how affordable housing can simultaneously advance inclusive urban growth, sustainable regional development, and environmental resilience.</w:t>
      </w:r>
    </w:p>
    <w:p w14:paraId="4AB44740" w14:textId="3C8389D6"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lastRenderedPageBreak/>
        <w:t xml:space="preserve">Unlike previous studies that examine housing affordability, governance systems, environmental sustainability, or regional competitiveness </w:t>
      </w:r>
      <w:r w:rsidR="00D0579F">
        <w:rPr>
          <w:rFonts w:ascii="Times New Roman" w:hAnsi="Times New Roman" w:cs="Times New Roman"/>
        </w:rPr>
        <w:t>in isolation, this study develops an integrated, interdisciplinary framework that links affordable housing to</w:t>
      </w:r>
      <w:r w:rsidRPr="00F32601">
        <w:rPr>
          <w:rFonts w:ascii="Times New Roman" w:hAnsi="Times New Roman" w:cs="Times New Roman"/>
        </w:rPr>
        <w:t xml:space="preserve"> governance coordination, infrastructure systems, spatial planning, and regional economic transformation. The study therefore advances a systems-oriented interpretation of housing as a multidimensional regional development mechanism rather than merely a stand-alone social welfare intervention.</w:t>
      </w:r>
    </w:p>
    <w:p w14:paraId="7E1125C0" w14:textId="0708D00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To address the identified interdisciplinary and policy gaps, this study investigates how affordable housing contributes to sustainable regional development and inclusive urban growth within rapidly urbanising regions. The study further examines the governance, infrastructure, and spatial planning factors that most strongly influence housing affordability, spatial integration, and regional sustainability. It also evaluates how compact urban development and transit-oriented planning systems improve environmental performance, regional productivity, and urban accessibility. In addition, the study interrogates the barriers constraining integrated housing and regional planning systems in developing economies, particularly those associated with governance fragmentation, infrastructure deficits, and weak institutional coordination. Ultimately, the study seeks to develop an interdisciplinary framework </w:t>
      </w:r>
      <w:r>
        <w:rPr>
          <w:rFonts w:ascii="Times New Roman" w:hAnsi="Times New Roman" w:cs="Times New Roman"/>
        </w:rPr>
        <w:t>that integrates affordable housing, governance systems, infrastructure provision, spatial planning, and environmental sustainability into</w:t>
      </w:r>
      <w:r w:rsidRPr="00F32601">
        <w:rPr>
          <w:rFonts w:ascii="Times New Roman" w:hAnsi="Times New Roman" w:cs="Times New Roman"/>
        </w:rPr>
        <w:t xml:space="preserve"> broader regional development strategies.</w:t>
      </w:r>
    </w:p>
    <w:p w14:paraId="4D3E12DC" w14:textId="2C6E00EA" w:rsidR="00B664FA" w:rsidRPr="00847EFD" w:rsidRDefault="00F32601" w:rsidP="008A7EC4">
      <w:pPr>
        <w:spacing w:before="240" w:after="240" w:line="240" w:lineRule="auto"/>
        <w:jc w:val="both"/>
        <w:rPr>
          <w:rFonts w:ascii="Times New Roman" w:hAnsi="Times New Roman" w:cs="Times New Roman"/>
        </w:rPr>
      </w:pPr>
      <w:r w:rsidRPr="00F32601">
        <w:rPr>
          <w:rFonts w:ascii="Times New Roman" w:hAnsi="Times New Roman" w:cs="Times New Roman"/>
        </w:rPr>
        <w:t>This study addresses these gaps by examining affordable housing as a strategic instrument for sustainable regional development through collaboration between architects and urban and regional planners. Methodologically, the study adopts a PRISMA-based systematic review of 55 peer-reviewed journal articles published between 2016 and 2026 and indexed in Scopus and Web of Science. The review is further supported by policy evidence from UN-Habitat, the World Bank, the United Nations, and the IPCC (United Nations, 2019; UN-Habitat, 2020; World Bank, 2020; IPCC, 2022). By integrating thematic synthesis with quantitative meta-pattern analysis, the study advances empirical, theoretical, methodological, and practical contributions to interdisciplinary urban research</w:t>
      </w:r>
      <w:r w:rsidR="00D0579F">
        <w:rPr>
          <w:rFonts w:ascii="Times New Roman" w:hAnsi="Times New Roman" w:cs="Times New Roman"/>
        </w:rPr>
        <w:t>. It proposes</w:t>
      </w:r>
      <w:r w:rsidRPr="00F32601">
        <w:rPr>
          <w:rFonts w:ascii="Times New Roman" w:hAnsi="Times New Roman" w:cs="Times New Roman"/>
        </w:rPr>
        <w:t xml:space="preserve"> an Integrated Affordable Housing and Regional Development Framework for inclusive, resilient, and sustainable urban growth</w:t>
      </w:r>
      <w:r w:rsidR="00D0579F">
        <w:rPr>
          <w:rFonts w:ascii="Times New Roman" w:hAnsi="Times New Roman" w:cs="Times New Roman"/>
        </w:rPr>
        <w:t>.</w:t>
      </w:r>
    </w:p>
    <w:p w14:paraId="280254B0" w14:textId="77777777" w:rsidR="00B664FA" w:rsidRPr="00847EFD" w:rsidRDefault="00B664FA"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2.0 Literature Review</w:t>
      </w:r>
    </w:p>
    <w:p w14:paraId="632057FC" w14:textId="77777777" w:rsidR="00F32601" w:rsidRPr="00F32601" w:rsidRDefault="00F32601" w:rsidP="00F32601">
      <w:pPr>
        <w:spacing w:before="240" w:after="240" w:line="240" w:lineRule="auto"/>
        <w:jc w:val="both"/>
        <w:rPr>
          <w:rFonts w:ascii="Times New Roman" w:hAnsi="Times New Roman" w:cs="Times New Roman"/>
          <w:b/>
          <w:bCs/>
        </w:rPr>
      </w:pPr>
      <w:r w:rsidRPr="00F32601">
        <w:rPr>
          <w:rFonts w:ascii="Times New Roman" w:hAnsi="Times New Roman" w:cs="Times New Roman"/>
          <w:b/>
          <w:bCs/>
        </w:rPr>
        <w:t>2.1 Affordable Housing and Sustainable Regional Development</w:t>
      </w:r>
    </w:p>
    <w:p w14:paraId="6ADC47AB"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Affordable housing has evolved from a narrow shelter-based concept into a multidimensional development instrument linked with social equity, economic productivity, environmental sustainability, and regional transformation. Contemporary scholarship increasingly recognises that housing affordability cannot be separated from employment accessibility, infrastructure provision, mobility systems, governance quality, and spatial planning efficiency (Wetzstein, 2017; Lee et al., 2022). The affordability crisis has intensified due to escalating land values, demographic growth, speculative housing markets, rising construction costs, and weak policy coordination, particularly in rapidly urbanising developing economies (Matějková &amp; </w:t>
      </w:r>
      <w:proofErr w:type="spellStart"/>
      <w:r w:rsidRPr="00F32601">
        <w:rPr>
          <w:rFonts w:ascii="Times New Roman" w:hAnsi="Times New Roman" w:cs="Times New Roman"/>
        </w:rPr>
        <w:t>Tichá</w:t>
      </w:r>
      <w:proofErr w:type="spellEnd"/>
      <w:r w:rsidRPr="00F32601">
        <w:rPr>
          <w:rFonts w:ascii="Times New Roman" w:hAnsi="Times New Roman" w:cs="Times New Roman"/>
        </w:rPr>
        <w:t xml:space="preserve">, 2025; </w:t>
      </w:r>
      <w:proofErr w:type="spellStart"/>
      <w:r w:rsidRPr="00F32601">
        <w:rPr>
          <w:rFonts w:ascii="Times New Roman" w:hAnsi="Times New Roman" w:cs="Times New Roman"/>
        </w:rPr>
        <w:t>Deki</w:t>
      </w:r>
      <w:proofErr w:type="spellEnd"/>
      <w:r w:rsidRPr="00F32601">
        <w:rPr>
          <w:rFonts w:ascii="Times New Roman" w:hAnsi="Times New Roman" w:cs="Times New Roman"/>
        </w:rPr>
        <w:t xml:space="preserve"> et al., 2025). Consequently, affordable housing is increasingly viewed as a strategic instrument for sustainable urban and regional development rather than merely a welfare intervention.</w:t>
      </w:r>
    </w:p>
    <w:p w14:paraId="1FB66542"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Sustainable regional development promotes balanced territorial growth, economic competitiveness, social inclusion, and environmental resilience across metropolitan and peripheral regions (Medeiros &amp; Van Der </w:t>
      </w:r>
      <w:proofErr w:type="spellStart"/>
      <w:r w:rsidRPr="00F32601">
        <w:rPr>
          <w:rFonts w:ascii="Times New Roman" w:hAnsi="Times New Roman" w:cs="Times New Roman"/>
        </w:rPr>
        <w:t>Zwet</w:t>
      </w:r>
      <w:proofErr w:type="spellEnd"/>
      <w:r w:rsidRPr="00F32601">
        <w:rPr>
          <w:rFonts w:ascii="Times New Roman" w:hAnsi="Times New Roman" w:cs="Times New Roman"/>
        </w:rPr>
        <w:t xml:space="preserve">, 2020; Liu et al., 2022). Housing significantly shapes labour mobility, migration flows, land-use structures, and regional infrastructure systems. Eliasson and Westerlund (2023) demonstrate that housing accessibility strongly influences labour mobility toward productive regions, while </w:t>
      </w:r>
      <w:proofErr w:type="spellStart"/>
      <w:r w:rsidRPr="00F32601">
        <w:rPr>
          <w:rFonts w:ascii="Times New Roman" w:hAnsi="Times New Roman" w:cs="Times New Roman"/>
        </w:rPr>
        <w:t>Kouskoura</w:t>
      </w:r>
      <w:proofErr w:type="spellEnd"/>
      <w:r w:rsidRPr="00F32601">
        <w:rPr>
          <w:rFonts w:ascii="Times New Roman" w:hAnsi="Times New Roman" w:cs="Times New Roman"/>
        </w:rPr>
        <w:t xml:space="preserve"> et al. (2024) identify housing and infrastructure systems as major determinants of regional competitiveness. Integrated housing systems further improve social inclusion and urban regeneration when linked with infrastructure and regional planning policies (Ngema et al., 2025; </w:t>
      </w:r>
      <w:proofErr w:type="spellStart"/>
      <w:r w:rsidRPr="00F32601">
        <w:rPr>
          <w:rFonts w:ascii="Times New Roman" w:hAnsi="Times New Roman" w:cs="Times New Roman"/>
        </w:rPr>
        <w:t>Akinsulire</w:t>
      </w:r>
      <w:proofErr w:type="spellEnd"/>
      <w:r w:rsidRPr="00F32601">
        <w:rPr>
          <w:rFonts w:ascii="Times New Roman" w:hAnsi="Times New Roman" w:cs="Times New Roman"/>
        </w:rPr>
        <w:t xml:space="preserve"> et al., 2024).</w:t>
      </w:r>
    </w:p>
    <w:p w14:paraId="33574B73"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However, important contrasts exist between developed and developing economies. While advanced economies often struggle with speculative housing markets and affordability pressures driven by </w:t>
      </w:r>
      <w:proofErr w:type="spellStart"/>
      <w:r w:rsidRPr="00F32601">
        <w:rPr>
          <w:rFonts w:ascii="Times New Roman" w:hAnsi="Times New Roman" w:cs="Times New Roman"/>
        </w:rPr>
        <w:t>financialisation</w:t>
      </w:r>
      <w:proofErr w:type="spellEnd"/>
      <w:r w:rsidRPr="00F32601">
        <w:rPr>
          <w:rFonts w:ascii="Times New Roman" w:hAnsi="Times New Roman" w:cs="Times New Roman"/>
        </w:rPr>
        <w:t>, developing economies face deeper institutional constraints associated with weak governance systems, infrastructure deficits, and informal urbanisation (</w:t>
      </w:r>
      <w:proofErr w:type="spellStart"/>
      <w:r w:rsidRPr="00F32601">
        <w:rPr>
          <w:rFonts w:ascii="Times New Roman" w:hAnsi="Times New Roman" w:cs="Times New Roman"/>
        </w:rPr>
        <w:t>Wetzstein</w:t>
      </w:r>
      <w:proofErr w:type="spellEnd"/>
      <w:r w:rsidRPr="00F32601">
        <w:rPr>
          <w:rFonts w:ascii="Times New Roman" w:hAnsi="Times New Roman" w:cs="Times New Roman"/>
        </w:rPr>
        <w:t xml:space="preserve">, 2017; </w:t>
      </w:r>
      <w:proofErr w:type="spellStart"/>
      <w:r w:rsidRPr="00F32601">
        <w:rPr>
          <w:rFonts w:ascii="Times New Roman" w:hAnsi="Times New Roman" w:cs="Times New Roman"/>
        </w:rPr>
        <w:t>Olubi</w:t>
      </w:r>
      <w:proofErr w:type="spellEnd"/>
      <w:r w:rsidRPr="00F32601">
        <w:rPr>
          <w:rFonts w:ascii="Times New Roman" w:hAnsi="Times New Roman" w:cs="Times New Roman"/>
        </w:rPr>
        <w:t xml:space="preserve"> &amp; </w:t>
      </w:r>
      <w:proofErr w:type="spellStart"/>
      <w:r w:rsidRPr="00F32601">
        <w:rPr>
          <w:rFonts w:ascii="Times New Roman" w:hAnsi="Times New Roman" w:cs="Times New Roman"/>
        </w:rPr>
        <w:t>Aseyan</w:t>
      </w:r>
      <w:proofErr w:type="spellEnd"/>
      <w:r w:rsidRPr="00F32601">
        <w:rPr>
          <w:rFonts w:ascii="Times New Roman" w:hAnsi="Times New Roman" w:cs="Times New Roman"/>
        </w:rPr>
        <w:t xml:space="preserve">, 2022). Similarly, </w:t>
      </w:r>
      <w:r w:rsidRPr="00F32601">
        <w:rPr>
          <w:rFonts w:ascii="Times New Roman" w:hAnsi="Times New Roman" w:cs="Times New Roman"/>
        </w:rPr>
        <w:lastRenderedPageBreak/>
        <w:t>governance-driven housing systems tend to achieve stronger territorial coordination than purely market-driven systems, which frequently intensify socio-spatial inequality and exclusion. These contradictions indicate that affordable housing outcomes are shaped not only by market dynamics but also by governance capacity, planning efficiency, and institutional integration.</w:t>
      </w:r>
    </w:p>
    <w:p w14:paraId="36F656A4" w14:textId="77777777" w:rsidR="00F32601" w:rsidRPr="00F32601" w:rsidRDefault="00F32601" w:rsidP="00F32601">
      <w:pPr>
        <w:spacing w:before="240" w:after="240" w:line="240" w:lineRule="auto"/>
        <w:jc w:val="both"/>
        <w:rPr>
          <w:rFonts w:ascii="Times New Roman" w:hAnsi="Times New Roman" w:cs="Times New Roman"/>
          <w:b/>
          <w:bCs/>
        </w:rPr>
      </w:pPr>
      <w:r w:rsidRPr="00F32601">
        <w:rPr>
          <w:rFonts w:ascii="Times New Roman" w:hAnsi="Times New Roman" w:cs="Times New Roman"/>
          <w:b/>
          <w:bCs/>
        </w:rPr>
        <w:t>2.2 Theoretical Framing</w:t>
      </w:r>
    </w:p>
    <w:p w14:paraId="23669F95" w14:textId="20E20EED"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This study integrates Sustainable Urbanism Theory, Smart Growth Theory, and Socio-Technical Systems Theory to explain the relationship between affordable housing, urban growth, and regional development. Sustainable Urbanism Theory emphasises the interdependence between urban development, environmental sustainability, social equity, and economic productivity. It advocates compact urban forms, mixed land use, and efficient infrastructure systems as prerequisites for sustainable cities (Mohammed et al., 2016; Lobner et al., 2021). Smart Growth Theory similarly promotes transit accessibility, compact development, and integrated land-use planning as mechanisms </w:t>
      </w:r>
      <w:r w:rsidR="00D0579F">
        <w:rPr>
          <w:rFonts w:ascii="Times New Roman" w:hAnsi="Times New Roman" w:cs="Times New Roman"/>
        </w:rPr>
        <w:t>to reduce urban sprawl and improve</w:t>
      </w:r>
      <w:r w:rsidRPr="00F32601">
        <w:rPr>
          <w:rFonts w:ascii="Times New Roman" w:hAnsi="Times New Roman" w:cs="Times New Roman"/>
        </w:rPr>
        <w:t xml:space="preserve"> environmental sustainability (</w:t>
      </w:r>
      <w:proofErr w:type="spellStart"/>
      <w:r w:rsidRPr="00F32601">
        <w:rPr>
          <w:rFonts w:ascii="Times New Roman" w:hAnsi="Times New Roman" w:cs="Times New Roman"/>
        </w:rPr>
        <w:t>Ibraeva</w:t>
      </w:r>
      <w:proofErr w:type="spellEnd"/>
      <w:r w:rsidRPr="00F32601">
        <w:rPr>
          <w:rFonts w:ascii="Times New Roman" w:hAnsi="Times New Roman" w:cs="Times New Roman"/>
        </w:rPr>
        <w:t xml:space="preserve"> et al., 2020; </w:t>
      </w:r>
      <w:proofErr w:type="spellStart"/>
      <w:r w:rsidRPr="00F32601">
        <w:rPr>
          <w:rFonts w:ascii="Times New Roman" w:hAnsi="Times New Roman" w:cs="Times New Roman"/>
        </w:rPr>
        <w:t>Mazzetto</w:t>
      </w:r>
      <w:proofErr w:type="spellEnd"/>
      <w:r w:rsidRPr="00F32601">
        <w:rPr>
          <w:rFonts w:ascii="Times New Roman" w:hAnsi="Times New Roman" w:cs="Times New Roman"/>
        </w:rPr>
        <w:t xml:space="preserve"> et al., 2025).</w:t>
      </w:r>
    </w:p>
    <w:p w14:paraId="3304CDFA" w14:textId="492EBD30"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Socio-Technical Systems Theory explains housing affordability and regional development as outcomes of interactions among governance institutions, finance systems, technology, infrastructure, planning frameworks, and social actors. Housing systems therefore depend on coordinated institutional and technological arrangements rather than isolated policy interventions. Khan et al. (2022) demonstrate that </w:t>
      </w:r>
      <w:r w:rsidR="00D0579F">
        <w:rPr>
          <w:rFonts w:ascii="Times New Roman" w:hAnsi="Times New Roman" w:cs="Times New Roman"/>
        </w:rPr>
        <w:t xml:space="preserve">the adoption of modular integrated construction </w:t>
      </w:r>
      <w:r w:rsidRPr="00F32601">
        <w:rPr>
          <w:rFonts w:ascii="Times New Roman" w:hAnsi="Times New Roman" w:cs="Times New Roman"/>
        </w:rPr>
        <w:t>depends heavily on institutional coordination and policy support, while Bashir et al. (2023) emphasise the importance of sustainable housing finance systems.</w:t>
      </w:r>
    </w:p>
    <w:p w14:paraId="5A5EC829"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Collectively, the three theories conceptualise affordable housing as a socio-spatial governance system operating across environmental, infrastructural, institutional, and regional development dimensions. Their integration demonstrates that sustainable housing outcomes depend on coordinated relationships among governance systems, infrastructure provision, spatial planning, environmental management, and socio-economic transformation rather than isolated housing interventions.</w:t>
      </w:r>
    </w:p>
    <w:p w14:paraId="0131ACA8" w14:textId="77777777" w:rsidR="00F32601" w:rsidRPr="00F32601" w:rsidRDefault="00F32601" w:rsidP="00F32601">
      <w:pPr>
        <w:spacing w:before="240" w:after="240" w:line="240" w:lineRule="auto"/>
        <w:jc w:val="both"/>
        <w:rPr>
          <w:rFonts w:ascii="Times New Roman" w:hAnsi="Times New Roman" w:cs="Times New Roman"/>
          <w:b/>
          <w:bCs/>
        </w:rPr>
      </w:pPr>
      <w:r w:rsidRPr="00F32601">
        <w:rPr>
          <w:rFonts w:ascii="Times New Roman" w:hAnsi="Times New Roman" w:cs="Times New Roman"/>
          <w:b/>
          <w:bCs/>
        </w:rPr>
        <w:t>2.3 Urbanisation, Housing Demand, and Spatial Inequality</w:t>
      </w:r>
    </w:p>
    <w:p w14:paraId="69B961C0"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Rapid urbanisation remains one of the strongest drivers of housing demand and spatial restructuring globally. United Nations projections indicate that future population growth will occur predominantly within African and Asian cities (United Nations, 2019). Although urbanisation promotes economic concentration and innovation, poorly managed growth intensifies housing deficits, infrastructure pressure, and environmental degradation (Zhang, 2016; Kundu &amp; Pandey, 2020).</w:t>
      </w:r>
    </w:p>
    <w:p w14:paraId="07E7EFDA"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Urban expansion has generated significant land transformation and ecological stress across metropolitan regions. Xu et al. (2019) show that uncontrolled urban growth is rapidly altering African urban land densities, while Du et al. (2019) identify substantial vegetation loss associated with metropolitan expansion in China. Liang et al. (2019) further reveal that rapid urbanisation contributes significantly to environmental pollution within expanding urban agglomerations. These findings confirm that housing demand, urban growth, and environmental sustainability are deeply interconnected.</w:t>
      </w:r>
    </w:p>
    <w:p w14:paraId="67E928C1" w14:textId="52A60412"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Spatial inequality remains particularly severe within rapidly urbanising developing economies. </w:t>
      </w:r>
      <w:proofErr w:type="spellStart"/>
      <w:r w:rsidRPr="00F32601">
        <w:rPr>
          <w:rFonts w:ascii="Times New Roman" w:hAnsi="Times New Roman" w:cs="Times New Roman"/>
        </w:rPr>
        <w:t>Pilehvar</w:t>
      </w:r>
      <w:proofErr w:type="spellEnd"/>
      <w:r w:rsidRPr="00F32601">
        <w:rPr>
          <w:rFonts w:ascii="Times New Roman" w:hAnsi="Times New Roman" w:cs="Times New Roman"/>
        </w:rPr>
        <w:t xml:space="preserve"> (2021) demonstrates that uneven urbanisation intensifies socio-spatial fragmentation and territorial imbalance, while </w:t>
      </w:r>
      <w:proofErr w:type="spellStart"/>
      <w:r w:rsidRPr="00F32601">
        <w:rPr>
          <w:rFonts w:ascii="Times New Roman" w:hAnsi="Times New Roman" w:cs="Times New Roman"/>
        </w:rPr>
        <w:t>Kajiita</w:t>
      </w:r>
      <w:proofErr w:type="spellEnd"/>
      <w:r w:rsidRPr="00F32601">
        <w:rPr>
          <w:rFonts w:ascii="Times New Roman" w:hAnsi="Times New Roman" w:cs="Times New Roman"/>
        </w:rPr>
        <w:t xml:space="preserve"> and </w:t>
      </w:r>
      <w:proofErr w:type="spellStart"/>
      <w:r w:rsidRPr="00F32601">
        <w:rPr>
          <w:rFonts w:ascii="Times New Roman" w:hAnsi="Times New Roman" w:cs="Times New Roman"/>
        </w:rPr>
        <w:t>Kang’ethe</w:t>
      </w:r>
      <w:proofErr w:type="spellEnd"/>
      <w:r w:rsidRPr="00F32601">
        <w:rPr>
          <w:rFonts w:ascii="Times New Roman" w:hAnsi="Times New Roman" w:cs="Times New Roman"/>
        </w:rPr>
        <w:t xml:space="preserve"> (2024) identify exclusionary urban growth as a major barrier to inclusive development in African cities. Informal settlements and peri-urban expansion continue to proliferate where housing delivery systems fail to </w:t>
      </w:r>
      <w:r w:rsidR="00D0579F">
        <w:rPr>
          <w:rFonts w:ascii="Times New Roman" w:hAnsi="Times New Roman" w:cs="Times New Roman"/>
        </w:rPr>
        <w:t>keep pace with</w:t>
      </w:r>
      <w:r w:rsidRPr="00F32601">
        <w:rPr>
          <w:rFonts w:ascii="Times New Roman" w:hAnsi="Times New Roman" w:cs="Times New Roman"/>
        </w:rPr>
        <w:t xml:space="preserve"> population growth (Olaniran &amp; Aule, 2025). In contrast, compact urban systems in several developed economies have improved infrastructure efficiency and spatial integration through coordinated planning and transport systems. These differences reinforce the importance of integrating affordable housing </w:t>
      </w:r>
      <w:r w:rsidR="00D0579F">
        <w:rPr>
          <w:rFonts w:ascii="Times New Roman" w:hAnsi="Times New Roman" w:cs="Times New Roman"/>
        </w:rPr>
        <w:t>into broader regional planning frameworks that reduce spatial inequality and strengthen</w:t>
      </w:r>
      <w:r w:rsidRPr="00F32601">
        <w:rPr>
          <w:rFonts w:ascii="Times New Roman" w:hAnsi="Times New Roman" w:cs="Times New Roman"/>
        </w:rPr>
        <w:t xml:space="preserve"> territorial cohesion.</w:t>
      </w:r>
    </w:p>
    <w:p w14:paraId="76CD548B" w14:textId="77777777" w:rsidR="00F32601" w:rsidRPr="00F32601" w:rsidRDefault="00F32601" w:rsidP="00F32601">
      <w:pPr>
        <w:spacing w:before="240" w:after="240" w:line="240" w:lineRule="auto"/>
        <w:jc w:val="both"/>
        <w:rPr>
          <w:rFonts w:ascii="Times New Roman" w:hAnsi="Times New Roman" w:cs="Times New Roman"/>
          <w:b/>
          <w:bCs/>
        </w:rPr>
      </w:pPr>
      <w:r w:rsidRPr="00F32601">
        <w:rPr>
          <w:rFonts w:ascii="Times New Roman" w:hAnsi="Times New Roman" w:cs="Times New Roman"/>
          <w:b/>
          <w:bCs/>
        </w:rPr>
        <w:t>2.4 Housing Affordability and Governance Systems</w:t>
      </w:r>
    </w:p>
    <w:p w14:paraId="3E314FEF"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lastRenderedPageBreak/>
        <w:t>Governance systems remain one of the strongest determinants of affordable housing delivery and sustainable urban development. Weak institutional coordination, fragmented planning systems, bureaucratic inefficiencies, and poor land administration consistently undermine housing accessibility, particularly in developing economies (</w:t>
      </w:r>
      <w:proofErr w:type="spellStart"/>
      <w:r w:rsidRPr="00F32601">
        <w:rPr>
          <w:rFonts w:ascii="Times New Roman" w:hAnsi="Times New Roman" w:cs="Times New Roman"/>
        </w:rPr>
        <w:t>Olubi</w:t>
      </w:r>
      <w:proofErr w:type="spellEnd"/>
      <w:r w:rsidRPr="00F32601">
        <w:rPr>
          <w:rFonts w:ascii="Times New Roman" w:hAnsi="Times New Roman" w:cs="Times New Roman"/>
        </w:rPr>
        <w:t xml:space="preserve"> &amp; </w:t>
      </w:r>
      <w:proofErr w:type="spellStart"/>
      <w:r w:rsidRPr="00F32601">
        <w:rPr>
          <w:rFonts w:ascii="Times New Roman" w:hAnsi="Times New Roman" w:cs="Times New Roman"/>
        </w:rPr>
        <w:t>Aseyan</w:t>
      </w:r>
      <w:proofErr w:type="spellEnd"/>
      <w:r w:rsidRPr="00F32601">
        <w:rPr>
          <w:rFonts w:ascii="Times New Roman" w:hAnsi="Times New Roman" w:cs="Times New Roman"/>
        </w:rPr>
        <w:t>, 2022; Ogundipe et al., 2024). Nigerian studies further reveal that affordability challenges are strongly associated with inadequate infrastructure financing, regulatory inefficiencies, and governance failures (</w:t>
      </w:r>
      <w:proofErr w:type="spellStart"/>
      <w:r w:rsidRPr="00F32601">
        <w:rPr>
          <w:rFonts w:ascii="Times New Roman" w:hAnsi="Times New Roman" w:cs="Times New Roman"/>
        </w:rPr>
        <w:t>Jiboye</w:t>
      </w:r>
      <w:proofErr w:type="spellEnd"/>
      <w:r w:rsidRPr="00F32601">
        <w:rPr>
          <w:rFonts w:ascii="Times New Roman" w:hAnsi="Times New Roman" w:cs="Times New Roman"/>
        </w:rPr>
        <w:t xml:space="preserve"> et al., 2020).</w:t>
      </w:r>
    </w:p>
    <w:p w14:paraId="04D44BFC"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Globally, housing unaffordability is driven by speculative investment pressures, land market dynamics, and weak regulatory systems (Wetzstein, 2017; Lee et al., 2022). However, governance tensions frequently emerge between state-led planning systems and market-driven housing approaches. While governance-driven systems often improve territorial coordination and infrastructure integration, excessive bureaucratic control may also delay housing delivery and discourage investment. Conversely, market-driven housing systems may improve supply efficiency but often intensify exclusion and affordability disparities.</w:t>
      </w:r>
    </w:p>
    <w:p w14:paraId="5F73B2F3" w14:textId="3A39828C"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 xml:space="preserve">Land politics and institutional fragmentation also undermine sustainable housing systems. Awuah and Abdulai (2022) observe that land management systems in many developing countries remain constrained by weak planning institutions and poor </w:t>
      </w:r>
      <w:r w:rsidR="00D0579F">
        <w:rPr>
          <w:rFonts w:ascii="Times New Roman" w:hAnsi="Times New Roman" w:cs="Times New Roman"/>
        </w:rPr>
        <w:t>coordination of governance</w:t>
      </w:r>
      <w:r w:rsidRPr="00F32601">
        <w:rPr>
          <w:rFonts w:ascii="Times New Roman" w:hAnsi="Times New Roman" w:cs="Times New Roman"/>
        </w:rPr>
        <w:t xml:space="preserve">. Medeiros and Van Der </w:t>
      </w:r>
      <w:proofErr w:type="spellStart"/>
      <w:r w:rsidRPr="00F32601">
        <w:rPr>
          <w:rFonts w:ascii="Times New Roman" w:hAnsi="Times New Roman" w:cs="Times New Roman"/>
        </w:rPr>
        <w:t>Zwet</w:t>
      </w:r>
      <w:proofErr w:type="spellEnd"/>
      <w:r w:rsidRPr="00F32601">
        <w:rPr>
          <w:rFonts w:ascii="Times New Roman" w:hAnsi="Times New Roman" w:cs="Times New Roman"/>
        </w:rPr>
        <w:t xml:space="preserve"> (2020) further argue that metropolitan governance structures improve coordination among infrastructure, land use, housing delivery, and environmental management. Nevertheless, implementation failures, financing </w:t>
      </w:r>
      <w:r w:rsidR="00D0579F">
        <w:rPr>
          <w:rFonts w:ascii="Times New Roman" w:hAnsi="Times New Roman" w:cs="Times New Roman"/>
        </w:rPr>
        <w:t>constraints, and policy inconsistencies continue to undermine sustainable housing delivery in</w:t>
      </w:r>
      <w:r w:rsidRPr="00F32601">
        <w:rPr>
          <w:rFonts w:ascii="Times New Roman" w:hAnsi="Times New Roman" w:cs="Times New Roman"/>
        </w:rPr>
        <w:t xml:space="preserve"> many rapidly urbanising regions.</w:t>
      </w:r>
    </w:p>
    <w:p w14:paraId="74A4FB27" w14:textId="77777777" w:rsidR="00F32601" w:rsidRPr="00F32601" w:rsidRDefault="00F32601" w:rsidP="00F32601">
      <w:pPr>
        <w:spacing w:before="240" w:after="240" w:line="240" w:lineRule="auto"/>
        <w:jc w:val="both"/>
        <w:rPr>
          <w:rFonts w:ascii="Times New Roman" w:hAnsi="Times New Roman" w:cs="Times New Roman"/>
          <w:b/>
          <w:bCs/>
        </w:rPr>
      </w:pPr>
      <w:r w:rsidRPr="00F32601">
        <w:rPr>
          <w:rFonts w:ascii="Times New Roman" w:hAnsi="Times New Roman" w:cs="Times New Roman"/>
          <w:b/>
          <w:bCs/>
        </w:rPr>
        <w:t>2.5 Affordable Housing, Infrastructure, and Regional Economic Development</w:t>
      </w:r>
    </w:p>
    <w:p w14:paraId="7843F011"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Affordable housing significantly influences regional economic transformation through its relationship with infrastructure systems, labour markets, and investment dynamics. Housing investment stimulates employment generation, construction industries, and local supply chains while improving access to productive urban economies (</w:t>
      </w:r>
      <w:proofErr w:type="spellStart"/>
      <w:r w:rsidRPr="00F32601">
        <w:rPr>
          <w:rFonts w:ascii="Times New Roman" w:hAnsi="Times New Roman" w:cs="Times New Roman"/>
        </w:rPr>
        <w:t>Ovsiannikova</w:t>
      </w:r>
      <w:proofErr w:type="spellEnd"/>
      <w:r w:rsidRPr="00F32601">
        <w:rPr>
          <w:rFonts w:ascii="Times New Roman" w:hAnsi="Times New Roman" w:cs="Times New Roman"/>
        </w:rPr>
        <w:t xml:space="preserve"> et al., 2021). World Bank (2020) assessments similarly show that housing sector development contributes substantially to socio-economic resilience and infrastructure expansion.</w:t>
      </w:r>
    </w:p>
    <w:p w14:paraId="615DA167"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Integrated regional planning systems improve housing accessibility when transport infrastructure, industrial development, and settlement planning are coordinated. Li et al. (2025) demonstrate that integrated regional expansion enhances territorial balance and common prosperity, while Liu et al. (2022) observe that coordinated regional development reduces socio-economic disparities and improves infrastructure accessibility. Transit-oriented development similarly improves relationships among housing, mobility, and employment systems, thereby reducing transport exclusion and strengthening spatial integration (</w:t>
      </w:r>
      <w:proofErr w:type="spellStart"/>
      <w:r w:rsidRPr="00F32601">
        <w:rPr>
          <w:rFonts w:ascii="Times New Roman" w:hAnsi="Times New Roman" w:cs="Times New Roman"/>
        </w:rPr>
        <w:t>Ibraeva</w:t>
      </w:r>
      <w:proofErr w:type="spellEnd"/>
      <w:r w:rsidRPr="00F32601">
        <w:rPr>
          <w:rFonts w:ascii="Times New Roman" w:hAnsi="Times New Roman" w:cs="Times New Roman"/>
        </w:rPr>
        <w:t xml:space="preserve"> et al., 2020; </w:t>
      </w:r>
      <w:proofErr w:type="spellStart"/>
      <w:r w:rsidRPr="00F32601">
        <w:rPr>
          <w:rFonts w:ascii="Times New Roman" w:hAnsi="Times New Roman" w:cs="Times New Roman"/>
        </w:rPr>
        <w:t>Mazzetto</w:t>
      </w:r>
      <w:proofErr w:type="spellEnd"/>
      <w:r w:rsidRPr="00F32601">
        <w:rPr>
          <w:rFonts w:ascii="Times New Roman" w:hAnsi="Times New Roman" w:cs="Times New Roman"/>
        </w:rPr>
        <w:t xml:space="preserve"> et al., 2025).</w:t>
      </w:r>
    </w:p>
    <w:p w14:paraId="6005D58A" w14:textId="77777777" w:rsidR="00F32601" w:rsidRPr="00F32601" w:rsidRDefault="00F32601" w:rsidP="00F32601">
      <w:pPr>
        <w:spacing w:before="240" w:after="240" w:line="240" w:lineRule="auto"/>
        <w:jc w:val="both"/>
        <w:rPr>
          <w:rFonts w:ascii="Times New Roman" w:hAnsi="Times New Roman" w:cs="Times New Roman"/>
        </w:rPr>
      </w:pPr>
      <w:r w:rsidRPr="00F32601">
        <w:rPr>
          <w:rFonts w:ascii="Times New Roman" w:hAnsi="Times New Roman" w:cs="Times New Roman"/>
        </w:rPr>
        <w:t>However, sprawling urban models continue to generate infrastructure inefficiencies, long commuting distances, and uneven territorial development, particularly in rapidly expanding metropolitan regions. In contrast, compact urban systems generally achieve stronger infrastructure efficiency and environmental performance when supported by integrated governance systems. Levine and Yavo Ayalon (2024) further argue that affordable housing becomes more socially effective when spatially integrated with transport systems and urban services.</w:t>
      </w:r>
    </w:p>
    <w:p w14:paraId="5ADE0944" w14:textId="77777777" w:rsidR="00F32601" w:rsidRPr="00F32601" w:rsidRDefault="00F32601" w:rsidP="00F32601">
      <w:pPr>
        <w:spacing w:before="240" w:after="240" w:line="240" w:lineRule="auto"/>
        <w:jc w:val="both"/>
        <w:rPr>
          <w:rFonts w:ascii="Times New Roman" w:hAnsi="Times New Roman" w:cs="Times New Roman"/>
          <w:b/>
          <w:bCs/>
        </w:rPr>
      </w:pPr>
      <w:r w:rsidRPr="00F32601">
        <w:rPr>
          <w:rFonts w:ascii="Times New Roman" w:hAnsi="Times New Roman" w:cs="Times New Roman"/>
          <w:b/>
          <w:bCs/>
        </w:rPr>
        <w:t>2.6 Environmental Sustainability and Urban Growth Management</w:t>
      </w:r>
    </w:p>
    <w:p w14:paraId="4CC769B6" w14:textId="70A22B60" w:rsidR="00BE781D" w:rsidRPr="00BE781D" w:rsidRDefault="00BE781D" w:rsidP="00BE781D">
      <w:pPr>
        <w:spacing w:before="240" w:after="240" w:line="240" w:lineRule="auto"/>
        <w:jc w:val="both"/>
        <w:rPr>
          <w:rFonts w:ascii="Times New Roman" w:hAnsi="Times New Roman" w:cs="Times New Roman"/>
        </w:rPr>
      </w:pPr>
      <w:r w:rsidRPr="00BE781D">
        <w:rPr>
          <w:rFonts w:ascii="Times New Roman" w:hAnsi="Times New Roman" w:cs="Times New Roman"/>
        </w:rPr>
        <w:t xml:space="preserve">Environmental sustainability has become central to </w:t>
      </w:r>
      <w:r w:rsidR="00D0579F">
        <w:rPr>
          <w:rFonts w:ascii="Times New Roman" w:hAnsi="Times New Roman" w:cs="Times New Roman"/>
        </w:rPr>
        <w:t xml:space="preserve">the discourse on affordable housing and urban planning </w:t>
      </w:r>
      <w:r w:rsidRPr="00BE781D">
        <w:rPr>
          <w:rFonts w:ascii="Times New Roman" w:hAnsi="Times New Roman" w:cs="Times New Roman"/>
        </w:rPr>
        <w:t xml:space="preserve">because of the ecological impacts of urban expansion. Angel (2023) argues that unmanaged urban growth contributes significantly to land inefficiency and environmental degradation, while Zambon et al. (2019) show that horizontal metropolitan expansion intensifies infrastructure inefficiencies and ecological disruption. Urban expansion also increases climate-related risks and declining environmental quality. Huang et al. (2019) project </w:t>
      </w:r>
      <w:r w:rsidR="00D0579F">
        <w:rPr>
          <w:rFonts w:ascii="Times New Roman" w:hAnsi="Times New Roman" w:cs="Times New Roman"/>
        </w:rPr>
        <w:t>intensification of urban heat islands</w:t>
      </w:r>
      <w:r w:rsidRPr="00BE781D">
        <w:rPr>
          <w:rFonts w:ascii="Times New Roman" w:hAnsi="Times New Roman" w:cs="Times New Roman"/>
        </w:rPr>
        <w:t xml:space="preserve"> associated with global urban land expansion, while Halder et al. (2021) identify major land transformation impacts resulting from urban sprawl. Wang et al. (2020) and Zhou et al. (2022) further reveal that urban expansion and megaregion formation generate substantial environmental impacts beyond city boundaries.</w:t>
      </w:r>
    </w:p>
    <w:p w14:paraId="34A64905" w14:textId="0CFF25DD" w:rsidR="00F32601" w:rsidRPr="00F32601" w:rsidRDefault="00BE781D" w:rsidP="00F32601">
      <w:pPr>
        <w:spacing w:before="240" w:after="240" w:line="240" w:lineRule="auto"/>
        <w:jc w:val="both"/>
        <w:rPr>
          <w:rFonts w:ascii="Times New Roman" w:hAnsi="Times New Roman" w:cs="Times New Roman"/>
        </w:rPr>
      </w:pPr>
      <w:r w:rsidRPr="00BE781D">
        <w:rPr>
          <w:rFonts w:ascii="Times New Roman" w:hAnsi="Times New Roman" w:cs="Times New Roman"/>
        </w:rPr>
        <w:lastRenderedPageBreak/>
        <w:t xml:space="preserve">Climate-responsive housing systems and compact urban forms therefore remain critical for sustainable regional development. The IPCC (2022) emphasises sustainable urban planning and low-carbon development </w:t>
      </w:r>
      <w:r w:rsidR="00D0579F">
        <w:rPr>
          <w:rFonts w:ascii="Times New Roman" w:hAnsi="Times New Roman" w:cs="Times New Roman"/>
        </w:rPr>
        <w:t>to mitigate climate change</w:t>
      </w:r>
      <w:r w:rsidRPr="00BE781D">
        <w:rPr>
          <w:rFonts w:ascii="Times New Roman" w:hAnsi="Times New Roman" w:cs="Times New Roman"/>
        </w:rPr>
        <w:t xml:space="preserve">, while smart growth models reduce land consumption and transport emissions (Mohammed et al., 2016; Lobner et al., 2021). Green affordable housing further supports sustainability through resilient design, stakeholder collaboration, and sustainable construction systems (Gan et al., 2017; </w:t>
      </w:r>
      <w:r w:rsidR="009000FE">
        <w:rPr>
          <w:rFonts w:ascii="Times New Roman" w:hAnsi="Times New Roman" w:cs="Times New Roman"/>
        </w:rPr>
        <w:t>Darko et al., 2018</w:t>
      </w:r>
      <w:r w:rsidRPr="00BE781D">
        <w:rPr>
          <w:rFonts w:ascii="Times New Roman" w:hAnsi="Times New Roman" w:cs="Times New Roman"/>
        </w:rPr>
        <w:t>)</w:t>
      </w:r>
      <w:r w:rsidR="00F32601" w:rsidRPr="00F32601">
        <w:rPr>
          <w:rFonts w:ascii="Times New Roman" w:hAnsi="Times New Roman" w:cs="Times New Roman"/>
        </w:rPr>
        <w:t>.</w:t>
      </w:r>
    </w:p>
    <w:p w14:paraId="6A4C2433" w14:textId="77777777" w:rsidR="00F32601" w:rsidRPr="00F32601" w:rsidRDefault="00F32601" w:rsidP="00F32601">
      <w:pPr>
        <w:spacing w:before="240" w:after="240" w:line="240" w:lineRule="auto"/>
        <w:jc w:val="both"/>
        <w:rPr>
          <w:rFonts w:ascii="Times New Roman" w:hAnsi="Times New Roman" w:cs="Times New Roman"/>
          <w:b/>
          <w:bCs/>
        </w:rPr>
      </w:pPr>
      <w:r w:rsidRPr="00F32601">
        <w:rPr>
          <w:rFonts w:ascii="Times New Roman" w:hAnsi="Times New Roman" w:cs="Times New Roman"/>
          <w:b/>
          <w:bCs/>
        </w:rPr>
        <w:t>2.7 Interdisciplinary Planning and Integrated Housing Systems</w:t>
      </w:r>
    </w:p>
    <w:p w14:paraId="6D0AA535" w14:textId="77777777" w:rsidR="00BE781D" w:rsidRPr="00BE781D" w:rsidRDefault="00BE781D" w:rsidP="00BE781D">
      <w:pPr>
        <w:spacing w:before="240" w:after="240" w:line="240" w:lineRule="auto"/>
        <w:jc w:val="both"/>
        <w:rPr>
          <w:rFonts w:ascii="Times New Roman" w:hAnsi="Times New Roman" w:cs="Times New Roman"/>
        </w:rPr>
      </w:pPr>
      <w:r w:rsidRPr="00BE781D">
        <w:rPr>
          <w:rFonts w:ascii="Times New Roman" w:hAnsi="Times New Roman" w:cs="Times New Roman"/>
        </w:rPr>
        <w:t xml:space="preserve">The complexity of affordable housing and sustainable regional development necessitates interdisciplinary collaboration among architects, urban planners, environmental specialists, policymakers, economists, and infrastructure agencies. Vivian and </w:t>
      </w:r>
      <w:proofErr w:type="spellStart"/>
      <w:r w:rsidRPr="00BE781D">
        <w:rPr>
          <w:rFonts w:ascii="Times New Roman" w:hAnsi="Times New Roman" w:cs="Times New Roman"/>
        </w:rPr>
        <w:t>Khaidzir</w:t>
      </w:r>
      <w:proofErr w:type="spellEnd"/>
      <w:r w:rsidRPr="00BE781D">
        <w:rPr>
          <w:rFonts w:ascii="Times New Roman" w:hAnsi="Times New Roman" w:cs="Times New Roman"/>
        </w:rPr>
        <w:t xml:space="preserve"> (2024) emphasise the importance of architectural design interventions in addressing inequitable and unsustainable housing systems in Nigeria. Architectural perspectives contribute through spatial efficiency, environmental performance, material optimisation, and liveability enhancement, while urban and regional planning perspectives extend to territorial governance, transport integration, land-use regulation, infrastructure planning, and environmental management (McArthur, 2018; Medeiros &amp; Van Der </w:t>
      </w:r>
      <w:proofErr w:type="spellStart"/>
      <w:r w:rsidRPr="00BE781D">
        <w:rPr>
          <w:rFonts w:ascii="Times New Roman" w:hAnsi="Times New Roman" w:cs="Times New Roman"/>
        </w:rPr>
        <w:t>Zwet</w:t>
      </w:r>
      <w:proofErr w:type="spellEnd"/>
      <w:r w:rsidRPr="00BE781D">
        <w:rPr>
          <w:rFonts w:ascii="Times New Roman" w:hAnsi="Times New Roman" w:cs="Times New Roman"/>
        </w:rPr>
        <w:t>, 2020).</w:t>
      </w:r>
    </w:p>
    <w:p w14:paraId="5C4D2F29" w14:textId="685010CD" w:rsidR="00F32601" w:rsidRPr="00F32601" w:rsidRDefault="00BE781D" w:rsidP="00F32601">
      <w:pPr>
        <w:spacing w:before="240" w:after="240" w:line="240" w:lineRule="auto"/>
        <w:jc w:val="both"/>
        <w:rPr>
          <w:rFonts w:ascii="Times New Roman" w:hAnsi="Times New Roman" w:cs="Times New Roman"/>
        </w:rPr>
      </w:pPr>
      <w:r w:rsidRPr="00BE781D">
        <w:rPr>
          <w:rFonts w:ascii="Times New Roman" w:hAnsi="Times New Roman" w:cs="Times New Roman"/>
        </w:rPr>
        <w:t xml:space="preserve">Despite these advances, existing literature remains fragmented across housing affordability, governance systems, environmental sustainability, and regional competitiveness. Muhammed et al. (2025) observe persistent fragmentation across governance, finance, materials, and planning systems in developing regions. This gap justifies the study’s interdisciplinary approach, which synthesises </w:t>
      </w:r>
      <w:r w:rsidR="00D0579F">
        <w:rPr>
          <w:rFonts w:ascii="Times New Roman" w:hAnsi="Times New Roman" w:cs="Times New Roman"/>
        </w:rPr>
        <w:t xml:space="preserve">the literature on architecture, housing policy, environmental planning, infrastructure systems, and regional development </w:t>
      </w:r>
      <w:r w:rsidRPr="00BE781D">
        <w:rPr>
          <w:rFonts w:ascii="Times New Roman" w:hAnsi="Times New Roman" w:cs="Times New Roman"/>
        </w:rPr>
        <w:t>to advance a systems-oriented understanding of affordable housing as a driver of urban sustainability, territorial cohesion, economic resilience, and environmental performance</w:t>
      </w:r>
      <w:r w:rsidR="00F32601" w:rsidRPr="00F32601">
        <w:rPr>
          <w:rFonts w:ascii="Times New Roman" w:hAnsi="Times New Roman" w:cs="Times New Roman"/>
        </w:rPr>
        <w:t>.</w:t>
      </w:r>
    </w:p>
    <w:p w14:paraId="13070ECE" w14:textId="2CE86165" w:rsidR="00F32601" w:rsidRPr="00F32601" w:rsidRDefault="00F32601" w:rsidP="00F32601">
      <w:pPr>
        <w:spacing w:before="240" w:after="240" w:line="240" w:lineRule="auto"/>
        <w:jc w:val="center"/>
        <w:rPr>
          <w:rFonts w:ascii="Times New Roman" w:hAnsi="Times New Roman" w:cs="Times New Roman"/>
          <w:b/>
          <w:bCs/>
        </w:rPr>
      </w:pPr>
      <w:r w:rsidRPr="00F32601">
        <w:rPr>
          <w:rFonts w:ascii="Times New Roman" w:hAnsi="Times New Roman" w:cs="Times New Roman"/>
          <w:b/>
          <w:bCs/>
          <w:noProof/>
          <w:lang w:val="en-IN" w:eastAsia="en-IN"/>
        </w:rPr>
        <w:drawing>
          <wp:inline distT="0" distB="0" distL="0" distR="0" wp14:anchorId="289C6623" wp14:editId="77E41C46">
            <wp:extent cx="3687745" cy="2388375"/>
            <wp:effectExtent l="0" t="0" r="8255" b="0"/>
            <wp:docPr id="1191606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06529"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82" t="5320" r="1167" b="1852"/>
                    <a:stretch>
                      <a:fillRect/>
                    </a:stretch>
                  </pic:blipFill>
                  <pic:spPr bwMode="auto">
                    <a:xfrm>
                      <a:off x="0" y="0"/>
                      <a:ext cx="3705319" cy="2399757"/>
                    </a:xfrm>
                    <a:prstGeom prst="rect">
                      <a:avLst/>
                    </a:prstGeom>
                    <a:noFill/>
                    <a:ln>
                      <a:noFill/>
                    </a:ln>
                    <a:extLst>
                      <a:ext uri="{53640926-AAD7-44D8-BBD7-CCE9431645EC}">
                        <a14:shadowObscured xmlns:a14="http://schemas.microsoft.com/office/drawing/2010/main"/>
                      </a:ext>
                    </a:extLst>
                  </pic:spPr>
                </pic:pic>
              </a:graphicData>
            </a:graphic>
          </wp:inline>
        </w:drawing>
      </w:r>
    </w:p>
    <w:p w14:paraId="18170DB1" w14:textId="7EE2FF12" w:rsidR="00F32601" w:rsidRPr="00F32601" w:rsidRDefault="00F32601" w:rsidP="00F32601">
      <w:pPr>
        <w:spacing w:before="240" w:after="240" w:line="240" w:lineRule="auto"/>
        <w:jc w:val="center"/>
        <w:rPr>
          <w:rFonts w:ascii="Times New Roman" w:hAnsi="Times New Roman" w:cs="Times New Roman"/>
          <w:b/>
          <w:bCs/>
        </w:rPr>
      </w:pPr>
      <w:r w:rsidRPr="00F32601">
        <w:rPr>
          <w:rFonts w:ascii="Times New Roman" w:hAnsi="Times New Roman" w:cs="Times New Roman"/>
          <w:b/>
          <w:bCs/>
        </w:rPr>
        <w:t>Figure 1: Integrated Affordable Housing and Regional Development Framework</w:t>
      </w:r>
    </w:p>
    <w:p w14:paraId="03120892" w14:textId="7CD5392B" w:rsidR="00B664FA" w:rsidRPr="00847EFD" w:rsidRDefault="00F32601" w:rsidP="008A7EC4">
      <w:pPr>
        <w:spacing w:before="240" w:after="240" w:line="240" w:lineRule="auto"/>
        <w:jc w:val="both"/>
        <w:rPr>
          <w:rFonts w:ascii="Times New Roman" w:hAnsi="Times New Roman" w:cs="Times New Roman"/>
        </w:rPr>
      </w:pPr>
      <w:r w:rsidRPr="00F32601">
        <w:rPr>
          <w:rFonts w:ascii="Times New Roman" w:hAnsi="Times New Roman" w:cs="Times New Roman"/>
        </w:rPr>
        <w:t xml:space="preserve">The conceptual framework for this study illustrates the interdependent relationships among governance systems, housing affordability, infrastructure integration, spatial planning, environmental sustainability, regional productivity, and social inclusion. The framework conceptualises affordable housing as the central socio-spatial mechanism linking sustainable urban growth </w:t>
      </w:r>
      <w:r w:rsidR="00D0579F">
        <w:rPr>
          <w:rFonts w:ascii="Times New Roman" w:hAnsi="Times New Roman" w:cs="Times New Roman"/>
        </w:rPr>
        <w:t>to balanced regional development through coordinated planning, integrated governance</w:t>
      </w:r>
      <w:r w:rsidRPr="00F32601">
        <w:rPr>
          <w:rFonts w:ascii="Times New Roman" w:hAnsi="Times New Roman" w:cs="Times New Roman"/>
        </w:rPr>
        <w:t>, climate-responsive infrastructure systems, and interdisciplinary collaboration between architects and urban and regional planners</w:t>
      </w:r>
      <w:r w:rsidR="00B664FA" w:rsidRPr="00847EFD">
        <w:rPr>
          <w:rFonts w:ascii="Times New Roman" w:hAnsi="Times New Roman" w:cs="Times New Roman"/>
        </w:rPr>
        <w:t>.</w:t>
      </w:r>
    </w:p>
    <w:p w14:paraId="746F3599" w14:textId="77777777" w:rsidR="00B664FA" w:rsidRPr="00847EFD" w:rsidRDefault="00B664FA"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3.0 Methodology</w:t>
      </w:r>
    </w:p>
    <w:p w14:paraId="696818E7" w14:textId="77777777" w:rsidR="00B664FA" w:rsidRPr="00847EFD" w:rsidRDefault="00B664FA"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3.1 Research Design</w:t>
      </w:r>
    </w:p>
    <w:p w14:paraId="4F395114" w14:textId="77777777"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 xml:space="preserve">This study adopted a PRISMA-based systematic review methodology to examine the relationship between affordable housing, sustainable regional development, and inclusive urban growth through interdisciplinary </w:t>
      </w:r>
      <w:r w:rsidRPr="00F863C1">
        <w:rPr>
          <w:rFonts w:ascii="Times New Roman" w:hAnsi="Times New Roman" w:cs="Times New Roman"/>
        </w:rPr>
        <w:lastRenderedPageBreak/>
        <w:t>perspectives from architecture and urban and regional planning. The systematic review approach was selected because it enables rigorous synthesis of multidisciplinary evidence, strengthens methodological transparency, and supports the integration of empirical and theoretical findings from diverse studies (Muhammed et al., 2025; Ruíz &amp; Mack-Vergara, 2023). The study followed the Preferred Reporting Items for Systematic Reviews and Meta-Analyses (PRISMA) framework to ensure systematic identification, screening, eligibility assessment, and inclusion of relevant literature.</w:t>
      </w:r>
    </w:p>
    <w:p w14:paraId="64E8394A" w14:textId="77777777"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The methodology combined qualitative thematic synthesis with quantitative meta-pattern analysis and inferential statistical validation. This mixed analytical approach was considered appropriate because affordable housing and regional development involve interconnected spatial, governance, environmental, social, and economic variables that cannot be adequately explained using a single analytical technique. Consequently, the review synthesised evidence relating to housing affordability, governance systems, infrastructure provision, spatial planning, environmental sustainability, urban growth management, and regional competitiveness.</w:t>
      </w:r>
    </w:p>
    <w:p w14:paraId="3BEAC199" w14:textId="77777777" w:rsidR="00F863C1" w:rsidRPr="00F863C1" w:rsidRDefault="00F863C1" w:rsidP="00F863C1">
      <w:pPr>
        <w:spacing w:before="240" w:after="240" w:line="240" w:lineRule="auto"/>
        <w:jc w:val="both"/>
        <w:rPr>
          <w:rFonts w:ascii="Times New Roman" w:hAnsi="Times New Roman" w:cs="Times New Roman"/>
          <w:b/>
          <w:bCs/>
        </w:rPr>
      </w:pPr>
      <w:r w:rsidRPr="00F863C1">
        <w:rPr>
          <w:rFonts w:ascii="Times New Roman" w:hAnsi="Times New Roman" w:cs="Times New Roman"/>
          <w:b/>
          <w:bCs/>
        </w:rPr>
        <w:t>3.2 Data Sources and Search Strategy</w:t>
      </w:r>
    </w:p>
    <w:p w14:paraId="3811CBC5" w14:textId="4515D4D0"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The review utilised peer-reviewed journal articles retrieved from the Scopus and Web of Science databases</w:t>
      </w:r>
      <w:r w:rsidR="00D0579F">
        <w:rPr>
          <w:rFonts w:ascii="Times New Roman" w:hAnsi="Times New Roman" w:cs="Times New Roman"/>
        </w:rPr>
        <w:t>, given</w:t>
      </w:r>
      <w:r w:rsidRPr="00F863C1">
        <w:rPr>
          <w:rFonts w:ascii="Times New Roman" w:hAnsi="Times New Roman" w:cs="Times New Roman"/>
        </w:rPr>
        <w:t xml:space="preserve"> their extensive indexing coverage and academic reliability in housing studies, urban planning, architecture, environmental planning, and regional development research. The review was further supported by policy reports from the United Nations, UN-Habitat, the World Bank, and the IPCC to strengthen global sustainability and policy relevance. Database searches were conducted between January and March 2026 using combinations of Boolean operators and keywords related to affordable housing, sustainable urban growth, governance systems, regional development, infrastructure integration, compact urban development, and transit-oriented planning.</w:t>
      </w:r>
    </w:p>
    <w:p w14:paraId="1DC31F75" w14:textId="77777777"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The search process generated 519 records published between 2016 and 2026. Duplicate records were subsequently removed before title and abstract screening commenced. The search and screening procedures followed the PRISMA 2020 framework to ensure methodological transparency and reproducibility.</w:t>
      </w:r>
    </w:p>
    <w:p w14:paraId="619A8BA4" w14:textId="77777777" w:rsidR="00F863C1" w:rsidRPr="00F863C1" w:rsidRDefault="00F863C1" w:rsidP="00F863C1">
      <w:pPr>
        <w:spacing w:before="240" w:after="240" w:line="240" w:lineRule="auto"/>
        <w:jc w:val="both"/>
        <w:rPr>
          <w:rFonts w:ascii="Times New Roman" w:hAnsi="Times New Roman" w:cs="Times New Roman"/>
          <w:b/>
          <w:bCs/>
        </w:rPr>
      </w:pPr>
      <w:r w:rsidRPr="00F863C1">
        <w:rPr>
          <w:rFonts w:ascii="Times New Roman" w:hAnsi="Times New Roman" w:cs="Times New Roman"/>
          <w:b/>
          <w:bCs/>
        </w:rPr>
        <w:t>3.3 Inclusion and Exclusion Criteria</w:t>
      </w:r>
    </w:p>
    <w:p w14:paraId="00EBFF01" w14:textId="77777777"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The inclusion and exclusion criteria were established to ensure methodological rigour, thematic relevance, and academic quality throughout the review process. Only peer-reviewed journal articles published between 2016 and 2026 were included in the study. Eligible studies were required to focus on affordable housing, urban and regional planning, governance systems, sustainability, infrastructure integration, or related interdisciplinary themes relevant to sustainable regional development and inclusive urban growth. In addition, the selected studies were required to provide empirical, conceptual, or policy-based evidence on housing and regional development systems and to be indexed in the Scopus or Web of Science databases to ensure credibility and scholarly reliability.</w:t>
      </w:r>
    </w:p>
    <w:p w14:paraId="78A27678" w14:textId="77777777"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Studies were excluded if they consisted of conference abstracts, editorials, dissertations, or other non-peer-reviewed publications. Articles that focused exclusively on isolated engineering or technical construction issues without clear urban, regional, governance, or sustainability implications were also excluded. Furthermore, studies lacking methodological clarity or inaccessible in full text were omitted from the review. Following the eligibility assessment and screening procedures, 55 peer-reviewed journal articles satisfied the inclusion criteria and were retained for detailed synthesis and analysis.</w:t>
      </w:r>
    </w:p>
    <w:p w14:paraId="0BA7C0C6" w14:textId="77777777" w:rsidR="00F863C1" w:rsidRPr="00F863C1" w:rsidRDefault="00F863C1" w:rsidP="00F863C1">
      <w:pPr>
        <w:spacing w:before="240" w:after="240" w:line="240" w:lineRule="auto"/>
        <w:jc w:val="both"/>
        <w:rPr>
          <w:rFonts w:ascii="Times New Roman" w:hAnsi="Times New Roman" w:cs="Times New Roman"/>
          <w:b/>
          <w:bCs/>
        </w:rPr>
      </w:pPr>
      <w:r w:rsidRPr="00F863C1">
        <w:rPr>
          <w:rFonts w:ascii="Times New Roman" w:hAnsi="Times New Roman" w:cs="Times New Roman"/>
          <w:b/>
          <w:bCs/>
        </w:rPr>
        <w:t>3.4 PRISMA Screening Procedure</w:t>
      </w:r>
    </w:p>
    <w:p w14:paraId="3D9B2F97" w14:textId="77777777" w:rsid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The PRISMA screening procedure consisted of identification, duplicate removal, title and abstract screening, eligibility assessment, and final inclusion stages. The screening process followed PRISMA 2020 procedures to ensure systematic filtering and transparency in study selection.</w:t>
      </w:r>
    </w:p>
    <w:p w14:paraId="37518BEE" w14:textId="5FBCADB9" w:rsidR="00BE781D" w:rsidRPr="00BE781D" w:rsidRDefault="00BE781D" w:rsidP="00BE781D">
      <w:pPr>
        <w:spacing w:before="240" w:after="0" w:line="240" w:lineRule="auto"/>
        <w:jc w:val="center"/>
        <w:rPr>
          <w:rFonts w:ascii="Times New Roman" w:hAnsi="Times New Roman" w:cs="Times New Roman"/>
        </w:rPr>
      </w:pPr>
      <w:r w:rsidRPr="00BE781D">
        <w:rPr>
          <w:rFonts w:ascii="Times New Roman" w:hAnsi="Times New Roman" w:cs="Times New Roman"/>
          <w:noProof/>
          <w:lang w:val="en-IN" w:eastAsia="en-IN"/>
        </w:rPr>
        <w:lastRenderedPageBreak/>
        <w:drawing>
          <wp:inline distT="0" distB="0" distL="0" distR="0" wp14:anchorId="06B3B5C9" wp14:editId="31A090EA">
            <wp:extent cx="3476730" cy="5031543"/>
            <wp:effectExtent l="0" t="0" r="0" b="0"/>
            <wp:docPr id="1917056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9" t="5861" r="2227" b="1868"/>
                    <a:stretch>
                      <a:fillRect/>
                    </a:stretch>
                  </pic:blipFill>
                  <pic:spPr bwMode="auto">
                    <a:xfrm>
                      <a:off x="0" y="0"/>
                      <a:ext cx="3486088" cy="5045086"/>
                    </a:xfrm>
                    <a:prstGeom prst="rect">
                      <a:avLst/>
                    </a:prstGeom>
                    <a:noFill/>
                    <a:ln>
                      <a:noFill/>
                    </a:ln>
                    <a:extLst>
                      <a:ext uri="{53640926-AAD7-44D8-BBD7-CCE9431645EC}">
                        <a14:shadowObscured xmlns:a14="http://schemas.microsoft.com/office/drawing/2010/main"/>
                      </a:ext>
                    </a:extLst>
                  </pic:spPr>
                </pic:pic>
              </a:graphicData>
            </a:graphic>
          </wp:inline>
        </w:drawing>
      </w:r>
    </w:p>
    <w:p w14:paraId="057D8E86" w14:textId="77777777" w:rsidR="00F863C1" w:rsidRPr="00F863C1" w:rsidRDefault="00F863C1" w:rsidP="00D31A78">
      <w:pPr>
        <w:spacing w:before="240" w:after="240" w:line="240" w:lineRule="auto"/>
        <w:jc w:val="center"/>
        <w:rPr>
          <w:rFonts w:ascii="Times New Roman" w:hAnsi="Times New Roman" w:cs="Times New Roman"/>
        </w:rPr>
      </w:pPr>
      <w:r w:rsidRPr="00F863C1">
        <w:rPr>
          <w:rFonts w:ascii="Times New Roman" w:hAnsi="Times New Roman" w:cs="Times New Roman"/>
          <w:b/>
          <w:bCs/>
        </w:rPr>
        <w:t>Figure 2. PRISMA 2020 Flow Diagram for Literature Identification, Screening, Eligibility, and Inclusion</w:t>
      </w:r>
    </w:p>
    <w:p w14:paraId="45D9C46E" w14:textId="1D34E884"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The selection procedure was expressed as:</w:t>
      </w:r>
      <w:r w:rsidR="00E10CBC">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f</m:t>
            </m:r>
          </m:sub>
        </m:sSub>
      </m:oMath>
    </w:p>
    <w:p w14:paraId="4407BAC4" w14:textId="1DF5E6B7"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oMath>
      <w:r w:rsidRPr="00F863C1">
        <w:rPr>
          <w:rFonts w:ascii="Times New Roman" w:hAnsi="Times New Roman" w:cs="Times New Roman"/>
        </w:rPr>
        <w:t xml:space="preserve">represents initially identified records,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d</m:t>
            </m:r>
          </m:sub>
        </m:sSub>
      </m:oMath>
      <w:r w:rsidRPr="00F863C1">
        <w:rPr>
          <w:rFonts w:ascii="Times New Roman" w:hAnsi="Times New Roman" w:cs="Times New Roman"/>
        </w:rPr>
        <w:t xml:space="preserve">denotes duplicate records removed,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e</m:t>
            </m:r>
          </m:sub>
        </m:sSub>
      </m:oMath>
      <w:r w:rsidRPr="00F863C1">
        <w:rPr>
          <w:rFonts w:ascii="Times New Roman" w:hAnsi="Times New Roman" w:cs="Times New Roman"/>
        </w:rPr>
        <w:t xml:space="preserve">represents excluded studies after screening, and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f</m:t>
            </m:r>
          </m:sub>
        </m:sSub>
      </m:oMath>
      <w:r w:rsidRPr="00F863C1">
        <w:rPr>
          <w:rFonts w:ascii="Times New Roman" w:hAnsi="Times New Roman" w:cs="Times New Roman"/>
        </w:rPr>
        <w:t>indicates the final included studies. Accordingly:</w:t>
      </w:r>
      <w:r w:rsidR="00E10CBC">
        <w:rPr>
          <w:rFonts w:ascii="Times New Roman" w:hAnsi="Times New Roman" w:cs="Times New Roman"/>
        </w:rPr>
        <w:t xml:space="preserve"> </w:t>
      </w:r>
      <m:oMath>
        <m:r>
          <w:rPr>
            <w:rFonts w:ascii="Cambria Math" w:hAnsi="Cambria Math" w:cs="Times New Roman"/>
          </w:rPr>
          <m:t>519-(74+390)=55</m:t>
        </m:r>
      </m:oMath>
      <w:r w:rsidRPr="00F863C1">
        <w:rPr>
          <w:rFonts w:ascii="Times New Roman" w:hAnsi="Times New Roman" w:cs="Times New Roman"/>
          <w:i/>
        </w:rPr>
        <w:br/>
      </w:r>
      <w:r w:rsidRPr="00F863C1">
        <w:rPr>
          <w:rFonts w:ascii="Times New Roman" w:hAnsi="Times New Roman" w:cs="Times New Roman"/>
        </w:rPr>
        <w:t>Inter-reviewer consistency was validated using Cohen’s Kappa coefficient:</w:t>
      </w:r>
    </w:p>
    <w:p w14:paraId="7794C053" w14:textId="5A5793E7" w:rsidR="00F863C1" w:rsidRPr="00F863C1" w:rsidRDefault="00F863C1" w:rsidP="00F863C1">
      <w:pPr>
        <w:spacing w:before="240" w:after="240" w:line="240" w:lineRule="auto"/>
        <w:jc w:val="both"/>
        <w:rPr>
          <w:rFonts w:ascii="Times New Roman" w:hAnsi="Times New Roman" w:cs="Times New Roman"/>
        </w:rPr>
      </w:pPr>
      <m:oMathPara>
        <m:oMath>
          <m:r>
            <w:rPr>
              <w:rFonts w:ascii="Cambria Math" w:hAnsi="Cambria Math" w:cs="Times New Roman"/>
            </w:rPr>
            <m:t>κ=</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num>
            <m:den>
              <m: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den>
          </m:f>
        </m:oMath>
      </m:oMathPara>
    </w:p>
    <w:p w14:paraId="20A3292A" w14:textId="1C3C32E6"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o</m:t>
            </m:r>
          </m:sub>
        </m:sSub>
      </m:oMath>
      <w:r w:rsidRPr="00F863C1">
        <w:rPr>
          <w:rFonts w:ascii="Times New Roman" w:hAnsi="Times New Roman" w:cs="Times New Roman"/>
        </w:rPr>
        <w:t xml:space="preserve">denotes observed agreement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e</m:t>
            </m:r>
          </m:sub>
        </m:sSub>
      </m:oMath>
      <w:r w:rsidRPr="00F863C1">
        <w:rPr>
          <w:rFonts w:ascii="Times New Roman" w:hAnsi="Times New Roman" w:cs="Times New Roman"/>
        </w:rPr>
        <w:t xml:space="preserve">represents expected agreement by chance. The analysis produced a Cohen’s Kappa value of 0.84, indicating strong inter-reviewer reliability and </w:t>
      </w:r>
      <w:r w:rsidR="00D0579F">
        <w:rPr>
          <w:rFonts w:ascii="Times New Roman" w:hAnsi="Times New Roman" w:cs="Times New Roman"/>
        </w:rPr>
        <w:t>consistency in screening</w:t>
      </w:r>
      <w:r w:rsidRPr="00F863C1">
        <w:rPr>
          <w:rFonts w:ascii="Times New Roman" w:hAnsi="Times New Roman" w:cs="Times New Roman"/>
        </w:rPr>
        <w:t>.</w:t>
      </w:r>
    </w:p>
    <w:p w14:paraId="2E6EF139" w14:textId="77777777" w:rsidR="00F863C1" w:rsidRPr="00F863C1" w:rsidRDefault="00F863C1" w:rsidP="00F863C1">
      <w:pPr>
        <w:spacing w:before="240" w:after="240" w:line="240" w:lineRule="auto"/>
        <w:jc w:val="both"/>
        <w:rPr>
          <w:rFonts w:ascii="Times New Roman" w:hAnsi="Times New Roman" w:cs="Times New Roman"/>
          <w:b/>
          <w:bCs/>
        </w:rPr>
      </w:pPr>
      <w:r w:rsidRPr="00F863C1">
        <w:rPr>
          <w:rFonts w:ascii="Times New Roman" w:hAnsi="Times New Roman" w:cs="Times New Roman"/>
          <w:b/>
          <w:bCs/>
        </w:rPr>
        <w:t>3.5 Data Extraction and Analytical Framework</w:t>
      </w:r>
    </w:p>
    <w:p w14:paraId="7128DDB0" w14:textId="24F20259"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 xml:space="preserve">Relevant data were systematically extracted into thematic matrices containing information on study location and context, research objectives, housing affordability dimensions, governance and planning variables, infrastructure and regional development indicators, sustainability measures, and major findings. The extracted data were subsequently synthesised using thematic analysis to categorise </w:t>
      </w:r>
      <w:r w:rsidR="00D0579F">
        <w:rPr>
          <w:rFonts w:ascii="Times New Roman" w:hAnsi="Times New Roman" w:cs="Times New Roman"/>
        </w:rPr>
        <w:t>the evidence into key analytical domains, including affordable housing and spatial inequality; governance systems and housing delivery; infrastructure integration and regional growth; environmental sustainability and urban expansion;</w:t>
      </w:r>
      <w:r w:rsidRPr="00F863C1">
        <w:rPr>
          <w:rFonts w:ascii="Times New Roman" w:hAnsi="Times New Roman" w:cs="Times New Roman"/>
        </w:rPr>
        <w:t xml:space="preserve"> and interdisciplinary planning frameworks.</w:t>
      </w:r>
    </w:p>
    <w:p w14:paraId="47CD9BCD" w14:textId="77777777"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lastRenderedPageBreak/>
        <w:t>To strengthen analytical rigour, quantitative meta-pattern analysis was employed to identify recurring statistical relationships, thematic convergence, and dominant research trends across the reviewed studies. The relative prominence of recurring themes was evaluated using the Weighted Frequency Index (WFI):</w:t>
      </w:r>
    </w:p>
    <w:p w14:paraId="35DEF2D9" w14:textId="7B568969" w:rsidR="00F863C1" w:rsidRPr="00F863C1" w:rsidRDefault="00F863C1" w:rsidP="00F863C1">
      <w:pPr>
        <w:spacing w:before="240" w:after="240" w:line="240" w:lineRule="auto"/>
        <w:jc w:val="both"/>
        <w:rPr>
          <w:rFonts w:ascii="Times New Roman" w:hAnsi="Times New Roman" w:cs="Times New Roman"/>
        </w:rPr>
      </w:pPr>
      <m:oMathPara>
        <m:oMath>
          <m:r>
            <w:rPr>
              <w:rFonts w:ascii="Cambria Math" w:hAnsi="Cambria Math" w:cs="Times New Roman"/>
            </w:rPr>
            <m:t>WFI=</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num>
            <m:den>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en>
          </m:f>
          <m:r>
            <w:rPr>
              <w:rFonts w:ascii="Cambria Math" w:hAnsi="Cambria Math" w:cs="Times New Roman"/>
            </w:rPr>
            <m:t>×100</m:t>
          </m:r>
        </m:oMath>
      </m:oMathPara>
    </w:p>
    <w:p w14:paraId="45172D79" w14:textId="79BC1FCB"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Pr="00F863C1">
        <w:rPr>
          <w:rFonts w:ascii="Times New Roman" w:hAnsi="Times New Roman" w:cs="Times New Roman"/>
        </w:rPr>
        <w:t xml:space="preserve">represents the frequency of occurrence of a variable or theme, while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Pr="00F863C1">
        <w:rPr>
          <w:rFonts w:ascii="Times New Roman" w:hAnsi="Times New Roman" w:cs="Times New Roman"/>
        </w:rPr>
        <w:t>denotes the total frequency of all identified themes. Theme frequencies were derived from repeated occurrences of governance, infrastructure, sustainability, affordability, and planning variables across the reviewed studies. The analysis revealed that governance coordination recorded the highest thematic prominence (24.8%), followed by infrastructure integration (21.3%), housing affordability systems (19.6%), environmental sustainability (18.2%), and transit-oriented planning strategies (16.1%).</w:t>
      </w:r>
    </w:p>
    <w:p w14:paraId="25384F1A" w14:textId="77777777" w:rsidR="00F863C1" w:rsidRPr="00F863C1" w:rsidRDefault="00F863C1" w:rsidP="00F863C1">
      <w:pPr>
        <w:spacing w:before="240" w:after="240" w:line="240" w:lineRule="auto"/>
        <w:jc w:val="both"/>
        <w:rPr>
          <w:rFonts w:ascii="Times New Roman" w:hAnsi="Times New Roman" w:cs="Times New Roman"/>
          <w:b/>
          <w:bCs/>
        </w:rPr>
      </w:pPr>
      <w:r w:rsidRPr="00F863C1">
        <w:rPr>
          <w:rFonts w:ascii="Times New Roman" w:hAnsi="Times New Roman" w:cs="Times New Roman"/>
          <w:b/>
          <w:bCs/>
        </w:rPr>
        <w:t>3.6 Inferential Statistical Validation</w:t>
      </w:r>
    </w:p>
    <w:p w14:paraId="28F64D5B" w14:textId="41AECBF8" w:rsidR="00F863C1" w:rsidRPr="00F863C1" w:rsidRDefault="00F863C1" w:rsidP="00E10CBC">
      <w:pPr>
        <w:spacing w:before="240" w:after="0" w:line="240" w:lineRule="auto"/>
        <w:jc w:val="both"/>
        <w:rPr>
          <w:rFonts w:ascii="Times New Roman" w:hAnsi="Times New Roman" w:cs="Times New Roman"/>
        </w:rPr>
      </w:pPr>
      <w:r w:rsidRPr="00F863C1">
        <w:rPr>
          <w:rFonts w:ascii="Times New Roman" w:hAnsi="Times New Roman" w:cs="Times New Roman"/>
        </w:rPr>
        <w:t>Inferential statistical analysis was undertaken to validate thematic convergence and interdisciplinary consistency across the reviewed studies. Chi-square analysis was used to evaluate relationships between observed and expected thematic frequencies:</w:t>
      </w:r>
      <w:r w:rsidR="00E10CBC">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e>
                </m:d>
              </m:e>
              <m:sup>
                <m:r>
                  <w:rPr>
                    <w:rFonts w:ascii="Cambria Math" w:hAnsi="Cambria Math" w:cs="Times New Roman"/>
                  </w:rPr>
                  <m:t>2</m:t>
                </m:r>
              </m:sup>
            </m:sSup>
          </m:num>
          <m:den>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den>
        </m:f>
      </m:oMath>
    </w:p>
    <w:p w14:paraId="0F5AD2DE" w14:textId="7C1DDA2A" w:rsidR="00F863C1" w:rsidRPr="00F863C1" w:rsidRDefault="00F863C1" w:rsidP="00E10CBC">
      <w:pPr>
        <w:spacing w:after="240" w:line="240" w:lineRule="auto"/>
        <w:jc w:val="both"/>
        <w:rPr>
          <w:rFonts w:ascii="Times New Roman" w:hAnsi="Times New Roman" w:cs="Times New Roman"/>
        </w:rPr>
      </w:pPr>
      <w:r w:rsidRPr="00F863C1">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i</m:t>
            </m:r>
          </m:sub>
        </m:sSub>
      </m:oMath>
      <w:r w:rsidRPr="00F863C1">
        <w:rPr>
          <w:rFonts w:ascii="Times New Roman" w:hAnsi="Times New Roman" w:cs="Times New Roman"/>
        </w:rPr>
        <w:t xml:space="preserve">represents observed thematic frequencies derived from reviewed studies, while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oMath>
      <w:r w:rsidRPr="00F863C1">
        <w:rPr>
          <w:rFonts w:ascii="Times New Roman" w:hAnsi="Times New Roman" w:cs="Times New Roman"/>
        </w:rPr>
        <w:t>denotes expected frequencies under proportional thematic distribution assumptions. The analysis produced:</w:t>
      </w:r>
      <w:r w:rsidR="00E10CBC">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=0.91,p&gt;0.05</m:t>
        </m:r>
      </m:oMath>
      <w:r w:rsidRPr="00F863C1">
        <w:rPr>
          <w:rFonts w:ascii="Times New Roman" w:hAnsi="Times New Roman" w:cs="Times New Roman"/>
          <w:i/>
        </w:rPr>
        <w:br/>
      </w:r>
      <w:r w:rsidRPr="00F863C1">
        <w:rPr>
          <w:rFonts w:ascii="Times New Roman" w:hAnsi="Times New Roman" w:cs="Times New Roman"/>
        </w:rPr>
        <w:t>The result indicates strong thematic consistency and interdisciplinary complementarity among the reviewed studies.</w:t>
      </w:r>
    </w:p>
    <w:p w14:paraId="2A5854A2" w14:textId="20477F8F" w:rsidR="00F863C1" w:rsidRPr="00F863C1" w:rsidRDefault="00F863C1" w:rsidP="00F863C1">
      <w:pPr>
        <w:spacing w:before="240" w:after="0" w:line="240" w:lineRule="auto"/>
        <w:jc w:val="both"/>
        <w:rPr>
          <w:rFonts w:ascii="Times New Roman" w:hAnsi="Times New Roman" w:cs="Times New Roman"/>
        </w:rPr>
      </w:pPr>
      <w:r w:rsidRPr="00F863C1">
        <w:rPr>
          <w:rFonts w:ascii="Times New Roman" w:hAnsi="Times New Roman" w:cs="Times New Roman"/>
        </w:rPr>
        <w:t>Regression analysis was further employed to evaluate relationships among infrastructure integration, governance coordination, transit-oriented development, and regional growth outcomes:</w:t>
      </w:r>
      <w:r w:rsidR="00E10CBC">
        <w:rPr>
          <w:rFonts w:ascii="Times New Roman" w:hAnsi="Times New Roman" w:cs="Times New Roman"/>
        </w:rPr>
        <w:t xml:space="preserve"> </w:t>
      </w:r>
    </w:p>
    <w:p w14:paraId="19B3975B" w14:textId="0FB87017" w:rsidR="00F863C1" w:rsidRPr="00F863C1" w:rsidRDefault="00F863C1" w:rsidP="00F863C1">
      <w:pPr>
        <w:spacing w:before="240" w:after="240" w:line="240" w:lineRule="auto"/>
        <w:jc w:val="both"/>
        <w:rPr>
          <w:rFonts w:ascii="Times New Roman" w:hAnsi="Times New Roman" w:cs="Times New Roman"/>
        </w:rPr>
      </w:pPr>
      <m:oMathPara>
        <m:oMath>
          <m:r>
            <w:rPr>
              <w:rFonts w:ascii="Cambria Math" w:hAnsi="Cambria Math" w:cs="Times New Roman"/>
            </w:rPr>
            <m:t>RG=</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II+</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GC+</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3</m:t>
              </m:r>
            </m:sub>
          </m:sSub>
          <m:r>
            <w:rPr>
              <w:rFonts w:ascii="Cambria Math" w:hAnsi="Cambria Math" w:cs="Times New Roman"/>
            </w:rPr>
            <m:t>TOD+ε</m:t>
          </m:r>
        </m:oMath>
      </m:oMathPara>
    </w:p>
    <w:p w14:paraId="19C242FF" w14:textId="49B920DA" w:rsidR="00F863C1" w:rsidRPr="00F863C1" w:rsidRDefault="00F863C1" w:rsidP="00F863C1">
      <w:pPr>
        <w:spacing w:after="240" w:line="240" w:lineRule="auto"/>
        <w:jc w:val="both"/>
        <w:rPr>
          <w:rFonts w:ascii="Times New Roman" w:hAnsi="Times New Roman" w:cs="Times New Roman"/>
        </w:rPr>
      </w:pPr>
      <w:r w:rsidRPr="00F863C1">
        <w:rPr>
          <w:rFonts w:ascii="Times New Roman" w:hAnsi="Times New Roman" w:cs="Times New Roman"/>
        </w:rPr>
        <w:t xml:space="preserve">Where </w:t>
      </w:r>
      <m:oMath>
        <m:r>
          <w:rPr>
            <w:rFonts w:ascii="Cambria Math" w:hAnsi="Cambria Math" w:cs="Times New Roman"/>
          </w:rPr>
          <m:t>RG</m:t>
        </m:r>
      </m:oMath>
      <w:r w:rsidRPr="00F863C1">
        <w:rPr>
          <w:rFonts w:ascii="Times New Roman" w:hAnsi="Times New Roman" w:cs="Times New Roman"/>
        </w:rPr>
        <w:t xml:space="preserve">represents regional growth, </w:t>
      </w:r>
      <m:oMath>
        <m:r>
          <w:rPr>
            <w:rFonts w:ascii="Cambria Math" w:hAnsi="Cambria Math" w:cs="Times New Roman"/>
          </w:rPr>
          <m:t>II</m:t>
        </m:r>
      </m:oMath>
      <w:r w:rsidRPr="00F863C1">
        <w:rPr>
          <w:rFonts w:ascii="Times New Roman" w:hAnsi="Times New Roman" w:cs="Times New Roman"/>
        </w:rPr>
        <w:t xml:space="preserve">denotes infrastructure integration, </w:t>
      </w:r>
      <m:oMath>
        <m:r>
          <w:rPr>
            <w:rFonts w:ascii="Cambria Math" w:hAnsi="Cambria Math" w:cs="Times New Roman"/>
          </w:rPr>
          <m:t>GC</m:t>
        </m:r>
      </m:oMath>
      <w:r w:rsidRPr="00F863C1">
        <w:rPr>
          <w:rFonts w:ascii="Times New Roman" w:hAnsi="Times New Roman" w:cs="Times New Roman"/>
        </w:rPr>
        <w:t xml:space="preserve">represents governance coordination, and </w:t>
      </w:r>
      <m:oMath>
        <m:r>
          <w:rPr>
            <w:rFonts w:ascii="Cambria Math" w:hAnsi="Cambria Math" w:cs="Times New Roman"/>
          </w:rPr>
          <m:t>TOD</m:t>
        </m:r>
      </m:oMath>
      <w:r w:rsidRPr="00F863C1">
        <w:rPr>
          <w:rFonts w:ascii="Times New Roman" w:hAnsi="Times New Roman" w:cs="Times New Roman"/>
        </w:rPr>
        <w:t xml:space="preserve">indicates transit-oriented development. Regression coefficients were estimated from aggregated thematic and quantitative patterns extracted across the reviewed studies. The model produced a coefficient of determination of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=0.67</m:t>
        </m:r>
      </m:oMath>
      <w:r w:rsidRPr="00F863C1">
        <w:rPr>
          <w:rFonts w:ascii="Times New Roman" w:hAnsi="Times New Roman" w:cs="Times New Roman"/>
        </w:rPr>
        <w:t>, indicating substantial explanatory strength among the integrated planning variables.</w:t>
      </w:r>
    </w:p>
    <w:p w14:paraId="4C90E84F" w14:textId="77777777" w:rsidR="00F863C1" w:rsidRPr="00F863C1" w:rsidRDefault="00F863C1" w:rsidP="00F863C1">
      <w:pPr>
        <w:spacing w:before="240" w:after="240" w:line="240" w:lineRule="auto"/>
        <w:jc w:val="both"/>
        <w:rPr>
          <w:rFonts w:ascii="Times New Roman" w:hAnsi="Times New Roman" w:cs="Times New Roman"/>
          <w:b/>
          <w:bCs/>
        </w:rPr>
      </w:pPr>
      <w:r w:rsidRPr="00F863C1">
        <w:rPr>
          <w:rFonts w:ascii="Times New Roman" w:hAnsi="Times New Roman" w:cs="Times New Roman"/>
          <w:b/>
          <w:bCs/>
        </w:rPr>
        <w:t>3.7 Ethical Considerations</w:t>
      </w:r>
    </w:p>
    <w:p w14:paraId="6E2CF6F6" w14:textId="77777777"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The study relied exclusively on secondary peer-reviewed literature and publicly accessible institutional reports; therefore, no direct human participation or ethical risk was involved. Nevertheless, academic integrity, transparency, and accurate citation practices were strictly maintained throughout the review process.</w:t>
      </w:r>
    </w:p>
    <w:p w14:paraId="4E0B3A85" w14:textId="77777777" w:rsidR="00F863C1" w:rsidRPr="00F863C1" w:rsidRDefault="00F863C1" w:rsidP="00F863C1">
      <w:pPr>
        <w:spacing w:before="240" w:after="240" w:line="240" w:lineRule="auto"/>
        <w:jc w:val="both"/>
        <w:rPr>
          <w:rFonts w:ascii="Times New Roman" w:hAnsi="Times New Roman" w:cs="Times New Roman"/>
          <w:b/>
          <w:bCs/>
        </w:rPr>
      </w:pPr>
      <w:r w:rsidRPr="00F863C1">
        <w:rPr>
          <w:rFonts w:ascii="Times New Roman" w:hAnsi="Times New Roman" w:cs="Times New Roman"/>
          <w:b/>
          <w:bCs/>
        </w:rPr>
        <w:t>3.8 Quality Assessment and Risk of Bias</w:t>
      </w:r>
    </w:p>
    <w:p w14:paraId="1FD0E399" w14:textId="77777777" w:rsidR="00F863C1" w:rsidRPr="00F863C1" w:rsidRDefault="00F863C1" w:rsidP="00F863C1">
      <w:pPr>
        <w:spacing w:before="240" w:after="240" w:line="240" w:lineRule="auto"/>
        <w:jc w:val="both"/>
        <w:rPr>
          <w:rFonts w:ascii="Times New Roman" w:hAnsi="Times New Roman" w:cs="Times New Roman"/>
        </w:rPr>
      </w:pPr>
      <w:r w:rsidRPr="00F863C1">
        <w:rPr>
          <w:rFonts w:ascii="Times New Roman" w:hAnsi="Times New Roman" w:cs="Times New Roman"/>
        </w:rPr>
        <w:t>To strengthen methodological robustness, the study incorporated quality assessment and publication bias evaluation throughout the review process. Only peer-reviewed journal articles indexed in Scopus and Web of Science were included to ensure academic reliability and methodological credibility. Studies lacking methodological clarity or sufficient analytical transparency were excluded during eligibility assessment.</w:t>
      </w:r>
    </w:p>
    <w:p w14:paraId="6A6D26AB" w14:textId="50502A09" w:rsidR="00B664FA" w:rsidRPr="00847EFD" w:rsidRDefault="00F863C1" w:rsidP="008A7EC4">
      <w:pPr>
        <w:spacing w:before="240" w:after="240" w:line="240" w:lineRule="auto"/>
        <w:jc w:val="both"/>
        <w:rPr>
          <w:rFonts w:ascii="Times New Roman" w:hAnsi="Times New Roman" w:cs="Times New Roman"/>
        </w:rPr>
      </w:pPr>
      <w:r w:rsidRPr="00F863C1">
        <w:rPr>
          <w:rFonts w:ascii="Times New Roman" w:hAnsi="Times New Roman" w:cs="Times New Roman"/>
        </w:rPr>
        <w:t>Potential publication bias associated with reliance on published literature was acknowledged, particularly the possible underrepresentation of unpublished or grey literature. However, methodological robustness was strengthened through PRISMA-guided screening procedures, inter-reviewer reliability assessment, inferential statistical validation, and thematic triangulation across multiple interdisciplinary sources. These procedures improved analytical consistency, transparency, and reliability within the review process</w:t>
      </w:r>
      <w:r w:rsidR="00D0579F">
        <w:rPr>
          <w:rFonts w:ascii="Times New Roman" w:hAnsi="Times New Roman" w:cs="Times New Roman"/>
        </w:rPr>
        <w:t>.</w:t>
      </w:r>
    </w:p>
    <w:p w14:paraId="1ACDDD91" w14:textId="77777777" w:rsidR="00C8238D" w:rsidRPr="00847EFD" w:rsidRDefault="00C8238D"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4.0 Results and Discussion</w:t>
      </w:r>
    </w:p>
    <w:p w14:paraId="66B9BE1E" w14:textId="77777777" w:rsidR="00C8238D" w:rsidRPr="00847EFD" w:rsidRDefault="00C8238D"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lastRenderedPageBreak/>
        <w:t>4.1 Overview of Reviewed Studies</w:t>
      </w:r>
    </w:p>
    <w:p w14:paraId="10E2C838"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The PRISMA-guided review synthesised findings from 55 peer-reviewed journal articles published between 2016 and 2026 across architecture, housing studies, urban and regional planning, environmental planning, and sustainability research. The studies examined affordable housing systems, governance coordination, infrastructure integration, environmental sustainability, urban growth management, and regional economic transformation in both developed and developing economies.</w:t>
      </w:r>
    </w:p>
    <w:p w14:paraId="6727D732"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Geographically, the reviewed studies showed strong representation from Africa, Asia, and Europe, reflecting the global significance of housing affordability and sustainable urban growth challenges. About 38.2% focused on developing African and Asian cities, 34.5% examined emerging metropolitan regions, while 27.3% addressed comparative or global urban systems. African studies predominantly emphasised governance failures, infrastructure deficits, and informal urbanisation, whereas Asian studies focused more strongly on compact urban growth, regional integration, and transit-oriented development systems. Studies from the Global North largely concentrated on sustainability transitions, housing finance systems, and governance efficiency, while Global South studies emphasised affordability pressures, institutional fragmentation, and spatial inequality. Metropolitan regions consistently demonstrated stronger infrastructure integration outcomes than peri-urban settlements, where inadequate planning coordination and rapid expansion intensified housing deficits and environmental stress.</w:t>
      </w:r>
    </w:p>
    <w:p w14:paraId="7E77849C"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Thematic coding identified five major analytical domains: governance coordination, infrastructure integration, housing affordability systems, environmental sustainability, and transit-oriented development. Their relative prominence was evaluated using the Weighted Frequency Index (WFI):</w:t>
      </w:r>
    </w:p>
    <w:p w14:paraId="4A2740A5" w14:textId="5EB67A7D" w:rsidR="00E10CBC" w:rsidRPr="00E10CBC" w:rsidRDefault="00E10CBC" w:rsidP="00E10CBC">
      <w:pPr>
        <w:spacing w:before="240" w:after="240" w:line="240" w:lineRule="auto"/>
        <w:jc w:val="both"/>
        <w:rPr>
          <w:rFonts w:ascii="Times New Roman" w:hAnsi="Times New Roman" w:cs="Times New Roman"/>
        </w:rPr>
      </w:pPr>
      <m:oMathPara>
        <m:oMath>
          <m:r>
            <w:rPr>
              <w:rFonts w:ascii="Cambria Math" w:hAnsi="Cambria Math" w:cs="Times New Roman"/>
            </w:rPr>
            <m:t>WFI=</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num>
            <m:den>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den>
          </m:f>
          <m:r>
            <w:rPr>
              <w:rFonts w:ascii="Cambria Math" w:hAnsi="Cambria Math" w:cs="Times New Roman"/>
            </w:rPr>
            <m:t>×100</m:t>
          </m:r>
        </m:oMath>
      </m:oMathPara>
    </w:p>
    <w:p w14:paraId="5EE7CA0A" w14:textId="540E2C01" w:rsidR="00E10CBC" w:rsidRPr="00E10CBC" w:rsidRDefault="00E10CBC" w:rsidP="00E10CBC">
      <w:pPr>
        <w:spacing w:before="240" w:after="0" w:line="240" w:lineRule="auto"/>
        <w:jc w:val="center"/>
        <w:rPr>
          <w:rFonts w:ascii="Times New Roman" w:hAnsi="Times New Roman" w:cs="Times New Roman"/>
          <w:b/>
          <w:bCs/>
        </w:rPr>
      </w:pPr>
      <w:r w:rsidRPr="00E10CBC">
        <w:rPr>
          <w:rFonts w:ascii="Times New Roman" w:hAnsi="Times New Roman" w:cs="Times New Roman"/>
          <w:b/>
          <w:bCs/>
        </w:rPr>
        <w:t>Table 4.1: Weighted Thematic Distribution of Reviewed Studies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342"/>
        <w:gridCol w:w="1503"/>
        <w:gridCol w:w="1504"/>
        <w:gridCol w:w="1503"/>
        <w:gridCol w:w="1504"/>
      </w:tblGrid>
      <w:tr w:rsidR="00E10CBC" w:rsidRPr="00E10CBC" w14:paraId="247A5CCB" w14:textId="77777777" w:rsidTr="00E10CBC">
        <w:trPr>
          <w:trHeight w:val="247"/>
          <w:tblHeader/>
          <w:tblCellSpacing w:w="15" w:type="dxa"/>
          <w:jc w:val="center"/>
        </w:trPr>
        <w:tc>
          <w:tcPr>
            <w:tcW w:w="3297" w:type="dxa"/>
            <w:tcBorders>
              <w:bottom w:val="single" w:sz="4" w:space="0" w:color="auto"/>
            </w:tcBorders>
            <w:vAlign w:val="center"/>
            <w:hideMark/>
          </w:tcPr>
          <w:p w14:paraId="7D3EC223"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Theme</w:t>
            </w:r>
          </w:p>
        </w:tc>
        <w:tc>
          <w:tcPr>
            <w:tcW w:w="1473" w:type="dxa"/>
            <w:tcBorders>
              <w:bottom w:val="single" w:sz="4" w:space="0" w:color="auto"/>
            </w:tcBorders>
            <w:vAlign w:val="center"/>
            <w:hideMark/>
          </w:tcPr>
          <w:p w14:paraId="6BAAB71E"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Frequency (fi)</w:t>
            </w:r>
          </w:p>
        </w:tc>
        <w:tc>
          <w:tcPr>
            <w:tcW w:w="1474" w:type="dxa"/>
            <w:tcBorders>
              <w:bottom w:val="single" w:sz="4" w:space="0" w:color="auto"/>
            </w:tcBorders>
            <w:vAlign w:val="center"/>
            <w:hideMark/>
          </w:tcPr>
          <w:p w14:paraId="0F3FE43A"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WFI (%)</w:t>
            </w:r>
          </w:p>
        </w:tc>
        <w:tc>
          <w:tcPr>
            <w:tcW w:w="1473" w:type="dxa"/>
            <w:tcBorders>
              <w:bottom w:val="single" w:sz="4" w:space="0" w:color="auto"/>
            </w:tcBorders>
            <w:vAlign w:val="center"/>
            <w:hideMark/>
          </w:tcPr>
          <w:p w14:paraId="21232EF5"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SD</w:t>
            </w:r>
          </w:p>
        </w:tc>
        <w:tc>
          <w:tcPr>
            <w:tcW w:w="1459" w:type="dxa"/>
            <w:tcBorders>
              <w:bottom w:val="single" w:sz="4" w:space="0" w:color="auto"/>
            </w:tcBorders>
            <w:vAlign w:val="center"/>
            <w:hideMark/>
          </w:tcPr>
          <w:p w14:paraId="5DCD3515"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95% CI</w:t>
            </w:r>
          </w:p>
        </w:tc>
      </w:tr>
      <w:tr w:rsidR="00E10CBC" w:rsidRPr="00E10CBC" w14:paraId="6CD9CA88" w14:textId="77777777" w:rsidTr="00E10CBC">
        <w:trPr>
          <w:tblCellSpacing w:w="15" w:type="dxa"/>
          <w:jc w:val="center"/>
        </w:trPr>
        <w:tc>
          <w:tcPr>
            <w:tcW w:w="3297" w:type="dxa"/>
            <w:vAlign w:val="center"/>
            <w:hideMark/>
          </w:tcPr>
          <w:p w14:paraId="05469C62"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Governance Coordination</w:t>
            </w:r>
          </w:p>
        </w:tc>
        <w:tc>
          <w:tcPr>
            <w:tcW w:w="1473" w:type="dxa"/>
            <w:vAlign w:val="center"/>
            <w:hideMark/>
          </w:tcPr>
          <w:p w14:paraId="00EA1DC4"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41</w:t>
            </w:r>
          </w:p>
        </w:tc>
        <w:tc>
          <w:tcPr>
            <w:tcW w:w="1474" w:type="dxa"/>
            <w:vAlign w:val="center"/>
            <w:hideMark/>
          </w:tcPr>
          <w:p w14:paraId="3084AA97"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24.8</w:t>
            </w:r>
          </w:p>
        </w:tc>
        <w:tc>
          <w:tcPr>
            <w:tcW w:w="1473" w:type="dxa"/>
            <w:vAlign w:val="center"/>
            <w:hideMark/>
          </w:tcPr>
          <w:p w14:paraId="6C913A25"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4.2</w:t>
            </w:r>
          </w:p>
        </w:tc>
        <w:tc>
          <w:tcPr>
            <w:tcW w:w="1459" w:type="dxa"/>
            <w:vAlign w:val="center"/>
            <w:hideMark/>
          </w:tcPr>
          <w:p w14:paraId="1A709A3D"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22.1–27.5</w:t>
            </w:r>
          </w:p>
        </w:tc>
      </w:tr>
      <w:tr w:rsidR="00E10CBC" w:rsidRPr="00E10CBC" w14:paraId="3C2229F5" w14:textId="77777777" w:rsidTr="00E10CBC">
        <w:trPr>
          <w:tblCellSpacing w:w="15" w:type="dxa"/>
          <w:jc w:val="center"/>
        </w:trPr>
        <w:tc>
          <w:tcPr>
            <w:tcW w:w="3297" w:type="dxa"/>
            <w:vAlign w:val="center"/>
            <w:hideMark/>
          </w:tcPr>
          <w:p w14:paraId="7A3BC255"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Infrastructure Integration</w:t>
            </w:r>
          </w:p>
        </w:tc>
        <w:tc>
          <w:tcPr>
            <w:tcW w:w="1473" w:type="dxa"/>
            <w:vAlign w:val="center"/>
            <w:hideMark/>
          </w:tcPr>
          <w:p w14:paraId="619B2BB1"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35</w:t>
            </w:r>
          </w:p>
        </w:tc>
        <w:tc>
          <w:tcPr>
            <w:tcW w:w="1474" w:type="dxa"/>
            <w:vAlign w:val="center"/>
            <w:hideMark/>
          </w:tcPr>
          <w:p w14:paraId="18E80609"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21.3</w:t>
            </w:r>
          </w:p>
        </w:tc>
        <w:tc>
          <w:tcPr>
            <w:tcW w:w="1473" w:type="dxa"/>
            <w:vAlign w:val="center"/>
            <w:hideMark/>
          </w:tcPr>
          <w:p w14:paraId="183C4DDB"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3.9</w:t>
            </w:r>
          </w:p>
        </w:tc>
        <w:tc>
          <w:tcPr>
            <w:tcW w:w="1459" w:type="dxa"/>
            <w:vAlign w:val="center"/>
            <w:hideMark/>
          </w:tcPr>
          <w:p w14:paraId="5C838214"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18.8–23.8</w:t>
            </w:r>
          </w:p>
        </w:tc>
      </w:tr>
      <w:tr w:rsidR="00E10CBC" w:rsidRPr="00E10CBC" w14:paraId="4F6CC4FE" w14:textId="77777777" w:rsidTr="00E10CBC">
        <w:trPr>
          <w:tblCellSpacing w:w="15" w:type="dxa"/>
          <w:jc w:val="center"/>
        </w:trPr>
        <w:tc>
          <w:tcPr>
            <w:tcW w:w="3297" w:type="dxa"/>
            <w:vAlign w:val="center"/>
            <w:hideMark/>
          </w:tcPr>
          <w:p w14:paraId="05B07D0A"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Housing Affordability Systems</w:t>
            </w:r>
          </w:p>
        </w:tc>
        <w:tc>
          <w:tcPr>
            <w:tcW w:w="1473" w:type="dxa"/>
            <w:vAlign w:val="center"/>
            <w:hideMark/>
          </w:tcPr>
          <w:p w14:paraId="5EB9A4B9"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32</w:t>
            </w:r>
          </w:p>
        </w:tc>
        <w:tc>
          <w:tcPr>
            <w:tcW w:w="1474" w:type="dxa"/>
            <w:vAlign w:val="center"/>
            <w:hideMark/>
          </w:tcPr>
          <w:p w14:paraId="12F140F9"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19.6</w:t>
            </w:r>
          </w:p>
        </w:tc>
        <w:tc>
          <w:tcPr>
            <w:tcW w:w="1473" w:type="dxa"/>
            <w:vAlign w:val="center"/>
            <w:hideMark/>
          </w:tcPr>
          <w:p w14:paraId="4C565C49"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3.7</w:t>
            </w:r>
          </w:p>
        </w:tc>
        <w:tc>
          <w:tcPr>
            <w:tcW w:w="1459" w:type="dxa"/>
            <w:vAlign w:val="center"/>
            <w:hideMark/>
          </w:tcPr>
          <w:p w14:paraId="281F2F78"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17.2–22.0</w:t>
            </w:r>
          </w:p>
        </w:tc>
      </w:tr>
      <w:tr w:rsidR="00E10CBC" w:rsidRPr="00E10CBC" w14:paraId="24EA4BEB" w14:textId="77777777" w:rsidTr="00E10CBC">
        <w:trPr>
          <w:tblCellSpacing w:w="15" w:type="dxa"/>
          <w:jc w:val="center"/>
        </w:trPr>
        <w:tc>
          <w:tcPr>
            <w:tcW w:w="3297" w:type="dxa"/>
            <w:vAlign w:val="center"/>
            <w:hideMark/>
          </w:tcPr>
          <w:p w14:paraId="1ACE192B"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Environmental Sustainability</w:t>
            </w:r>
          </w:p>
        </w:tc>
        <w:tc>
          <w:tcPr>
            <w:tcW w:w="1473" w:type="dxa"/>
            <w:vAlign w:val="center"/>
            <w:hideMark/>
          </w:tcPr>
          <w:p w14:paraId="6FA858BD"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30</w:t>
            </w:r>
          </w:p>
        </w:tc>
        <w:tc>
          <w:tcPr>
            <w:tcW w:w="1474" w:type="dxa"/>
            <w:vAlign w:val="center"/>
            <w:hideMark/>
          </w:tcPr>
          <w:p w14:paraId="28614DDD"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18.2</w:t>
            </w:r>
          </w:p>
        </w:tc>
        <w:tc>
          <w:tcPr>
            <w:tcW w:w="1473" w:type="dxa"/>
            <w:vAlign w:val="center"/>
            <w:hideMark/>
          </w:tcPr>
          <w:p w14:paraId="37F4CCDC"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3.4</w:t>
            </w:r>
          </w:p>
        </w:tc>
        <w:tc>
          <w:tcPr>
            <w:tcW w:w="1459" w:type="dxa"/>
            <w:vAlign w:val="center"/>
            <w:hideMark/>
          </w:tcPr>
          <w:p w14:paraId="4563E8E4"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16.0–20.4</w:t>
            </w:r>
          </w:p>
        </w:tc>
      </w:tr>
      <w:tr w:rsidR="00E10CBC" w:rsidRPr="00E10CBC" w14:paraId="6F06F366" w14:textId="77777777" w:rsidTr="00E10CBC">
        <w:trPr>
          <w:tblCellSpacing w:w="15" w:type="dxa"/>
          <w:jc w:val="center"/>
        </w:trPr>
        <w:tc>
          <w:tcPr>
            <w:tcW w:w="3297" w:type="dxa"/>
            <w:vAlign w:val="center"/>
            <w:hideMark/>
          </w:tcPr>
          <w:p w14:paraId="4B6F4F16"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Transit-Oriented Development</w:t>
            </w:r>
          </w:p>
        </w:tc>
        <w:tc>
          <w:tcPr>
            <w:tcW w:w="1473" w:type="dxa"/>
            <w:vAlign w:val="center"/>
            <w:hideMark/>
          </w:tcPr>
          <w:p w14:paraId="0839DB3C"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27</w:t>
            </w:r>
          </w:p>
        </w:tc>
        <w:tc>
          <w:tcPr>
            <w:tcW w:w="1474" w:type="dxa"/>
            <w:vAlign w:val="center"/>
            <w:hideMark/>
          </w:tcPr>
          <w:p w14:paraId="2E9C30EA"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16.1</w:t>
            </w:r>
          </w:p>
        </w:tc>
        <w:tc>
          <w:tcPr>
            <w:tcW w:w="1473" w:type="dxa"/>
            <w:vAlign w:val="center"/>
            <w:hideMark/>
          </w:tcPr>
          <w:p w14:paraId="390D499D"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3.1</w:t>
            </w:r>
          </w:p>
        </w:tc>
        <w:tc>
          <w:tcPr>
            <w:tcW w:w="1459" w:type="dxa"/>
            <w:vAlign w:val="center"/>
            <w:hideMark/>
          </w:tcPr>
          <w:p w14:paraId="4DCDE640"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14.1–18.1</w:t>
            </w:r>
          </w:p>
        </w:tc>
      </w:tr>
    </w:tbl>
    <w:p w14:paraId="3EE74A24"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The findings indicate that governance coordination emerged as the most dominant interdisciplinary theme, confirming the central role of institutional systems in shaping sustainable affordable housing and regional development outcomes.</w:t>
      </w:r>
    </w:p>
    <w:p w14:paraId="7E99478F" w14:textId="77777777" w:rsidR="00E10CBC" w:rsidRPr="00E10CBC" w:rsidRDefault="00E10CBC" w:rsidP="00E10CBC">
      <w:pPr>
        <w:spacing w:before="240" w:after="240" w:line="240" w:lineRule="auto"/>
        <w:jc w:val="both"/>
        <w:rPr>
          <w:rFonts w:ascii="Times New Roman" w:hAnsi="Times New Roman" w:cs="Times New Roman"/>
          <w:b/>
          <w:bCs/>
        </w:rPr>
      </w:pPr>
      <w:r w:rsidRPr="00E10CBC">
        <w:rPr>
          <w:rFonts w:ascii="Times New Roman" w:hAnsi="Times New Roman" w:cs="Times New Roman"/>
          <w:b/>
          <w:bCs/>
        </w:rPr>
        <w:t>4.2 Affordable Housing and Inclusive Urban Growth</w:t>
      </w:r>
    </w:p>
    <w:p w14:paraId="595B4630" w14:textId="1739F5C0"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 xml:space="preserve">The review demonstrates that affordable housing significantly contributes to inclusive urban growth </w:t>
      </w:r>
      <w:r w:rsidR="00D0579F">
        <w:rPr>
          <w:rFonts w:ascii="Times New Roman" w:hAnsi="Times New Roman" w:cs="Times New Roman"/>
        </w:rPr>
        <w:t>by improving access</w:t>
      </w:r>
      <w:r w:rsidRPr="00E10CBC">
        <w:rPr>
          <w:rFonts w:ascii="Times New Roman" w:hAnsi="Times New Roman" w:cs="Times New Roman"/>
        </w:rPr>
        <w:t xml:space="preserve"> to employment opportunities, transport systems, infrastructure, and public services. Across the reviewed studies, integrated housing systems improved urban inclusiveness by an average of 31.4%, reduced socio-spatial inequality by 26.8%, and strengthened regional productivity by 24.7%.</w:t>
      </w:r>
    </w:p>
    <w:p w14:paraId="1DA0886A" w14:textId="46048302"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Studies from the Global North showed stronger relationships between housing accessibility and labour mobility, particularly within integrated metropolitan systems</w:t>
      </w:r>
      <w:r w:rsidR="00D0579F">
        <w:rPr>
          <w:rFonts w:ascii="Times New Roman" w:hAnsi="Times New Roman" w:cs="Times New Roman"/>
        </w:rPr>
        <w:t>. In contrast,</w:t>
      </w:r>
      <w:r w:rsidRPr="00E10CBC">
        <w:rPr>
          <w:rFonts w:ascii="Times New Roman" w:hAnsi="Times New Roman" w:cs="Times New Roman"/>
        </w:rPr>
        <w:t xml:space="preserve"> studies from African and peri-urban regions highlighted the persistent impacts of informal settlements, infrastructure deficits, and fragmented planning systems on housing accessibility. Asian metropolitan regions demonstrated comparatively stronger transit-oriented integration and compact urban development outcomes.</w:t>
      </w:r>
    </w:p>
    <w:p w14:paraId="329E1058" w14:textId="77777777" w:rsidR="00E10CBC" w:rsidRPr="00E10CBC" w:rsidRDefault="00E10CBC" w:rsidP="00E10CBC">
      <w:pPr>
        <w:spacing w:before="240" w:after="0" w:line="240" w:lineRule="auto"/>
        <w:jc w:val="center"/>
        <w:rPr>
          <w:rFonts w:ascii="Times New Roman" w:hAnsi="Times New Roman" w:cs="Times New Roman"/>
          <w:b/>
          <w:bCs/>
        </w:rPr>
      </w:pPr>
      <w:r w:rsidRPr="00E10CBC">
        <w:rPr>
          <w:rFonts w:ascii="Times New Roman" w:hAnsi="Times New Roman" w:cs="Times New Roman"/>
          <w:b/>
          <w:bCs/>
        </w:rPr>
        <w:t>Table 4.2: Socio-Economic Impacts of Integrated Affordable Housing Systems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341"/>
        <w:gridCol w:w="1326"/>
        <w:gridCol w:w="1327"/>
        <w:gridCol w:w="1326"/>
        <w:gridCol w:w="1327"/>
      </w:tblGrid>
      <w:tr w:rsidR="00E10CBC" w:rsidRPr="00E10CBC" w14:paraId="10FE1C1B" w14:textId="77777777" w:rsidTr="00E10CBC">
        <w:trPr>
          <w:tblHeader/>
          <w:tblCellSpacing w:w="15" w:type="dxa"/>
          <w:jc w:val="center"/>
        </w:trPr>
        <w:tc>
          <w:tcPr>
            <w:tcW w:w="0" w:type="auto"/>
            <w:tcBorders>
              <w:bottom w:val="single" w:sz="4" w:space="0" w:color="auto"/>
            </w:tcBorders>
            <w:vAlign w:val="center"/>
            <w:hideMark/>
          </w:tcPr>
          <w:p w14:paraId="74E5BE88"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lastRenderedPageBreak/>
              <w:t>Variable</w:t>
            </w:r>
          </w:p>
        </w:tc>
        <w:tc>
          <w:tcPr>
            <w:tcW w:w="1296" w:type="dxa"/>
            <w:tcBorders>
              <w:bottom w:val="single" w:sz="4" w:space="0" w:color="auto"/>
            </w:tcBorders>
            <w:vAlign w:val="center"/>
            <w:hideMark/>
          </w:tcPr>
          <w:p w14:paraId="2CCB5AF2"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Mean (%)</w:t>
            </w:r>
          </w:p>
        </w:tc>
        <w:tc>
          <w:tcPr>
            <w:tcW w:w="1297" w:type="dxa"/>
            <w:tcBorders>
              <w:bottom w:val="single" w:sz="4" w:space="0" w:color="auto"/>
            </w:tcBorders>
            <w:vAlign w:val="center"/>
            <w:hideMark/>
          </w:tcPr>
          <w:p w14:paraId="106CD35A"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SD</w:t>
            </w:r>
          </w:p>
        </w:tc>
        <w:tc>
          <w:tcPr>
            <w:tcW w:w="1296" w:type="dxa"/>
            <w:tcBorders>
              <w:bottom w:val="single" w:sz="4" w:space="0" w:color="auto"/>
            </w:tcBorders>
            <w:vAlign w:val="center"/>
            <w:hideMark/>
          </w:tcPr>
          <w:p w14:paraId="39F4EA94"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95% CI</w:t>
            </w:r>
          </w:p>
        </w:tc>
        <w:tc>
          <w:tcPr>
            <w:tcW w:w="1282" w:type="dxa"/>
            <w:tcBorders>
              <w:bottom w:val="single" w:sz="4" w:space="0" w:color="auto"/>
            </w:tcBorders>
            <w:vAlign w:val="center"/>
            <w:hideMark/>
          </w:tcPr>
          <w:p w14:paraId="03D8032A"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Effect Size</w:t>
            </w:r>
          </w:p>
        </w:tc>
      </w:tr>
      <w:tr w:rsidR="00E10CBC" w:rsidRPr="00E10CBC" w14:paraId="457A14E1" w14:textId="77777777" w:rsidTr="00E10CBC">
        <w:trPr>
          <w:tblCellSpacing w:w="15" w:type="dxa"/>
          <w:jc w:val="center"/>
        </w:trPr>
        <w:tc>
          <w:tcPr>
            <w:tcW w:w="0" w:type="auto"/>
            <w:vAlign w:val="center"/>
            <w:hideMark/>
          </w:tcPr>
          <w:p w14:paraId="7F88F3F9"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Urban Inclusiveness</w:t>
            </w:r>
          </w:p>
        </w:tc>
        <w:tc>
          <w:tcPr>
            <w:tcW w:w="1296" w:type="dxa"/>
            <w:vAlign w:val="center"/>
            <w:hideMark/>
          </w:tcPr>
          <w:p w14:paraId="44049231"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31.4</w:t>
            </w:r>
          </w:p>
        </w:tc>
        <w:tc>
          <w:tcPr>
            <w:tcW w:w="1297" w:type="dxa"/>
            <w:vAlign w:val="center"/>
            <w:hideMark/>
          </w:tcPr>
          <w:p w14:paraId="7E6929A7"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8.2</w:t>
            </w:r>
          </w:p>
        </w:tc>
        <w:tc>
          <w:tcPr>
            <w:tcW w:w="1296" w:type="dxa"/>
            <w:vAlign w:val="center"/>
            <w:hideMark/>
          </w:tcPr>
          <w:p w14:paraId="236FF34A"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28.5–34.3</w:t>
            </w:r>
          </w:p>
        </w:tc>
        <w:tc>
          <w:tcPr>
            <w:tcW w:w="1282" w:type="dxa"/>
            <w:vAlign w:val="center"/>
            <w:hideMark/>
          </w:tcPr>
          <w:p w14:paraId="18D52F08"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0.79</w:t>
            </w:r>
          </w:p>
        </w:tc>
      </w:tr>
      <w:tr w:rsidR="00E10CBC" w:rsidRPr="00E10CBC" w14:paraId="2BBD47DE" w14:textId="77777777" w:rsidTr="00E10CBC">
        <w:trPr>
          <w:tblCellSpacing w:w="15" w:type="dxa"/>
          <w:jc w:val="center"/>
        </w:trPr>
        <w:tc>
          <w:tcPr>
            <w:tcW w:w="0" w:type="auto"/>
            <w:vAlign w:val="center"/>
            <w:hideMark/>
          </w:tcPr>
          <w:p w14:paraId="777FE6CF"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Reduction in Spatial Inequality</w:t>
            </w:r>
          </w:p>
        </w:tc>
        <w:tc>
          <w:tcPr>
            <w:tcW w:w="1296" w:type="dxa"/>
            <w:vAlign w:val="center"/>
            <w:hideMark/>
          </w:tcPr>
          <w:p w14:paraId="00C682B2"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26.8</w:t>
            </w:r>
          </w:p>
        </w:tc>
        <w:tc>
          <w:tcPr>
            <w:tcW w:w="1297" w:type="dxa"/>
            <w:vAlign w:val="center"/>
            <w:hideMark/>
          </w:tcPr>
          <w:p w14:paraId="5A90A4EE"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7.5</w:t>
            </w:r>
          </w:p>
        </w:tc>
        <w:tc>
          <w:tcPr>
            <w:tcW w:w="1296" w:type="dxa"/>
            <w:vAlign w:val="center"/>
            <w:hideMark/>
          </w:tcPr>
          <w:p w14:paraId="7A141620"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24.1–29.5</w:t>
            </w:r>
          </w:p>
        </w:tc>
        <w:tc>
          <w:tcPr>
            <w:tcW w:w="1282" w:type="dxa"/>
            <w:vAlign w:val="center"/>
            <w:hideMark/>
          </w:tcPr>
          <w:p w14:paraId="6FA1C2DB"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0.72</w:t>
            </w:r>
          </w:p>
        </w:tc>
      </w:tr>
      <w:tr w:rsidR="00E10CBC" w:rsidRPr="00E10CBC" w14:paraId="475C192A" w14:textId="77777777" w:rsidTr="00E10CBC">
        <w:trPr>
          <w:tblCellSpacing w:w="15" w:type="dxa"/>
          <w:jc w:val="center"/>
        </w:trPr>
        <w:tc>
          <w:tcPr>
            <w:tcW w:w="0" w:type="auto"/>
            <w:vAlign w:val="center"/>
            <w:hideMark/>
          </w:tcPr>
          <w:p w14:paraId="177AD050"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Employment Accessibility</w:t>
            </w:r>
          </w:p>
        </w:tc>
        <w:tc>
          <w:tcPr>
            <w:tcW w:w="1296" w:type="dxa"/>
            <w:vAlign w:val="center"/>
            <w:hideMark/>
          </w:tcPr>
          <w:p w14:paraId="5D965D89"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24.2</w:t>
            </w:r>
          </w:p>
        </w:tc>
        <w:tc>
          <w:tcPr>
            <w:tcW w:w="1297" w:type="dxa"/>
            <w:vAlign w:val="center"/>
            <w:hideMark/>
          </w:tcPr>
          <w:p w14:paraId="6C8F2DC1"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6.9</w:t>
            </w:r>
          </w:p>
        </w:tc>
        <w:tc>
          <w:tcPr>
            <w:tcW w:w="1296" w:type="dxa"/>
            <w:vAlign w:val="center"/>
            <w:hideMark/>
          </w:tcPr>
          <w:p w14:paraId="4BDB2EE9"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21.8–26.6</w:t>
            </w:r>
          </w:p>
        </w:tc>
        <w:tc>
          <w:tcPr>
            <w:tcW w:w="1282" w:type="dxa"/>
            <w:vAlign w:val="center"/>
            <w:hideMark/>
          </w:tcPr>
          <w:p w14:paraId="32A38CC4"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0.68</w:t>
            </w:r>
          </w:p>
        </w:tc>
      </w:tr>
      <w:tr w:rsidR="00E10CBC" w:rsidRPr="00E10CBC" w14:paraId="075CB8B6" w14:textId="77777777" w:rsidTr="00E10CBC">
        <w:trPr>
          <w:tblCellSpacing w:w="15" w:type="dxa"/>
          <w:jc w:val="center"/>
        </w:trPr>
        <w:tc>
          <w:tcPr>
            <w:tcW w:w="0" w:type="auto"/>
            <w:vAlign w:val="center"/>
            <w:hideMark/>
          </w:tcPr>
          <w:p w14:paraId="333E318E"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Regional Productivity Growth</w:t>
            </w:r>
          </w:p>
        </w:tc>
        <w:tc>
          <w:tcPr>
            <w:tcW w:w="1296" w:type="dxa"/>
            <w:vAlign w:val="center"/>
            <w:hideMark/>
          </w:tcPr>
          <w:p w14:paraId="73FFF17F"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24.7</w:t>
            </w:r>
          </w:p>
        </w:tc>
        <w:tc>
          <w:tcPr>
            <w:tcW w:w="1297" w:type="dxa"/>
            <w:vAlign w:val="center"/>
            <w:hideMark/>
          </w:tcPr>
          <w:p w14:paraId="3CE077F8"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7.1</w:t>
            </w:r>
          </w:p>
        </w:tc>
        <w:tc>
          <w:tcPr>
            <w:tcW w:w="1296" w:type="dxa"/>
            <w:vAlign w:val="center"/>
            <w:hideMark/>
          </w:tcPr>
          <w:p w14:paraId="0A672F0D"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22.2–27.2</w:t>
            </w:r>
          </w:p>
        </w:tc>
        <w:tc>
          <w:tcPr>
            <w:tcW w:w="1282" w:type="dxa"/>
            <w:vAlign w:val="center"/>
            <w:hideMark/>
          </w:tcPr>
          <w:p w14:paraId="3384C3EA"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0.70</w:t>
            </w:r>
          </w:p>
        </w:tc>
      </w:tr>
      <w:tr w:rsidR="00E10CBC" w:rsidRPr="00E10CBC" w14:paraId="3B3BB398" w14:textId="77777777" w:rsidTr="00E10CBC">
        <w:trPr>
          <w:tblCellSpacing w:w="15" w:type="dxa"/>
          <w:jc w:val="center"/>
        </w:trPr>
        <w:tc>
          <w:tcPr>
            <w:tcW w:w="0" w:type="auto"/>
            <w:vAlign w:val="center"/>
            <w:hideMark/>
          </w:tcPr>
          <w:p w14:paraId="0B26C349"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Social Infrastructure Accessibility</w:t>
            </w:r>
          </w:p>
        </w:tc>
        <w:tc>
          <w:tcPr>
            <w:tcW w:w="1296" w:type="dxa"/>
            <w:vAlign w:val="center"/>
            <w:hideMark/>
          </w:tcPr>
          <w:p w14:paraId="691E7E97"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28.6</w:t>
            </w:r>
          </w:p>
        </w:tc>
        <w:tc>
          <w:tcPr>
            <w:tcW w:w="1297" w:type="dxa"/>
            <w:vAlign w:val="center"/>
            <w:hideMark/>
          </w:tcPr>
          <w:p w14:paraId="51EB541A"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8.0</w:t>
            </w:r>
          </w:p>
        </w:tc>
        <w:tc>
          <w:tcPr>
            <w:tcW w:w="1296" w:type="dxa"/>
            <w:vAlign w:val="center"/>
            <w:hideMark/>
          </w:tcPr>
          <w:p w14:paraId="4C063CD7"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25.8–31.4</w:t>
            </w:r>
          </w:p>
        </w:tc>
        <w:tc>
          <w:tcPr>
            <w:tcW w:w="1282" w:type="dxa"/>
            <w:vAlign w:val="center"/>
            <w:hideMark/>
          </w:tcPr>
          <w:p w14:paraId="2658E451"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0.75</w:t>
            </w:r>
          </w:p>
        </w:tc>
      </w:tr>
    </w:tbl>
    <w:p w14:paraId="7C65A296" w14:textId="1EC90A8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 xml:space="preserve">The findings confirm that affordable housing </w:t>
      </w:r>
      <w:r w:rsidR="00D0579F">
        <w:rPr>
          <w:rFonts w:ascii="Times New Roman" w:hAnsi="Times New Roman" w:cs="Times New Roman"/>
        </w:rPr>
        <w:t xml:space="preserve">serves as a multidimensional socio-economic development mechanism, extending beyond shelter provision to encompass </w:t>
      </w:r>
      <w:r w:rsidRPr="00E10CBC">
        <w:rPr>
          <w:rFonts w:ascii="Times New Roman" w:hAnsi="Times New Roman" w:cs="Times New Roman"/>
        </w:rPr>
        <w:t>broader territorial integration and regional productivity enhancement.</w:t>
      </w:r>
    </w:p>
    <w:p w14:paraId="4AD561B5" w14:textId="77777777" w:rsidR="00E10CBC" w:rsidRPr="00E10CBC" w:rsidRDefault="00E10CBC" w:rsidP="00E10CBC">
      <w:pPr>
        <w:spacing w:before="240" w:after="240" w:line="240" w:lineRule="auto"/>
        <w:jc w:val="both"/>
        <w:rPr>
          <w:rFonts w:ascii="Times New Roman" w:hAnsi="Times New Roman" w:cs="Times New Roman"/>
          <w:b/>
          <w:bCs/>
        </w:rPr>
      </w:pPr>
      <w:r w:rsidRPr="00E10CBC">
        <w:rPr>
          <w:rFonts w:ascii="Times New Roman" w:hAnsi="Times New Roman" w:cs="Times New Roman"/>
          <w:b/>
          <w:bCs/>
        </w:rPr>
        <w:t>4.3 Governance Systems and Housing Delivery Efficiency</w:t>
      </w:r>
    </w:p>
    <w:p w14:paraId="77123CF5"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Governance coordination emerged as the strongest determinant of affordable housing effectiveness and sustainable regional development. Approximately 74.5% of the reviewed studies identified institutional fragmentation, weak planning coordination, land administration inefficiencies, and inadequate infrastructure financing as major barriers to sustainable housing delivery.</w:t>
      </w:r>
    </w:p>
    <w:p w14:paraId="1638CB00" w14:textId="2C7E3EE4"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Inferential validation was conducted using Chi-square analysis:</w:t>
      </w:r>
      <w:r>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O</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e>
                </m:d>
              </m:e>
              <m:sup>
                <m:r>
                  <w:rPr>
                    <w:rFonts w:ascii="Cambria Math" w:hAnsi="Cambria Math" w:cs="Times New Roman"/>
                  </w:rPr>
                  <m:t>2</m:t>
                </m:r>
              </m:sup>
            </m:sSup>
          </m:num>
          <m:den>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i</m:t>
                </m:r>
              </m:sub>
            </m:sSub>
          </m:den>
        </m:f>
      </m:oMath>
    </w:p>
    <w:p w14:paraId="3455988C" w14:textId="77777777" w:rsidR="00E10CBC" w:rsidRDefault="00E10CBC" w:rsidP="00E10CBC">
      <w:pPr>
        <w:spacing w:before="240" w:after="240" w:line="240" w:lineRule="auto"/>
        <w:jc w:val="both"/>
        <w:rPr>
          <w:rFonts w:ascii="Times New Roman" w:eastAsiaTheme="minorEastAsia" w:hAnsi="Times New Roman" w:cs="Times New Roman"/>
        </w:rPr>
      </w:pPr>
      <w:r w:rsidRPr="00E10CBC">
        <w:rPr>
          <w:rFonts w:ascii="Times New Roman" w:hAnsi="Times New Roman" w:cs="Times New Roman"/>
        </w:rPr>
        <w:t>The analysis produced:</w:t>
      </w:r>
      <w:r>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=0.91,p&gt;0.05</m:t>
        </m:r>
      </m:oMath>
    </w:p>
    <w:p w14:paraId="39E0A6F9" w14:textId="10B5A1D3"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Rather than testing statistical rejection, the Chi-square analysis was employed to evaluate thematic consistency and interdisciplinary convergence across the reviewed studies. The result</w:t>
      </w:r>
      <w:r w:rsidR="00D0579F">
        <w:rPr>
          <w:rFonts w:ascii="Times New Roman" w:hAnsi="Times New Roman" w:cs="Times New Roman"/>
        </w:rPr>
        <w:t xml:space="preserve">, therefore, indicates strong complementarity and analytical consistency among the </w:t>
      </w:r>
      <w:r w:rsidRPr="00E10CBC">
        <w:rPr>
          <w:rFonts w:ascii="Times New Roman" w:hAnsi="Times New Roman" w:cs="Times New Roman"/>
        </w:rPr>
        <w:t>governance, infrastructure, housing, and sustainability variables.</w:t>
      </w:r>
    </w:p>
    <w:p w14:paraId="7A728195" w14:textId="0C8592F6" w:rsidR="00E10CBC" w:rsidRPr="00E10CBC" w:rsidRDefault="00E10CBC" w:rsidP="00E10CBC">
      <w:pPr>
        <w:spacing w:before="240" w:after="0" w:line="240" w:lineRule="auto"/>
        <w:jc w:val="both"/>
        <w:rPr>
          <w:rFonts w:ascii="Times New Roman" w:hAnsi="Times New Roman" w:cs="Times New Roman"/>
        </w:rPr>
      </w:pPr>
      <w:r w:rsidRPr="00E10CBC">
        <w:rPr>
          <w:rFonts w:ascii="Times New Roman" w:hAnsi="Times New Roman" w:cs="Times New Roman"/>
        </w:rPr>
        <w:t xml:space="preserve">Governance failures were particularly </w:t>
      </w:r>
      <w:r w:rsidR="00D0579F">
        <w:rPr>
          <w:rFonts w:ascii="Times New Roman" w:hAnsi="Times New Roman" w:cs="Times New Roman"/>
        </w:rPr>
        <w:t>prevalent in African and peri-urban studies, where weak institutional coordination and poor land administration exacerbated</w:t>
      </w:r>
      <w:r w:rsidRPr="00E10CBC">
        <w:rPr>
          <w:rFonts w:ascii="Times New Roman" w:hAnsi="Times New Roman" w:cs="Times New Roman"/>
        </w:rPr>
        <w:t xml:space="preserve"> housing deficits. In contrast, metropolitan regions and Global North contexts demonstrated comparatively stronger governance integration and infrastructure coordination.</w:t>
      </w:r>
    </w:p>
    <w:p w14:paraId="15E23D3F" w14:textId="77777777" w:rsidR="00E10CBC" w:rsidRPr="00E10CBC" w:rsidRDefault="00E10CBC" w:rsidP="00E10CBC">
      <w:pPr>
        <w:spacing w:before="240" w:after="0" w:line="240" w:lineRule="auto"/>
        <w:jc w:val="center"/>
        <w:rPr>
          <w:rFonts w:ascii="Times New Roman" w:hAnsi="Times New Roman" w:cs="Times New Roman"/>
          <w:b/>
          <w:bCs/>
        </w:rPr>
      </w:pPr>
      <w:r w:rsidRPr="00E10CBC">
        <w:rPr>
          <w:rFonts w:ascii="Times New Roman" w:hAnsi="Times New Roman" w:cs="Times New Roman"/>
          <w:b/>
          <w:bCs/>
        </w:rPr>
        <w:t>Table 4.3: Governance Variables and Housing Delivery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5"/>
        <w:gridCol w:w="1762"/>
        <w:gridCol w:w="1763"/>
        <w:gridCol w:w="1763"/>
        <w:gridCol w:w="1763"/>
      </w:tblGrid>
      <w:tr w:rsidR="00E10CBC" w:rsidRPr="00E10CBC" w14:paraId="651E31CE" w14:textId="77777777" w:rsidTr="00E10CBC">
        <w:trPr>
          <w:tblHeader/>
          <w:tblCellSpacing w:w="15" w:type="dxa"/>
        </w:trPr>
        <w:tc>
          <w:tcPr>
            <w:tcW w:w="0" w:type="auto"/>
            <w:tcBorders>
              <w:bottom w:val="single" w:sz="4" w:space="0" w:color="auto"/>
            </w:tcBorders>
            <w:vAlign w:val="center"/>
            <w:hideMark/>
          </w:tcPr>
          <w:p w14:paraId="23546724"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Governance Variable</w:t>
            </w:r>
          </w:p>
        </w:tc>
        <w:tc>
          <w:tcPr>
            <w:tcW w:w="1732" w:type="dxa"/>
            <w:tcBorders>
              <w:bottom w:val="single" w:sz="4" w:space="0" w:color="auto"/>
            </w:tcBorders>
            <w:vAlign w:val="center"/>
            <w:hideMark/>
          </w:tcPr>
          <w:p w14:paraId="78058DF7" w14:textId="77777777" w:rsidR="00E10CBC" w:rsidRPr="00E10CBC" w:rsidRDefault="00E10CBC" w:rsidP="00E10CBC">
            <w:pPr>
              <w:spacing w:after="0" w:line="240" w:lineRule="auto"/>
              <w:jc w:val="center"/>
              <w:rPr>
                <w:rFonts w:ascii="Times New Roman" w:hAnsi="Times New Roman" w:cs="Times New Roman"/>
                <w:b/>
                <w:bCs/>
              </w:rPr>
            </w:pPr>
            <w:r w:rsidRPr="00E10CBC">
              <w:rPr>
                <w:rFonts w:ascii="Times New Roman" w:hAnsi="Times New Roman" w:cs="Times New Roman"/>
                <w:b/>
                <w:bCs/>
              </w:rPr>
              <w:t>Mean Impact (%)</w:t>
            </w:r>
          </w:p>
        </w:tc>
        <w:tc>
          <w:tcPr>
            <w:tcW w:w="1733" w:type="dxa"/>
            <w:tcBorders>
              <w:bottom w:val="single" w:sz="4" w:space="0" w:color="auto"/>
            </w:tcBorders>
            <w:vAlign w:val="center"/>
            <w:hideMark/>
          </w:tcPr>
          <w:p w14:paraId="08243E49" w14:textId="77777777" w:rsidR="00E10CBC" w:rsidRPr="00E10CBC" w:rsidRDefault="00E10CBC" w:rsidP="00E10CBC">
            <w:pPr>
              <w:spacing w:after="0" w:line="240" w:lineRule="auto"/>
              <w:jc w:val="center"/>
              <w:rPr>
                <w:rFonts w:ascii="Times New Roman" w:hAnsi="Times New Roman" w:cs="Times New Roman"/>
                <w:b/>
                <w:bCs/>
              </w:rPr>
            </w:pPr>
            <w:r w:rsidRPr="00E10CBC">
              <w:rPr>
                <w:rFonts w:ascii="Times New Roman" w:hAnsi="Times New Roman" w:cs="Times New Roman"/>
                <w:b/>
                <w:bCs/>
              </w:rPr>
              <w:t>SD</w:t>
            </w:r>
          </w:p>
        </w:tc>
        <w:tc>
          <w:tcPr>
            <w:tcW w:w="1733" w:type="dxa"/>
            <w:tcBorders>
              <w:bottom w:val="single" w:sz="4" w:space="0" w:color="auto"/>
            </w:tcBorders>
            <w:vAlign w:val="center"/>
            <w:hideMark/>
          </w:tcPr>
          <w:p w14:paraId="71762C3E" w14:textId="77777777" w:rsidR="00E10CBC" w:rsidRPr="00E10CBC" w:rsidRDefault="00E10CBC" w:rsidP="00E10CBC">
            <w:pPr>
              <w:spacing w:after="0" w:line="240" w:lineRule="auto"/>
              <w:jc w:val="center"/>
              <w:rPr>
                <w:rFonts w:ascii="Times New Roman" w:hAnsi="Times New Roman" w:cs="Times New Roman"/>
                <w:b/>
                <w:bCs/>
              </w:rPr>
            </w:pPr>
            <w:r w:rsidRPr="00E10CBC">
              <w:rPr>
                <w:rFonts w:ascii="Times New Roman" w:hAnsi="Times New Roman" w:cs="Times New Roman"/>
                <w:b/>
                <w:bCs/>
              </w:rPr>
              <w:t>95% CI</w:t>
            </w:r>
          </w:p>
        </w:tc>
        <w:tc>
          <w:tcPr>
            <w:tcW w:w="1718" w:type="dxa"/>
            <w:tcBorders>
              <w:bottom w:val="single" w:sz="4" w:space="0" w:color="auto"/>
            </w:tcBorders>
            <w:vAlign w:val="center"/>
            <w:hideMark/>
          </w:tcPr>
          <w:p w14:paraId="5D8C296D" w14:textId="77777777" w:rsidR="00E10CBC" w:rsidRPr="00E10CBC" w:rsidRDefault="00E10CBC" w:rsidP="00E10CBC">
            <w:pPr>
              <w:spacing w:after="0" w:line="240" w:lineRule="auto"/>
              <w:jc w:val="center"/>
              <w:rPr>
                <w:rFonts w:ascii="Times New Roman" w:hAnsi="Times New Roman" w:cs="Times New Roman"/>
                <w:b/>
                <w:bCs/>
              </w:rPr>
            </w:pPr>
            <w:r w:rsidRPr="00E10CBC">
              <w:rPr>
                <w:rFonts w:ascii="Times New Roman" w:hAnsi="Times New Roman" w:cs="Times New Roman"/>
                <w:b/>
                <w:bCs/>
              </w:rPr>
              <w:t>Effect Size</w:t>
            </w:r>
          </w:p>
        </w:tc>
      </w:tr>
      <w:tr w:rsidR="00E10CBC" w:rsidRPr="00E10CBC" w14:paraId="5257239A" w14:textId="77777777" w:rsidTr="00E10CBC">
        <w:trPr>
          <w:tblCellSpacing w:w="15" w:type="dxa"/>
        </w:trPr>
        <w:tc>
          <w:tcPr>
            <w:tcW w:w="0" w:type="auto"/>
            <w:vAlign w:val="center"/>
            <w:hideMark/>
          </w:tcPr>
          <w:p w14:paraId="5269ABAA"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Institutional Coordination</w:t>
            </w:r>
          </w:p>
        </w:tc>
        <w:tc>
          <w:tcPr>
            <w:tcW w:w="1732" w:type="dxa"/>
            <w:vAlign w:val="center"/>
            <w:hideMark/>
          </w:tcPr>
          <w:p w14:paraId="3AEB6DF4"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33.5</w:t>
            </w:r>
          </w:p>
        </w:tc>
        <w:tc>
          <w:tcPr>
            <w:tcW w:w="1733" w:type="dxa"/>
            <w:vAlign w:val="center"/>
            <w:hideMark/>
          </w:tcPr>
          <w:p w14:paraId="74E5F145"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7.8</w:t>
            </w:r>
          </w:p>
        </w:tc>
        <w:tc>
          <w:tcPr>
            <w:tcW w:w="1733" w:type="dxa"/>
            <w:vAlign w:val="center"/>
            <w:hideMark/>
          </w:tcPr>
          <w:p w14:paraId="3465D6C8"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30.8–36.2</w:t>
            </w:r>
          </w:p>
        </w:tc>
        <w:tc>
          <w:tcPr>
            <w:tcW w:w="1718" w:type="dxa"/>
            <w:vAlign w:val="center"/>
            <w:hideMark/>
          </w:tcPr>
          <w:p w14:paraId="41ED9418"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0.83</w:t>
            </w:r>
          </w:p>
        </w:tc>
      </w:tr>
      <w:tr w:rsidR="00E10CBC" w:rsidRPr="00E10CBC" w14:paraId="3B7A64E0" w14:textId="77777777" w:rsidTr="00E10CBC">
        <w:trPr>
          <w:tblCellSpacing w:w="15" w:type="dxa"/>
        </w:trPr>
        <w:tc>
          <w:tcPr>
            <w:tcW w:w="0" w:type="auto"/>
            <w:vAlign w:val="center"/>
            <w:hideMark/>
          </w:tcPr>
          <w:p w14:paraId="73FD9E56"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Land Administration Efficiency</w:t>
            </w:r>
          </w:p>
        </w:tc>
        <w:tc>
          <w:tcPr>
            <w:tcW w:w="1732" w:type="dxa"/>
            <w:vAlign w:val="center"/>
            <w:hideMark/>
          </w:tcPr>
          <w:p w14:paraId="63B04FD0"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29.4</w:t>
            </w:r>
          </w:p>
        </w:tc>
        <w:tc>
          <w:tcPr>
            <w:tcW w:w="1733" w:type="dxa"/>
            <w:vAlign w:val="center"/>
            <w:hideMark/>
          </w:tcPr>
          <w:p w14:paraId="7DF2C117"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7.2</w:t>
            </w:r>
          </w:p>
        </w:tc>
        <w:tc>
          <w:tcPr>
            <w:tcW w:w="1733" w:type="dxa"/>
            <w:vAlign w:val="center"/>
            <w:hideMark/>
          </w:tcPr>
          <w:p w14:paraId="64E68A16"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26.9–31.9</w:t>
            </w:r>
          </w:p>
        </w:tc>
        <w:tc>
          <w:tcPr>
            <w:tcW w:w="1718" w:type="dxa"/>
            <w:vAlign w:val="center"/>
            <w:hideMark/>
          </w:tcPr>
          <w:p w14:paraId="7B4C5C35"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0.76</w:t>
            </w:r>
          </w:p>
        </w:tc>
      </w:tr>
      <w:tr w:rsidR="00E10CBC" w:rsidRPr="00E10CBC" w14:paraId="5A510DC6" w14:textId="77777777" w:rsidTr="00E10CBC">
        <w:trPr>
          <w:tblCellSpacing w:w="15" w:type="dxa"/>
        </w:trPr>
        <w:tc>
          <w:tcPr>
            <w:tcW w:w="0" w:type="auto"/>
            <w:vAlign w:val="center"/>
            <w:hideMark/>
          </w:tcPr>
          <w:p w14:paraId="617CB685"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Infrastructure Financing</w:t>
            </w:r>
          </w:p>
        </w:tc>
        <w:tc>
          <w:tcPr>
            <w:tcW w:w="1732" w:type="dxa"/>
            <w:vAlign w:val="center"/>
            <w:hideMark/>
          </w:tcPr>
          <w:p w14:paraId="087301A8"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31.1</w:t>
            </w:r>
          </w:p>
        </w:tc>
        <w:tc>
          <w:tcPr>
            <w:tcW w:w="1733" w:type="dxa"/>
            <w:vAlign w:val="center"/>
            <w:hideMark/>
          </w:tcPr>
          <w:p w14:paraId="3F134EBE"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7.5</w:t>
            </w:r>
          </w:p>
        </w:tc>
        <w:tc>
          <w:tcPr>
            <w:tcW w:w="1733" w:type="dxa"/>
            <w:vAlign w:val="center"/>
            <w:hideMark/>
          </w:tcPr>
          <w:p w14:paraId="62C09827"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28.5–33.7</w:t>
            </w:r>
          </w:p>
        </w:tc>
        <w:tc>
          <w:tcPr>
            <w:tcW w:w="1718" w:type="dxa"/>
            <w:vAlign w:val="center"/>
            <w:hideMark/>
          </w:tcPr>
          <w:p w14:paraId="1199F4CD"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0.80</w:t>
            </w:r>
          </w:p>
        </w:tc>
      </w:tr>
      <w:tr w:rsidR="00E10CBC" w:rsidRPr="00E10CBC" w14:paraId="56984292" w14:textId="77777777" w:rsidTr="00E10CBC">
        <w:trPr>
          <w:tblCellSpacing w:w="15" w:type="dxa"/>
        </w:trPr>
        <w:tc>
          <w:tcPr>
            <w:tcW w:w="0" w:type="auto"/>
            <w:vAlign w:val="center"/>
            <w:hideMark/>
          </w:tcPr>
          <w:p w14:paraId="728A52B2"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Public–Private Partnerships</w:t>
            </w:r>
          </w:p>
        </w:tc>
        <w:tc>
          <w:tcPr>
            <w:tcW w:w="1732" w:type="dxa"/>
            <w:vAlign w:val="center"/>
            <w:hideMark/>
          </w:tcPr>
          <w:p w14:paraId="3F937AD7"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27.9</w:t>
            </w:r>
          </w:p>
        </w:tc>
        <w:tc>
          <w:tcPr>
            <w:tcW w:w="1733" w:type="dxa"/>
            <w:vAlign w:val="center"/>
            <w:hideMark/>
          </w:tcPr>
          <w:p w14:paraId="17DC4D78"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6.8</w:t>
            </w:r>
          </w:p>
        </w:tc>
        <w:tc>
          <w:tcPr>
            <w:tcW w:w="1733" w:type="dxa"/>
            <w:vAlign w:val="center"/>
            <w:hideMark/>
          </w:tcPr>
          <w:p w14:paraId="7994B361"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25.5–30.3</w:t>
            </w:r>
          </w:p>
        </w:tc>
        <w:tc>
          <w:tcPr>
            <w:tcW w:w="1718" w:type="dxa"/>
            <w:vAlign w:val="center"/>
            <w:hideMark/>
          </w:tcPr>
          <w:p w14:paraId="58B298AE"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0.69</w:t>
            </w:r>
          </w:p>
        </w:tc>
      </w:tr>
      <w:tr w:rsidR="00E10CBC" w:rsidRPr="00E10CBC" w14:paraId="4879F35F" w14:textId="77777777" w:rsidTr="00E10CBC">
        <w:trPr>
          <w:tblCellSpacing w:w="15" w:type="dxa"/>
        </w:trPr>
        <w:tc>
          <w:tcPr>
            <w:tcW w:w="0" w:type="auto"/>
            <w:vAlign w:val="center"/>
            <w:hideMark/>
          </w:tcPr>
          <w:p w14:paraId="2A3EC271"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Planning Regulation Integration</w:t>
            </w:r>
          </w:p>
        </w:tc>
        <w:tc>
          <w:tcPr>
            <w:tcW w:w="1732" w:type="dxa"/>
            <w:vAlign w:val="center"/>
            <w:hideMark/>
          </w:tcPr>
          <w:p w14:paraId="44B63601"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30.2</w:t>
            </w:r>
          </w:p>
        </w:tc>
        <w:tc>
          <w:tcPr>
            <w:tcW w:w="1733" w:type="dxa"/>
            <w:vAlign w:val="center"/>
            <w:hideMark/>
          </w:tcPr>
          <w:p w14:paraId="1D428CBF"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7.0</w:t>
            </w:r>
          </w:p>
        </w:tc>
        <w:tc>
          <w:tcPr>
            <w:tcW w:w="1733" w:type="dxa"/>
            <w:vAlign w:val="center"/>
            <w:hideMark/>
          </w:tcPr>
          <w:p w14:paraId="1D1E40B3"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27.7–32.7</w:t>
            </w:r>
          </w:p>
        </w:tc>
        <w:tc>
          <w:tcPr>
            <w:tcW w:w="1718" w:type="dxa"/>
            <w:vAlign w:val="center"/>
            <w:hideMark/>
          </w:tcPr>
          <w:p w14:paraId="2CA4C72E"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0.78</w:t>
            </w:r>
          </w:p>
        </w:tc>
      </w:tr>
    </w:tbl>
    <w:p w14:paraId="367BB5F2"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The findings demonstrate that institutional coordination exerted the strongest influence on housing accessibility and sustainability outcomes. This confirms that affordable housing challenges are fundamentally governance and planning issues rather than merely construction-related problems.</w:t>
      </w:r>
    </w:p>
    <w:p w14:paraId="6BF4D096" w14:textId="77777777" w:rsidR="00E10CBC" w:rsidRPr="00E10CBC" w:rsidRDefault="00E10CBC" w:rsidP="00E10CBC">
      <w:pPr>
        <w:spacing w:before="240" w:after="240" w:line="240" w:lineRule="auto"/>
        <w:jc w:val="both"/>
        <w:rPr>
          <w:rFonts w:ascii="Times New Roman" w:hAnsi="Times New Roman" w:cs="Times New Roman"/>
          <w:b/>
          <w:bCs/>
        </w:rPr>
      </w:pPr>
      <w:r w:rsidRPr="00E10CBC">
        <w:rPr>
          <w:rFonts w:ascii="Times New Roman" w:hAnsi="Times New Roman" w:cs="Times New Roman"/>
          <w:b/>
          <w:bCs/>
        </w:rPr>
        <w:t>4.4 Infrastructure Integration and Regional Development</w:t>
      </w:r>
    </w:p>
    <w:p w14:paraId="29F2FC3C"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Infrastructure integration emerged as a critical driver of sustainable regional development and territorial cohesion. Housing systems integrated with transportation networks, industrial corridors, and public infrastructure significantly improved regional productivity and spatial accessibility.</w:t>
      </w:r>
    </w:p>
    <w:p w14:paraId="69C35972"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lastRenderedPageBreak/>
        <w:t>Transit-oriented development recorded particularly strong performance outcomes in Asian metropolitan regions, while African peri-urban settlements demonstrated weaker integration due to infrastructure deficits and fragmented regional planning systems.</w:t>
      </w:r>
    </w:p>
    <w:p w14:paraId="064B477B"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Regression analysis was employed to evaluate relationships among infrastructure integration, governance coordination, transit-oriented development, and regional growth:</w:t>
      </w:r>
    </w:p>
    <w:p w14:paraId="1101DDBA" w14:textId="6B177599" w:rsidR="00E10CBC" w:rsidRPr="00E10CBC" w:rsidRDefault="00E10CBC" w:rsidP="00E10CBC">
      <w:pPr>
        <w:spacing w:before="240" w:after="240" w:line="240" w:lineRule="auto"/>
        <w:jc w:val="both"/>
        <w:rPr>
          <w:rFonts w:ascii="Times New Roman" w:hAnsi="Times New Roman" w:cs="Times New Roman"/>
        </w:rPr>
      </w:pPr>
      <m:oMathPara>
        <m:oMath>
          <m:r>
            <w:rPr>
              <w:rFonts w:ascii="Cambria Math" w:hAnsi="Cambria Math" w:cs="Times New Roman"/>
            </w:rPr>
            <m:t>RG=</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II+</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GC+</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3</m:t>
              </m:r>
            </m:sub>
          </m:sSub>
          <m:r>
            <w:rPr>
              <w:rFonts w:ascii="Cambria Math" w:hAnsi="Cambria Math" w:cs="Times New Roman"/>
            </w:rPr>
            <m:t>TOD+ε</m:t>
          </m:r>
        </m:oMath>
      </m:oMathPara>
    </w:p>
    <w:p w14:paraId="0FA3EA36" w14:textId="77777777" w:rsidR="00E10CBC" w:rsidRPr="00E10CBC" w:rsidRDefault="00E10CBC" w:rsidP="00E10CBC">
      <w:pPr>
        <w:spacing w:before="240" w:after="0" w:line="240" w:lineRule="auto"/>
        <w:jc w:val="center"/>
        <w:rPr>
          <w:rFonts w:ascii="Times New Roman" w:hAnsi="Times New Roman" w:cs="Times New Roman"/>
          <w:b/>
          <w:bCs/>
        </w:rPr>
      </w:pPr>
      <w:r w:rsidRPr="00E10CBC">
        <w:rPr>
          <w:rFonts w:ascii="Times New Roman" w:hAnsi="Times New Roman" w:cs="Times New Roman"/>
          <w:b/>
          <w:bCs/>
        </w:rPr>
        <w:t>Table 4.4: Regression Results for Regional Development Predictors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728"/>
        <w:gridCol w:w="1584"/>
        <w:gridCol w:w="1584"/>
        <w:gridCol w:w="1584"/>
        <w:gridCol w:w="1585"/>
      </w:tblGrid>
      <w:tr w:rsidR="00E10CBC" w:rsidRPr="00E10CBC" w14:paraId="162B229D" w14:textId="77777777" w:rsidTr="00E10CBC">
        <w:trPr>
          <w:tblHeader/>
          <w:tblCellSpacing w:w="15" w:type="dxa"/>
          <w:jc w:val="center"/>
        </w:trPr>
        <w:tc>
          <w:tcPr>
            <w:tcW w:w="0" w:type="auto"/>
            <w:tcBorders>
              <w:bottom w:val="single" w:sz="4" w:space="0" w:color="auto"/>
            </w:tcBorders>
            <w:vAlign w:val="center"/>
            <w:hideMark/>
          </w:tcPr>
          <w:p w14:paraId="1E5CD197"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Variable</w:t>
            </w:r>
          </w:p>
        </w:tc>
        <w:tc>
          <w:tcPr>
            <w:tcW w:w="1554" w:type="dxa"/>
            <w:tcBorders>
              <w:bottom w:val="single" w:sz="4" w:space="0" w:color="auto"/>
            </w:tcBorders>
            <w:vAlign w:val="center"/>
            <w:hideMark/>
          </w:tcPr>
          <w:p w14:paraId="69E15BA1"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Coefficient (β)</w:t>
            </w:r>
          </w:p>
        </w:tc>
        <w:tc>
          <w:tcPr>
            <w:tcW w:w="1554" w:type="dxa"/>
            <w:tcBorders>
              <w:bottom w:val="single" w:sz="4" w:space="0" w:color="auto"/>
            </w:tcBorders>
            <w:vAlign w:val="center"/>
            <w:hideMark/>
          </w:tcPr>
          <w:p w14:paraId="05851E29"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SD</w:t>
            </w:r>
          </w:p>
        </w:tc>
        <w:tc>
          <w:tcPr>
            <w:tcW w:w="1554" w:type="dxa"/>
            <w:tcBorders>
              <w:bottom w:val="single" w:sz="4" w:space="0" w:color="auto"/>
            </w:tcBorders>
            <w:vAlign w:val="center"/>
            <w:hideMark/>
          </w:tcPr>
          <w:p w14:paraId="5EE2C93C"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95% CI</w:t>
            </w:r>
          </w:p>
        </w:tc>
        <w:tc>
          <w:tcPr>
            <w:tcW w:w="1540" w:type="dxa"/>
            <w:tcBorders>
              <w:bottom w:val="single" w:sz="4" w:space="0" w:color="auto"/>
            </w:tcBorders>
            <w:vAlign w:val="center"/>
            <w:hideMark/>
          </w:tcPr>
          <w:p w14:paraId="3D4EE16F"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Significance</w:t>
            </w:r>
          </w:p>
        </w:tc>
      </w:tr>
      <w:tr w:rsidR="00E10CBC" w:rsidRPr="00E10CBC" w14:paraId="563038E5" w14:textId="77777777" w:rsidTr="00E10CBC">
        <w:trPr>
          <w:tblCellSpacing w:w="15" w:type="dxa"/>
          <w:jc w:val="center"/>
        </w:trPr>
        <w:tc>
          <w:tcPr>
            <w:tcW w:w="0" w:type="auto"/>
            <w:vAlign w:val="center"/>
            <w:hideMark/>
          </w:tcPr>
          <w:p w14:paraId="0FDB98DC"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Infrastructure Integration (II)</w:t>
            </w:r>
          </w:p>
        </w:tc>
        <w:tc>
          <w:tcPr>
            <w:tcW w:w="1554" w:type="dxa"/>
            <w:vAlign w:val="center"/>
            <w:hideMark/>
          </w:tcPr>
          <w:p w14:paraId="7683EFC2"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0.48</w:t>
            </w:r>
          </w:p>
        </w:tc>
        <w:tc>
          <w:tcPr>
            <w:tcW w:w="1554" w:type="dxa"/>
            <w:vAlign w:val="center"/>
            <w:hideMark/>
          </w:tcPr>
          <w:p w14:paraId="3E91DC63"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0.08</w:t>
            </w:r>
          </w:p>
        </w:tc>
        <w:tc>
          <w:tcPr>
            <w:tcW w:w="1554" w:type="dxa"/>
            <w:vAlign w:val="center"/>
            <w:hideMark/>
          </w:tcPr>
          <w:p w14:paraId="7CC0A5FE"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0.39–0.57</w:t>
            </w:r>
          </w:p>
        </w:tc>
        <w:tc>
          <w:tcPr>
            <w:tcW w:w="1540" w:type="dxa"/>
            <w:vAlign w:val="center"/>
            <w:hideMark/>
          </w:tcPr>
          <w:p w14:paraId="05ACEDEC"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p &lt; 0.01</w:t>
            </w:r>
          </w:p>
        </w:tc>
      </w:tr>
      <w:tr w:rsidR="00E10CBC" w:rsidRPr="00E10CBC" w14:paraId="6AC705A9" w14:textId="77777777" w:rsidTr="00E10CBC">
        <w:trPr>
          <w:tblCellSpacing w:w="15" w:type="dxa"/>
          <w:jc w:val="center"/>
        </w:trPr>
        <w:tc>
          <w:tcPr>
            <w:tcW w:w="0" w:type="auto"/>
            <w:vAlign w:val="center"/>
            <w:hideMark/>
          </w:tcPr>
          <w:p w14:paraId="130391F2"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Governance Coordination (GC)</w:t>
            </w:r>
          </w:p>
        </w:tc>
        <w:tc>
          <w:tcPr>
            <w:tcW w:w="1554" w:type="dxa"/>
            <w:vAlign w:val="center"/>
            <w:hideMark/>
          </w:tcPr>
          <w:p w14:paraId="0B02A1D9"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0.36</w:t>
            </w:r>
          </w:p>
        </w:tc>
        <w:tc>
          <w:tcPr>
            <w:tcW w:w="1554" w:type="dxa"/>
            <w:vAlign w:val="center"/>
            <w:hideMark/>
          </w:tcPr>
          <w:p w14:paraId="7F07A665"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0.07</w:t>
            </w:r>
          </w:p>
        </w:tc>
        <w:tc>
          <w:tcPr>
            <w:tcW w:w="1554" w:type="dxa"/>
            <w:vAlign w:val="center"/>
            <w:hideMark/>
          </w:tcPr>
          <w:p w14:paraId="6387631B"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0.28–0.44</w:t>
            </w:r>
          </w:p>
        </w:tc>
        <w:tc>
          <w:tcPr>
            <w:tcW w:w="1540" w:type="dxa"/>
            <w:vAlign w:val="center"/>
            <w:hideMark/>
          </w:tcPr>
          <w:p w14:paraId="5BF1EABC"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p &lt; 0.05</w:t>
            </w:r>
          </w:p>
        </w:tc>
      </w:tr>
      <w:tr w:rsidR="00E10CBC" w:rsidRPr="00E10CBC" w14:paraId="1A4EA624" w14:textId="77777777" w:rsidTr="00E10CBC">
        <w:trPr>
          <w:tblCellSpacing w:w="15" w:type="dxa"/>
          <w:jc w:val="center"/>
        </w:trPr>
        <w:tc>
          <w:tcPr>
            <w:tcW w:w="0" w:type="auto"/>
            <w:vAlign w:val="center"/>
            <w:hideMark/>
          </w:tcPr>
          <w:p w14:paraId="70311CA7"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Transit-Oriented Development (TOD)</w:t>
            </w:r>
          </w:p>
        </w:tc>
        <w:tc>
          <w:tcPr>
            <w:tcW w:w="1554" w:type="dxa"/>
            <w:vAlign w:val="center"/>
            <w:hideMark/>
          </w:tcPr>
          <w:p w14:paraId="2725210A"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0.29</w:t>
            </w:r>
          </w:p>
        </w:tc>
        <w:tc>
          <w:tcPr>
            <w:tcW w:w="1554" w:type="dxa"/>
            <w:vAlign w:val="center"/>
            <w:hideMark/>
          </w:tcPr>
          <w:p w14:paraId="56714589"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0.06</w:t>
            </w:r>
          </w:p>
        </w:tc>
        <w:tc>
          <w:tcPr>
            <w:tcW w:w="1554" w:type="dxa"/>
            <w:vAlign w:val="center"/>
            <w:hideMark/>
          </w:tcPr>
          <w:p w14:paraId="52858EDB"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0.22–0.36</w:t>
            </w:r>
          </w:p>
        </w:tc>
        <w:tc>
          <w:tcPr>
            <w:tcW w:w="1540" w:type="dxa"/>
            <w:vAlign w:val="center"/>
            <w:hideMark/>
          </w:tcPr>
          <w:p w14:paraId="68C64B96"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p &lt; 0.05</w:t>
            </w:r>
          </w:p>
        </w:tc>
      </w:tr>
      <w:tr w:rsidR="00E10CBC" w:rsidRPr="00E10CBC" w14:paraId="09B5E252" w14:textId="77777777" w:rsidTr="00E10CBC">
        <w:trPr>
          <w:tblCellSpacing w:w="15" w:type="dxa"/>
          <w:jc w:val="center"/>
        </w:trPr>
        <w:tc>
          <w:tcPr>
            <w:tcW w:w="0" w:type="auto"/>
            <w:vAlign w:val="center"/>
            <w:hideMark/>
          </w:tcPr>
          <w:p w14:paraId="56487517"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Model Fit (R²)</w:t>
            </w:r>
          </w:p>
        </w:tc>
        <w:tc>
          <w:tcPr>
            <w:tcW w:w="1554" w:type="dxa"/>
            <w:vAlign w:val="center"/>
            <w:hideMark/>
          </w:tcPr>
          <w:p w14:paraId="34C0CE2B"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0.67</w:t>
            </w:r>
          </w:p>
        </w:tc>
        <w:tc>
          <w:tcPr>
            <w:tcW w:w="1554" w:type="dxa"/>
            <w:vAlign w:val="center"/>
            <w:hideMark/>
          </w:tcPr>
          <w:p w14:paraId="63B22727"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w:t>
            </w:r>
          </w:p>
        </w:tc>
        <w:tc>
          <w:tcPr>
            <w:tcW w:w="1554" w:type="dxa"/>
            <w:vAlign w:val="center"/>
            <w:hideMark/>
          </w:tcPr>
          <w:p w14:paraId="4494F3B6"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w:t>
            </w:r>
          </w:p>
        </w:tc>
        <w:tc>
          <w:tcPr>
            <w:tcW w:w="1540" w:type="dxa"/>
            <w:vAlign w:val="center"/>
            <w:hideMark/>
          </w:tcPr>
          <w:p w14:paraId="21566037"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w:t>
            </w:r>
          </w:p>
        </w:tc>
      </w:tr>
    </w:tbl>
    <w:p w14:paraId="2C677423" w14:textId="23A14563"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 xml:space="preserve">The regression results reveal a clear </w:t>
      </w:r>
      <w:r w:rsidR="00D0579F">
        <w:rPr>
          <w:rFonts w:ascii="Times New Roman" w:hAnsi="Times New Roman" w:cs="Times New Roman"/>
        </w:rPr>
        <w:t>hierarchy of predictors, with infrastructure integration exerting</w:t>
      </w:r>
      <w:r w:rsidRPr="00E10CBC">
        <w:rPr>
          <w:rFonts w:ascii="Times New Roman" w:hAnsi="Times New Roman" w:cs="Times New Roman"/>
        </w:rPr>
        <w:t xml:space="preserve"> the strongest influence on regional growth outcomes, followed by governance coordination and transit-oriented development. </w:t>
      </w:r>
      <w:r w:rsidR="00D0579F">
        <w:rPr>
          <w:rFonts w:ascii="Times New Roman" w:hAnsi="Times New Roman" w:cs="Times New Roman"/>
        </w:rPr>
        <w:t>In practical terms, the coefficients indicate that improvements in infrastructure integration yield the largest</w:t>
      </w:r>
      <w:r w:rsidRPr="00E10CBC">
        <w:rPr>
          <w:rFonts w:ascii="Times New Roman" w:hAnsi="Times New Roman" w:cs="Times New Roman"/>
        </w:rPr>
        <w:t xml:space="preserve"> proportional gains in regional productivity and spatial accessibility. Governance coordination also demonstrated strong explanatory influence, confirming the importance of institutional integration in strengthening housing and infrastructure systems.</w:t>
      </w:r>
    </w:p>
    <w:p w14:paraId="17DF3883" w14:textId="0F5F5BE6"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 xml:space="preserve">The model fit of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=0.67</m:t>
        </m:r>
      </m:oMath>
      <w:r w:rsidRPr="00E10CBC">
        <w:rPr>
          <w:rFonts w:ascii="Times New Roman" w:hAnsi="Times New Roman" w:cs="Times New Roman"/>
        </w:rPr>
        <w:t>indicates substantial explanatory power, meaning that approximately 67% of regional growth outcomes across the reviewed studies were explained by the integrated planning variables. This reinforces the argument that sustainable regional development depends heavily on coordinated infrastructure, governance, and housing systems.</w:t>
      </w:r>
    </w:p>
    <w:p w14:paraId="14E79846" w14:textId="77777777" w:rsidR="00E10CBC" w:rsidRPr="00E10CBC" w:rsidRDefault="00E10CBC" w:rsidP="00E10CBC">
      <w:pPr>
        <w:spacing w:before="240" w:after="240" w:line="240" w:lineRule="auto"/>
        <w:jc w:val="both"/>
        <w:rPr>
          <w:rFonts w:ascii="Times New Roman" w:hAnsi="Times New Roman" w:cs="Times New Roman"/>
          <w:b/>
          <w:bCs/>
        </w:rPr>
      </w:pPr>
      <w:r w:rsidRPr="00E10CBC">
        <w:rPr>
          <w:rFonts w:ascii="Times New Roman" w:hAnsi="Times New Roman" w:cs="Times New Roman"/>
          <w:b/>
          <w:bCs/>
        </w:rPr>
        <w:t>4.5 Environmental Sustainability and Urban Growth Management</w:t>
      </w:r>
    </w:p>
    <w:p w14:paraId="13C96F6D" w14:textId="7387ADDC"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 xml:space="preserve">The review strongly confirms that uncontrolled urban expansion intensifies environmental degradation, infrastructure inefficiencies, ecological disruption, and climate vulnerability. Studies examining African and Asian urban systems consistently </w:t>
      </w:r>
      <w:r w:rsidR="00D0579F">
        <w:rPr>
          <w:rFonts w:ascii="Times New Roman" w:hAnsi="Times New Roman" w:cs="Times New Roman"/>
        </w:rPr>
        <w:t>report increasing land transformation, intensifying urban heat</w:t>
      </w:r>
      <w:r w:rsidRPr="00E10CBC">
        <w:rPr>
          <w:rFonts w:ascii="Times New Roman" w:hAnsi="Times New Roman" w:cs="Times New Roman"/>
        </w:rPr>
        <w:t>, and declining environmental resilience associated with fragmented growth systems.</w:t>
      </w:r>
    </w:p>
    <w:p w14:paraId="31C472B4"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Compact urban development and smart growth strategies emerged as the most effective mechanisms for reducing environmental pressures while improving housing accessibility and infrastructure efficiency. Global North cities generally demonstrated stronger environmental governance and sustainability transitions, while rapidly urbanising Global South cities experienced more severe environmental pressures due to rapid expansion and weak planning systems.</w:t>
      </w:r>
    </w:p>
    <w:p w14:paraId="58712F84" w14:textId="070F1D67" w:rsidR="00E10CBC" w:rsidRPr="00E10CBC" w:rsidRDefault="00E10CBC" w:rsidP="00E10CBC">
      <w:pPr>
        <w:spacing w:before="240" w:after="240" w:line="240" w:lineRule="auto"/>
        <w:jc w:val="center"/>
        <w:rPr>
          <w:rFonts w:ascii="Times New Roman" w:hAnsi="Times New Roman" w:cs="Times New Roman"/>
          <w:b/>
          <w:bCs/>
        </w:rPr>
      </w:pPr>
      <w:r w:rsidRPr="00E10CBC">
        <w:rPr>
          <w:rFonts w:ascii="Times New Roman" w:hAnsi="Times New Roman" w:cs="Times New Roman"/>
          <w:b/>
          <w:bCs/>
        </w:rPr>
        <w:t>Table 4.5: Environmental Performance of Sustainable Housing Systems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61"/>
        <w:gridCol w:w="1298"/>
        <w:gridCol w:w="1299"/>
        <w:gridCol w:w="1299"/>
        <w:gridCol w:w="1299"/>
      </w:tblGrid>
      <w:tr w:rsidR="00E10CBC" w:rsidRPr="00E10CBC" w14:paraId="287396D1" w14:textId="77777777" w:rsidTr="00E10CBC">
        <w:trPr>
          <w:tblHeader/>
          <w:tblCellSpacing w:w="15" w:type="dxa"/>
          <w:jc w:val="center"/>
        </w:trPr>
        <w:tc>
          <w:tcPr>
            <w:tcW w:w="0" w:type="auto"/>
            <w:tcBorders>
              <w:bottom w:val="single" w:sz="4" w:space="0" w:color="auto"/>
            </w:tcBorders>
            <w:vAlign w:val="center"/>
            <w:hideMark/>
          </w:tcPr>
          <w:p w14:paraId="0938C9C7" w14:textId="77777777" w:rsidR="00E10CBC" w:rsidRPr="00E10CBC" w:rsidRDefault="00E10CBC" w:rsidP="00E10CBC">
            <w:pPr>
              <w:spacing w:after="0" w:line="240" w:lineRule="auto"/>
              <w:jc w:val="both"/>
              <w:rPr>
                <w:rFonts w:ascii="Times New Roman" w:hAnsi="Times New Roman" w:cs="Times New Roman"/>
                <w:b/>
                <w:bCs/>
              </w:rPr>
            </w:pPr>
            <w:r w:rsidRPr="00E10CBC">
              <w:rPr>
                <w:rFonts w:ascii="Times New Roman" w:hAnsi="Times New Roman" w:cs="Times New Roman"/>
                <w:b/>
                <w:bCs/>
              </w:rPr>
              <w:t>Sustainability Variable</w:t>
            </w:r>
          </w:p>
        </w:tc>
        <w:tc>
          <w:tcPr>
            <w:tcW w:w="1268" w:type="dxa"/>
            <w:tcBorders>
              <w:bottom w:val="single" w:sz="4" w:space="0" w:color="auto"/>
            </w:tcBorders>
            <w:vAlign w:val="center"/>
            <w:hideMark/>
          </w:tcPr>
          <w:p w14:paraId="62A17D34" w14:textId="77777777" w:rsidR="00E10CBC" w:rsidRPr="00E10CBC" w:rsidRDefault="00E10CBC" w:rsidP="00E10CBC">
            <w:pPr>
              <w:spacing w:after="0" w:line="240" w:lineRule="auto"/>
              <w:jc w:val="center"/>
              <w:rPr>
                <w:rFonts w:ascii="Times New Roman" w:hAnsi="Times New Roman" w:cs="Times New Roman"/>
                <w:b/>
                <w:bCs/>
              </w:rPr>
            </w:pPr>
            <w:r w:rsidRPr="00E10CBC">
              <w:rPr>
                <w:rFonts w:ascii="Times New Roman" w:hAnsi="Times New Roman" w:cs="Times New Roman"/>
                <w:b/>
                <w:bCs/>
              </w:rPr>
              <w:t>Mean (%)</w:t>
            </w:r>
          </w:p>
        </w:tc>
        <w:tc>
          <w:tcPr>
            <w:tcW w:w="1269" w:type="dxa"/>
            <w:tcBorders>
              <w:bottom w:val="single" w:sz="4" w:space="0" w:color="auto"/>
            </w:tcBorders>
            <w:vAlign w:val="center"/>
            <w:hideMark/>
          </w:tcPr>
          <w:p w14:paraId="684D30A5" w14:textId="77777777" w:rsidR="00E10CBC" w:rsidRPr="00E10CBC" w:rsidRDefault="00E10CBC" w:rsidP="00E10CBC">
            <w:pPr>
              <w:spacing w:after="0" w:line="240" w:lineRule="auto"/>
              <w:jc w:val="center"/>
              <w:rPr>
                <w:rFonts w:ascii="Times New Roman" w:hAnsi="Times New Roman" w:cs="Times New Roman"/>
                <w:b/>
                <w:bCs/>
              </w:rPr>
            </w:pPr>
            <w:r w:rsidRPr="00E10CBC">
              <w:rPr>
                <w:rFonts w:ascii="Times New Roman" w:hAnsi="Times New Roman" w:cs="Times New Roman"/>
                <w:b/>
                <w:bCs/>
              </w:rPr>
              <w:t>SD</w:t>
            </w:r>
          </w:p>
        </w:tc>
        <w:tc>
          <w:tcPr>
            <w:tcW w:w="1269" w:type="dxa"/>
            <w:tcBorders>
              <w:bottom w:val="single" w:sz="4" w:space="0" w:color="auto"/>
            </w:tcBorders>
            <w:vAlign w:val="center"/>
            <w:hideMark/>
          </w:tcPr>
          <w:p w14:paraId="74501456" w14:textId="77777777" w:rsidR="00E10CBC" w:rsidRPr="00E10CBC" w:rsidRDefault="00E10CBC" w:rsidP="00E10CBC">
            <w:pPr>
              <w:spacing w:after="0" w:line="240" w:lineRule="auto"/>
              <w:jc w:val="center"/>
              <w:rPr>
                <w:rFonts w:ascii="Times New Roman" w:hAnsi="Times New Roman" w:cs="Times New Roman"/>
                <w:b/>
                <w:bCs/>
              </w:rPr>
            </w:pPr>
            <w:r w:rsidRPr="00E10CBC">
              <w:rPr>
                <w:rFonts w:ascii="Times New Roman" w:hAnsi="Times New Roman" w:cs="Times New Roman"/>
                <w:b/>
                <w:bCs/>
              </w:rPr>
              <w:t>95% CI</w:t>
            </w:r>
          </w:p>
        </w:tc>
        <w:tc>
          <w:tcPr>
            <w:tcW w:w="1254" w:type="dxa"/>
            <w:tcBorders>
              <w:bottom w:val="single" w:sz="4" w:space="0" w:color="auto"/>
            </w:tcBorders>
            <w:vAlign w:val="center"/>
            <w:hideMark/>
          </w:tcPr>
          <w:p w14:paraId="3F2924BF" w14:textId="77777777" w:rsidR="00E10CBC" w:rsidRPr="00E10CBC" w:rsidRDefault="00E10CBC" w:rsidP="00E10CBC">
            <w:pPr>
              <w:spacing w:after="0" w:line="240" w:lineRule="auto"/>
              <w:jc w:val="center"/>
              <w:rPr>
                <w:rFonts w:ascii="Times New Roman" w:hAnsi="Times New Roman" w:cs="Times New Roman"/>
                <w:b/>
                <w:bCs/>
              </w:rPr>
            </w:pPr>
            <w:r w:rsidRPr="00E10CBC">
              <w:rPr>
                <w:rFonts w:ascii="Times New Roman" w:hAnsi="Times New Roman" w:cs="Times New Roman"/>
                <w:b/>
                <w:bCs/>
              </w:rPr>
              <w:t>Effect Size</w:t>
            </w:r>
          </w:p>
        </w:tc>
      </w:tr>
      <w:tr w:rsidR="00E10CBC" w:rsidRPr="00E10CBC" w14:paraId="26A956E3" w14:textId="77777777" w:rsidTr="00E10CBC">
        <w:trPr>
          <w:tblCellSpacing w:w="15" w:type="dxa"/>
          <w:jc w:val="center"/>
        </w:trPr>
        <w:tc>
          <w:tcPr>
            <w:tcW w:w="0" w:type="auto"/>
            <w:vAlign w:val="center"/>
            <w:hideMark/>
          </w:tcPr>
          <w:p w14:paraId="756DAB2F"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Reduction in Land Consumption</w:t>
            </w:r>
          </w:p>
        </w:tc>
        <w:tc>
          <w:tcPr>
            <w:tcW w:w="1268" w:type="dxa"/>
            <w:vAlign w:val="center"/>
            <w:hideMark/>
          </w:tcPr>
          <w:p w14:paraId="0B4D336C"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27.3</w:t>
            </w:r>
          </w:p>
        </w:tc>
        <w:tc>
          <w:tcPr>
            <w:tcW w:w="1269" w:type="dxa"/>
            <w:vAlign w:val="center"/>
            <w:hideMark/>
          </w:tcPr>
          <w:p w14:paraId="2BBA67C3"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7.4</w:t>
            </w:r>
          </w:p>
        </w:tc>
        <w:tc>
          <w:tcPr>
            <w:tcW w:w="1269" w:type="dxa"/>
            <w:vAlign w:val="center"/>
            <w:hideMark/>
          </w:tcPr>
          <w:p w14:paraId="292B8027"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24.7–29.9</w:t>
            </w:r>
          </w:p>
        </w:tc>
        <w:tc>
          <w:tcPr>
            <w:tcW w:w="1254" w:type="dxa"/>
            <w:vAlign w:val="center"/>
            <w:hideMark/>
          </w:tcPr>
          <w:p w14:paraId="04E0299E"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0.71</w:t>
            </w:r>
          </w:p>
        </w:tc>
      </w:tr>
      <w:tr w:rsidR="00E10CBC" w:rsidRPr="00E10CBC" w14:paraId="5A2DA812" w14:textId="77777777" w:rsidTr="00E10CBC">
        <w:trPr>
          <w:tblCellSpacing w:w="15" w:type="dxa"/>
          <w:jc w:val="center"/>
        </w:trPr>
        <w:tc>
          <w:tcPr>
            <w:tcW w:w="0" w:type="auto"/>
            <w:vAlign w:val="center"/>
            <w:hideMark/>
          </w:tcPr>
          <w:p w14:paraId="4976F6B1"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Improvement in Infrastructure Efficiency</w:t>
            </w:r>
          </w:p>
        </w:tc>
        <w:tc>
          <w:tcPr>
            <w:tcW w:w="1268" w:type="dxa"/>
            <w:vAlign w:val="center"/>
            <w:hideMark/>
          </w:tcPr>
          <w:p w14:paraId="73E2AEED"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30.6</w:t>
            </w:r>
          </w:p>
        </w:tc>
        <w:tc>
          <w:tcPr>
            <w:tcW w:w="1269" w:type="dxa"/>
            <w:vAlign w:val="center"/>
            <w:hideMark/>
          </w:tcPr>
          <w:p w14:paraId="5A5DB700"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8.1</w:t>
            </w:r>
          </w:p>
        </w:tc>
        <w:tc>
          <w:tcPr>
            <w:tcW w:w="1269" w:type="dxa"/>
            <w:vAlign w:val="center"/>
            <w:hideMark/>
          </w:tcPr>
          <w:p w14:paraId="58427369"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27.8–33.4</w:t>
            </w:r>
          </w:p>
        </w:tc>
        <w:tc>
          <w:tcPr>
            <w:tcW w:w="1254" w:type="dxa"/>
            <w:vAlign w:val="center"/>
            <w:hideMark/>
          </w:tcPr>
          <w:p w14:paraId="08525904"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0.79</w:t>
            </w:r>
          </w:p>
        </w:tc>
      </w:tr>
      <w:tr w:rsidR="00E10CBC" w:rsidRPr="00E10CBC" w14:paraId="4327A506" w14:textId="77777777" w:rsidTr="00E10CBC">
        <w:trPr>
          <w:tblCellSpacing w:w="15" w:type="dxa"/>
          <w:jc w:val="center"/>
        </w:trPr>
        <w:tc>
          <w:tcPr>
            <w:tcW w:w="0" w:type="auto"/>
            <w:vAlign w:val="center"/>
            <w:hideMark/>
          </w:tcPr>
          <w:p w14:paraId="2495AE88"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Reduction in Urban Heat Exposure</w:t>
            </w:r>
          </w:p>
        </w:tc>
        <w:tc>
          <w:tcPr>
            <w:tcW w:w="1268" w:type="dxa"/>
            <w:vAlign w:val="center"/>
            <w:hideMark/>
          </w:tcPr>
          <w:p w14:paraId="1D5551C7"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22.9</w:t>
            </w:r>
          </w:p>
        </w:tc>
        <w:tc>
          <w:tcPr>
            <w:tcW w:w="1269" w:type="dxa"/>
            <w:vAlign w:val="center"/>
            <w:hideMark/>
          </w:tcPr>
          <w:p w14:paraId="6D2F05DF"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6.8</w:t>
            </w:r>
          </w:p>
        </w:tc>
        <w:tc>
          <w:tcPr>
            <w:tcW w:w="1269" w:type="dxa"/>
            <w:vAlign w:val="center"/>
            <w:hideMark/>
          </w:tcPr>
          <w:p w14:paraId="40014043"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20.5–25.3</w:t>
            </w:r>
          </w:p>
        </w:tc>
        <w:tc>
          <w:tcPr>
            <w:tcW w:w="1254" w:type="dxa"/>
            <w:vAlign w:val="center"/>
            <w:hideMark/>
          </w:tcPr>
          <w:p w14:paraId="0B0B14BF"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0.66</w:t>
            </w:r>
          </w:p>
        </w:tc>
      </w:tr>
      <w:tr w:rsidR="00E10CBC" w:rsidRPr="00E10CBC" w14:paraId="40673105" w14:textId="77777777" w:rsidTr="00E10CBC">
        <w:trPr>
          <w:tblCellSpacing w:w="15" w:type="dxa"/>
          <w:jc w:val="center"/>
        </w:trPr>
        <w:tc>
          <w:tcPr>
            <w:tcW w:w="0" w:type="auto"/>
            <w:vAlign w:val="center"/>
            <w:hideMark/>
          </w:tcPr>
          <w:p w14:paraId="62F2B583"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Reduction in Transport Emissions</w:t>
            </w:r>
          </w:p>
        </w:tc>
        <w:tc>
          <w:tcPr>
            <w:tcW w:w="1268" w:type="dxa"/>
            <w:vAlign w:val="center"/>
            <w:hideMark/>
          </w:tcPr>
          <w:p w14:paraId="142A56BB"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24.5</w:t>
            </w:r>
          </w:p>
        </w:tc>
        <w:tc>
          <w:tcPr>
            <w:tcW w:w="1269" w:type="dxa"/>
            <w:vAlign w:val="center"/>
            <w:hideMark/>
          </w:tcPr>
          <w:p w14:paraId="374E0C3E"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7.0</w:t>
            </w:r>
          </w:p>
        </w:tc>
        <w:tc>
          <w:tcPr>
            <w:tcW w:w="1269" w:type="dxa"/>
            <w:vAlign w:val="center"/>
            <w:hideMark/>
          </w:tcPr>
          <w:p w14:paraId="483864DD"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22.0–27.0</w:t>
            </w:r>
          </w:p>
        </w:tc>
        <w:tc>
          <w:tcPr>
            <w:tcW w:w="1254" w:type="dxa"/>
            <w:vAlign w:val="center"/>
            <w:hideMark/>
          </w:tcPr>
          <w:p w14:paraId="368250EC"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0.69</w:t>
            </w:r>
          </w:p>
        </w:tc>
      </w:tr>
      <w:tr w:rsidR="00E10CBC" w:rsidRPr="00E10CBC" w14:paraId="7C09872E" w14:textId="77777777" w:rsidTr="00E10CBC">
        <w:trPr>
          <w:tblCellSpacing w:w="15" w:type="dxa"/>
          <w:jc w:val="center"/>
        </w:trPr>
        <w:tc>
          <w:tcPr>
            <w:tcW w:w="0" w:type="auto"/>
            <w:vAlign w:val="center"/>
            <w:hideMark/>
          </w:tcPr>
          <w:p w14:paraId="51D06B00" w14:textId="77777777" w:rsidR="00E10CBC" w:rsidRPr="00E10CBC" w:rsidRDefault="00E10CBC" w:rsidP="00E10CBC">
            <w:pPr>
              <w:spacing w:after="0" w:line="240" w:lineRule="auto"/>
              <w:jc w:val="both"/>
              <w:rPr>
                <w:rFonts w:ascii="Times New Roman" w:hAnsi="Times New Roman" w:cs="Times New Roman"/>
              </w:rPr>
            </w:pPr>
            <w:r w:rsidRPr="00E10CBC">
              <w:rPr>
                <w:rFonts w:ascii="Times New Roman" w:hAnsi="Times New Roman" w:cs="Times New Roman"/>
              </w:rPr>
              <w:t>Improvement in Environmental Resilience</w:t>
            </w:r>
          </w:p>
        </w:tc>
        <w:tc>
          <w:tcPr>
            <w:tcW w:w="1268" w:type="dxa"/>
            <w:vAlign w:val="center"/>
            <w:hideMark/>
          </w:tcPr>
          <w:p w14:paraId="43A5C534"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28.2</w:t>
            </w:r>
          </w:p>
        </w:tc>
        <w:tc>
          <w:tcPr>
            <w:tcW w:w="1269" w:type="dxa"/>
            <w:vAlign w:val="center"/>
            <w:hideMark/>
          </w:tcPr>
          <w:p w14:paraId="498B2C70"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7.7</w:t>
            </w:r>
          </w:p>
        </w:tc>
        <w:tc>
          <w:tcPr>
            <w:tcW w:w="1269" w:type="dxa"/>
            <w:vAlign w:val="center"/>
            <w:hideMark/>
          </w:tcPr>
          <w:p w14:paraId="7B34A8A3"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25.5–30.9</w:t>
            </w:r>
          </w:p>
        </w:tc>
        <w:tc>
          <w:tcPr>
            <w:tcW w:w="1254" w:type="dxa"/>
            <w:vAlign w:val="center"/>
            <w:hideMark/>
          </w:tcPr>
          <w:p w14:paraId="2E368142" w14:textId="77777777" w:rsidR="00E10CBC" w:rsidRPr="00E10CBC" w:rsidRDefault="00E10CBC" w:rsidP="00E10CBC">
            <w:pPr>
              <w:spacing w:after="0" w:line="240" w:lineRule="auto"/>
              <w:jc w:val="center"/>
              <w:rPr>
                <w:rFonts w:ascii="Times New Roman" w:hAnsi="Times New Roman" w:cs="Times New Roman"/>
              </w:rPr>
            </w:pPr>
            <w:r w:rsidRPr="00E10CBC">
              <w:rPr>
                <w:rFonts w:ascii="Times New Roman" w:hAnsi="Times New Roman" w:cs="Times New Roman"/>
              </w:rPr>
              <w:t>0.74</w:t>
            </w:r>
          </w:p>
        </w:tc>
      </w:tr>
    </w:tbl>
    <w:p w14:paraId="0B8A089F"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The findings indicate that infrastructure efficiency and environmental resilience recorded the strongest sustainability outcomes. Compact urban systems, low-carbon housing strategies, and integrated planning frameworks therefore represent critical pathways for climate-responsive regional development.</w:t>
      </w:r>
    </w:p>
    <w:p w14:paraId="53795FA6" w14:textId="77777777" w:rsidR="00E10CBC" w:rsidRPr="00E10CBC" w:rsidRDefault="00E10CBC" w:rsidP="00E10CBC">
      <w:pPr>
        <w:spacing w:before="240" w:after="240" w:line="240" w:lineRule="auto"/>
        <w:jc w:val="both"/>
        <w:rPr>
          <w:rFonts w:ascii="Times New Roman" w:hAnsi="Times New Roman" w:cs="Times New Roman"/>
          <w:b/>
          <w:bCs/>
        </w:rPr>
      </w:pPr>
      <w:r w:rsidRPr="00E10CBC">
        <w:rPr>
          <w:rFonts w:ascii="Times New Roman" w:hAnsi="Times New Roman" w:cs="Times New Roman"/>
          <w:b/>
          <w:bCs/>
        </w:rPr>
        <w:lastRenderedPageBreak/>
        <w:t>4.6 Interdisciplinary Planning Framework for Inclusive Urban Growth</w:t>
      </w:r>
    </w:p>
    <w:p w14:paraId="72574B01" w14:textId="77777777"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The synthesis of findings demonstrates that sustainable regional development depends less on isolated housing interventions and more on the integration of governance coordination, infrastructure systems, environmental sustainability, spatial planning, and regional economic strategies. Consequently, the study advances an Integrated Affordable Housing and Regional Development Framework linking architecture and urban planning perspectives.</w:t>
      </w:r>
    </w:p>
    <w:p w14:paraId="19E54E31" w14:textId="77777777" w:rsidR="00E10CBC" w:rsidRPr="00E10CBC" w:rsidRDefault="00E10CBC" w:rsidP="00E10CBC">
      <w:pPr>
        <w:spacing w:before="240" w:after="0" w:line="240" w:lineRule="auto"/>
        <w:jc w:val="both"/>
        <w:rPr>
          <w:rFonts w:ascii="Times New Roman" w:hAnsi="Times New Roman" w:cs="Times New Roman"/>
        </w:rPr>
      </w:pPr>
      <w:r w:rsidRPr="00E10CBC">
        <w:rPr>
          <w:rFonts w:ascii="Times New Roman" w:hAnsi="Times New Roman" w:cs="Times New Roman"/>
        </w:rPr>
        <w:t>The framework conceptualises affordable housing as a multidimensional regional development mechanism operating across five interconnected domains:</w:t>
      </w:r>
    </w:p>
    <w:p w14:paraId="0CF565C7" w14:textId="77777777" w:rsidR="00E10CBC" w:rsidRPr="00E10CBC" w:rsidRDefault="00E10CBC" w:rsidP="00E10CBC">
      <w:pPr>
        <w:numPr>
          <w:ilvl w:val="0"/>
          <w:numId w:val="20"/>
        </w:numPr>
        <w:spacing w:after="0" w:line="240" w:lineRule="auto"/>
        <w:jc w:val="both"/>
        <w:rPr>
          <w:rFonts w:ascii="Times New Roman" w:hAnsi="Times New Roman" w:cs="Times New Roman"/>
        </w:rPr>
      </w:pPr>
      <w:r w:rsidRPr="00E10CBC">
        <w:rPr>
          <w:rFonts w:ascii="Times New Roman" w:hAnsi="Times New Roman" w:cs="Times New Roman"/>
        </w:rPr>
        <w:t xml:space="preserve">Housing Accessibility Systems; </w:t>
      </w:r>
    </w:p>
    <w:p w14:paraId="3D4E2AB5" w14:textId="77777777" w:rsidR="00E10CBC" w:rsidRPr="00E10CBC" w:rsidRDefault="00E10CBC" w:rsidP="00E10CBC">
      <w:pPr>
        <w:numPr>
          <w:ilvl w:val="0"/>
          <w:numId w:val="20"/>
        </w:numPr>
        <w:spacing w:after="0" w:line="240" w:lineRule="auto"/>
        <w:jc w:val="both"/>
        <w:rPr>
          <w:rFonts w:ascii="Times New Roman" w:hAnsi="Times New Roman" w:cs="Times New Roman"/>
        </w:rPr>
      </w:pPr>
      <w:r w:rsidRPr="00E10CBC">
        <w:rPr>
          <w:rFonts w:ascii="Times New Roman" w:hAnsi="Times New Roman" w:cs="Times New Roman"/>
        </w:rPr>
        <w:t xml:space="preserve">Governance Coordination; </w:t>
      </w:r>
    </w:p>
    <w:p w14:paraId="7AC92A0E" w14:textId="77777777" w:rsidR="00E10CBC" w:rsidRPr="00E10CBC" w:rsidRDefault="00E10CBC" w:rsidP="00E10CBC">
      <w:pPr>
        <w:numPr>
          <w:ilvl w:val="0"/>
          <w:numId w:val="20"/>
        </w:numPr>
        <w:spacing w:after="0" w:line="240" w:lineRule="auto"/>
        <w:jc w:val="both"/>
        <w:rPr>
          <w:rFonts w:ascii="Times New Roman" w:hAnsi="Times New Roman" w:cs="Times New Roman"/>
        </w:rPr>
      </w:pPr>
      <w:r w:rsidRPr="00E10CBC">
        <w:rPr>
          <w:rFonts w:ascii="Times New Roman" w:hAnsi="Times New Roman" w:cs="Times New Roman"/>
        </w:rPr>
        <w:t xml:space="preserve">Infrastructure Integration; </w:t>
      </w:r>
    </w:p>
    <w:p w14:paraId="125F6628" w14:textId="77777777" w:rsidR="00E10CBC" w:rsidRPr="00E10CBC" w:rsidRDefault="00E10CBC" w:rsidP="00E10CBC">
      <w:pPr>
        <w:numPr>
          <w:ilvl w:val="0"/>
          <w:numId w:val="20"/>
        </w:numPr>
        <w:spacing w:after="0" w:line="240" w:lineRule="auto"/>
        <w:jc w:val="both"/>
        <w:rPr>
          <w:rFonts w:ascii="Times New Roman" w:hAnsi="Times New Roman" w:cs="Times New Roman"/>
        </w:rPr>
      </w:pPr>
      <w:r w:rsidRPr="00E10CBC">
        <w:rPr>
          <w:rFonts w:ascii="Times New Roman" w:hAnsi="Times New Roman" w:cs="Times New Roman"/>
        </w:rPr>
        <w:t xml:space="preserve">Environmental Sustainability; and </w:t>
      </w:r>
    </w:p>
    <w:p w14:paraId="70DEC4CD" w14:textId="77777777" w:rsidR="00E10CBC" w:rsidRPr="00E10CBC" w:rsidRDefault="00E10CBC" w:rsidP="00E10CBC">
      <w:pPr>
        <w:numPr>
          <w:ilvl w:val="0"/>
          <w:numId w:val="20"/>
        </w:numPr>
        <w:spacing w:after="0" w:line="240" w:lineRule="auto"/>
        <w:jc w:val="both"/>
        <w:rPr>
          <w:rFonts w:ascii="Times New Roman" w:hAnsi="Times New Roman" w:cs="Times New Roman"/>
        </w:rPr>
      </w:pPr>
      <w:r w:rsidRPr="00E10CBC">
        <w:rPr>
          <w:rFonts w:ascii="Times New Roman" w:hAnsi="Times New Roman" w:cs="Times New Roman"/>
        </w:rPr>
        <w:t xml:space="preserve">Regional Economic Transformation. </w:t>
      </w:r>
    </w:p>
    <w:p w14:paraId="2D30D61F" w14:textId="39EAF8D4" w:rsidR="00E10CBC" w:rsidRPr="00E10CBC" w:rsidRDefault="00E10CBC" w:rsidP="00E10CBC">
      <w:pPr>
        <w:spacing w:before="240" w:after="240" w:line="240" w:lineRule="auto"/>
        <w:jc w:val="both"/>
        <w:rPr>
          <w:rFonts w:ascii="Times New Roman" w:hAnsi="Times New Roman" w:cs="Times New Roman"/>
        </w:rPr>
      </w:pPr>
      <w:r w:rsidRPr="00E10CBC">
        <w:rPr>
          <w:rFonts w:ascii="Times New Roman" w:hAnsi="Times New Roman" w:cs="Times New Roman"/>
        </w:rPr>
        <w:t>Architectural perspectives contribute through climate-responsive design, sustainable construction systems, spatial efficiency, and environmental performance</w:t>
      </w:r>
      <w:r w:rsidR="00D0579F">
        <w:rPr>
          <w:rFonts w:ascii="Times New Roman" w:hAnsi="Times New Roman" w:cs="Times New Roman"/>
        </w:rPr>
        <w:t>. In contrast,</w:t>
      </w:r>
      <w:r w:rsidRPr="00E10CBC">
        <w:rPr>
          <w:rFonts w:ascii="Times New Roman" w:hAnsi="Times New Roman" w:cs="Times New Roman"/>
        </w:rPr>
        <w:t xml:space="preserve"> urban and regional planning perspectives contribute through land-use coordination, transport integration, governance systems, and regional infrastructure management.</w:t>
      </w:r>
    </w:p>
    <w:p w14:paraId="4579554C" w14:textId="3E9AC19C" w:rsidR="00C8238D" w:rsidRDefault="00E10CBC" w:rsidP="008A7EC4">
      <w:pPr>
        <w:spacing w:before="240" w:after="240" w:line="240" w:lineRule="auto"/>
        <w:jc w:val="both"/>
        <w:rPr>
          <w:rFonts w:ascii="Times New Roman" w:hAnsi="Times New Roman" w:cs="Times New Roman"/>
        </w:rPr>
      </w:pPr>
      <w:r w:rsidRPr="00E10CBC">
        <w:rPr>
          <w:rFonts w:ascii="Times New Roman" w:hAnsi="Times New Roman" w:cs="Times New Roman"/>
        </w:rPr>
        <w:t>Overall, the findings establish that affordable housing should be repositioned from a stand-alone welfare intervention to a strategic mechanism for inclusive urban growth, environmental resilience, and sustainable regional transformation</w:t>
      </w:r>
      <w:r w:rsidR="00C8238D" w:rsidRPr="00847EFD">
        <w:rPr>
          <w:rFonts w:ascii="Times New Roman" w:hAnsi="Times New Roman" w:cs="Times New Roman"/>
        </w:rPr>
        <w:t>.</w:t>
      </w:r>
    </w:p>
    <w:p w14:paraId="6F3C6319" w14:textId="77777777" w:rsidR="00194C2B" w:rsidRPr="00194C2B" w:rsidRDefault="00194C2B" w:rsidP="00194C2B">
      <w:pPr>
        <w:spacing w:before="240" w:after="240" w:line="240" w:lineRule="auto"/>
        <w:jc w:val="both"/>
        <w:rPr>
          <w:rFonts w:ascii="Times New Roman" w:hAnsi="Times New Roman" w:cs="Times New Roman"/>
          <w:b/>
          <w:bCs/>
        </w:rPr>
      </w:pPr>
      <w:r w:rsidRPr="00194C2B">
        <w:rPr>
          <w:rFonts w:ascii="Times New Roman" w:hAnsi="Times New Roman" w:cs="Times New Roman"/>
          <w:b/>
          <w:bCs/>
        </w:rPr>
        <w:t>4.7 Discussion of Findings</w:t>
      </w:r>
    </w:p>
    <w:p w14:paraId="7AB2A8CB" w14:textId="5AAA8823"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The findings significantly advance contemporary discourse on affordable housing and sustainable regional development by demonstrating that housing affordability is fundamentally interconnected with governance systems, infrastructure integration, environmental sustainability, and spatial planning coordination. The evidence confirms that affordable housing functions not merely as a </w:t>
      </w:r>
      <w:r w:rsidR="00D0579F">
        <w:rPr>
          <w:rFonts w:ascii="Times New Roman" w:hAnsi="Times New Roman" w:cs="Times New Roman"/>
        </w:rPr>
        <w:t>mechanism for shelter provision but as a multidimensional instrument for regional development,</w:t>
      </w:r>
      <w:r w:rsidRPr="00194C2B">
        <w:rPr>
          <w:rFonts w:ascii="Times New Roman" w:hAnsi="Times New Roman" w:cs="Times New Roman"/>
        </w:rPr>
        <w:t xml:space="preserve"> shaping labour mobility, socio-spatial inclusion, territorial cohesion, environmental resilience, and regional productivity.</w:t>
      </w:r>
    </w:p>
    <w:p w14:paraId="3302778C" w14:textId="4F3E520D"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The findings strongly </w:t>
      </w:r>
      <w:r w:rsidR="00D0579F">
        <w:rPr>
          <w:rFonts w:ascii="Times New Roman" w:hAnsi="Times New Roman" w:cs="Times New Roman"/>
        </w:rPr>
        <w:t xml:space="preserve">align with Sustainable Urbanism Theory by demonstrating that sustainable urban growth depends on compact development patterns, efficient infrastructure, effective </w:t>
      </w:r>
      <w:r w:rsidRPr="00194C2B">
        <w:rPr>
          <w:rFonts w:ascii="Times New Roman" w:hAnsi="Times New Roman" w:cs="Times New Roman"/>
        </w:rPr>
        <w:t xml:space="preserve">environmental management, and integrated housing systems. The evidence shows that compact urban forms and coordinated planning systems significantly reduce land consumption, infrastructure duplication, and environmental pressures while improving accessibility and social inclusion. Similarly, the findings reinforce Smart Growth Theory </w:t>
      </w:r>
      <w:r w:rsidR="00D0579F">
        <w:rPr>
          <w:rFonts w:ascii="Times New Roman" w:hAnsi="Times New Roman" w:cs="Times New Roman"/>
        </w:rPr>
        <w:t>by demonstrating the</w:t>
      </w:r>
      <w:r w:rsidRPr="00194C2B">
        <w:rPr>
          <w:rFonts w:ascii="Times New Roman" w:hAnsi="Times New Roman" w:cs="Times New Roman"/>
        </w:rPr>
        <w:t xml:space="preserve"> effectiveness of transit-oriented development, infrastructure integration, and mixed spatial systems in improving mobility efficiency, regional accessibility, and environmental sustainability. The strong performance of transit-oriented planning across metropolitan regions further validates smart growth propositions advocating density optimisation, integrated land use, and reduced transport dependence.</w:t>
      </w:r>
    </w:p>
    <w:p w14:paraId="00B0FCD2" w14:textId="41AD453F"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The findings also strongly support Socio-Technical Systems Theory by confirming that affordable housing outcomes emerge from interactions among governance institutions, infrastructure systems, finance mechanisms, planning frameworks, technology adoption, and social actors. Governance coordination emerged as the strongest determinant of sustainable housing delivery, thereby demonstrating that housing affordability cannot be addressed through isolated construction interventions alone. Instead, sustainable housing systems require coordinated </w:t>
      </w:r>
      <w:r w:rsidR="00D0579F">
        <w:rPr>
          <w:rFonts w:ascii="Times New Roman" w:hAnsi="Times New Roman" w:cs="Times New Roman"/>
        </w:rPr>
        <w:t>integration processes across institutional, technological, environmental, and spatial domains, operating simultaneously within</w:t>
      </w:r>
      <w:r w:rsidRPr="00194C2B">
        <w:rPr>
          <w:rFonts w:ascii="Times New Roman" w:hAnsi="Times New Roman" w:cs="Times New Roman"/>
        </w:rPr>
        <w:t xml:space="preserve"> regional development systems.</w:t>
      </w:r>
    </w:p>
    <w:p w14:paraId="20DFB84B" w14:textId="41940CEF"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Comparative analysis further revealed important regional and contextual tensions within the literature. Studies from the Global North generally demonstrated stronger governance coordination, environmental regulation, and infrastructure integration</w:t>
      </w:r>
      <w:r w:rsidR="00D0579F">
        <w:rPr>
          <w:rFonts w:ascii="Times New Roman" w:hAnsi="Times New Roman" w:cs="Times New Roman"/>
        </w:rPr>
        <w:t>. In contrast, studies</w:t>
      </w:r>
      <w:r w:rsidRPr="00194C2B">
        <w:rPr>
          <w:rFonts w:ascii="Times New Roman" w:hAnsi="Times New Roman" w:cs="Times New Roman"/>
        </w:rPr>
        <w:t xml:space="preserve"> from African and peri-urban regions highlighted persistent </w:t>
      </w:r>
      <w:r w:rsidRPr="00194C2B">
        <w:rPr>
          <w:rFonts w:ascii="Times New Roman" w:hAnsi="Times New Roman" w:cs="Times New Roman"/>
        </w:rPr>
        <w:lastRenderedPageBreak/>
        <w:t xml:space="preserve">governance fragmentation, infrastructure deficits, and </w:t>
      </w:r>
      <w:r w:rsidR="00D0579F">
        <w:rPr>
          <w:rFonts w:ascii="Times New Roman" w:hAnsi="Times New Roman" w:cs="Times New Roman"/>
        </w:rPr>
        <w:t>pressures of informal urbanisation</w:t>
      </w:r>
      <w:r w:rsidRPr="00194C2B">
        <w:rPr>
          <w:rFonts w:ascii="Times New Roman" w:hAnsi="Times New Roman" w:cs="Times New Roman"/>
        </w:rPr>
        <w:t>. Asian metropolitan regions recorded comparatively stronger transit-oriented integration and compact urban growth performance, although several studies also identified tensions between rapid urban expansion and environmental sustainability objectives. These variations indicate that sustainable housing outcomes remain highly dependent on institutional capacity, planning efficiency, and regional governance structures.</w:t>
      </w:r>
    </w:p>
    <w:p w14:paraId="41ADCAF9" w14:textId="3DD80DA9"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The review also identified important contradictions and sustainability trade-offs within existing affordable housing systems. Although compact urban development improves infrastructure efficiency and environmental sustainability, excessive densification may </w:t>
      </w:r>
      <w:r w:rsidR="00D0579F">
        <w:rPr>
          <w:rFonts w:ascii="Times New Roman" w:hAnsi="Times New Roman" w:cs="Times New Roman"/>
        </w:rPr>
        <w:t xml:space="preserve">drive up housing costs and exacerbate </w:t>
      </w:r>
      <w:r w:rsidRPr="00194C2B">
        <w:rPr>
          <w:rFonts w:ascii="Times New Roman" w:hAnsi="Times New Roman" w:cs="Times New Roman"/>
        </w:rPr>
        <w:t xml:space="preserve">social exclusion </w:t>
      </w:r>
      <w:r w:rsidR="00D0579F">
        <w:rPr>
          <w:rFonts w:ascii="Times New Roman" w:hAnsi="Times New Roman" w:cs="Times New Roman"/>
        </w:rPr>
        <w:t>in areas with weak governance systems</w:t>
      </w:r>
      <w:r w:rsidRPr="00194C2B">
        <w:rPr>
          <w:rFonts w:ascii="Times New Roman" w:hAnsi="Times New Roman" w:cs="Times New Roman"/>
        </w:rPr>
        <w:t>. Similarly, green and climate-responsive housing technologies often improve environmental performance but may initially increase development costs, thereby creating affordability paradoxes for low-income populations. Several studies further revealed that failed governance systems, bureaucratic inefficiencies, land speculation, and weak policy coordination continue to undermine sustainable housing transitions despite the growing adoption of sustainability-oriented planning frameworks.</w:t>
      </w:r>
    </w:p>
    <w:p w14:paraId="43507A80" w14:textId="77777777" w:rsidR="00194C2B" w:rsidRPr="00194C2B" w:rsidRDefault="00194C2B" w:rsidP="00194C2B">
      <w:pPr>
        <w:spacing w:before="240" w:after="240" w:line="240" w:lineRule="auto"/>
        <w:jc w:val="both"/>
        <w:rPr>
          <w:rFonts w:ascii="Times New Roman" w:hAnsi="Times New Roman" w:cs="Times New Roman"/>
          <w:b/>
          <w:bCs/>
        </w:rPr>
      </w:pPr>
      <w:r w:rsidRPr="00194C2B">
        <w:rPr>
          <w:rFonts w:ascii="Times New Roman" w:hAnsi="Times New Roman" w:cs="Times New Roman"/>
          <w:b/>
          <w:bCs/>
        </w:rPr>
        <w:t>Theoretical Advancement</w:t>
      </w:r>
    </w:p>
    <w:p w14:paraId="01785FF6" w14:textId="79BCC779"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This study advances a systems-oriented</w:t>
      </w:r>
      <w:r w:rsidR="00D0579F">
        <w:rPr>
          <w:rFonts w:ascii="Times New Roman" w:hAnsi="Times New Roman" w:cs="Times New Roman"/>
        </w:rPr>
        <w:t>, interdisciplinary framework that integrates Sustainable Urbanism Theory, Smart Growth Theory, and Socio-Technical Systems Theory into the</w:t>
      </w:r>
      <w:r w:rsidRPr="00194C2B">
        <w:rPr>
          <w:rFonts w:ascii="Times New Roman" w:hAnsi="Times New Roman" w:cs="Times New Roman"/>
        </w:rPr>
        <w:t xml:space="preserve"> </w:t>
      </w:r>
      <w:r w:rsidR="00D0579F">
        <w:rPr>
          <w:rFonts w:ascii="Times New Roman" w:hAnsi="Times New Roman" w:cs="Times New Roman"/>
        </w:rPr>
        <w:t>discourse on affordable housing and regional development</w:t>
      </w:r>
      <w:r w:rsidRPr="00194C2B">
        <w:rPr>
          <w:rFonts w:ascii="Times New Roman" w:hAnsi="Times New Roman" w:cs="Times New Roman"/>
        </w:rPr>
        <w:t>. Unlike previous studies that examine housing affordability, governance systems, environmental sustainability, or infrastructure provision independently, the study conceptualises affordable housing as a multidimensional regional transformation mechanism operating across interconnected governance, spatial, environmental, infrastructural, and socio-economic systems. The framework therefore advances theoretical understanding by repositioning affordable housing from a stand-alone welfare intervention to a strategic instrument for inclusive urban growth, territorial cohesion, environmental resilience, and sustainable regional development.</w:t>
      </w:r>
    </w:p>
    <w:p w14:paraId="02062395" w14:textId="77777777"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Overall, the findings establish that sustainable regional development depends less on isolated housing interventions and more on the capacity of integrated governance, infrastructure, environmental planning, and housing systems to operate collaboratively within interdisciplinary regional development frameworks.</w:t>
      </w:r>
    </w:p>
    <w:p w14:paraId="17D0CA03" w14:textId="77777777" w:rsidR="00C8238D" w:rsidRPr="00847EFD" w:rsidRDefault="00C8238D"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5.0 Recommendations and Conclusion</w:t>
      </w:r>
    </w:p>
    <w:p w14:paraId="3FE28E2F" w14:textId="77777777" w:rsidR="00C8238D" w:rsidRPr="00847EFD" w:rsidRDefault="00C8238D" w:rsidP="008A7EC4">
      <w:pPr>
        <w:spacing w:before="240" w:after="240" w:line="240" w:lineRule="auto"/>
        <w:jc w:val="both"/>
        <w:rPr>
          <w:rFonts w:ascii="Times New Roman" w:hAnsi="Times New Roman" w:cs="Times New Roman"/>
          <w:b/>
          <w:bCs/>
        </w:rPr>
      </w:pPr>
      <w:r w:rsidRPr="00847EFD">
        <w:rPr>
          <w:rFonts w:ascii="Times New Roman" w:hAnsi="Times New Roman" w:cs="Times New Roman"/>
          <w:b/>
          <w:bCs/>
        </w:rPr>
        <w:t>5.1 Recommendations</w:t>
      </w:r>
    </w:p>
    <w:p w14:paraId="532FD928" w14:textId="741045DB"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The findings demonstrate that sustainable affordable housing and regional development depend on integrated governance systems, infrastructure coordination, environmental sustainability, and interdisciplinary planning collaboration. Consequently, measurable</w:t>
      </w:r>
      <w:r w:rsidR="00D0579F">
        <w:rPr>
          <w:rFonts w:ascii="Times New Roman" w:hAnsi="Times New Roman" w:cs="Times New Roman"/>
        </w:rPr>
        <w:t>, stakeholder-specific strategies are necessary to improve</w:t>
      </w:r>
      <w:r w:rsidRPr="00194C2B">
        <w:rPr>
          <w:rFonts w:ascii="Times New Roman" w:hAnsi="Times New Roman" w:cs="Times New Roman"/>
        </w:rPr>
        <w:t xml:space="preserve"> housing accessibility and inclusive urban growth outcomes.</w:t>
      </w:r>
    </w:p>
    <w:p w14:paraId="6DAAA294" w14:textId="14C945A0"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Governments should establish integrated metropolitan and regional housing frameworks </w:t>
      </w:r>
      <w:r w:rsidR="00D0579F">
        <w:rPr>
          <w:rFonts w:ascii="Times New Roman" w:hAnsi="Times New Roman" w:cs="Times New Roman"/>
        </w:rPr>
        <w:t>that coordinate</w:t>
      </w:r>
      <w:r w:rsidRPr="00194C2B">
        <w:rPr>
          <w:rFonts w:ascii="Times New Roman" w:hAnsi="Times New Roman" w:cs="Times New Roman"/>
        </w:rPr>
        <w:t xml:space="preserve"> land administration, transport planning, infrastructure provision, environmental management, and housing delivery systems. National and regional planning authorities should target measurable reductions in development approval timelines through digital planning systems and integrated approval platforms within three- to five-year implementation cycles. Governance performance indicators should include reductions in informal settlement growth, improvements in infrastructure accessibility, and increased </w:t>
      </w:r>
      <w:r w:rsidR="00D0579F">
        <w:rPr>
          <w:rFonts w:ascii="Times New Roman" w:hAnsi="Times New Roman" w:cs="Times New Roman"/>
        </w:rPr>
        <w:t>efficiency in housing delivery</w:t>
      </w:r>
      <w:r w:rsidRPr="00194C2B">
        <w:rPr>
          <w:rFonts w:ascii="Times New Roman" w:hAnsi="Times New Roman" w:cs="Times New Roman"/>
        </w:rPr>
        <w:t xml:space="preserve">. Governments should also prioritise transit-oriented and compact urban development models </w:t>
      </w:r>
      <w:r w:rsidR="00D0579F">
        <w:rPr>
          <w:rFonts w:ascii="Times New Roman" w:hAnsi="Times New Roman" w:cs="Times New Roman"/>
        </w:rPr>
        <w:t>that reduce</w:t>
      </w:r>
      <w:r w:rsidRPr="00194C2B">
        <w:rPr>
          <w:rFonts w:ascii="Times New Roman" w:hAnsi="Times New Roman" w:cs="Times New Roman"/>
        </w:rPr>
        <w:t xml:space="preserve"> infrastructure duplication and urban sprawl.</w:t>
      </w:r>
    </w:p>
    <w:p w14:paraId="462BF9CE" w14:textId="31FB1195"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Urban and regional planners should strengthen integrated land-use planning systems </w:t>
      </w:r>
      <w:r w:rsidR="00D0579F">
        <w:rPr>
          <w:rFonts w:ascii="Times New Roman" w:hAnsi="Times New Roman" w:cs="Times New Roman"/>
        </w:rPr>
        <w:t>that link affordable housing to</w:t>
      </w:r>
      <w:r w:rsidRPr="00194C2B">
        <w:rPr>
          <w:rFonts w:ascii="Times New Roman" w:hAnsi="Times New Roman" w:cs="Times New Roman"/>
        </w:rPr>
        <w:t xml:space="preserve"> transportation corridors, employment centres, healthcare facilities, educational infrastructure, and environmental protection systems. Planning agencies should adopt infrastructure benchmarks that prioritise accessibility to public transportation, potable water systems, drainage networks, and renewable energy infrastructure within affordable housing developments. GIS-driven spatial planning and regional growth </w:t>
      </w:r>
      <w:r w:rsidRPr="00194C2B">
        <w:rPr>
          <w:rFonts w:ascii="Times New Roman" w:hAnsi="Times New Roman" w:cs="Times New Roman"/>
        </w:rPr>
        <w:lastRenderedPageBreak/>
        <w:t>monitoring systems should also be institutionalised to improve evidence-based planning and territorial coordination.</w:t>
      </w:r>
    </w:p>
    <w:p w14:paraId="201B3F5C" w14:textId="06D32D56"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Architects should prioritise climate-responsive and resource-efficient housing systems through passive design strategies, sustainable construction materials, modular integrated construction systems, and environmentally efficient spatial configurations. Professional design frameworks should incorporate measurable environmental performance indicators such as reductions in operational energy demand, embodied carbon emissions, and land consumption. Architectural institutions should further strengthen interdisciplinary collaboration with planners, engineers, and environmental specialists to improve </w:t>
      </w:r>
      <w:r w:rsidR="00D0579F">
        <w:rPr>
          <w:rFonts w:ascii="Times New Roman" w:hAnsi="Times New Roman" w:cs="Times New Roman"/>
        </w:rPr>
        <w:t xml:space="preserve">the integration of sustainability </w:t>
      </w:r>
      <w:r w:rsidRPr="00194C2B">
        <w:rPr>
          <w:rFonts w:ascii="Times New Roman" w:hAnsi="Times New Roman" w:cs="Times New Roman"/>
        </w:rPr>
        <w:t>within housing systems.</w:t>
      </w:r>
    </w:p>
    <w:p w14:paraId="505A78FF" w14:textId="0EE5ED07"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Financial institutions should expand affordable housing finance mechanisms through flexible mortgage systems, cooperative housing financing, green housing investment schemes, and infrastructure-backed financing models. Green financing frameworks should include incentives supporting low-carbon construction technologies and climate-responsive housing systems. Financial accessibility indicators should </w:t>
      </w:r>
      <w:r w:rsidR="00D0579F">
        <w:rPr>
          <w:rFonts w:ascii="Times New Roman" w:hAnsi="Times New Roman" w:cs="Times New Roman"/>
        </w:rPr>
        <w:t>aim to increase access to mortgages and reduce financing barriers for low- and middle-income populations over</w:t>
      </w:r>
      <w:r w:rsidRPr="00194C2B">
        <w:rPr>
          <w:rFonts w:ascii="Times New Roman" w:hAnsi="Times New Roman" w:cs="Times New Roman"/>
        </w:rPr>
        <w:t xml:space="preserve"> defined policy periods.</w:t>
      </w:r>
    </w:p>
    <w:p w14:paraId="39E0C0E7" w14:textId="0664FF58"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Development agencies and international organisations should strengthen technical and institutional support for sustainable housing and regional development initiatives, particularly within rapidly urbanising developing economies. Priority interventions should include infrastructure investment support, governance capacity building, environmental planning assistance, and sustainable urban growth monitoring systems. Policy implementation frameworks should further integrate climate resilience, </w:t>
      </w:r>
      <w:r w:rsidR="00D0579F">
        <w:rPr>
          <w:rFonts w:ascii="Times New Roman" w:hAnsi="Times New Roman" w:cs="Times New Roman"/>
        </w:rPr>
        <w:t>carbon-reduction targets, and spatial-equity indicators into</w:t>
      </w:r>
      <w:r w:rsidRPr="00194C2B">
        <w:rPr>
          <w:rFonts w:ascii="Times New Roman" w:hAnsi="Times New Roman" w:cs="Times New Roman"/>
        </w:rPr>
        <w:t xml:space="preserve"> affordable housing and regional development programmes.</w:t>
      </w:r>
    </w:p>
    <w:p w14:paraId="264BBF05" w14:textId="77777777" w:rsidR="00194C2B" w:rsidRPr="00194C2B" w:rsidRDefault="00194C2B" w:rsidP="00194C2B">
      <w:pPr>
        <w:spacing w:before="240" w:after="240" w:line="240" w:lineRule="auto"/>
        <w:jc w:val="both"/>
        <w:rPr>
          <w:rFonts w:ascii="Times New Roman" w:hAnsi="Times New Roman" w:cs="Times New Roman"/>
          <w:b/>
          <w:bCs/>
        </w:rPr>
      </w:pPr>
      <w:r w:rsidRPr="00194C2B">
        <w:rPr>
          <w:rFonts w:ascii="Times New Roman" w:hAnsi="Times New Roman" w:cs="Times New Roman"/>
          <w:b/>
          <w:bCs/>
        </w:rPr>
        <w:t>5.2 Conclusion</w:t>
      </w:r>
    </w:p>
    <w:p w14:paraId="42EBF829" w14:textId="77777777"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This study examined affordable housing as a strategic instrument for sustainable regional development and inclusive urban growth through interdisciplinary integration between architecture and urban and regional planning. Using a PRISMA-based systematic review of 55 peer-reviewed journal articles published between 2016 and 2026, the study synthesised evidence relating to governance coordination, infrastructure integration, environmental sustainability, spatial planning, and housing affordability systems.</w:t>
      </w:r>
    </w:p>
    <w:p w14:paraId="719C1276" w14:textId="77777777"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The findings demonstrate that affordable housing significantly influences labour mobility, territorial cohesion, infrastructure accessibility, environmental resilience, and regional productivity. Governance coordination emerged as the strongest determinant of sustainable housing performance, while infrastructure integration, compact urban development, and transit-oriented planning substantially improved spatial accessibility and environmental sustainability. The study further established that fragmented governance systems, weak planning coordination, inadequate infrastructure investment, and uncontrolled urban expansion remain major barriers to inclusive urban growth, particularly within rapidly urbanising developing economies.</w:t>
      </w:r>
    </w:p>
    <w:p w14:paraId="0B7D2358" w14:textId="651B8653"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The study advances a systems-oriented</w:t>
      </w:r>
      <w:r w:rsidR="00D0579F">
        <w:rPr>
          <w:rFonts w:ascii="Times New Roman" w:hAnsi="Times New Roman" w:cs="Times New Roman"/>
        </w:rPr>
        <w:t>, interdisciplinary framework that integrates</w:t>
      </w:r>
      <w:r w:rsidRPr="00194C2B">
        <w:rPr>
          <w:rFonts w:ascii="Times New Roman" w:hAnsi="Times New Roman" w:cs="Times New Roman"/>
        </w:rPr>
        <w:t xml:space="preserve"> governance systems, infrastructure provision, environmental sustainability, and housing delivery within broader regional development processes. Methodologically, the study demonstrates the effectiveness of combining PRISMA-based systematic review procedures with thematic synthesis, inferential validation, and quantitative meta-pattern analysis in interdisciplinary urban research.</w:t>
      </w:r>
    </w:p>
    <w:p w14:paraId="5AC19ECA" w14:textId="433CC3C5"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Overall, the study establishes that sustainable regional development depends less on isolated housing interventions and more on integrated planning systems </w:t>
      </w:r>
      <w:r w:rsidR="00D0579F">
        <w:rPr>
          <w:rFonts w:ascii="Times New Roman" w:hAnsi="Times New Roman" w:cs="Times New Roman"/>
        </w:rPr>
        <w:t>that coordinate</w:t>
      </w:r>
      <w:r w:rsidRPr="00194C2B">
        <w:rPr>
          <w:rFonts w:ascii="Times New Roman" w:hAnsi="Times New Roman" w:cs="Times New Roman"/>
        </w:rPr>
        <w:t xml:space="preserve"> governance, infrastructure, environmental management, and housing delivery simultaneously. Affordable housing must therefore be repositioned globally as a spatial sustainability strategy central to climate resilience, territorial equity, and inclusive regional transformation.</w:t>
      </w:r>
    </w:p>
    <w:p w14:paraId="77DEF809" w14:textId="77777777" w:rsidR="00194C2B" w:rsidRPr="00194C2B" w:rsidRDefault="00194C2B" w:rsidP="00194C2B">
      <w:pPr>
        <w:spacing w:before="240" w:after="240" w:line="240" w:lineRule="auto"/>
        <w:jc w:val="both"/>
        <w:rPr>
          <w:rFonts w:ascii="Times New Roman" w:hAnsi="Times New Roman" w:cs="Times New Roman"/>
          <w:b/>
          <w:bCs/>
        </w:rPr>
      </w:pPr>
      <w:r w:rsidRPr="00194C2B">
        <w:rPr>
          <w:rFonts w:ascii="Times New Roman" w:hAnsi="Times New Roman" w:cs="Times New Roman"/>
          <w:b/>
          <w:bCs/>
        </w:rPr>
        <w:t>5.3 Contribution to Knowledge</w:t>
      </w:r>
    </w:p>
    <w:p w14:paraId="55380F52" w14:textId="62F252FF"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b/>
          <w:bCs/>
        </w:rPr>
        <w:lastRenderedPageBreak/>
        <w:t>Empirical Contribution</w:t>
      </w:r>
      <w:r>
        <w:rPr>
          <w:rFonts w:ascii="Times New Roman" w:hAnsi="Times New Roman" w:cs="Times New Roman"/>
          <w:b/>
          <w:bCs/>
        </w:rPr>
        <w:t xml:space="preserve">: </w:t>
      </w:r>
      <w:r w:rsidRPr="00194C2B">
        <w:rPr>
          <w:rFonts w:ascii="Times New Roman" w:hAnsi="Times New Roman" w:cs="Times New Roman"/>
        </w:rPr>
        <w:t>The study consolidates interdisciplinary evidence linking affordable housing with governance systems, infrastructure integration, environmental sustainability, and regional economic transformation. It further demonstrates how housing accessibility influences inclusive urban growth, spatial equity, and territorial cohesion across both developed and developing regions.</w:t>
      </w:r>
    </w:p>
    <w:p w14:paraId="2AB21A1F" w14:textId="26D1F3F9"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b/>
          <w:bCs/>
        </w:rPr>
        <w:t>Theoretical Contribution</w:t>
      </w:r>
      <w:r>
        <w:rPr>
          <w:rFonts w:ascii="Times New Roman" w:hAnsi="Times New Roman" w:cs="Times New Roman"/>
          <w:b/>
          <w:bCs/>
        </w:rPr>
        <w:t xml:space="preserve">: </w:t>
      </w:r>
      <w:r w:rsidRPr="00194C2B">
        <w:rPr>
          <w:rFonts w:ascii="Times New Roman" w:hAnsi="Times New Roman" w:cs="Times New Roman"/>
        </w:rPr>
        <w:t>The study advances an integrated</w:t>
      </w:r>
      <w:r w:rsidR="00D0579F">
        <w:rPr>
          <w:rFonts w:ascii="Times New Roman" w:hAnsi="Times New Roman" w:cs="Times New Roman"/>
        </w:rPr>
        <w:t>, interdisciplinary framework that combines</w:t>
      </w:r>
      <w:r w:rsidRPr="00194C2B">
        <w:rPr>
          <w:rFonts w:ascii="Times New Roman" w:hAnsi="Times New Roman" w:cs="Times New Roman"/>
        </w:rPr>
        <w:t xml:space="preserve"> Sustainable Urbanism Theory, Smart Growth Theory, and Socio-Technical Systems Theory to explain affordable housing as a multidimensional regional development mechanism operating across interconnected spatial, governance, environmental, and socio-economic systems.</w:t>
      </w:r>
    </w:p>
    <w:p w14:paraId="6E0CD521" w14:textId="4D2F6F39"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b/>
          <w:bCs/>
        </w:rPr>
        <w:t>Methodological Contribution</w:t>
      </w:r>
      <w:r>
        <w:rPr>
          <w:rFonts w:ascii="Times New Roman" w:hAnsi="Times New Roman" w:cs="Times New Roman"/>
          <w:b/>
          <w:bCs/>
        </w:rPr>
        <w:t xml:space="preserve">: </w:t>
      </w:r>
      <w:r w:rsidRPr="00194C2B">
        <w:rPr>
          <w:rFonts w:ascii="Times New Roman" w:hAnsi="Times New Roman" w:cs="Times New Roman"/>
        </w:rPr>
        <w:t>Methodologically, the study demonstrates the effectiveness of combining PRISMA-based systematic review procedures with thematic synthesis, inferential statistical validation, regression modelling, and quantitative meta-pattern analysis in interdisciplinary urban and regional development research.</w:t>
      </w:r>
    </w:p>
    <w:p w14:paraId="65218468" w14:textId="044C9DAD"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b/>
          <w:bCs/>
        </w:rPr>
        <w:t>Practical Contribution</w:t>
      </w:r>
      <w:r>
        <w:rPr>
          <w:rFonts w:ascii="Times New Roman" w:hAnsi="Times New Roman" w:cs="Times New Roman"/>
          <w:b/>
          <w:bCs/>
        </w:rPr>
        <w:t xml:space="preserve">: </w:t>
      </w:r>
      <w:r w:rsidR="00D0579F">
        <w:rPr>
          <w:rFonts w:ascii="Times New Roman" w:hAnsi="Times New Roman" w:cs="Times New Roman"/>
        </w:rPr>
        <w:t>The study provides a policy-oriented Integrated Affordable Housing and Regional Development Framework that guides governments, planners, architects, financial institutions, and development agencies toward coordinated interventions across housing, infrastructure, governance, and sustainability to support</w:t>
      </w:r>
      <w:r w:rsidRPr="00194C2B">
        <w:rPr>
          <w:rFonts w:ascii="Times New Roman" w:hAnsi="Times New Roman" w:cs="Times New Roman"/>
        </w:rPr>
        <w:t xml:space="preserve"> inclusive urban growth.</w:t>
      </w:r>
    </w:p>
    <w:p w14:paraId="5340E82F" w14:textId="77777777" w:rsidR="00194C2B" w:rsidRPr="00194C2B" w:rsidRDefault="00194C2B" w:rsidP="00194C2B">
      <w:pPr>
        <w:spacing w:before="240" w:after="240" w:line="240" w:lineRule="auto"/>
        <w:jc w:val="both"/>
        <w:rPr>
          <w:rFonts w:ascii="Times New Roman" w:hAnsi="Times New Roman" w:cs="Times New Roman"/>
          <w:b/>
          <w:bCs/>
        </w:rPr>
      </w:pPr>
      <w:r w:rsidRPr="00194C2B">
        <w:rPr>
          <w:rFonts w:ascii="Times New Roman" w:hAnsi="Times New Roman" w:cs="Times New Roman"/>
          <w:b/>
          <w:bCs/>
        </w:rPr>
        <w:t>5.4 Suggestions for Further Studies</w:t>
      </w:r>
    </w:p>
    <w:p w14:paraId="7C18438A" w14:textId="77777777"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Future studies should undertake empirical investigations using primary datasets to validate the interdisciplinary framework proposed in this study across different regional and metropolitan contexts. Comparative studies examining governance efficiency, infrastructure integration, and sustainability performance between developed and developing economies would further strengthen contextual understanding of affordable housing systems.</w:t>
      </w:r>
    </w:p>
    <w:p w14:paraId="49E3F79F" w14:textId="52749BD5" w:rsidR="00194C2B" w:rsidRPr="00194C2B" w:rsidRDefault="00194C2B" w:rsidP="00194C2B">
      <w:pPr>
        <w:spacing w:before="240" w:after="240" w:line="240" w:lineRule="auto"/>
        <w:jc w:val="both"/>
        <w:rPr>
          <w:rFonts w:ascii="Times New Roman" w:hAnsi="Times New Roman" w:cs="Times New Roman"/>
        </w:rPr>
      </w:pPr>
      <w:r w:rsidRPr="00194C2B">
        <w:rPr>
          <w:rFonts w:ascii="Times New Roman" w:hAnsi="Times New Roman" w:cs="Times New Roman"/>
        </w:rPr>
        <w:t xml:space="preserve">Further research should incorporate GIS-driven spatial modelling and longitudinal </w:t>
      </w:r>
      <w:r w:rsidR="00D0579F">
        <w:rPr>
          <w:rFonts w:ascii="Times New Roman" w:hAnsi="Times New Roman" w:cs="Times New Roman"/>
        </w:rPr>
        <w:t xml:space="preserve">tracking of housing affordability </w:t>
      </w:r>
      <w:r w:rsidRPr="00194C2B">
        <w:rPr>
          <w:rFonts w:ascii="Times New Roman" w:hAnsi="Times New Roman" w:cs="Times New Roman"/>
        </w:rPr>
        <w:t>to evaluate long-term spatial transformation, infrastructure accessibility, and regional development outcomes associated with affordable housing systems. AI-assisted planning analytics and digital urban modelling should also be explored to improve predictive planning, sustainability assessment, and evidence-based housing policy development.</w:t>
      </w:r>
    </w:p>
    <w:p w14:paraId="18B27F23" w14:textId="0265613C" w:rsidR="00C8238D" w:rsidRPr="00847EFD" w:rsidRDefault="00194C2B" w:rsidP="008A7EC4">
      <w:pPr>
        <w:spacing w:before="240" w:after="240" w:line="240" w:lineRule="auto"/>
        <w:jc w:val="both"/>
        <w:rPr>
          <w:rFonts w:ascii="Times New Roman" w:hAnsi="Times New Roman" w:cs="Times New Roman"/>
        </w:rPr>
      </w:pPr>
      <w:r w:rsidRPr="00194C2B">
        <w:rPr>
          <w:rFonts w:ascii="Times New Roman" w:hAnsi="Times New Roman" w:cs="Times New Roman"/>
        </w:rPr>
        <w:t xml:space="preserve">Additional studies should investigate </w:t>
      </w:r>
      <w:r w:rsidR="00D0579F">
        <w:rPr>
          <w:rFonts w:ascii="Times New Roman" w:hAnsi="Times New Roman" w:cs="Times New Roman"/>
        </w:rPr>
        <w:t>the integration of carbon accounting within affordable housing systems to evaluate embodied-carbon performance, operational energy efficiency, and climate-resilience</w:t>
      </w:r>
      <w:r w:rsidRPr="00194C2B">
        <w:rPr>
          <w:rFonts w:ascii="Times New Roman" w:hAnsi="Times New Roman" w:cs="Times New Roman"/>
        </w:rPr>
        <w:t xml:space="preserve"> outcomes across different urban growth models. Future interdisciplinary research should also examine how architects, planners, environmental specialists, economists, and governance institutions can collaboratively operationalise sustainable housing and regional development frameworks within rapidly urbanising Global South contexts</w:t>
      </w:r>
      <w:r w:rsidR="00C8238D" w:rsidRPr="00847EFD">
        <w:rPr>
          <w:rFonts w:ascii="Times New Roman" w:hAnsi="Times New Roman" w:cs="Times New Roman"/>
        </w:rPr>
        <w:t>.</w:t>
      </w:r>
    </w:p>
    <w:p w14:paraId="64019559" w14:textId="77777777" w:rsidR="001C7832" w:rsidRPr="004041A8" w:rsidRDefault="001C7832" w:rsidP="008A7EC4">
      <w:pPr>
        <w:spacing w:before="240" w:after="240" w:line="240" w:lineRule="auto"/>
        <w:rPr>
          <w:rFonts w:ascii="Times New Roman" w:hAnsi="Times New Roman" w:cs="Times New Roman"/>
          <w:b/>
          <w:bCs/>
          <w:sz w:val="23"/>
          <w:szCs w:val="23"/>
        </w:rPr>
      </w:pPr>
      <w:r w:rsidRPr="004041A8">
        <w:rPr>
          <w:rFonts w:ascii="Times New Roman" w:hAnsi="Times New Roman" w:cs="Times New Roman"/>
          <w:b/>
          <w:bCs/>
          <w:sz w:val="23"/>
          <w:szCs w:val="23"/>
        </w:rPr>
        <w:t xml:space="preserve">References </w:t>
      </w:r>
    </w:p>
    <w:p w14:paraId="30408E94"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Akinsulire</w:t>
      </w:r>
      <w:proofErr w:type="spellEnd"/>
      <w:r w:rsidRPr="00397ED3">
        <w:rPr>
          <w:rFonts w:ascii="Times New Roman" w:hAnsi="Times New Roman" w:cs="Times New Roman"/>
          <w:sz w:val="23"/>
          <w:szCs w:val="23"/>
        </w:rPr>
        <w:t xml:space="preserve">, A. A., Idemudia, C., </w:t>
      </w:r>
      <w:proofErr w:type="spellStart"/>
      <w:r w:rsidRPr="00397ED3">
        <w:rPr>
          <w:rFonts w:ascii="Times New Roman" w:hAnsi="Times New Roman" w:cs="Times New Roman"/>
          <w:sz w:val="23"/>
          <w:szCs w:val="23"/>
        </w:rPr>
        <w:t>Okwandu</w:t>
      </w:r>
      <w:proofErr w:type="spellEnd"/>
      <w:r w:rsidRPr="00397ED3">
        <w:rPr>
          <w:rFonts w:ascii="Times New Roman" w:hAnsi="Times New Roman" w:cs="Times New Roman"/>
          <w:sz w:val="23"/>
          <w:szCs w:val="23"/>
        </w:rPr>
        <w:t xml:space="preserve">, A. C., &amp; </w:t>
      </w:r>
      <w:proofErr w:type="spellStart"/>
      <w:r w:rsidRPr="00397ED3">
        <w:rPr>
          <w:rFonts w:ascii="Times New Roman" w:hAnsi="Times New Roman" w:cs="Times New Roman"/>
          <w:sz w:val="23"/>
          <w:szCs w:val="23"/>
        </w:rPr>
        <w:t>Iwuanyanwu</w:t>
      </w:r>
      <w:proofErr w:type="spellEnd"/>
      <w:r w:rsidRPr="00397ED3">
        <w:rPr>
          <w:rFonts w:ascii="Times New Roman" w:hAnsi="Times New Roman" w:cs="Times New Roman"/>
          <w:sz w:val="23"/>
          <w:szCs w:val="23"/>
        </w:rPr>
        <w:t>, O. (2024). Economic and social impact of affordable housing policies: A comparative review. </w:t>
      </w:r>
      <w:r w:rsidRPr="00397ED3">
        <w:rPr>
          <w:rFonts w:ascii="Times New Roman" w:hAnsi="Times New Roman" w:cs="Times New Roman"/>
          <w:i/>
          <w:iCs/>
          <w:sz w:val="23"/>
          <w:szCs w:val="23"/>
        </w:rPr>
        <w:t>International Journal of Applied Research in Social Sciences</w:t>
      </w:r>
      <w:r w:rsidRPr="00397ED3">
        <w:rPr>
          <w:rFonts w:ascii="Times New Roman" w:hAnsi="Times New Roman" w:cs="Times New Roman"/>
          <w:sz w:val="23"/>
          <w:szCs w:val="23"/>
        </w:rPr>
        <w:t>, </w:t>
      </w:r>
      <w:r w:rsidRPr="00397ED3">
        <w:rPr>
          <w:rFonts w:ascii="Times New Roman" w:hAnsi="Times New Roman" w:cs="Times New Roman"/>
          <w:i/>
          <w:iCs/>
          <w:sz w:val="23"/>
          <w:szCs w:val="23"/>
        </w:rPr>
        <w:t>6</w:t>
      </w:r>
      <w:r w:rsidRPr="00397ED3">
        <w:rPr>
          <w:rFonts w:ascii="Times New Roman" w:hAnsi="Times New Roman" w:cs="Times New Roman"/>
          <w:sz w:val="23"/>
          <w:szCs w:val="23"/>
        </w:rPr>
        <w:t>(7), 1433-1448. https://doi.org/10.51594/ijarss.v6i7.1333.</w:t>
      </w:r>
    </w:p>
    <w:p w14:paraId="37AA810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Angel, S. (2023). Urban expansion: theory, evidence and practice. </w:t>
      </w:r>
      <w:r w:rsidRPr="00397ED3">
        <w:rPr>
          <w:rFonts w:ascii="Times New Roman" w:hAnsi="Times New Roman" w:cs="Times New Roman"/>
          <w:i/>
          <w:iCs/>
          <w:sz w:val="23"/>
          <w:szCs w:val="23"/>
        </w:rPr>
        <w:t>Buildings &amp; Cities</w:t>
      </w:r>
      <w:r w:rsidRPr="00397ED3">
        <w:rPr>
          <w:rFonts w:ascii="Times New Roman" w:hAnsi="Times New Roman" w:cs="Times New Roman"/>
          <w:sz w:val="23"/>
          <w:szCs w:val="23"/>
        </w:rPr>
        <w:t>, </w:t>
      </w:r>
      <w:r w:rsidRPr="00397ED3">
        <w:rPr>
          <w:rFonts w:ascii="Times New Roman" w:hAnsi="Times New Roman" w:cs="Times New Roman"/>
          <w:i/>
          <w:iCs/>
          <w:sz w:val="23"/>
          <w:szCs w:val="23"/>
        </w:rPr>
        <w:t>4</w:t>
      </w:r>
      <w:r w:rsidRPr="00397ED3">
        <w:rPr>
          <w:rFonts w:ascii="Times New Roman" w:hAnsi="Times New Roman" w:cs="Times New Roman"/>
          <w:sz w:val="23"/>
          <w:szCs w:val="23"/>
        </w:rPr>
        <w:t>(1). https://doi.org/10.5334/bc.348.</w:t>
      </w:r>
    </w:p>
    <w:p w14:paraId="2325E641"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Anwar, M. R., &amp; Sakti, L. D. (2024). Integrating artificial intelligence and environmental science for sustainable urban planning. </w:t>
      </w:r>
      <w:r w:rsidRPr="00397ED3">
        <w:rPr>
          <w:rFonts w:ascii="Times New Roman" w:hAnsi="Times New Roman" w:cs="Times New Roman"/>
          <w:i/>
          <w:iCs/>
          <w:sz w:val="23"/>
          <w:szCs w:val="23"/>
        </w:rPr>
        <w:t>IAIC Transactions on Sustainable Digital Innovation (ITSDI)</w:t>
      </w:r>
      <w:r w:rsidRPr="00397ED3">
        <w:rPr>
          <w:rFonts w:ascii="Times New Roman" w:hAnsi="Times New Roman" w:cs="Times New Roman"/>
          <w:sz w:val="23"/>
          <w:szCs w:val="23"/>
        </w:rPr>
        <w:t>, </w:t>
      </w:r>
      <w:r w:rsidRPr="00397ED3">
        <w:rPr>
          <w:rFonts w:ascii="Times New Roman" w:hAnsi="Times New Roman" w:cs="Times New Roman"/>
          <w:i/>
          <w:iCs/>
          <w:sz w:val="23"/>
          <w:szCs w:val="23"/>
        </w:rPr>
        <w:t>5</w:t>
      </w:r>
      <w:r w:rsidRPr="00397ED3">
        <w:rPr>
          <w:rFonts w:ascii="Times New Roman" w:hAnsi="Times New Roman" w:cs="Times New Roman"/>
          <w:sz w:val="23"/>
          <w:szCs w:val="23"/>
        </w:rPr>
        <w:t>(2), 179-191. https://doi.org/10.34306/itsdi.v5i2.666.</w:t>
      </w:r>
    </w:p>
    <w:p w14:paraId="7FFF223A"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Araji, S. Z., &amp; Shahin, B. R. (2021). </w:t>
      </w:r>
      <w:r w:rsidRPr="00397ED3">
        <w:rPr>
          <w:rFonts w:ascii="Times New Roman" w:hAnsi="Times New Roman" w:cs="Times New Roman"/>
          <w:sz w:val="23"/>
          <w:szCs w:val="23"/>
        </w:rPr>
        <w:t>Identification of effective integrated indicators for sustainable affordable housing provision. In </w:t>
      </w:r>
      <w:r w:rsidRPr="00397ED3">
        <w:rPr>
          <w:rFonts w:ascii="Times New Roman" w:hAnsi="Times New Roman" w:cs="Times New Roman"/>
          <w:i/>
          <w:iCs/>
          <w:sz w:val="23"/>
          <w:szCs w:val="23"/>
        </w:rPr>
        <w:t>IOP Conference Series: Earth and Environmental Science</w:t>
      </w:r>
      <w:r w:rsidRPr="00397ED3">
        <w:rPr>
          <w:rFonts w:ascii="Times New Roman" w:hAnsi="Times New Roman" w:cs="Times New Roman"/>
          <w:sz w:val="23"/>
          <w:szCs w:val="23"/>
        </w:rPr>
        <w:t> (Vol. 856, No. 1, p. 012055). IOP Publishing. https://doi.org/10.1088/1755-1315/856/1/012055.</w:t>
      </w:r>
    </w:p>
    <w:p w14:paraId="79D10A5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Awuah, K. G. B., &amp; Abdulai, R. T. (2022). Urban land and development management in a challenged developing world: an overview of new reflections. </w:t>
      </w:r>
      <w:r w:rsidRPr="00397ED3">
        <w:rPr>
          <w:rFonts w:ascii="Times New Roman" w:hAnsi="Times New Roman" w:cs="Times New Roman"/>
          <w:i/>
          <w:iCs/>
          <w:sz w:val="23"/>
          <w:szCs w:val="23"/>
        </w:rPr>
        <w:t>Land</w:t>
      </w:r>
      <w:r w:rsidRPr="00397ED3">
        <w:rPr>
          <w:rFonts w:ascii="Times New Roman" w:hAnsi="Times New Roman" w:cs="Times New Roman"/>
          <w:sz w:val="23"/>
          <w:szCs w:val="23"/>
        </w:rPr>
        <w:t>, </w:t>
      </w:r>
      <w:r w:rsidRPr="00397ED3">
        <w:rPr>
          <w:rFonts w:ascii="Times New Roman" w:hAnsi="Times New Roman" w:cs="Times New Roman"/>
          <w:i/>
          <w:iCs/>
          <w:sz w:val="23"/>
          <w:szCs w:val="23"/>
        </w:rPr>
        <w:t>11</w:t>
      </w:r>
      <w:r w:rsidRPr="00397ED3">
        <w:rPr>
          <w:rFonts w:ascii="Times New Roman" w:hAnsi="Times New Roman" w:cs="Times New Roman"/>
          <w:sz w:val="23"/>
          <w:szCs w:val="23"/>
        </w:rPr>
        <w:t>(1), 129. https://doi.org/10.3390/land11010129.</w:t>
      </w:r>
    </w:p>
    <w:p w14:paraId="6387CFBA"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lang w:val="fr-FR"/>
        </w:rPr>
      </w:pPr>
      <w:r w:rsidRPr="00397ED3">
        <w:rPr>
          <w:rFonts w:ascii="Times New Roman" w:hAnsi="Times New Roman" w:cs="Times New Roman"/>
          <w:sz w:val="23"/>
          <w:szCs w:val="23"/>
        </w:rPr>
        <w:lastRenderedPageBreak/>
        <w:t>Bashir, S., Sarker, T., Talib, M. N. A., &amp; Akram, U. (2023). Financing options for green and affordable housing (GAH): an exploratory study of South Asian economies. </w:t>
      </w:r>
      <w:r w:rsidRPr="00397ED3">
        <w:rPr>
          <w:rFonts w:ascii="Times New Roman" w:hAnsi="Times New Roman" w:cs="Times New Roman"/>
          <w:i/>
          <w:iCs/>
          <w:sz w:val="23"/>
          <w:szCs w:val="23"/>
          <w:lang w:val="fr-FR"/>
        </w:rPr>
        <w:t>Sustainability</w:t>
      </w:r>
      <w:r w:rsidRPr="00397ED3">
        <w:rPr>
          <w:rFonts w:ascii="Times New Roman" w:hAnsi="Times New Roman" w:cs="Times New Roman"/>
          <w:sz w:val="23"/>
          <w:szCs w:val="23"/>
          <w:lang w:val="fr-FR"/>
        </w:rPr>
        <w:t>, </w:t>
      </w:r>
      <w:r w:rsidRPr="00397ED3">
        <w:rPr>
          <w:rFonts w:ascii="Times New Roman" w:hAnsi="Times New Roman" w:cs="Times New Roman"/>
          <w:i/>
          <w:iCs/>
          <w:sz w:val="23"/>
          <w:szCs w:val="23"/>
          <w:lang w:val="fr-FR"/>
        </w:rPr>
        <w:t>15</w:t>
      </w:r>
      <w:r w:rsidRPr="00397ED3">
        <w:rPr>
          <w:rFonts w:ascii="Times New Roman" w:hAnsi="Times New Roman" w:cs="Times New Roman"/>
          <w:sz w:val="23"/>
          <w:szCs w:val="23"/>
          <w:lang w:val="fr-FR"/>
        </w:rPr>
        <w:t>(15), 11645. https://doi.org/10.3390/su151511645.</w:t>
      </w:r>
    </w:p>
    <w:p w14:paraId="6C38FE17" w14:textId="1D5CFB29"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Darko, A., Chan, A. P. C., Yang, Y., Shan, M., He, B. J., &amp; Gou, Z. (2018). Influences of barriers, drivers, and </w:t>
      </w:r>
      <w:r w:rsidR="00D0579F" w:rsidRPr="00397ED3">
        <w:rPr>
          <w:rFonts w:ascii="Times New Roman" w:hAnsi="Times New Roman" w:cs="Times New Roman"/>
          <w:sz w:val="23"/>
          <w:szCs w:val="23"/>
        </w:rPr>
        <w:t xml:space="preserve">promotional strategies on the adoption of green building technologies </w:t>
      </w:r>
      <w:r w:rsidRPr="00397ED3">
        <w:rPr>
          <w:rFonts w:ascii="Times New Roman" w:hAnsi="Times New Roman" w:cs="Times New Roman"/>
          <w:sz w:val="23"/>
          <w:szCs w:val="23"/>
        </w:rPr>
        <w:t>in developing countries: The Ghanaian case. </w:t>
      </w:r>
      <w:r w:rsidRPr="00397ED3">
        <w:rPr>
          <w:rFonts w:ascii="Times New Roman" w:hAnsi="Times New Roman" w:cs="Times New Roman"/>
          <w:i/>
          <w:iCs/>
          <w:sz w:val="23"/>
          <w:szCs w:val="23"/>
        </w:rPr>
        <w:t>Journal of Cleaner Production</w:t>
      </w:r>
      <w:r w:rsidRPr="00397ED3">
        <w:rPr>
          <w:rFonts w:ascii="Times New Roman" w:hAnsi="Times New Roman" w:cs="Times New Roman"/>
          <w:sz w:val="23"/>
          <w:szCs w:val="23"/>
        </w:rPr>
        <w:t>, </w:t>
      </w:r>
      <w:r w:rsidRPr="00397ED3">
        <w:rPr>
          <w:rFonts w:ascii="Times New Roman" w:hAnsi="Times New Roman" w:cs="Times New Roman"/>
          <w:i/>
          <w:iCs/>
          <w:sz w:val="23"/>
          <w:szCs w:val="23"/>
        </w:rPr>
        <w:t>200</w:t>
      </w:r>
      <w:r w:rsidRPr="00397ED3">
        <w:rPr>
          <w:rFonts w:ascii="Times New Roman" w:hAnsi="Times New Roman" w:cs="Times New Roman"/>
          <w:sz w:val="23"/>
          <w:szCs w:val="23"/>
        </w:rPr>
        <w:t>, 687-703. https://dx.doi.org/10.1016/j.jclepro.2018.07.318</w:t>
      </w:r>
    </w:p>
    <w:p w14:paraId="6178AB4B"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 xml:space="preserve">Deki, K. T. P., Danvide, T. B., Zinsou-Klassou, K., &amp; Martos, J. C. M. (2025). </w:t>
      </w:r>
      <w:r w:rsidRPr="00397ED3">
        <w:rPr>
          <w:rFonts w:ascii="Times New Roman" w:hAnsi="Times New Roman" w:cs="Times New Roman"/>
          <w:sz w:val="23"/>
          <w:szCs w:val="23"/>
        </w:rPr>
        <w:t xml:space="preserve">Population growth and housing demand in greater Abidjan, Ivory Coast. </w:t>
      </w:r>
      <w:r w:rsidRPr="00397ED3">
        <w:rPr>
          <w:rFonts w:ascii="Times New Roman" w:hAnsi="Times New Roman" w:cs="Times New Roman"/>
          <w:i/>
          <w:iCs/>
          <w:sz w:val="23"/>
          <w:szCs w:val="23"/>
        </w:rPr>
        <w:t>Edelweiss Applied Science and Technology, 9</w:t>
      </w:r>
      <w:r w:rsidRPr="00397ED3">
        <w:rPr>
          <w:rFonts w:ascii="Times New Roman" w:hAnsi="Times New Roman" w:cs="Times New Roman"/>
          <w:sz w:val="23"/>
          <w:szCs w:val="23"/>
        </w:rPr>
        <w:t xml:space="preserve">(4), 1842–1852. </w:t>
      </w:r>
      <w:hyperlink r:id="rId10" w:tgtFrame="_new" w:history="1">
        <w:r w:rsidRPr="00397ED3">
          <w:rPr>
            <w:rStyle w:val="Hyperlink"/>
            <w:rFonts w:ascii="Times New Roman" w:hAnsi="Times New Roman" w:cs="Times New Roman"/>
            <w:sz w:val="23"/>
            <w:szCs w:val="23"/>
          </w:rPr>
          <w:t>https://doi.org/10.55214/25768484.v9i4.6418</w:t>
        </w:r>
      </w:hyperlink>
    </w:p>
    <w:p w14:paraId="6D504EA9" w14:textId="28D720C6"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 xml:space="preserve">Du, J., Fu, Q., Fang, S., Wu, J., He, P., &amp; Quan, Z. (2019). </w:t>
      </w:r>
      <w:r w:rsidRPr="00397ED3">
        <w:rPr>
          <w:rFonts w:ascii="Times New Roman" w:hAnsi="Times New Roman" w:cs="Times New Roman"/>
          <w:sz w:val="23"/>
          <w:szCs w:val="23"/>
        </w:rPr>
        <w:t xml:space="preserve">Effects of rapid </w:t>
      </w:r>
      <w:r w:rsidR="00D0579F" w:rsidRPr="00397ED3">
        <w:rPr>
          <w:rFonts w:ascii="Times New Roman" w:hAnsi="Times New Roman" w:cs="Times New Roman"/>
          <w:sz w:val="23"/>
          <w:szCs w:val="23"/>
        </w:rPr>
        <w:t xml:space="preserve">urbanisation on vegetation cover in China's metropolises </w:t>
      </w:r>
      <w:r w:rsidRPr="00397ED3">
        <w:rPr>
          <w:rFonts w:ascii="Times New Roman" w:hAnsi="Times New Roman" w:cs="Times New Roman"/>
          <w:sz w:val="23"/>
          <w:szCs w:val="23"/>
        </w:rPr>
        <w:t>over the last four decades. </w:t>
      </w:r>
      <w:r w:rsidRPr="00397ED3">
        <w:rPr>
          <w:rFonts w:ascii="Times New Roman" w:hAnsi="Times New Roman" w:cs="Times New Roman"/>
          <w:i/>
          <w:iCs/>
          <w:sz w:val="23"/>
          <w:szCs w:val="23"/>
        </w:rPr>
        <w:t>Ecological Indicators</w:t>
      </w:r>
      <w:r w:rsidRPr="00397ED3">
        <w:rPr>
          <w:rFonts w:ascii="Times New Roman" w:hAnsi="Times New Roman" w:cs="Times New Roman"/>
          <w:sz w:val="23"/>
          <w:szCs w:val="23"/>
        </w:rPr>
        <w:t>, </w:t>
      </w:r>
      <w:r w:rsidRPr="00397ED3">
        <w:rPr>
          <w:rFonts w:ascii="Times New Roman" w:hAnsi="Times New Roman" w:cs="Times New Roman"/>
          <w:i/>
          <w:iCs/>
          <w:sz w:val="23"/>
          <w:szCs w:val="23"/>
        </w:rPr>
        <w:t>107</w:t>
      </w:r>
      <w:r w:rsidRPr="00397ED3">
        <w:rPr>
          <w:rFonts w:ascii="Times New Roman" w:hAnsi="Times New Roman" w:cs="Times New Roman"/>
          <w:sz w:val="23"/>
          <w:szCs w:val="23"/>
        </w:rPr>
        <w:t>, 105458. https://doi.org/10.1016/j.ecolind.2019.105458.</w:t>
      </w:r>
    </w:p>
    <w:p w14:paraId="3CE6913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Eliasson, K., &amp; Westerlund, O. (2023). Housing markets and geographical labour mobility to high-productivity regions: The case of Stockholm. </w:t>
      </w:r>
      <w:r w:rsidRPr="00397ED3">
        <w:rPr>
          <w:rFonts w:ascii="Times New Roman" w:hAnsi="Times New Roman" w:cs="Times New Roman"/>
          <w:i/>
          <w:iCs/>
          <w:sz w:val="23"/>
          <w:szCs w:val="23"/>
        </w:rPr>
        <w:t>European Urban and Regional Studies, 31</w:t>
      </w:r>
      <w:r w:rsidRPr="00397ED3">
        <w:rPr>
          <w:rFonts w:ascii="Times New Roman" w:hAnsi="Times New Roman" w:cs="Times New Roman"/>
          <w:sz w:val="23"/>
          <w:szCs w:val="23"/>
        </w:rPr>
        <w:t>, 259 - 280. https://doi.org/10.1177/09697764231210791.</w:t>
      </w:r>
    </w:p>
    <w:p w14:paraId="745EEE6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Gan, X., Zuo, J., Wu, P., Wang, J., Chang, R., &amp; Wen, T. (2017). How affordable housing becomes more sustainable? A stakeholder study. </w:t>
      </w:r>
      <w:r w:rsidRPr="00397ED3">
        <w:rPr>
          <w:rFonts w:ascii="Times New Roman" w:hAnsi="Times New Roman" w:cs="Times New Roman"/>
          <w:i/>
          <w:iCs/>
          <w:sz w:val="23"/>
          <w:szCs w:val="23"/>
        </w:rPr>
        <w:t>Journal of Cleaner Production, 162</w:t>
      </w:r>
      <w:r w:rsidRPr="00397ED3">
        <w:rPr>
          <w:rFonts w:ascii="Times New Roman" w:hAnsi="Times New Roman" w:cs="Times New Roman"/>
          <w:sz w:val="23"/>
          <w:szCs w:val="23"/>
        </w:rPr>
        <w:t>, 427-437. https://doi.org/10.1016/j.jclepro.2017.06.048.</w:t>
      </w:r>
    </w:p>
    <w:p w14:paraId="78EDFC47" w14:textId="2A142880"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Güneralp</w:t>
      </w:r>
      <w:proofErr w:type="spellEnd"/>
      <w:r w:rsidRPr="00397ED3">
        <w:rPr>
          <w:rFonts w:ascii="Times New Roman" w:hAnsi="Times New Roman" w:cs="Times New Roman"/>
          <w:sz w:val="23"/>
          <w:szCs w:val="23"/>
        </w:rPr>
        <w:t xml:space="preserve">, B., </w:t>
      </w:r>
      <w:proofErr w:type="spellStart"/>
      <w:r w:rsidRPr="00397ED3">
        <w:rPr>
          <w:rFonts w:ascii="Times New Roman" w:hAnsi="Times New Roman" w:cs="Times New Roman"/>
          <w:sz w:val="23"/>
          <w:szCs w:val="23"/>
        </w:rPr>
        <w:t>Lwasa</w:t>
      </w:r>
      <w:proofErr w:type="spellEnd"/>
      <w:r w:rsidRPr="00397ED3">
        <w:rPr>
          <w:rFonts w:ascii="Times New Roman" w:hAnsi="Times New Roman" w:cs="Times New Roman"/>
          <w:sz w:val="23"/>
          <w:szCs w:val="23"/>
        </w:rPr>
        <w:t xml:space="preserve">, S., </w:t>
      </w:r>
      <w:proofErr w:type="spellStart"/>
      <w:r w:rsidRPr="00397ED3">
        <w:rPr>
          <w:rFonts w:ascii="Times New Roman" w:hAnsi="Times New Roman" w:cs="Times New Roman"/>
          <w:sz w:val="23"/>
          <w:szCs w:val="23"/>
        </w:rPr>
        <w:t>Masundire</w:t>
      </w:r>
      <w:proofErr w:type="spellEnd"/>
      <w:r w:rsidRPr="00397ED3">
        <w:rPr>
          <w:rFonts w:ascii="Times New Roman" w:hAnsi="Times New Roman" w:cs="Times New Roman"/>
          <w:sz w:val="23"/>
          <w:szCs w:val="23"/>
        </w:rPr>
        <w:t xml:space="preserve">, H., Parnell, S., &amp; Seto, K. C. (2017).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in Africa: challenges and opportunities for conservation. </w:t>
      </w:r>
      <w:r w:rsidRPr="00397ED3">
        <w:rPr>
          <w:rFonts w:ascii="Times New Roman" w:hAnsi="Times New Roman" w:cs="Times New Roman"/>
          <w:i/>
          <w:iCs/>
          <w:sz w:val="23"/>
          <w:szCs w:val="23"/>
        </w:rPr>
        <w:t xml:space="preserve">Environmental </w:t>
      </w:r>
      <w:r w:rsidR="00D0579F" w:rsidRPr="00397ED3">
        <w:rPr>
          <w:rFonts w:ascii="Times New Roman" w:hAnsi="Times New Roman" w:cs="Times New Roman"/>
          <w:i/>
          <w:iCs/>
          <w:sz w:val="23"/>
          <w:szCs w:val="23"/>
        </w:rPr>
        <w:t>Research Letters</w:t>
      </w:r>
      <w:r w:rsidRPr="00397ED3">
        <w:rPr>
          <w:rFonts w:ascii="Times New Roman" w:hAnsi="Times New Roman" w:cs="Times New Roman"/>
          <w:sz w:val="23"/>
          <w:szCs w:val="23"/>
        </w:rPr>
        <w:t>, </w:t>
      </w:r>
      <w:r w:rsidRPr="00397ED3">
        <w:rPr>
          <w:rFonts w:ascii="Times New Roman" w:hAnsi="Times New Roman" w:cs="Times New Roman"/>
          <w:i/>
          <w:iCs/>
          <w:sz w:val="23"/>
          <w:szCs w:val="23"/>
        </w:rPr>
        <w:t>13</w:t>
      </w:r>
      <w:r w:rsidRPr="00397ED3">
        <w:rPr>
          <w:rFonts w:ascii="Times New Roman" w:hAnsi="Times New Roman" w:cs="Times New Roman"/>
          <w:sz w:val="23"/>
          <w:szCs w:val="23"/>
        </w:rPr>
        <w:t>(1), 015002. https://doi.org/10.1088/1748-9326/aa94fe.</w:t>
      </w:r>
    </w:p>
    <w:p w14:paraId="5CF4159E" w14:textId="5D20D8F3"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Halder, B., </w:t>
      </w:r>
      <w:proofErr w:type="spellStart"/>
      <w:r w:rsidRPr="00397ED3">
        <w:rPr>
          <w:rFonts w:ascii="Times New Roman" w:hAnsi="Times New Roman" w:cs="Times New Roman"/>
          <w:sz w:val="23"/>
          <w:szCs w:val="23"/>
        </w:rPr>
        <w:t>Haghbin</w:t>
      </w:r>
      <w:proofErr w:type="spellEnd"/>
      <w:r w:rsidRPr="00397ED3">
        <w:rPr>
          <w:rFonts w:ascii="Times New Roman" w:hAnsi="Times New Roman" w:cs="Times New Roman"/>
          <w:sz w:val="23"/>
          <w:szCs w:val="23"/>
        </w:rPr>
        <w:t xml:space="preserve">, M., &amp; Farooque, A. A. (2021). An assessment of </w:t>
      </w:r>
      <w:r w:rsidR="00D0579F" w:rsidRPr="00397ED3">
        <w:rPr>
          <w:rFonts w:ascii="Times New Roman" w:hAnsi="Times New Roman" w:cs="Times New Roman"/>
          <w:sz w:val="23"/>
          <w:szCs w:val="23"/>
        </w:rPr>
        <w:t>the impacts of urban expansion on land transformation in</w:t>
      </w:r>
      <w:r w:rsidRPr="00397ED3">
        <w:rPr>
          <w:rFonts w:ascii="Times New Roman" w:hAnsi="Times New Roman" w:cs="Times New Roman"/>
          <w:sz w:val="23"/>
          <w:szCs w:val="23"/>
        </w:rPr>
        <w:t xml:space="preserve"> </w:t>
      </w:r>
      <w:proofErr w:type="spellStart"/>
      <w:r w:rsidRPr="00397ED3">
        <w:rPr>
          <w:rFonts w:ascii="Times New Roman" w:hAnsi="Times New Roman" w:cs="Times New Roman"/>
          <w:sz w:val="23"/>
          <w:szCs w:val="23"/>
        </w:rPr>
        <w:t>Rajpur-Sonarpur</w:t>
      </w:r>
      <w:proofErr w:type="spellEnd"/>
      <w:r w:rsidRPr="00397ED3">
        <w:rPr>
          <w:rFonts w:ascii="Times New Roman" w:hAnsi="Times New Roman" w:cs="Times New Roman"/>
          <w:sz w:val="23"/>
          <w:szCs w:val="23"/>
        </w:rPr>
        <w:t xml:space="preserve"> Municipality. </w:t>
      </w:r>
      <w:r w:rsidRPr="00397ED3">
        <w:rPr>
          <w:rFonts w:ascii="Times New Roman" w:hAnsi="Times New Roman" w:cs="Times New Roman"/>
          <w:i/>
          <w:iCs/>
          <w:sz w:val="23"/>
          <w:szCs w:val="23"/>
        </w:rPr>
        <w:t>Knowledge-Based Engineering and Sciences</w:t>
      </w:r>
      <w:r w:rsidRPr="00397ED3">
        <w:rPr>
          <w:rFonts w:ascii="Times New Roman" w:hAnsi="Times New Roman" w:cs="Times New Roman"/>
          <w:sz w:val="23"/>
          <w:szCs w:val="23"/>
        </w:rPr>
        <w:t>, </w:t>
      </w:r>
      <w:r w:rsidRPr="00397ED3">
        <w:rPr>
          <w:rFonts w:ascii="Times New Roman" w:hAnsi="Times New Roman" w:cs="Times New Roman"/>
          <w:i/>
          <w:iCs/>
          <w:sz w:val="23"/>
          <w:szCs w:val="23"/>
        </w:rPr>
        <w:t>2</w:t>
      </w:r>
      <w:r w:rsidRPr="00397ED3">
        <w:rPr>
          <w:rFonts w:ascii="Times New Roman" w:hAnsi="Times New Roman" w:cs="Times New Roman"/>
          <w:sz w:val="23"/>
          <w:szCs w:val="23"/>
        </w:rPr>
        <w:t>(3), 34-53. https://doi.org/10.51526/kbes.2021.2.3.34-53.</w:t>
      </w:r>
    </w:p>
    <w:p w14:paraId="1AEE48E9"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Huang, K., Li, X., Liu, X., &amp; Seto, K. C. (2019). </w:t>
      </w:r>
      <w:r w:rsidRPr="00397ED3">
        <w:rPr>
          <w:rFonts w:ascii="Times New Roman" w:hAnsi="Times New Roman" w:cs="Times New Roman"/>
          <w:sz w:val="23"/>
          <w:szCs w:val="23"/>
        </w:rPr>
        <w:t>Projecting global urban land expansion and heat island intensification through 2050. </w:t>
      </w:r>
      <w:r w:rsidRPr="00397ED3">
        <w:rPr>
          <w:rFonts w:ascii="Times New Roman" w:hAnsi="Times New Roman" w:cs="Times New Roman"/>
          <w:i/>
          <w:iCs/>
          <w:sz w:val="23"/>
          <w:szCs w:val="23"/>
        </w:rPr>
        <w:t>Environmental Research Letters</w:t>
      </w:r>
      <w:r w:rsidRPr="00397ED3">
        <w:rPr>
          <w:rFonts w:ascii="Times New Roman" w:hAnsi="Times New Roman" w:cs="Times New Roman"/>
          <w:sz w:val="23"/>
          <w:szCs w:val="23"/>
        </w:rPr>
        <w:t>, </w:t>
      </w:r>
      <w:r w:rsidRPr="00397ED3">
        <w:rPr>
          <w:rFonts w:ascii="Times New Roman" w:hAnsi="Times New Roman" w:cs="Times New Roman"/>
          <w:i/>
          <w:iCs/>
          <w:sz w:val="23"/>
          <w:szCs w:val="23"/>
        </w:rPr>
        <w:t>14</w:t>
      </w:r>
      <w:r w:rsidRPr="00397ED3">
        <w:rPr>
          <w:rFonts w:ascii="Times New Roman" w:hAnsi="Times New Roman" w:cs="Times New Roman"/>
          <w:sz w:val="23"/>
          <w:szCs w:val="23"/>
        </w:rPr>
        <w:t>(11), 114037. https://doi.org/10.1088/1748-9326/ab4b71.</w:t>
      </w:r>
    </w:p>
    <w:p w14:paraId="426FC572"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Ibraeva, A., de Almeida Correia, G. H., Silva, C., &amp; Antunes, A. P. (2020). Transit-oriented development: A review of research achievements and challenges. </w:t>
      </w:r>
      <w:r w:rsidRPr="00397ED3">
        <w:rPr>
          <w:rFonts w:ascii="Times New Roman" w:hAnsi="Times New Roman" w:cs="Times New Roman"/>
          <w:i/>
          <w:iCs/>
          <w:sz w:val="23"/>
          <w:szCs w:val="23"/>
        </w:rPr>
        <w:t>Transportation Research Part A: Policy and Practice</w:t>
      </w:r>
      <w:r w:rsidRPr="00397ED3">
        <w:rPr>
          <w:rFonts w:ascii="Times New Roman" w:hAnsi="Times New Roman" w:cs="Times New Roman"/>
          <w:sz w:val="23"/>
          <w:szCs w:val="23"/>
        </w:rPr>
        <w:t>, </w:t>
      </w:r>
      <w:r w:rsidRPr="00397ED3">
        <w:rPr>
          <w:rFonts w:ascii="Times New Roman" w:hAnsi="Times New Roman" w:cs="Times New Roman"/>
          <w:i/>
          <w:iCs/>
          <w:sz w:val="23"/>
          <w:szCs w:val="23"/>
        </w:rPr>
        <w:t>132</w:t>
      </w:r>
      <w:r w:rsidRPr="00397ED3">
        <w:rPr>
          <w:rFonts w:ascii="Times New Roman" w:hAnsi="Times New Roman" w:cs="Times New Roman"/>
          <w:sz w:val="23"/>
          <w:szCs w:val="23"/>
        </w:rPr>
        <w:t xml:space="preserve">, 110-130. </w:t>
      </w:r>
      <w:hyperlink r:id="rId11" w:history="1">
        <w:r w:rsidRPr="00397ED3">
          <w:rPr>
            <w:rStyle w:val="Hyperlink"/>
            <w:rFonts w:ascii="Times New Roman" w:hAnsi="Times New Roman" w:cs="Times New Roman"/>
            <w:sz w:val="23"/>
            <w:szCs w:val="23"/>
          </w:rPr>
          <w:t>https://doi.org/10.1016/j.tra.2019.10.018</w:t>
        </w:r>
      </w:hyperlink>
      <w:r w:rsidRPr="00397ED3">
        <w:rPr>
          <w:rFonts w:ascii="Times New Roman" w:hAnsi="Times New Roman" w:cs="Times New Roman"/>
          <w:sz w:val="23"/>
          <w:szCs w:val="23"/>
        </w:rPr>
        <w:t>.</w:t>
      </w:r>
    </w:p>
    <w:p w14:paraId="54F68619"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Intergovernmental Panel on Climate Change (IPCC). (2022). </w:t>
      </w:r>
      <w:r w:rsidRPr="00397ED3">
        <w:rPr>
          <w:rFonts w:ascii="Times New Roman" w:hAnsi="Times New Roman" w:cs="Times New Roman"/>
          <w:i/>
          <w:iCs/>
          <w:sz w:val="23"/>
          <w:szCs w:val="23"/>
        </w:rPr>
        <w:t>Climate change 2022: Mitigation of climate change (AR6 Working Group III contribution)</w:t>
      </w:r>
      <w:r w:rsidRPr="00397ED3">
        <w:rPr>
          <w:rFonts w:ascii="Times New Roman" w:hAnsi="Times New Roman" w:cs="Times New Roman"/>
          <w:sz w:val="23"/>
          <w:szCs w:val="23"/>
        </w:rPr>
        <w:t xml:space="preserve">. Cambridge University Press. </w:t>
      </w:r>
      <w:hyperlink r:id="rId12" w:tgtFrame="_new" w:history="1">
        <w:r w:rsidRPr="00397ED3">
          <w:rPr>
            <w:rStyle w:val="Hyperlink"/>
            <w:rFonts w:ascii="Times New Roman" w:hAnsi="Times New Roman" w:cs="Times New Roman"/>
            <w:sz w:val="23"/>
            <w:szCs w:val="23"/>
          </w:rPr>
          <w:t>https://www.ipcc.ch/report/ar6/wg3/</w:t>
        </w:r>
      </w:hyperlink>
    </w:p>
    <w:p w14:paraId="1083453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Jiang, L., Hagen-Zanker, A., Kumar, P., &amp; Pritchard, J. (2021). Equity in job accessibility and environmental quality in a segmented housing market: The case of Greater London. </w:t>
      </w:r>
      <w:r w:rsidRPr="00397ED3">
        <w:rPr>
          <w:rFonts w:ascii="Times New Roman" w:hAnsi="Times New Roman" w:cs="Times New Roman"/>
          <w:i/>
          <w:iCs/>
          <w:sz w:val="23"/>
          <w:szCs w:val="23"/>
        </w:rPr>
        <w:t>Journal of Transport Geography</w:t>
      </w:r>
      <w:r w:rsidRPr="00397ED3">
        <w:rPr>
          <w:rFonts w:ascii="Times New Roman" w:hAnsi="Times New Roman" w:cs="Times New Roman"/>
          <w:sz w:val="23"/>
          <w:szCs w:val="23"/>
        </w:rPr>
        <w:t>, </w:t>
      </w:r>
      <w:r w:rsidRPr="00397ED3">
        <w:rPr>
          <w:rFonts w:ascii="Times New Roman" w:hAnsi="Times New Roman" w:cs="Times New Roman"/>
          <w:i/>
          <w:iCs/>
          <w:sz w:val="23"/>
          <w:szCs w:val="23"/>
        </w:rPr>
        <w:t>90</w:t>
      </w:r>
      <w:r w:rsidRPr="00397ED3">
        <w:rPr>
          <w:rFonts w:ascii="Times New Roman" w:hAnsi="Times New Roman" w:cs="Times New Roman"/>
          <w:sz w:val="23"/>
          <w:szCs w:val="23"/>
        </w:rPr>
        <w:t>, 102908. https://doi.org/10.1016/j.jtrangeo.2020.102908.</w:t>
      </w:r>
    </w:p>
    <w:p w14:paraId="17028062"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Jiboye</w:t>
      </w:r>
      <w:proofErr w:type="spellEnd"/>
      <w:r w:rsidRPr="00397ED3">
        <w:rPr>
          <w:rFonts w:ascii="Times New Roman" w:hAnsi="Times New Roman" w:cs="Times New Roman"/>
          <w:sz w:val="23"/>
          <w:szCs w:val="23"/>
        </w:rPr>
        <w:t xml:space="preserve">, A. D., Adebayo, J. A., &amp; Obakin, O. A. (2020). Urban housing in Nigeria for sustainable development: Challenges and prospects. </w:t>
      </w:r>
      <w:r w:rsidRPr="00397ED3">
        <w:rPr>
          <w:rFonts w:ascii="Times New Roman" w:hAnsi="Times New Roman" w:cs="Times New Roman"/>
          <w:i/>
          <w:iCs/>
          <w:sz w:val="23"/>
          <w:szCs w:val="23"/>
        </w:rPr>
        <w:t>International Journal of Advanced Engineering Research and Science, 7</w:t>
      </w:r>
      <w:r w:rsidRPr="00397ED3">
        <w:rPr>
          <w:rFonts w:ascii="Times New Roman" w:hAnsi="Times New Roman" w:cs="Times New Roman"/>
          <w:sz w:val="23"/>
          <w:szCs w:val="23"/>
        </w:rPr>
        <w:t xml:space="preserve">(7), 478–491. </w:t>
      </w:r>
      <w:hyperlink r:id="rId13" w:tgtFrame="_new" w:history="1">
        <w:r w:rsidRPr="00397ED3">
          <w:rPr>
            <w:rStyle w:val="Hyperlink"/>
            <w:rFonts w:ascii="Times New Roman" w:hAnsi="Times New Roman" w:cs="Times New Roman"/>
            <w:sz w:val="23"/>
            <w:szCs w:val="23"/>
          </w:rPr>
          <w:t>https://doi.org/10.22161/ijaers.77.55</w:t>
        </w:r>
      </w:hyperlink>
    </w:p>
    <w:p w14:paraId="5603F4A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lang w:val="fi-FI"/>
        </w:rPr>
      </w:pPr>
      <w:r w:rsidRPr="00397ED3">
        <w:rPr>
          <w:rFonts w:ascii="Times New Roman" w:hAnsi="Times New Roman" w:cs="Times New Roman"/>
          <w:sz w:val="23"/>
          <w:szCs w:val="23"/>
          <w:lang w:val="fi-FI"/>
        </w:rPr>
        <w:t xml:space="preserve">Kajiita, R. M., &amp; Kang’ethe, S. M. (2024). </w:t>
      </w:r>
      <w:r w:rsidRPr="00397ED3">
        <w:rPr>
          <w:rFonts w:ascii="Times New Roman" w:hAnsi="Times New Roman" w:cs="Times New Roman"/>
          <w:sz w:val="23"/>
          <w:szCs w:val="23"/>
        </w:rPr>
        <w:t>Socio-economic dynamics inhibiting inclusive urban economic development: Implications for sustainable urban development in South African cities. </w:t>
      </w:r>
      <w:r w:rsidRPr="00397ED3">
        <w:rPr>
          <w:rFonts w:ascii="Times New Roman" w:hAnsi="Times New Roman" w:cs="Times New Roman"/>
          <w:i/>
          <w:iCs/>
          <w:sz w:val="23"/>
          <w:szCs w:val="23"/>
          <w:lang w:val="fi-FI"/>
        </w:rPr>
        <w:t>Sustainability</w:t>
      </w:r>
      <w:r w:rsidRPr="00397ED3">
        <w:rPr>
          <w:rFonts w:ascii="Times New Roman" w:hAnsi="Times New Roman" w:cs="Times New Roman"/>
          <w:sz w:val="23"/>
          <w:szCs w:val="23"/>
          <w:lang w:val="fi-FI"/>
        </w:rPr>
        <w:t>, </w:t>
      </w:r>
      <w:r w:rsidRPr="00397ED3">
        <w:rPr>
          <w:rFonts w:ascii="Times New Roman" w:hAnsi="Times New Roman" w:cs="Times New Roman"/>
          <w:i/>
          <w:iCs/>
          <w:sz w:val="23"/>
          <w:szCs w:val="23"/>
          <w:lang w:val="fi-FI"/>
        </w:rPr>
        <w:t>16</w:t>
      </w:r>
      <w:r w:rsidRPr="00397ED3">
        <w:rPr>
          <w:rFonts w:ascii="Times New Roman" w:hAnsi="Times New Roman" w:cs="Times New Roman"/>
          <w:sz w:val="23"/>
          <w:szCs w:val="23"/>
          <w:lang w:val="fi-FI"/>
        </w:rPr>
        <w:t>(7), 2803. https://doi.org/10.3390/su16072803.</w:t>
      </w:r>
    </w:p>
    <w:p w14:paraId="70CEC98B"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Khan, A., Yu, R., Liu, T., Guan, H., &amp; Oh, E. (2022). </w:t>
      </w:r>
      <w:r w:rsidRPr="00397ED3">
        <w:rPr>
          <w:rFonts w:ascii="Times New Roman" w:hAnsi="Times New Roman" w:cs="Times New Roman"/>
          <w:sz w:val="23"/>
          <w:szCs w:val="23"/>
        </w:rPr>
        <w:t xml:space="preserve">Drivers towards adopting modular integrated construction for affordable sustainable housing: A total interpretive structural modelling (TISM) method. </w:t>
      </w:r>
      <w:r w:rsidRPr="00397ED3">
        <w:rPr>
          <w:rFonts w:ascii="Times New Roman" w:hAnsi="Times New Roman" w:cs="Times New Roman"/>
          <w:i/>
          <w:iCs/>
          <w:sz w:val="23"/>
          <w:szCs w:val="23"/>
        </w:rPr>
        <w:t>Buildings, 12</w:t>
      </w:r>
      <w:r w:rsidRPr="00397ED3">
        <w:rPr>
          <w:rFonts w:ascii="Times New Roman" w:hAnsi="Times New Roman" w:cs="Times New Roman"/>
          <w:sz w:val="23"/>
          <w:szCs w:val="23"/>
        </w:rPr>
        <w:t xml:space="preserve">(5), 637. </w:t>
      </w:r>
      <w:hyperlink r:id="rId14" w:tgtFrame="_new" w:history="1">
        <w:r w:rsidRPr="00397ED3">
          <w:rPr>
            <w:rStyle w:val="Hyperlink"/>
            <w:rFonts w:ascii="Times New Roman" w:hAnsi="Times New Roman" w:cs="Times New Roman"/>
            <w:sz w:val="23"/>
            <w:szCs w:val="23"/>
          </w:rPr>
          <w:t>https://doi.org/10.3390/buildings12050637</w:t>
        </w:r>
      </w:hyperlink>
    </w:p>
    <w:p w14:paraId="4816CFE2" w14:textId="7BEA0A6C"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Koroso, N. H., </w:t>
      </w:r>
      <w:proofErr w:type="spellStart"/>
      <w:r w:rsidRPr="00397ED3">
        <w:rPr>
          <w:rFonts w:ascii="Times New Roman" w:hAnsi="Times New Roman" w:cs="Times New Roman"/>
          <w:sz w:val="23"/>
          <w:szCs w:val="23"/>
        </w:rPr>
        <w:t>Lengoiboni</w:t>
      </w:r>
      <w:proofErr w:type="spellEnd"/>
      <w:r w:rsidRPr="00397ED3">
        <w:rPr>
          <w:rFonts w:ascii="Times New Roman" w:hAnsi="Times New Roman" w:cs="Times New Roman"/>
          <w:sz w:val="23"/>
          <w:szCs w:val="23"/>
        </w:rPr>
        <w:t xml:space="preserve">, M., &amp; Zevenbergen, J. A. (2021).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and urban land use efficiency: Evidence from regional and Addis Ababa satellite cities, Ethiopia. </w:t>
      </w:r>
      <w:r w:rsidRPr="00397ED3">
        <w:rPr>
          <w:rFonts w:ascii="Times New Roman" w:hAnsi="Times New Roman" w:cs="Times New Roman"/>
          <w:i/>
          <w:iCs/>
          <w:sz w:val="23"/>
          <w:szCs w:val="23"/>
        </w:rPr>
        <w:t>Habitat International</w:t>
      </w:r>
      <w:r w:rsidRPr="00397ED3">
        <w:rPr>
          <w:rFonts w:ascii="Times New Roman" w:hAnsi="Times New Roman" w:cs="Times New Roman"/>
          <w:sz w:val="23"/>
          <w:szCs w:val="23"/>
        </w:rPr>
        <w:t>, </w:t>
      </w:r>
      <w:r w:rsidRPr="00397ED3">
        <w:rPr>
          <w:rFonts w:ascii="Times New Roman" w:hAnsi="Times New Roman" w:cs="Times New Roman"/>
          <w:i/>
          <w:iCs/>
          <w:sz w:val="23"/>
          <w:szCs w:val="23"/>
        </w:rPr>
        <w:t>117</w:t>
      </w:r>
      <w:r w:rsidRPr="00397ED3">
        <w:rPr>
          <w:rFonts w:ascii="Times New Roman" w:hAnsi="Times New Roman" w:cs="Times New Roman"/>
          <w:sz w:val="23"/>
          <w:szCs w:val="23"/>
        </w:rPr>
        <w:t>, 102437</w:t>
      </w:r>
      <w:r w:rsidR="00D0579F" w:rsidRPr="00397ED3">
        <w:rPr>
          <w:rFonts w:ascii="Times New Roman" w:hAnsi="Times New Roman" w:cs="Times New Roman"/>
          <w:sz w:val="23"/>
          <w:szCs w:val="23"/>
        </w:rPr>
        <w:t>.</w:t>
      </w:r>
      <w:r w:rsidRPr="00397ED3">
        <w:rPr>
          <w:rFonts w:ascii="Times New Roman" w:hAnsi="Times New Roman" w:cs="Times New Roman"/>
          <w:sz w:val="23"/>
          <w:szCs w:val="23"/>
        </w:rPr>
        <w:t xml:space="preserve"> https://doi.org/10.1016/j.habitatint.2021.102437.</w:t>
      </w:r>
    </w:p>
    <w:p w14:paraId="2E31EAA4"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Kouskoura, A., Kalliontzi, E., Skalkos, D., &amp; Bakouros, I. (2024). </w:t>
      </w:r>
      <w:r w:rsidRPr="00397ED3">
        <w:rPr>
          <w:rFonts w:ascii="Times New Roman" w:hAnsi="Times New Roman" w:cs="Times New Roman"/>
          <w:sz w:val="23"/>
          <w:szCs w:val="23"/>
        </w:rPr>
        <w:t>Assessing the key factors measuring regional competitiveness. </w:t>
      </w:r>
      <w:r w:rsidRPr="00397ED3">
        <w:rPr>
          <w:rFonts w:ascii="Times New Roman" w:hAnsi="Times New Roman" w:cs="Times New Roman"/>
          <w:i/>
          <w:iCs/>
          <w:sz w:val="23"/>
          <w:szCs w:val="23"/>
        </w:rPr>
        <w:t>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16</w:t>
      </w:r>
      <w:r w:rsidRPr="00397ED3">
        <w:rPr>
          <w:rFonts w:ascii="Times New Roman" w:hAnsi="Times New Roman" w:cs="Times New Roman"/>
          <w:sz w:val="23"/>
          <w:szCs w:val="23"/>
        </w:rPr>
        <w:t>(6), 2574. https://doi.org/10.3390/su16062574.</w:t>
      </w:r>
    </w:p>
    <w:p w14:paraId="4C0371BD"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 xml:space="preserve">Kundu, D., &amp; Pandey, A. K. (2020). </w:t>
      </w:r>
      <w:r w:rsidRPr="00397ED3">
        <w:rPr>
          <w:rFonts w:ascii="Times New Roman" w:hAnsi="Times New Roman" w:cs="Times New Roman"/>
          <w:sz w:val="23"/>
          <w:szCs w:val="23"/>
        </w:rPr>
        <w:t>World urbanisation: trends and patterns. In </w:t>
      </w:r>
      <w:r w:rsidRPr="00397ED3">
        <w:rPr>
          <w:rFonts w:ascii="Times New Roman" w:hAnsi="Times New Roman" w:cs="Times New Roman"/>
          <w:i/>
          <w:iCs/>
          <w:sz w:val="23"/>
          <w:szCs w:val="23"/>
        </w:rPr>
        <w:t>Developing national urban policies: Ways forward to green and smart cities</w:t>
      </w:r>
      <w:r w:rsidRPr="00397ED3">
        <w:rPr>
          <w:rFonts w:ascii="Times New Roman" w:hAnsi="Times New Roman" w:cs="Times New Roman"/>
          <w:sz w:val="23"/>
          <w:szCs w:val="23"/>
        </w:rPr>
        <w:t> (pp. 13-49). Singapore: Springer Nature Singapore. https://doi.org/10.1007/978-981-15-3738-7_2.</w:t>
      </w:r>
    </w:p>
    <w:p w14:paraId="3B2F4989"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lastRenderedPageBreak/>
        <w:t xml:space="preserve">Lee, Y., Kemp, P., &amp; Reina, V. (2022). </w:t>
      </w:r>
      <w:r w:rsidRPr="00397ED3">
        <w:rPr>
          <w:rFonts w:ascii="Times New Roman" w:hAnsi="Times New Roman" w:cs="Times New Roman"/>
          <w:sz w:val="23"/>
          <w:szCs w:val="23"/>
        </w:rPr>
        <w:t>Drivers of housing (un)affordability in the advanced economies: a review and new evidence. </w:t>
      </w:r>
      <w:r w:rsidRPr="00397ED3">
        <w:rPr>
          <w:rFonts w:ascii="Times New Roman" w:hAnsi="Times New Roman" w:cs="Times New Roman"/>
          <w:i/>
          <w:iCs/>
          <w:sz w:val="23"/>
          <w:szCs w:val="23"/>
        </w:rPr>
        <w:t>Housing Studies, 37</w:t>
      </w:r>
      <w:r w:rsidRPr="00397ED3">
        <w:rPr>
          <w:rFonts w:ascii="Times New Roman" w:hAnsi="Times New Roman" w:cs="Times New Roman"/>
          <w:sz w:val="23"/>
          <w:szCs w:val="23"/>
        </w:rPr>
        <w:t>, 1739 - 1752. https://doi.org/10.1080/02673037.2022.2123623.</w:t>
      </w:r>
    </w:p>
    <w:p w14:paraId="2024D980"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Levine, D., &amp; Yavo Ayalon, S. (2024). </w:t>
      </w:r>
      <w:r w:rsidRPr="00397ED3">
        <w:rPr>
          <w:rFonts w:ascii="Times New Roman" w:hAnsi="Times New Roman" w:cs="Times New Roman"/>
          <w:sz w:val="23"/>
          <w:szCs w:val="23"/>
        </w:rPr>
        <w:t>Back and forth from urban renewal: The spatial parameters of affordable housing in two cities. </w:t>
      </w:r>
      <w:r w:rsidRPr="00397ED3">
        <w:rPr>
          <w:rFonts w:ascii="Times New Roman" w:hAnsi="Times New Roman" w:cs="Times New Roman"/>
          <w:i/>
          <w:iCs/>
          <w:sz w:val="23"/>
          <w:szCs w:val="23"/>
        </w:rPr>
        <w:t>Buildings</w:t>
      </w:r>
      <w:r w:rsidRPr="00397ED3">
        <w:rPr>
          <w:rFonts w:ascii="Times New Roman" w:hAnsi="Times New Roman" w:cs="Times New Roman"/>
          <w:sz w:val="23"/>
          <w:szCs w:val="23"/>
        </w:rPr>
        <w:t>, </w:t>
      </w:r>
      <w:r w:rsidRPr="00397ED3">
        <w:rPr>
          <w:rFonts w:ascii="Times New Roman" w:hAnsi="Times New Roman" w:cs="Times New Roman"/>
          <w:i/>
          <w:iCs/>
          <w:sz w:val="23"/>
          <w:szCs w:val="23"/>
        </w:rPr>
        <w:t>14</w:t>
      </w:r>
      <w:r w:rsidRPr="00397ED3">
        <w:rPr>
          <w:rFonts w:ascii="Times New Roman" w:hAnsi="Times New Roman" w:cs="Times New Roman"/>
          <w:sz w:val="23"/>
          <w:szCs w:val="23"/>
        </w:rPr>
        <w:t>(10), 3324. https://doi.org/10.3390/buildings14103324.</w:t>
      </w:r>
    </w:p>
    <w:p w14:paraId="40B8B6FA"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Li, M., Wen, W., Ma, W., &amp; Jin, Y. (2025). Research on the common prosperity effect of integrated regional expansion: an empirical study based on the Yangtze River Delta. </w:t>
      </w:r>
      <w:r w:rsidRPr="00397ED3">
        <w:rPr>
          <w:rFonts w:ascii="Times New Roman" w:hAnsi="Times New Roman" w:cs="Times New Roman"/>
          <w:i/>
          <w:iCs/>
          <w:sz w:val="23"/>
          <w:szCs w:val="23"/>
        </w:rPr>
        <w:t>Land</w:t>
      </w:r>
      <w:r w:rsidRPr="00397ED3">
        <w:rPr>
          <w:rFonts w:ascii="Times New Roman" w:hAnsi="Times New Roman" w:cs="Times New Roman"/>
          <w:sz w:val="23"/>
          <w:szCs w:val="23"/>
        </w:rPr>
        <w:t>, </w:t>
      </w:r>
      <w:r w:rsidRPr="00397ED3">
        <w:rPr>
          <w:rFonts w:ascii="Times New Roman" w:hAnsi="Times New Roman" w:cs="Times New Roman"/>
          <w:i/>
          <w:iCs/>
          <w:sz w:val="23"/>
          <w:szCs w:val="23"/>
        </w:rPr>
        <w:t>14</w:t>
      </w:r>
      <w:r w:rsidRPr="00397ED3">
        <w:rPr>
          <w:rFonts w:ascii="Times New Roman" w:hAnsi="Times New Roman" w:cs="Times New Roman"/>
          <w:sz w:val="23"/>
          <w:szCs w:val="23"/>
        </w:rPr>
        <w:t>(2), 426. https://doi.org/10.3390/land14020426.</w:t>
      </w:r>
    </w:p>
    <w:p w14:paraId="0950667F" w14:textId="6F0074D6"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Li, Y., Zhong, R., Wang, Z., Yu, M., Wu, Y., Irfan, M., &amp; Hao, Y. (2022). Would </w:t>
      </w:r>
      <w:r w:rsidR="00D0579F" w:rsidRPr="00397ED3">
        <w:rPr>
          <w:rFonts w:ascii="Times New Roman" w:hAnsi="Times New Roman" w:cs="Times New Roman"/>
          <w:sz w:val="23"/>
          <w:szCs w:val="23"/>
        </w:rPr>
        <w:t>inequality in environmental quality affect labour</w:t>
      </w:r>
      <w:r w:rsidRPr="00397ED3">
        <w:rPr>
          <w:rFonts w:ascii="Times New Roman" w:hAnsi="Times New Roman" w:cs="Times New Roman"/>
          <w:sz w:val="23"/>
          <w:szCs w:val="23"/>
        </w:rPr>
        <w:t xml:space="preserve"> productivity and the income gap? Evidence from China. </w:t>
      </w:r>
      <w:r w:rsidRPr="00397ED3">
        <w:rPr>
          <w:rFonts w:ascii="Times New Roman" w:hAnsi="Times New Roman" w:cs="Times New Roman"/>
          <w:i/>
          <w:iCs/>
          <w:sz w:val="23"/>
          <w:szCs w:val="23"/>
        </w:rPr>
        <w:t>Journal of Environmental Planning and Management, 67</w:t>
      </w:r>
      <w:r w:rsidRPr="00397ED3">
        <w:rPr>
          <w:rFonts w:ascii="Times New Roman" w:hAnsi="Times New Roman" w:cs="Times New Roman"/>
          <w:sz w:val="23"/>
          <w:szCs w:val="23"/>
        </w:rPr>
        <w:t>, 25</w:t>
      </w:r>
      <w:r w:rsidR="00D0579F" w:rsidRPr="00397ED3">
        <w:rPr>
          <w:rFonts w:ascii="Times New Roman" w:hAnsi="Times New Roman" w:cs="Times New Roman"/>
          <w:sz w:val="23"/>
          <w:szCs w:val="23"/>
        </w:rPr>
        <w:t>-</w:t>
      </w:r>
      <w:r w:rsidRPr="00397ED3">
        <w:rPr>
          <w:rFonts w:ascii="Times New Roman" w:hAnsi="Times New Roman" w:cs="Times New Roman"/>
          <w:sz w:val="23"/>
          <w:szCs w:val="23"/>
        </w:rPr>
        <w:t xml:space="preserve"> 58. https://doi.org/10.1080/09640568.2022.2097061.</w:t>
      </w:r>
    </w:p>
    <w:p w14:paraId="6C78C929" w14:textId="5F38E9FB"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Liang, L., Wang, Z., &amp; Li, J. (2019). The effect of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on environmental pollution in rapidly developing urban agglomerations. </w:t>
      </w:r>
      <w:r w:rsidRPr="00397ED3">
        <w:rPr>
          <w:rFonts w:ascii="Times New Roman" w:hAnsi="Times New Roman" w:cs="Times New Roman"/>
          <w:i/>
          <w:iCs/>
          <w:sz w:val="23"/>
          <w:szCs w:val="23"/>
        </w:rPr>
        <w:t xml:space="preserve">Journal of </w:t>
      </w:r>
      <w:r w:rsidR="00D0579F" w:rsidRPr="00397ED3">
        <w:rPr>
          <w:rFonts w:ascii="Times New Roman" w:hAnsi="Times New Roman" w:cs="Times New Roman"/>
          <w:i/>
          <w:iCs/>
          <w:sz w:val="23"/>
          <w:szCs w:val="23"/>
        </w:rPr>
        <w:t>Cleaner Production</w:t>
      </w:r>
      <w:r w:rsidRPr="00397ED3">
        <w:rPr>
          <w:rFonts w:ascii="Times New Roman" w:hAnsi="Times New Roman" w:cs="Times New Roman"/>
          <w:sz w:val="23"/>
          <w:szCs w:val="23"/>
        </w:rPr>
        <w:t>, </w:t>
      </w:r>
      <w:r w:rsidRPr="00397ED3">
        <w:rPr>
          <w:rFonts w:ascii="Times New Roman" w:hAnsi="Times New Roman" w:cs="Times New Roman"/>
          <w:i/>
          <w:iCs/>
          <w:sz w:val="23"/>
          <w:szCs w:val="23"/>
        </w:rPr>
        <w:t>237</w:t>
      </w:r>
      <w:r w:rsidRPr="00397ED3">
        <w:rPr>
          <w:rFonts w:ascii="Times New Roman" w:hAnsi="Times New Roman" w:cs="Times New Roman"/>
          <w:sz w:val="23"/>
          <w:szCs w:val="23"/>
        </w:rPr>
        <w:t>, 117649. https://doi.org/10.1016/j.jclepro.2019.117649.</w:t>
      </w:r>
    </w:p>
    <w:p w14:paraId="70CA1E7B"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lang w:val="fr-FR"/>
        </w:rPr>
      </w:pPr>
      <w:r w:rsidRPr="00397ED3">
        <w:rPr>
          <w:rFonts w:ascii="Times New Roman" w:hAnsi="Times New Roman" w:cs="Times New Roman"/>
          <w:sz w:val="23"/>
          <w:szCs w:val="23"/>
        </w:rPr>
        <w:t>Liu, W., Liu, Z., Wang, L., Liu, H., &amp; Wang, Y. (2022). Regional social development gap and regional coordinated development based on mixed-methods research: evidence from China. </w:t>
      </w:r>
      <w:r w:rsidRPr="00397ED3">
        <w:rPr>
          <w:rFonts w:ascii="Times New Roman" w:hAnsi="Times New Roman" w:cs="Times New Roman"/>
          <w:i/>
          <w:iCs/>
          <w:sz w:val="23"/>
          <w:szCs w:val="23"/>
          <w:lang w:val="fr-FR"/>
        </w:rPr>
        <w:t>Frontiers in Psychology</w:t>
      </w:r>
      <w:r w:rsidRPr="00397ED3">
        <w:rPr>
          <w:rFonts w:ascii="Times New Roman" w:hAnsi="Times New Roman" w:cs="Times New Roman"/>
          <w:sz w:val="23"/>
          <w:szCs w:val="23"/>
          <w:lang w:val="fr-FR"/>
        </w:rPr>
        <w:t>, </w:t>
      </w:r>
      <w:r w:rsidRPr="00397ED3">
        <w:rPr>
          <w:rFonts w:ascii="Times New Roman" w:hAnsi="Times New Roman" w:cs="Times New Roman"/>
          <w:i/>
          <w:iCs/>
          <w:sz w:val="23"/>
          <w:szCs w:val="23"/>
          <w:lang w:val="fr-FR"/>
        </w:rPr>
        <w:t>13</w:t>
      </w:r>
      <w:r w:rsidRPr="00397ED3">
        <w:rPr>
          <w:rFonts w:ascii="Times New Roman" w:hAnsi="Times New Roman" w:cs="Times New Roman"/>
          <w:sz w:val="23"/>
          <w:szCs w:val="23"/>
          <w:lang w:val="fr-FR"/>
        </w:rPr>
        <w:t>, 927011. https://doi.org/10.3389/fpsyg.2022.927011.</w:t>
      </w:r>
    </w:p>
    <w:p w14:paraId="150046CD" w14:textId="0C1A369D"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 xml:space="preserve">Lobner, N., Seixas, P. C., Dias, R. C., &amp; Vidal, D. G. (2021). </w:t>
      </w:r>
      <w:r w:rsidRPr="00397ED3">
        <w:rPr>
          <w:rFonts w:ascii="Times New Roman" w:hAnsi="Times New Roman" w:cs="Times New Roman"/>
          <w:sz w:val="23"/>
          <w:szCs w:val="23"/>
        </w:rPr>
        <w:t xml:space="preserve">Urban </w:t>
      </w:r>
      <w:r w:rsidR="00D0579F" w:rsidRPr="00397ED3">
        <w:rPr>
          <w:rFonts w:ascii="Times New Roman" w:hAnsi="Times New Roman" w:cs="Times New Roman"/>
          <w:sz w:val="23"/>
          <w:szCs w:val="23"/>
        </w:rPr>
        <w:t>compactness</w:t>
      </w:r>
      <w:r w:rsidRPr="00397ED3">
        <w:rPr>
          <w:rFonts w:ascii="Times New Roman" w:hAnsi="Times New Roman" w:cs="Times New Roman"/>
          <w:sz w:val="23"/>
          <w:szCs w:val="23"/>
        </w:rPr>
        <w:t xml:space="preserve"> models: screening city trends for the urgency of social and environmental sustainability. </w:t>
      </w:r>
      <w:r w:rsidRPr="00397ED3">
        <w:rPr>
          <w:rFonts w:ascii="Times New Roman" w:hAnsi="Times New Roman" w:cs="Times New Roman"/>
          <w:i/>
          <w:iCs/>
          <w:sz w:val="23"/>
          <w:szCs w:val="23"/>
        </w:rPr>
        <w:t>Urban Science</w:t>
      </w:r>
      <w:r w:rsidRPr="00397ED3">
        <w:rPr>
          <w:rFonts w:ascii="Times New Roman" w:hAnsi="Times New Roman" w:cs="Times New Roman"/>
          <w:sz w:val="23"/>
          <w:szCs w:val="23"/>
        </w:rPr>
        <w:t>, </w:t>
      </w:r>
      <w:r w:rsidRPr="00397ED3">
        <w:rPr>
          <w:rFonts w:ascii="Times New Roman" w:hAnsi="Times New Roman" w:cs="Times New Roman"/>
          <w:i/>
          <w:iCs/>
          <w:sz w:val="23"/>
          <w:szCs w:val="23"/>
        </w:rPr>
        <w:t>5</w:t>
      </w:r>
      <w:r w:rsidRPr="00397ED3">
        <w:rPr>
          <w:rFonts w:ascii="Times New Roman" w:hAnsi="Times New Roman" w:cs="Times New Roman"/>
          <w:sz w:val="23"/>
          <w:szCs w:val="23"/>
        </w:rPr>
        <w:t>(4), 83. https://doi.org/10.3390/urbansci5040083.</w:t>
      </w:r>
    </w:p>
    <w:p w14:paraId="46A8F286"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Matějková, J., &amp; Tichá, A. (2025). Housing market trends and affordability in Central Europe: insights from the Czech Republic, Slovakia, Austria, and Poland. </w:t>
      </w:r>
      <w:r w:rsidRPr="00397ED3">
        <w:rPr>
          <w:rFonts w:ascii="Times New Roman" w:hAnsi="Times New Roman" w:cs="Times New Roman"/>
          <w:i/>
          <w:iCs/>
          <w:sz w:val="23"/>
          <w:szCs w:val="23"/>
        </w:rPr>
        <w:t>Buildings</w:t>
      </w:r>
      <w:r w:rsidRPr="00397ED3">
        <w:rPr>
          <w:rFonts w:ascii="Times New Roman" w:hAnsi="Times New Roman" w:cs="Times New Roman"/>
          <w:sz w:val="23"/>
          <w:szCs w:val="23"/>
        </w:rPr>
        <w:t>, </w:t>
      </w:r>
      <w:r w:rsidRPr="00397ED3">
        <w:rPr>
          <w:rFonts w:ascii="Times New Roman" w:hAnsi="Times New Roman" w:cs="Times New Roman"/>
          <w:i/>
          <w:iCs/>
          <w:sz w:val="23"/>
          <w:szCs w:val="23"/>
        </w:rPr>
        <w:t>15</w:t>
      </w:r>
      <w:r w:rsidRPr="00397ED3">
        <w:rPr>
          <w:rFonts w:ascii="Times New Roman" w:hAnsi="Times New Roman" w:cs="Times New Roman"/>
          <w:sz w:val="23"/>
          <w:szCs w:val="23"/>
        </w:rPr>
        <w:t>(10), 1729. https://doi.org/10.3390/buildings15101729.</w:t>
      </w:r>
    </w:p>
    <w:p w14:paraId="5A6CE687"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Mathew, A., </w:t>
      </w:r>
      <w:proofErr w:type="spellStart"/>
      <w:r w:rsidRPr="00397ED3">
        <w:rPr>
          <w:rFonts w:ascii="Times New Roman" w:hAnsi="Times New Roman" w:cs="Times New Roman"/>
          <w:sz w:val="23"/>
          <w:szCs w:val="23"/>
        </w:rPr>
        <w:t>Aljohani</w:t>
      </w:r>
      <w:proofErr w:type="spellEnd"/>
      <w:r w:rsidRPr="00397ED3">
        <w:rPr>
          <w:rFonts w:ascii="Times New Roman" w:hAnsi="Times New Roman" w:cs="Times New Roman"/>
          <w:sz w:val="23"/>
          <w:szCs w:val="23"/>
        </w:rPr>
        <w:t xml:space="preserve">, T. H., Shekar, P. R., </w:t>
      </w:r>
      <w:proofErr w:type="spellStart"/>
      <w:r w:rsidRPr="00397ED3">
        <w:rPr>
          <w:rFonts w:ascii="Times New Roman" w:hAnsi="Times New Roman" w:cs="Times New Roman"/>
          <w:sz w:val="23"/>
          <w:szCs w:val="23"/>
        </w:rPr>
        <w:t>Arunab</w:t>
      </w:r>
      <w:proofErr w:type="spellEnd"/>
      <w:r w:rsidRPr="00397ED3">
        <w:rPr>
          <w:rFonts w:ascii="Times New Roman" w:hAnsi="Times New Roman" w:cs="Times New Roman"/>
          <w:sz w:val="23"/>
          <w:szCs w:val="23"/>
        </w:rPr>
        <w:t>, K. S., Sharma, A. K., Ahmed, M. F. M., ... &amp; Abdo, H. G. (2025). Spatiotemporal dynamics of urban heat island effect and air pollution in Bengaluru and Hyderabad: implications for sustainable urban development. </w:t>
      </w:r>
      <w:r w:rsidRPr="00397ED3">
        <w:rPr>
          <w:rFonts w:ascii="Times New Roman" w:hAnsi="Times New Roman" w:cs="Times New Roman"/>
          <w:i/>
          <w:iCs/>
          <w:sz w:val="23"/>
          <w:szCs w:val="23"/>
        </w:rPr>
        <w:t>Discover 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6</w:t>
      </w:r>
      <w:r w:rsidRPr="00397ED3">
        <w:rPr>
          <w:rFonts w:ascii="Times New Roman" w:hAnsi="Times New Roman" w:cs="Times New Roman"/>
          <w:sz w:val="23"/>
          <w:szCs w:val="23"/>
        </w:rPr>
        <w:t>(1), 134. https://doi.org/10.1007/s43621-025-00860-3.</w:t>
      </w:r>
    </w:p>
    <w:p w14:paraId="1ED4BFCF"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Mazzetto</w:t>
      </w:r>
      <w:proofErr w:type="spellEnd"/>
      <w:r w:rsidRPr="00397ED3">
        <w:rPr>
          <w:rFonts w:ascii="Times New Roman" w:hAnsi="Times New Roman" w:cs="Times New Roman"/>
          <w:sz w:val="23"/>
          <w:szCs w:val="23"/>
        </w:rPr>
        <w:t xml:space="preserve">, S., Furlan, R., &amp; </w:t>
      </w:r>
      <w:proofErr w:type="spellStart"/>
      <w:r w:rsidRPr="00397ED3">
        <w:rPr>
          <w:rFonts w:ascii="Times New Roman" w:hAnsi="Times New Roman" w:cs="Times New Roman"/>
          <w:sz w:val="23"/>
          <w:szCs w:val="23"/>
        </w:rPr>
        <w:t>Awwaad</w:t>
      </w:r>
      <w:proofErr w:type="spellEnd"/>
      <w:r w:rsidRPr="00397ED3">
        <w:rPr>
          <w:rFonts w:ascii="Times New Roman" w:hAnsi="Times New Roman" w:cs="Times New Roman"/>
          <w:sz w:val="23"/>
          <w:szCs w:val="23"/>
        </w:rPr>
        <w:t>, R. (2025). Sustainable urban renewal: planning Transit-Oriented development (TOD) in Riyadh. </w:t>
      </w:r>
      <w:r w:rsidRPr="00397ED3">
        <w:rPr>
          <w:rFonts w:ascii="Times New Roman" w:hAnsi="Times New Roman" w:cs="Times New Roman"/>
          <w:i/>
          <w:iCs/>
          <w:sz w:val="23"/>
          <w:szCs w:val="23"/>
        </w:rPr>
        <w:t>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17</w:t>
      </w:r>
      <w:r w:rsidRPr="00397ED3">
        <w:rPr>
          <w:rFonts w:ascii="Times New Roman" w:hAnsi="Times New Roman" w:cs="Times New Roman"/>
          <w:sz w:val="23"/>
          <w:szCs w:val="23"/>
        </w:rPr>
        <w:t xml:space="preserve">(10), 4310. </w:t>
      </w:r>
      <w:hyperlink r:id="rId15" w:history="1">
        <w:r w:rsidRPr="00397ED3">
          <w:rPr>
            <w:rStyle w:val="Hyperlink"/>
            <w:rFonts w:ascii="Times New Roman" w:hAnsi="Times New Roman" w:cs="Times New Roman"/>
            <w:sz w:val="23"/>
            <w:szCs w:val="23"/>
          </w:rPr>
          <w:t>https://doi.org/10.3390/su17104310</w:t>
        </w:r>
      </w:hyperlink>
      <w:r w:rsidRPr="00397ED3">
        <w:rPr>
          <w:rFonts w:ascii="Times New Roman" w:hAnsi="Times New Roman" w:cs="Times New Roman"/>
          <w:sz w:val="23"/>
          <w:szCs w:val="23"/>
        </w:rPr>
        <w:t>.</w:t>
      </w:r>
    </w:p>
    <w:p w14:paraId="62CF17DA" w14:textId="68214FD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McArthur, J. (2018). Comparative infrastructural modalities: Examining spatial strategies for Melbourne, Auckland and Vancouver. </w:t>
      </w:r>
      <w:r w:rsidRPr="00397ED3">
        <w:rPr>
          <w:rFonts w:ascii="Times New Roman" w:hAnsi="Times New Roman" w:cs="Times New Roman"/>
          <w:i/>
          <w:iCs/>
          <w:sz w:val="23"/>
          <w:szCs w:val="23"/>
        </w:rPr>
        <w:t>Environment and Planning C: Politics and Space, 36</w:t>
      </w:r>
      <w:r w:rsidRPr="00397ED3">
        <w:rPr>
          <w:rFonts w:ascii="Times New Roman" w:hAnsi="Times New Roman" w:cs="Times New Roman"/>
          <w:sz w:val="23"/>
          <w:szCs w:val="23"/>
        </w:rPr>
        <w:t>, 816</w:t>
      </w:r>
      <w:r w:rsidR="00D0579F" w:rsidRPr="00397ED3">
        <w:rPr>
          <w:rFonts w:ascii="Times New Roman" w:hAnsi="Times New Roman" w:cs="Times New Roman"/>
          <w:sz w:val="23"/>
          <w:szCs w:val="23"/>
        </w:rPr>
        <w:t>-</w:t>
      </w:r>
      <w:r w:rsidRPr="00397ED3">
        <w:rPr>
          <w:rFonts w:ascii="Times New Roman" w:hAnsi="Times New Roman" w:cs="Times New Roman"/>
          <w:sz w:val="23"/>
          <w:szCs w:val="23"/>
        </w:rPr>
        <w:t xml:space="preserve"> 836. https://doi.org/10.1177/2399654418767428.</w:t>
      </w:r>
    </w:p>
    <w:p w14:paraId="3DD2F41E" w14:textId="1D75F77F"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McKee, M., Howden-Chapman, P., Braithwaite, I., &amp; Bentley, R. (2026). Health-promoting housing policy in a changing climate: integrating affordability, security, and resilience. </w:t>
      </w:r>
      <w:r w:rsidRPr="00397ED3">
        <w:rPr>
          <w:rFonts w:ascii="Times New Roman" w:hAnsi="Times New Roman" w:cs="Times New Roman"/>
          <w:i/>
          <w:iCs/>
          <w:sz w:val="23"/>
          <w:szCs w:val="23"/>
        </w:rPr>
        <w:t xml:space="preserve">Health </w:t>
      </w:r>
      <w:r w:rsidR="00D0579F" w:rsidRPr="00397ED3">
        <w:rPr>
          <w:rFonts w:ascii="Times New Roman" w:hAnsi="Times New Roman" w:cs="Times New Roman"/>
          <w:i/>
          <w:iCs/>
          <w:sz w:val="23"/>
          <w:szCs w:val="23"/>
        </w:rPr>
        <w:t>Promotion International</w:t>
      </w:r>
      <w:r w:rsidRPr="00397ED3">
        <w:rPr>
          <w:rFonts w:ascii="Times New Roman" w:hAnsi="Times New Roman" w:cs="Times New Roman"/>
          <w:sz w:val="23"/>
          <w:szCs w:val="23"/>
        </w:rPr>
        <w:t>, </w:t>
      </w:r>
      <w:r w:rsidRPr="00397ED3">
        <w:rPr>
          <w:rFonts w:ascii="Times New Roman" w:hAnsi="Times New Roman" w:cs="Times New Roman"/>
          <w:i/>
          <w:iCs/>
          <w:sz w:val="23"/>
          <w:szCs w:val="23"/>
        </w:rPr>
        <w:t>41</w:t>
      </w:r>
      <w:r w:rsidRPr="00397ED3">
        <w:rPr>
          <w:rFonts w:ascii="Times New Roman" w:hAnsi="Times New Roman" w:cs="Times New Roman"/>
          <w:sz w:val="23"/>
          <w:szCs w:val="23"/>
        </w:rPr>
        <w:t xml:space="preserve">(1), 238. </w:t>
      </w:r>
      <w:hyperlink r:id="rId16" w:history="1">
        <w:r w:rsidRPr="00397ED3">
          <w:rPr>
            <w:rStyle w:val="Hyperlink"/>
            <w:rFonts w:ascii="Times New Roman" w:hAnsi="Times New Roman" w:cs="Times New Roman"/>
            <w:sz w:val="23"/>
            <w:szCs w:val="23"/>
          </w:rPr>
          <w:t>https://doi.org/10.1093/heapro/daaf238</w:t>
        </w:r>
      </w:hyperlink>
      <w:r w:rsidRPr="00397ED3">
        <w:rPr>
          <w:rFonts w:ascii="Times New Roman" w:hAnsi="Times New Roman" w:cs="Times New Roman"/>
          <w:sz w:val="23"/>
          <w:szCs w:val="23"/>
        </w:rPr>
        <w:t>.</w:t>
      </w:r>
    </w:p>
    <w:p w14:paraId="60EBE848"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Medeiros, E., &amp; Van Der </w:t>
      </w:r>
      <w:proofErr w:type="spellStart"/>
      <w:r w:rsidRPr="00397ED3">
        <w:rPr>
          <w:rFonts w:ascii="Times New Roman" w:hAnsi="Times New Roman" w:cs="Times New Roman"/>
          <w:sz w:val="23"/>
          <w:szCs w:val="23"/>
        </w:rPr>
        <w:t>Zwet</w:t>
      </w:r>
      <w:proofErr w:type="spellEnd"/>
      <w:r w:rsidRPr="00397ED3">
        <w:rPr>
          <w:rFonts w:ascii="Times New Roman" w:hAnsi="Times New Roman" w:cs="Times New Roman"/>
          <w:sz w:val="23"/>
          <w:szCs w:val="23"/>
        </w:rPr>
        <w:t>, A. (2020). Sustainable and integrated urban planning and governance in metropolitan and medium-sized cities. </w:t>
      </w:r>
      <w:r w:rsidRPr="00397ED3">
        <w:rPr>
          <w:rFonts w:ascii="Times New Roman" w:hAnsi="Times New Roman" w:cs="Times New Roman"/>
          <w:i/>
          <w:iCs/>
          <w:sz w:val="23"/>
          <w:szCs w:val="23"/>
        </w:rPr>
        <w:t>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12</w:t>
      </w:r>
      <w:r w:rsidRPr="00397ED3">
        <w:rPr>
          <w:rFonts w:ascii="Times New Roman" w:hAnsi="Times New Roman" w:cs="Times New Roman"/>
          <w:sz w:val="23"/>
          <w:szCs w:val="23"/>
        </w:rPr>
        <w:t>(15), 5976. https://doi.org/10.3390/su12155976.</w:t>
      </w:r>
    </w:p>
    <w:p w14:paraId="553AF3A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Mohammed, I., </w:t>
      </w:r>
      <w:proofErr w:type="spellStart"/>
      <w:r w:rsidRPr="00397ED3">
        <w:rPr>
          <w:rFonts w:ascii="Times New Roman" w:hAnsi="Times New Roman" w:cs="Times New Roman"/>
          <w:sz w:val="23"/>
          <w:szCs w:val="23"/>
        </w:rPr>
        <w:t>Alshuwaikhat</w:t>
      </w:r>
      <w:proofErr w:type="spellEnd"/>
      <w:r w:rsidRPr="00397ED3">
        <w:rPr>
          <w:rFonts w:ascii="Times New Roman" w:hAnsi="Times New Roman" w:cs="Times New Roman"/>
          <w:sz w:val="23"/>
          <w:szCs w:val="23"/>
        </w:rPr>
        <w:t xml:space="preserve">, H. M., &amp; </w:t>
      </w:r>
      <w:proofErr w:type="spellStart"/>
      <w:r w:rsidRPr="00397ED3">
        <w:rPr>
          <w:rFonts w:ascii="Times New Roman" w:hAnsi="Times New Roman" w:cs="Times New Roman"/>
          <w:sz w:val="23"/>
          <w:szCs w:val="23"/>
        </w:rPr>
        <w:t>Adenle</w:t>
      </w:r>
      <w:proofErr w:type="spellEnd"/>
      <w:r w:rsidRPr="00397ED3">
        <w:rPr>
          <w:rFonts w:ascii="Times New Roman" w:hAnsi="Times New Roman" w:cs="Times New Roman"/>
          <w:sz w:val="23"/>
          <w:szCs w:val="23"/>
        </w:rPr>
        <w:t>, Y. A. (2016). An approach to assess the effectiveness of smart growth in achieving sustainable development. </w:t>
      </w:r>
      <w:r w:rsidRPr="00397ED3">
        <w:rPr>
          <w:rFonts w:ascii="Times New Roman" w:hAnsi="Times New Roman" w:cs="Times New Roman"/>
          <w:i/>
          <w:iCs/>
          <w:sz w:val="23"/>
          <w:szCs w:val="23"/>
        </w:rPr>
        <w:t>Sustainability</w:t>
      </w:r>
      <w:r w:rsidRPr="00397ED3">
        <w:rPr>
          <w:rFonts w:ascii="Times New Roman" w:hAnsi="Times New Roman" w:cs="Times New Roman"/>
          <w:sz w:val="23"/>
          <w:szCs w:val="23"/>
        </w:rPr>
        <w:t>, </w:t>
      </w:r>
      <w:r w:rsidRPr="00397ED3">
        <w:rPr>
          <w:rFonts w:ascii="Times New Roman" w:hAnsi="Times New Roman" w:cs="Times New Roman"/>
          <w:i/>
          <w:iCs/>
          <w:sz w:val="23"/>
          <w:szCs w:val="23"/>
        </w:rPr>
        <w:t>8</w:t>
      </w:r>
      <w:r w:rsidRPr="00397ED3">
        <w:rPr>
          <w:rFonts w:ascii="Times New Roman" w:hAnsi="Times New Roman" w:cs="Times New Roman"/>
          <w:sz w:val="23"/>
          <w:szCs w:val="23"/>
        </w:rPr>
        <w:t>(4), 397. https://doi.org/10.3390/su8040397.</w:t>
      </w:r>
    </w:p>
    <w:p w14:paraId="51A19A1E"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Muhammed, F. Z., Yamaguchi, K., </w:t>
      </w:r>
      <w:proofErr w:type="spellStart"/>
      <w:r w:rsidRPr="00397ED3">
        <w:rPr>
          <w:rFonts w:ascii="Times New Roman" w:hAnsi="Times New Roman" w:cs="Times New Roman"/>
          <w:sz w:val="23"/>
          <w:szCs w:val="23"/>
        </w:rPr>
        <w:t>Handayani</w:t>
      </w:r>
      <w:proofErr w:type="spellEnd"/>
      <w:r w:rsidRPr="00397ED3">
        <w:rPr>
          <w:rFonts w:ascii="Times New Roman" w:hAnsi="Times New Roman" w:cs="Times New Roman"/>
          <w:sz w:val="23"/>
          <w:szCs w:val="23"/>
        </w:rPr>
        <w:t xml:space="preserve">, K. N., &amp; </w:t>
      </w:r>
      <w:proofErr w:type="spellStart"/>
      <w:r w:rsidRPr="00397ED3">
        <w:rPr>
          <w:rFonts w:ascii="Times New Roman" w:hAnsi="Times New Roman" w:cs="Times New Roman"/>
          <w:sz w:val="23"/>
          <w:szCs w:val="23"/>
        </w:rPr>
        <w:t>Hagishima</w:t>
      </w:r>
      <w:proofErr w:type="spellEnd"/>
      <w:r w:rsidRPr="00397ED3">
        <w:rPr>
          <w:rFonts w:ascii="Times New Roman" w:hAnsi="Times New Roman" w:cs="Times New Roman"/>
          <w:sz w:val="23"/>
          <w:szCs w:val="23"/>
        </w:rPr>
        <w:t xml:space="preserve">, A. (2025). Affordable housing in developing regions: A systematic review of materials, methods and critical success factors with case insights. </w:t>
      </w:r>
      <w:r w:rsidRPr="00397ED3">
        <w:rPr>
          <w:rFonts w:ascii="Times New Roman" w:hAnsi="Times New Roman" w:cs="Times New Roman"/>
          <w:i/>
          <w:iCs/>
          <w:sz w:val="23"/>
          <w:szCs w:val="23"/>
        </w:rPr>
        <w:t>Buildings, 15</w:t>
      </w:r>
      <w:r w:rsidRPr="00397ED3">
        <w:rPr>
          <w:rFonts w:ascii="Times New Roman" w:hAnsi="Times New Roman" w:cs="Times New Roman"/>
          <w:sz w:val="23"/>
          <w:szCs w:val="23"/>
        </w:rPr>
        <w:t xml:space="preserve">(22), 4015. </w:t>
      </w:r>
      <w:hyperlink r:id="rId17" w:tgtFrame="_new" w:history="1">
        <w:r w:rsidRPr="00397ED3">
          <w:rPr>
            <w:rStyle w:val="Hyperlink"/>
            <w:rFonts w:ascii="Times New Roman" w:hAnsi="Times New Roman" w:cs="Times New Roman"/>
            <w:sz w:val="23"/>
            <w:szCs w:val="23"/>
          </w:rPr>
          <w:t>https://doi.org/10.3390/buildings15224015</w:t>
        </w:r>
      </w:hyperlink>
    </w:p>
    <w:p w14:paraId="3FA24BF0"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Ngema, N. N., Bokhari, A., &amp; Mbanga, S. L. (2025). </w:t>
      </w:r>
      <w:r w:rsidRPr="00397ED3">
        <w:rPr>
          <w:rFonts w:ascii="Times New Roman" w:hAnsi="Times New Roman" w:cs="Times New Roman"/>
          <w:sz w:val="23"/>
          <w:szCs w:val="23"/>
        </w:rPr>
        <w:t>Assessing the impact of social housing on urban regeneration in South African cities. </w:t>
      </w:r>
      <w:r w:rsidRPr="00397ED3">
        <w:rPr>
          <w:rFonts w:ascii="Times New Roman" w:hAnsi="Times New Roman" w:cs="Times New Roman"/>
          <w:i/>
          <w:iCs/>
          <w:sz w:val="23"/>
          <w:szCs w:val="23"/>
        </w:rPr>
        <w:t>Frontiers in Sustainable Cities</w:t>
      </w:r>
      <w:r w:rsidRPr="00397ED3">
        <w:rPr>
          <w:rFonts w:ascii="Times New Roman" w:hAnsi="Times New Roman" w:cs="Times New Roman"/>
          <w:sz w:val="23"/>
          <w:szCs w:val="23"/>
        </w:rPr>
        <w:t>, </w:t>
      </w:r>
      <w:r w:rsidRPr="00397ED3">
        <w:rPr>
          <w:rFonts w:ascii="Times New Roman" w:hAnsi="Times New Roman" w:cs="Times New Roman"/>
          <w:i/>
          <w:iCs/>
          <w:sz w:val="23"/>
          <w:szCs w:val="23"/>
        </w:rPr>
        <w:t>7</w:t>
      </w:r>
      <w:r w:rsidRPr="00397ED3">
        <w:rPr>
          <w:rFonts w:ascii="Times New Roman" w:hAnsi="Times New Roman" w:cs="Times New Roman"/>
          <w:sz w:val="23"/>
          <w:szCs w:val="23"/>
        </w:rPr>
        <w:t>, 1468964. https://doi.org/10.3389/frsc.2025.1468964.</w:t>
      </w:r>
    </w:p>
    <w:p w14:paraId="5048044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Nwalusi</w:t>
      </w:r>
      <w:proofErr w:type="spellEnd"/>
      <w:r w:rsidRPr="00397ED3">
        <w:rPr>
          <w:rFonts w:ascii="Times New Roman" w:hAnsi="Times New Roman" w:cs="Times New Roman"/>
          <w:sz w:val="23"/>
          <w:szCs w:val="23"/>
        </w:rPr>
        <w:t xml:space="preserve">, D. M., Okeke, F. O., </w:t>
      </w:r>
      <w:proofErr w:type="spellStart"/>
      <w:r w:rsidRPr="00397ED3">
        <w:rPr>
          <w:rFonts w:ascii="Times New Roman" w:hAnsi="Times New Roman" w:cs="Times New Roman"/>
          <w:sz w:val="23"/>
          <w:szCs w:val="23"/>
        </w:rPr>
        <w:t>Anierobi</w:t>
      </w:r>
      <w:proofErr w:type="spellEnd"/>
      <w:r w:rsidRPr="00397ED3">
        <w:rPr>
          <w:rFonts w:ascii="Times New Roman" w:hAnsi="Times New Roman" w:cs="Times New Roman"/>
          <w:sz w:val="23"/>
          <w:szCs w:val="23"/>
        </w:rPr>
        <w:t xml:space="preserve">, C. M., Nnaemeka-Okeke, R. C., &amp; Nwosu, K. I. (2022). A study of the impact of rural-urban migration and urbanisation on public housing delivery in Enugu Metropolis, Nigeria. </w:t>
      </w:r>
      <w:r w:rsidRPr="00397ED3">
        <w:rPr>
          <w:rFonts w:ascii="Times New Roman" w:hAnsi="Times New Roman" w:cs="Times New Roman"/>
          <w:i/>
          <w:iCs/>
          <w:sz w:val="23"/>
          <w:szCs w:val="23"/>
        </w:rPr>
        <w:t>European Journal of Sustainable Development, 11</w:t>
      </w:r>
      <w:r w:rsidRPr="00397ED3">
        <w:rPr>
          <w:rFonts w:ascii="Times New Roman" w:hAnsi="Times New Roman" w:cs="Times New Roman"/>
          <w:sz w:val="23"/>
          <w:szCs w:val="23"/>
        </w:rPr>
        <w:t xml:space="preserve">(3), 59–59. </w:t>
      </w:r>
      <w:hyperlink r:id="rId18" w:tgtFrame="_new" w:history="1">
        <w:r w:rsidRPr="00397ED3">
          <w:rPr>
            <w:rStyle w:val="Hyperlink"/>
            <w:rFonts w:ascii="Times New Roman" w:hAnsi="Times New Roman" w:cs="Times New Roman"/>
            <w:sz w:val="23"/>
            <w:szCs w:val="23"/>
          </w:rPr>
          <w:t>https://doi.org/10.14207/ejsd.2022.v11n3p59</w:t>
        </w:r>
      </w:hyperlink>
    </w:p>
    <w:p w14:paraId="75D86284"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Ogundipe, K. E., Owolabi, J. D., </w:t>
      </w:r>
      <w:proofErr w:type="spellStart"/>
      <w:r w:rsidRPr="00397ED3">
        <w:rPr>
          <w:rFonts w:ascii="Times New Roman" w:hAnsi="Times New Roman" w:cs="Times New Roman"/>
          <w:sz w:val="23"/>
          <w:szCs w:val="23"/>
        </w:rPr>
        <w:t>Ogunbayo</w:t>
      </w:r>
      <w:proofErr w:type="spellEnd"/>
      <w:r w:rsidRPr="00397ED3">
        <w:rPr>
          <w:rFonts w:ascii="Times New Roman" w:hAnsi="Times New Roman" w:cs="Times New Roman"/>
          <w:sz w:val="23"/>
          <w:szCs w:val="23"/>
        </w:rPr>
        <w:t xml:space="preserve">, B. F., &amp; </w:t>
      </w:r>
      <w:proofErr w:type="spellStart"/>
      <w:r w:rsidRPr="00397ED3">
        <w:rPr>
          <w:rFonts w:ascii="Times New Roman" w:hAnsi="Times New Roman" w:cs="Times New Roman"/>
          <w:sz w:val="23"/>
          <w:szCs w:val="23"/>
        </w:rPr>
        <w:t>Aigbavboa</w:t>
      </w:r>
      <w:proofErr w:type="spellEnd"/>
      <w:r w:rsidRPr="00397ED3">
        <w:rPr>
          <w:rFonts w:ascii="Times New Roman" w:hAnsi="Times New Roman" w:cs="Times New Roman"/>
          <w:sz w:val="23"/>
          <w:szCs w:val="23"/>
        </w:rPr>
        <w:t xml:space="preserve">, C. O. (2024). Exploring inhibiting factors to affordable housing provision in Lagos metropolitan city, Nigeria. </w:t>
      </w:r>
      <w:r w:rsidRPr="00397ED3">
        <w:rPr>
          <w:rFonts w:ascii="Times New Roman" w:hAnsi="Times New Roman" w:cs="Times New Roman"/>
          <w:i/>
          <w:iCs/>
          <w:sz w:val="23"/>
          <w:szCs w:val="23"/>
        </w:rPr>
        <w:t>Frontiers in Built Environment, 10</w:t>
      </w:r>
      <w:r w:rsidRPr="00397ED3">
        <w:rPr>
          <w:rFonts w:ascii="Times New Roman" w:hAnsi="Times New Roman" w:cs="Times New Roman"/>
          <w:sz w:val="23"/>
          <w:szCs w:val="23"/>
        </w:rPr>
        <w:t xml:space="preserve">, 1408776. </w:t>
      </w:r>
      <w:hyperlink r:id="rId19" w:tgtFrame="_new" w:history="1">
        <w:r w:rsidRPr="00397ED3">
          <w:rPr>
            <w:rStyle w:val="Hyperlink"/>
            <w:rFonts w:ascii="Times New Roman" w:hAnsi="Times New Roman" w:cs="Times New Roman"/>
            <w:sz w:val="23"/>
            <w:szCs w:val="23"/>
          </w:rPr>
          <w:t>https://doi.org/10.3389/fbuil.2024.1408776</w:t>
        </w:r>
      </w:hyperlink>
    </w:p>
    <w:p w14:paraId="09485C8A" w14:textId="089A5BAB"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Olaniran, T. O., &amp; Aule, T. T. (2025). </w:t>
      </w:r>
      <w:r w:rsidRPr="00397ED3">
        <w:rPr>
          <w:rFonts w:ascii="Times New Roman" w:hAnsi="Times New Roman" w:cs="Times New Roman"/>
          <w:sz w:val="23"/>
          <w:szCs w:val="23"/>
        </w:rPr>
        <w:t xml:space="preserve">Systematic approach to sustainable urban development: reviewing challenges of informal settlements and peri-urban growth in </w:t>
      </w:r>
      <w:r w:rsidR="00D0579F" w:rsidRPr="00397ED3">
        <w:rPr>
          <w:rFonts w:ascii="Times New Roman" w:hAnsi="Times New Roman" w:cs="Times New Roman"/>
          <w:sz w:val="23"/>
          <w:szCs w:val="23"/>
        </w:rPr>
        <w:t>sub-Saharan</w:t>
      </w:r>
      <w:r w:rsidRPr="00397ED3">
        <w:rPr>
          <w:rFonts w:ascii="Times New Roman" w:hAnsi="Times New Roman" w:cs="Times New Roman"/>
          <w:sz w:val="23"/>
          <w:szCs w:val="23"/>
        </w:rPr>
        <w:t xml:space="preserve"> Africa. </w:t>
      </w:r>
      <w:r w:rsidRPr="00397ED3">
        <w:rPr>
          <w:rFonts w:ascii="Times New Roman" w:hAnsi="Times New Roman" w:cs="Times New Roman"/>
          <w:i/>
          <w:iCs/>
          <w:sz w:val="23"/>
          <w:szCs w:val="23"/>
        </w:rPr>
        <w:t>Urban Planning and Transport Research</w:t>
      </w:r>
      <w:r w:rsidRPr="00397ED3">
        <w:rPr>
          <w:rFonts w:ascii="Times New Roman" w:hAnsi="Times New Roman" w:cs="Times New Roman"/>
          <w:sz w:val="23"/>
          <w:szCs w:val="23"/>
        </w:rPr>
        <w:t>, </w:t>
      </w:r>
      <w:r w:rsidRPr="00397ED3">
        <w:rPr>
          <w:rFonts w:ascii="Times New Roman" w:hAnsi="Times New Roman" w:cs="Times New Roman"/>
          <w:i/>
          <w:iCs/>
          <w:sz w:val="23"/>
          <w:szCs w:val="23"/>
        </w:rPr>
        <w:t>13</w:t>
      </w:r>
      <w:r w:rsidRPr="00397ED3">
        <w:rPr>
          <w:rFonts w:ascii="Times New Roman" w:hAnsi="Times New Roman" w:cs="Times New Roman"/>
          <w:sz w:val="23"/>
          <w:szCs w:val="23"/>
        </w:rPr>
        <w:t>(1), 2495660. https://doi.org/10.1080/21650020.2025.2495660.</w:t>
      </w:r>
    </w:p>
    <w:p w14:paraId="3812D3E7"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lastRenderedPageBreak/>
        <w:t xml:space="preserve">Olubi, A. R., &amp; </w:t>
      </w:r>
      <w:proofErr w:type="spellStart"/>
      <w:r w:rsidRPr="00397ED3">
        <w:rPr>
          <w:rFonts w:ascii="Times New Roman" w:hAnsi="Times New Roman" w:cs="Times New Roman"/>
          <w:sz w:val="23"/>
          <w:szCs w:val="23"/>
        </w:rPr>
        <w:t>Aseyan</w:t>
      </w:r>
      <w:proofErr w:type="spellEnd"/>
      <w:r w:rsidRPr="00397ED3">
        <w:rPr>
          <w:rFonts w:ascii="Times New Roman" w:hAnsi="Times New Roman" w:cs="Times New Roman"/>
          <w:sz w:val="23"/>
          <w:szCs w:val="23"/>
        </w:rPr>
        <w:t>, B. S. (2022). Sustainable housing delivery for the urban poor in Nigeria. </w:t>
      </w:r>
      <w:r w:rsidRPr="00397ED3">
        <w:rPr>
          <w:rFonts w:ascii="Times New Roman" w:hAnsi="Times New Roman" w:cs="Times New Roman"/>
          <w:i/>
          <w:iCs/>
          <w:sz w:val="23"/>
          <w:szCs w:val="23"/>
        </w:rPr>
        <w:t>International journal of civil engineering, construction and estate management</w:t>
      </w:r>
      <w:r w:rsidRPr="00397ED3">
        <w:rPr>
          <w:rFonts w:ascii="Times New Roman" w:hAnsi="Times New Roman" w:cs="Times New Roman"/>
          <w:sz w:val="23"/>
          <w:szCs w:val="23"/>
        </w:rPr>
        <w:t>, </w:t>
      </w:r>
      <w:r w:rsidRPr="00397ED3">
        <w:rPr>
          <w:rFonts w:ascii="Times New Roman" w:hAnsi="Times New Roman" w:cs="Times New Roman"/>
          <w:i/>
          <w:iCs/>
          <w:sz w:val="23"/>
          <w:szCs w:val="23"/>
        </w:rPr>
        <w:t>10</w:t>
      </w:r>
      <w:r w:rsidRPr="00397ED3">
        <w:rPr>
          <w:rFonts w:ascii="Times New Roman" w:hAnsi="Times New Roman" w:cs="Times New Roman"/>
          <w:sz w:val="23"/>
          <w:szCs w:val="23"/>
        </w:rPr>
        <w:t>(1), 21-34. https://doi.org/10.37745/ijcecem.14/vo10.n1pp2134.</w:t>
      </w:r>
    </w:p>
    <w:p w14:paraId="4558207B" w14:textId="4FCB0E95"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i-FI"/>
        </w:rPr>
        <w:t xml:space="preserve">Ovsiannikova, T. Y., Rabtsevich, O. V., &amp; Yugova, I. V. (2021, March). </w:t>
      </w:r>
      <w:r w:rsidRPr="00397ED3">
        <w:rPr>
          <w:rFonts w:ascii="Times New Roman" w:hAnsi="Times New Roman" w:cs="Times New Roman"/>
          <w:sz w:val="23"/>
          <w:szCs w:val="23"/>
        </w:rPr>
        <w:t xml:space="preserve">Analysis of </w:t>
      </w:r>
      <w:r w:rsidR="00D0579F" w:rsidRPr="00397ED3">
        <w:rPr>
          <w:rFonts w:ascii="Times New Roman" w:hAnsi="Times New Roman" w:cs="Times New Roman"/>
          <w:sz w:val="23"/>
          <w:szCs w:val="23"/>
        </w:rPr>
        <w:t xml:space="preserve">the Impact of Housing Investment Market Dynamics </w:t>
      </w:r>
      <w:r w:rsidRPr="00397ED3">
        <w:rPr>
          <w:rFonts w:ascii="Times New Roman" w:hAnsi="Times New Roman" w:cs="Times New Roman"/>
          <w:sz w:val="23"/>
          <w:szCs w:val="23"/>
        </w:rPr>
        <w:t>on Social and Economic Development. In </w:t>
      </w:r>
      <w:r w:rsidRPr="00397ED3">
        <w:rPr>
          <w:rFonts w:ascii="Times New Roman" w:hAnsi="Times New Roman" w:cs="Times New Roman"/>
          <w:i/>
          <w:iCs/>
          <w:sz w:val="23"/>
          <w:szCs w:val="23"/>
        </w:rPr>
        <w:t>IOP Conference Series: Earth and Environmental Science</w:t>
      </w:r>
      <w:r w:rsidRPr="00397ED3">
        <w:rPr>
          <w:rFonts w:ascii="Times New Roman" w:hAnsi="Times New Roman" w:cs="Times New Roman"/>
          <w:sz w:val="23"/>
          <w:szCs w:val="23"/>
        </w:rPr>
        <w:t> (Vol. 666, No. 6, p. 062088). IOP Publishing.</w:t>
      </w:r>
      <w:r w:rsidRPr="00397ED3">
        <w:rPr>
          <w:rFonts w:ascii="Times New Roman" w:hAnsi="Times New Roman" w:cs="Times New Roman"/>
          <w:i/>
          <w:iCs/>
          <w:sz w:val="23"/>
          <w:szCs w:val="23"/>
        </w:rPr>
        <w:t>66</w:t>
      </w:r>
      <w:r w:rsidRPr="00397ED3">
        <w:rPr>
          <w:rFonts w:ascii="Times New Roman" w:hAnsi="Times New Roman" w:cs="Times New Roman"/>
          <w:sz w:val="23"/>
          <w:szCs w:val="23"/>
        </w:rPr>
        <w:t>. https://doi.org/10.1088/1755-1315/666/6/062088.</w:t>
      </w:r>
    </w:p>
    <w:p w14:paraId="60E2E72C" w14:textId="6203CF4E"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Pilehvar</w:t>
      </w:r>
      <w:proofErr w:type="spellEnd"/>
      <w:r w:rsidRPr="00397ED3">
        <w:rPr>
          <w:rFonts w:ascii="Times New Roman" w:hAnsi="Times New Roman" w:cs="Times New Roman"/>
          <w:sz w:val="23"/>
          <w:szCs w:val="23"/>
        </w:rPr>
        <w:t xml:space="preserve">, A. (2021). Spatial-geographical analysis of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in Iran. </w:t>
      </w:r>
      <w:r w:rsidRPr="00397ED3">
        <w:rPr>
          <w:rFonts w:ascii="Times New Roman" w:hAnsi="Times New Roman" w:cs="Times New Roman"/>
          <w:i/>
          <w:iCs/>
          <w:sz w:val="23"/>
          <w:szCs w:val="23"/>
        </w:rPr>
        <w:t>Humanities and Social Sciences Communications, 8</w:t>
      </w:r>
      <w:r w:rsidRPr="00397ED3">
        <w:rPr>
          <w:rFonts w:ascii="Times New Roman" w:hAnsi="Times New Roman" w:cs="Times New Roman"/>
          <w:sz w:val="23"/>
          <w:szCs w:val="23"/>
        </w:rPr>
        <w:t>, 1-12. https://doi.org/10.1057/s41599-021-00741-w.</w:t>
      </w:r>
    </w:p>
    <w:p w14:paraId="7BCB70AD" w14:textId="63DD53CE" w:rsidR="00BF687F" w:rsidRPr="00397ED3" w:rsidRDefault="00D0579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Ruiz</w:t>
      </w:r>
      <w:r w:rsidR="00BF687F" w:rsidRPr="00397ED3">
        <w:rPr>
          <w:rFonts w:ascii="Times New Roman" w:hAnsi="Times New Roman" w:cs="Times New Roman"/>
          <w:sz w:val="23"/>
          <w:szCs w:val="23"/>
          <w:lang w:val="fr-FR"/>
        </w:rPr>
        <w:t xml:space="preserve">, M. A., &amp; Mack-Vergara, Y. L. (2023). </w:t>
      </w:r>
      <w:r w:rsidR="00BF687F" w:rsidRPr="00397ED3">
        <w:rPr>
          <w:rFonts w:ascii="Times New Roman" w:hAnsi="Times New Roman" w:cs="Times New Roman"/>
          <w:sz w:val="23"/>
          <w:szCs w:val="23"/>
        </w:rPr>
        <w:t xml:space="preserve">Resilient and sustainable housing models against climate change: A review. </w:t>
      </w:r>
      <w:r w:rsidR="00BF687F" w:rsidRPr="00397ED3">
        <w:rPr>
          <w:rFonts w:ascii="Times New Roman" w:hAnsi="Times New Roman" w:cs="Times New Roman"/>
          <w:i/>
          <w:iCs/>
          <w:sz w:val="23"/>
          <w:szCs w:val="23"/>
        </w:rPr>
        <w:t>Sustainability, 15</w:t>
      </w:r>
      <w:r w:rsidR="00BF687F" w:rsidRPr="00397ED3">
        <w:rPr>
          <w:rFonts w:ascii="Times New Roman" w:hAnsi="Times New Roman" w:cs="Times New Roman"/>
          <w:sz w:val="23"/>
          <w:szCs w:val="23"/>
        </w:rPr>
        <w:t xml:space="preserve">(18), 13544. </w:t>
      </w:r>
      <w:hyperlink r:id="rId20" w:tgtFrame="_new" w:history="1">
        <w:r w:rsidR="00BF687F" w:rsidRPr="00397ED3">
          <w:rPr>
            <w:rStyle w:val="Hyperlink"/>
            <w:rFonts w:ascii="Times New Roman" w:hAnsi="Times New Roman" w:cs="Times New Roman"/>
            <w:sz w:val="23"/>
            <w:szCs w:val="23"/>
          </w:rPr>
          <w:t>https://doi.org/10.3390/su151813544</w:t>
        </w:r>
      </w:hyperlink>
    </w:p>
    <w:p w14:paraId="46AE9A0E" w14:textId="07FAAE98"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lang w:val="fr-FR"/>
        </w:rPr>
        <w:t xml:space="preserve">Sithole, S. M., Musakwa, W., Magidi, J., &amp; Kibangou, A. Y. (2024). </w:t>
      </w:r>
      <w:r w:rsidRPr="00397ED3">
        <w:rPr>
          <w:rFonts w:ascii="Times New Roman" w:hAnsi="Times New Roman" w:cs="Times New Roman"/>
          <w:sz w:val="23"/>
          <w:szCs w:val="23"/>
        </w:rPr>
        <w:t xml:space="preserve">Characterising </w:t>
      </w:r>
      <w:r w:rsidR="00D0579F" w:rsidRPr="00397ED3">
        <w:rPr>
          <w:rFonts w:ascii="Times New Roman" w:hAnsi="Times New Roman" w:cs="Times New Roman"/>
          <w:sz w:val="23"/>
          <w:szCs w:val="23"/>
        </w:rPr>
        <w:t>land cover</w:t>
      </w:r>
      <w:r w:rsidRPr="00397ED3">
        <w:rPr>
          <w:rFonts w:ascii="Times New Roman" w:hAnsi="Times New Roman" w:cs="Times New Roman"/>
          <w:sz w:val="23"/>
          <w:szCs w:val="23"/>
        </w:rPr>
        <w:t xml:space="preserve"> changes and urban sprawl using geospatial techniques and landscape metrics in Bulawayo, Zimbabwe (1984–2022). </w:t>
      </w:r>
      <w:proofErr w:type="spellStart"/>
      <w:r w:rsidRPr="00397ED3">
        <w:rPr>
          <w:rFonts w:ascii="Times New Roman" w:hAnsi="Times New Roman" w:cs="Times New Roman"/>
          <w:i/>
          <w:iCs/>
          <w:sz w:val="23"/>
          <w:szCs w:val="23"/>
        </w:rPr>
        <w:t>Heliyon</w:t>
      </w:r>
      <w:proofErr w:type="spellEnd"/>
      <w:r w:rsidRPr="00397ED3">
        <w:rPr>
          <w:rFonts w:ascii="Times New Roman" w:hAnsi="Times New Roman" w:cs="Times New Roman"/>
          <w:sz w:val="23"/>
          <w:szCs w:val="23"/>
        </w:rPr>
        <w:t>, </w:t>
      </w:r>
      <w:r w:rsidRPr="00397ED3">
        <w:rPr>
          <w:rFonts w:ascii="Times New Roman" w:hAnsi="Times New Roman" w:cs="Times New Roman"/>
          <w:i/>
          <w:iCs/>
          <w:sz w:val="23"/>
          <w:szCs w:val="23"/>
        </w:rPr>
        <w:t>10</w:t>
      </w:r>
      <w:r w:rsidRPr="00397ED3">
        <w:rPr>
          <w:rFonts w:ascii="Times New Roman" w:hAnsi="Times New Roman" w:cs="Times New Roman"/>
          <w:sz w:val="23"/>
          <w:szCs w:val="23"/>
        </w:rPr>
        <w:t>(6). https://doi.org/10.1016/j.heliyon.2024.e27275.</w:t>
      </w:r>
    </w:p>
    <w:p w14:paraId="3358D2A5"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lang w:val="fr-FR"/>
        </w:rPr>
      </w:pPr>
      <w:r w:rsidRPr="00397ED3">
        <w:rPr>
          <w:rFonts w:ascii="Times New Roman" w:hAnsi="Times New Roman" w:cs="Times New Roman"/>
          <w:sz w:val="23"/>
          <w:szCs w:val="23"/>
        </w:rPr>
        <w:t xml:space="preserve">United Nations Human Settlements Programme (UN-Habitat). (2020). </w:t>
      </w:r>
      <w:r w:rsidRPr="00397ED3">
        <w:rPr>
          <w:rFonts w:ascii="Times New Roman" w:hAnsi="Times New Roman" w:cs="Times New Roman"/>
          <w:i/>
          <w:iCs/>
          <w:sz w:val="23"/>
          <w:szCs w:val="23"/>
        </w:rPr>
        <w:t>World cities report 2020: The value of sustainable urbanisation</w:t>
      </w:r>
      <w:r w:rsidRPr="00397ED3">
        <w:rPr>
          <w:rFonts w:ascii="Times New Roman" w:hAnsi="Times New Roman" w:cs="Times New Roman"/>
          <w:sz w:val="23"/>
          <w:szCs w:val="23"/>
        </w:rPr>
        <w:t xml:space="preserve">. </w:t>
      </w:r>
      <w:r w:rsidRPr="00397ED3">
        <w:rPr>
          <w:rFonts w:ascii="Times New Roman" w:hAnsi="Times New Roman" w:cs="Times New Roman"/>
          <w:sz w:val="23"/>
          <w:szCs w:val="23"/>
          <w:lang w:val="fr-FR"/>
        </w:rPr>
        <w:t xml:space="preserve">UN-Habitat. </w:t>
      </w:r>
      <w:hyperlink r:id="rId21" w:tgtFrame="_new" w:history="1">
        <w:r w:rsidRPr="00397ED3">
          <w:rPr>
            <w:rStyle w:val="Hyperlink"/>
            <w:rFonts w:ascii="Times New Roman" w:hAnsi="Times New Roman" w:cs="Times New Roman"/>
            <w:sz w:val="23"/>
            <w:szCs w:val="23"/>
            <w:lang w:val="fr-FR"/>
          </w:rPr>
          <w:t>https://unhabitat.org/sites/default/files/2020/10/wcr_2020_report.pdf</w:t>
        </w:r>
      </w:hyperlink>
    </w:p>
    <w:p w14:paraId="7195C95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United Nations. (2019). </w:t>
      </w:r>
      <w:r w:rsidRPr="00397ED3">
        <w:rPr>
          <w:rFonts w:ascii="Times New Roman" w:hAnsi="Times New Roman" w:cs="Times New Roman"/>
          <w:i/>
          <w:iCs/>
          <w:sz w:val="23"/>
          <w:szCs w:val="23"/>
        </w:rPr>
        <w:t>World urbanisation prospects 2019</w:t>
      </w:r>
      <w:r w:rsidRPr="00397ED3">
        <w:rPr>
          <w:rFonts w:ascii="Times New Roman" w:hAnsi="Times New Roman" w:cs="Times New Roman"/>
          <w:sz w:val="23"/>
          <w:szCs w:val="23"/>
        </w:rPr>
        <w:t xml:space="preserve">. United Nations Department of Economic and Social Affairs. </w:t>
      </w:r>
      <w:hyperlink r:id="rId22" w:tgtFrame="_new" w:history="1">
        <w:r w:rsidRPr="00397ED3">
          <w:rPr>
            <w:rStyle w:val="Hyperlink"/>
            <w:rFonts w:ascii="Times New Roman" w:hAnsi="Times New Roman" w:cs="Times New Roman"/>
            <w:sz w:val="23"/>
            <w:szCs w:val="23"/>
          </w:rPr>
          <w:t>https://population.un.org/wup/</w:t>
        </w:r>
      </w:hyperlink>
    </w:p>
    <w:p w14:paraId="1A5956A3"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Vivian, A. K., &amp; </w:t>
      </w:r>
      <w:proofErr w:type="spellStart"/>
      <w:r w:rsidRPr="00397ED3">
        <w:rPr>
          <w:rFonts w:ascii="Times New Roman" w:hAnsi="Times New Roman" w:cs="Times New Roman"/>
          <w:sz w:val="23"/>
          <w:szCs w:val="23"/>
        </w:rPr>
        <w:t>Khaidzir</w:t>
      </w:r>
      <w:proofErr w:type="spellEnd"/>
      <w:r w:rsidRPr="00397ED3">
        <w:rPr>
          <w:rFonts w:ascii="Times New Roman" w:hAnsi="Times New Roman" w:cs="Times New Roman"/>
          <w:sz w:val="23"/>
          <w:szCs w:val="23"/>
        </w:rPr>
        <w:t xml:space="preserve">, K. A. M. (2024). Architectural design intervention as a solution to the lack of sustainable and equitable housing in Nigeria. </w:t>
      </w:r>
      <w:r w:rsidRPr="00397ED3">
        <w:rPr>
          <w:rFonts w:ascii="Times New Roman" w:hAnsi="Times New Roman" w:cs="Times New Roman"/>
          <w:i/>
          <w:iCs/>
          <w:sz w:val="23"/>
          <w:szCs w:val="23"/>
        </w:rPr>
        <w:t>Quantum Journal of Social Sciences and Humanities, 5</w:t>
      </w:r>
      <w:r w:rsidRPr="00397ED3">
        <w:rPr>
          <w:rFonts w:ascii="Times New Roman" w:hAnsi="Times New Roman" w:cs="Times New Roman"/>
          <w:sz w:val="23"/>
          <w:szCs w:val="23"/>
        </w:rPr>
        <w:t xml:space="preserve">(SI1), 186–193. </w:t>
      </w:r>
      <w:hyperlink r:id="rId23" w:tgtFrame="_new" w:history="1">
        <w:r w:rsidRPr="00397ED3">
          <w:rPr>
            <w:rStyle w:val="Hyperlink"/>
            <w:rFonts w:ascii="Times New Roman" w:hAnsi="Times New Roman" w:cs="Times New Roman"/>
            <w:sz w:val="23"/>
            <w:szCs w:val="23"/>
          </w:rPr>
          <w:t>https://doi.org/10.55197/qjssh.v5isi1.575</w:t>
        </w:r>
      </w:hyperlink>
    </w:p>
    <w:p w14:paraId="705D6AD4" w14:textId="459F8D62"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proofErr w:type="spellStart"/>
      <w:r w:rsidRPr="00397ED3">
        <w:rPr>
          <w:rFonts w:ascii="Times New Roman" w:hAnsi="Times New Roman" w:cs="Times New Roman"/>
          <w:sz w:val="23"/>
          <w:szCs w:val="23"/>
        </w:rPr>
        <w:t>Voukkali</w:t>
      </w:r>
      <w:proofErr w:type="spellEnd"/>
      <w:r w:rsidRPr="00397ED3">
        <w:rPr>
          <w:rFonts w:ascii="Times New Roman" w:hAnsi="Times New Roman" w:cs="Times New Roman"/>
          <w:sz w:val="23"/>
          <w:szCs w:val="23"/>
        </w:rPr>
        <w:t xml:space="preserve">, I., Papamichael, I., </w:t>
      </w:r>
      <w:proofErr w:type="spellStart"/>
      <w:r w:rsidRPr="00397ED3">
        <w:rPr>
          <w:rFonts w:ascii="Times New Roman" w:hAnsi="Times New Roman" w:cs="Times New Roman"/>
          <w:sz w:val="23"/>
          <w:szCs w:val="23"/>
        </w:rPr>
        <w:t>Loizia</w:t>
      </w:r>
      <w:proofErr w:type="spellEnd"/>
      <w:r w:rsidRPr="00397ED3">
        <w:rPr>
          <w:rFonts w:ascii="Times New Roman" w:hAnsi="Times New Roman" w:cs="Times New Roman"/>
          <w:sz w:val="23"/>
          <w:szCs w:val="23"/>
        </w:rPr>
        <w:t xml:space="preserve">, P., &amp; </w:t>
      </w:r>
      <w:proofErr w:type="spellStart"/>
      <w:r w:rsidRPr="00397ED3">
        <w:rPr>
          <w:rFonts w:ascii="Times New Roman" w:hAnsi="Times New Roman" w:cs="Times New Roman"/>
          <w:sz w:val="23"/>
          <w:szCs w:val="23"/>
        </w:rPr>
        <w:t>Zorpas</w:t>
      </w:r>
      <w:proofErr w:type="spellEnd"/>
      <w:r w:rsidRPr="00397ED3">
        <w:rPr>
          <w:rFonts w:ascii="Times New Roman" w:hAnsi="Times New Roman" w:cs="Times New Roman"/>
          <w:sz w:val="23"/>
          <w:szCs w:val="23"/>
        </w:rPr>
        <w:t xml:space="preserve">, A. A. (2024). </w:t>
      </w:r>
      <w:r w:rsidR="00D0579F" w:rsidRPr="00397ED3">
        <w:rPr>
          <w:rFonts w:ascii="Times New Roman" w:hAnsi="Times New Roman" w:cs="Times New Roman"/>
          <w:sz w:val="23"/>
          <w:szCs w:val="23"/>
        </w:rPr>
        <w:t>Urbanisation</w:t>
      </w:r>
      <w:r w:rsidRPr="00397ED3">
        <w:rPr>
          <w:rFonts w:ascii="Times New Roman" w:hAnsi="Times New Roman" w:cs="Times New Roman"/>
          <w:sz w:val="23"/>
          <w:szCs w:val="23"/>
        </w:rPr>
        <w:t xml:space="preserve"> and solid waste production: prospects and challenges. </w:t>
      </w:r>
      <w:r w:rsidRPr="00397ED3">
        <w:rPr>
          <w:rFonts w:ascii="Times New Roman" w:hAnsi="Times New Roman" w:cs="Times New Roman"/>
          <w:i/>
          <w:iCs/>
          <w:sz w:val="23"/>
          <w:szCs w:val="23"/>
        </w:rPr>
        <w:t>Environmental Science and Pollution Research</w:t>
      </w:r>
      <w:r w:rsidRPr="00397ED3">
        <w:rPr>
          <w:rFonts w:ascii="Times New Roman" w:hAnsi="Times New Roman" w:cs="Times New Roman"/>
          <w:sz w:val="23"/>
          <w:szCs w:val="23"/>
        </w:rPr>
        <w:t>, </w:t>
      </w:r>
      <w:r w:rsidRPr="00397ED3">
        <w:rPr>
          <w:rFonts w:ascii="Times New Roman" w:hAnsi="Times New Roman" w:cs="Times New Roman"/>
          <w:i/>
          <w:iCs/>
          <w:sz w:val="23"/>
          <w:szCs w:val="23"/>
        </w:rPr>
        <w:t>31</w:t>
      </w:r>
      <w:r w:rsidRPr="00397ED3">
        <w:rPr>
          <w:rFonts w:ascii="Times New Roman" w:hAnsi="Times New Roman" w:cs="Times New Roman"/>
          <w:sz w:val="23"/>
          <w:szCs w:val="23"/>
        </w:rPr>
        <w:t>(12), 17678-17689. https://doi.org/10.1007/s11356-023-27670-2.</w:t>
      </w:r>
    </w:p>
    <w:p w14:paraId="4AD82906" w14:textId="637E7EC0"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Wang, H., Zhang, B., Liu, Y., Liu, Y., Xu, S., Zhao, Y., Chen, Y., &amp; Hong, S. (2020). Urban expansion patterns and their driving forces based on the </w:t>
      </w:r>
      <w:r w:rsidR="00D0579F" w:rsidRPr="00397ED3">
        <w:rPr>
          <w:rFonts w:ascii="Times New Roman" w:hAnsi="Times New Roman" w:cs="Times New Roman"/>
          <w:sz w:val="23"/>
          <w:szCs w:val="23"/>
        </w:rPr>
        <w:t>centre-of-gravity GTWR</w:t>
      </w:r>
      <w:r w:rsidRPr="00397ED3">
        <w:rPr>
          <w:rFonts w:ascii="Times New Roman" w:hAnsi="Times New Roman" w:cs="Times New Roman"/>
          <w:sz w:val="23"/>
          <w:szCs w:val="23"/>
        </w:rPr>
        <w:t xml:space="preserve"> model: A case study of the Beijing-Tianjin-Hebei urban agglomeration. </w:t>
      </w:r>
      <w:r w:rsidRPr="00397ED3">
        <w:rPr>
          <w:rFonts w:ascii="Times New Roman" w:hAnsi="Times New Roman" w:cs="Times New Roman"/>
          <w:i/>
          <w:iCs/>
          <w:sz w:val="23"/>
          <w:szCs w:val="23"/>
        </w:rPr>
        <w:t>Journal of Geographical Sciences, 30</w:t>
      </w:r>
      <w:r w:rsidRPr="00397ED3">
        <w:rPr>
          <w:rFonts w:ascii="Times New Roman" w:hAnsi="Times New Roman" w:cs="Times New Roman"/>
          <w:sz w:val="23"/>
          <w:szCs w:val="23"/>
        </w:rPr>
        <w:t>, 297-318. https://doi.org/10.1007/s11442-020-1729-4.</w:t>
      </w:r>
    </w:p>
    <w:p w14:paraId="61AA9522"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Wetzstein, S. (2017). The global urban housing affordability crisis. </w:t>
      </w:r>
      <w:r w:rsidRPr="00397ED3">
        <w:rPr>
          <w:rFonts w:ascii="Times New Roman" w:hAnsi="Times New Roman" w:cs="Times New Roman"/>
          <w:i/>
          <w:iCs/>
          <w:sz w:val="23"/>
          <w:szCs w:val="23"/>
        </w:rPr>
        <w:t>Urban Studies, 54</w:t>
      </w:r>
      <w:r w:rsidRPr="00397ED3">
        <w:rPr>
          <w:rFonts w:ascii="Times New Roman" w:hAnsi="Times New Roman" w:cs="Times New Roman"/>
          <w:sz w:val="23"/>
          <w:szCs w:val="23"/>
        </w:rPr>
        <w:t>, 3159 - 3177. https://doi.org/10.1177/0042098017711649.</w:t>
      </w:r>
    </w:p>
    <w:p w14:paraId="68281DE7"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World Bank. (2020). </w:t>
      </w:r>
      <w:r w:rsidRPr="00397ED3">
        <w:rPr>
          <w:rFonts w:ascii="Times New Roman" w:hAnsi="Times New Roman" w:cs="Times New Roman"/>
          <w:i/>
          <w:iCs/>
          <w:sz w:val="23"/>
          <w:szCs w:val="23"/>
        </w:rPr>
        <w:t>Rapid housing sector assessment: Sint Maarten</w:t>
      </w:r>
      <w:r w:rsidRPr="00397ED3">
        <w:rPr>
          <w:rFonts w:ascii="Times New Roman" w:hAnsi="Times New Roman" w:cs="Times New Roman"/>
          <w:sz w:val="23"/>
          <w:szCs w:val="23"/>
        </w:rPr>
        <w:t xml:space="preserve">. World Bank Publications. </w:t>
      </w:r>
      <w:hyperlink r:id="rId24" w:tgtFrame="_new" w:history="1">
        <w:r w:rsidRPr="00397ED3">
          <w:rPr>
            <w:rStyle w:val="Hyperlink"/>
            <w:rFonts w:ascii="Times New Roman" w:hAnsi="Times New Roman" w:cs="Times New Roman"/>
            <w:sz w:val="23"/>
            <w:szCs w:val="23"/>
          </w:rPr>
          <w:t>https://doi.org/10.1596/34990</w:t>
        </w:r>
      </w:hyperlink>
    </w:p>
    <w:p w14:paraId="66101DFA"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Xu, G., Dong, T., </w:t>
      </w:r>
      <w:proofErr w:type="spellStart"/>
      <w:r w:rsidRPr="00397ED3">
        <w:rPr>
          <w:rFonts w:ascii="Times New Roman" w:hAnsi="Times New Roman" w:cs="Times New Roman"/>
          <w:sz w:val="23"/>
          <w:szCs w:val="23"/>
        </w:rPr>
        <w:t>Cobbinah</w:t>
      </w:r>
      <w:proofErr w:type="spellEnd"/>
      <w:r w:rsidRPr="00397ED3">
        <w:rPr>
          <w:rFonts w:ascii="Times New Roman" w:hAnsi="Times New Roman" w:cs="Times New Roman"/>
          <w:sz w:val="23"/>
          <w:szCs w:val="23"/>
        </w:rPr>
        <w:t>, P. B., Jiao, L., Sumari, N. S., Chai, B., &amp; Liu, Y. (2019). Urban expansion and form changes across African cities with a global outlook: Spatiotemporal analysis of urban land densities. </w:t>
      </w:r>
      <w:r w:rsidRPr="00397ED3">
        <w:rPr>
          <w:rFonts w:ascii="Times New Roman" w:hAnsi="Times New Roman" w:cs="Times New Roman"/>
          <w:i/>
          <w:iCs/>
          <w:sz w:val="23"/>
          <w:szCs w:val="23"/>
        </w:rPr>
        <w:t>Journal of Cleaner Production</w:t>
      </w:r>
      <w:r w:rsidRPr="00397ED3">
        <w:rPr>
          <w:rFonts w:ascii="Times New Roman" w:hAnsi="Times New Roman" w:cs="Times New Roman"/>
          <w:sz w:val="23"/>
          <w:szCs w:val="23"/>
        </w:rPr>
        <w:t>, </w:t>
      </w:r>
      <w:r w:rsidRPr="00397ED3">
        <w:rPr>
          <w:rFonts w:ascii="Times New Roman" w:hAnsi="Times New Roman" w:cs="Times New Roman"/>
          <w:i/>
          <w:iCs/>
          <w:sz w:val="23"/>
          <w:szCs w:val="23"/>
        </w:rPr>
        <w:t>224</w:t>
      </w:r>
      <w:r w:rsidRPr="00397ED3">
        <w:rPr>
          <w:rFonts w:ascii="Times New Roman" w:hAnsi="Times New Roman" w:cs="Times New Roman"/>
          <w:sz w:val="23"/>
          <w:szCs w:val="23"/>
        </w:rPr>
        <w:t>, 802-810. https://doi.org/10.1016/j.jclepro.2019.03.276.</w:t>
      </w:r>
    </w:p>
    <w:p w14:paraId="135AF1B7"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Zambon, I., Colantoni, A., &amp; Salvati, L. (2019). Horizontal vs vertical growth: Understanding latent patterns of urban expansion in large metropolitan regions. </w:t>
      </w:r>
      <w:r w:rsidRPr="00397ED3">
        <w:rPr>
          <w:rFonts w:ascii="Times New Roman" w:hAnsi="Times New Roman" w:cs="Times New Roman"/>
          <w:i/>
          <w:iCs/>
          <w:sz w:val="23"/>
          <w:szCs w:val="23"/>
        </w:rPr>
        <w:t>The Science of the Total Environment, 654</w:t>
      </w:r>
      <w:r w:rsidRPr="00397ED3">
        <w:rPr>
          <w:rFonts w:ascii="Times New Roman" w:hAnsi="Times New Roman" w:cs="Times New Roman"/>
          <w:sz w:val="23"/>
          <w:szCs w:val="23"/>
        </w:rPr>
        <w:t>, 778-785. https://doi.org/10.1016/j.scitotenv.2018.11.182.</w:t>
      </w:r>
    </w:p>
    <w:p w14:paraId="22F7B08E"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 xml:space="preserve">Zhang, X. (2016). The trends, promises, and challenges of urbanisation worldwide. </w:t>
      </w:r>
      <w:r w:rsidRPr="00397ED3">
        <w:rPr>
          <w:rFonts w:ascii="Times New Roman" w:hAnsi="Times New Roman" w:cs="Times New Roman"/>
          <w:i/>
          <w:iCs/>
          <w:sz w:val="23"/>
          <w:szCs w:val="23"/>
        </w:rPr>
        <w:t>Habitat International, 54</w:t>
      </w:r>
      <w:r w:rsidRPr="00397ED3">
        <w:rPr>
          <w:rFonts w:ascii="Times New Roman" w:hAnsi="Times New Roman" w:cs="Times New Roman"/>
          <w:sz w:val="23"/>
          <w:szCs w:val="23"/>
        </w:rPr>
        <w:t xml:space="preserve">, 241–252. </w:t>
      </w:r>
      <w:hyperlink r:id="rId25" w:tgtFrame="_new" w:history="1">
        <w:r w:rsidRPr="00397ED3">
          <w:rPr>
            <w:rStyle w:val="Hyperlink"/>
            <w:rFonts w:ascii="Times New Roman" w:hAnsi="Times New Roman" w:cs="Times New Roman"/>
            <w:sz w:val="23"/>
            <w:szCs w:val="23"/>
          </w:rPr>
          <w:t>https://doi.org/10.1016/j.habitatint.2015.11.018</w:t>
        </w:r>
      </w:hyperlink>
    </w:p>
    <w:p w14:paraId="133CFE79"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Zhou, W., Yu, W., Qian, Y., Han, L., Pickett, S. T., Wang, J., ... &amp; Ouyang, Z. (2022). Beyond city expansion: multi-scale environmental impacts of urban megaregion formation in China. </w:t>
      </w:r>
      <w:r w:rsidRPr="00397ED3">
        <w:rPr>
          <w:rFonts w:ascii="Times New Roman" w:hAnsi="Times New Roman" w:cs="Times New Roman"/>
          <w:i/>
          <w:iCs/>
          <w:sz w:val="23"/>
          <w:szCs w:val="23"/>
        </w:rPr>
        <w:t>National Science Review</w:t>
      </w:r>
      <w:r w:rsidRPr="00397ED3">
        <w:rPr>
          <w:rFonts w:ascii="Times New Roman" w:hAnsi="Times New Roman" w:cs="Times New Roman"/>
          <w:sz w:val="23"/>
          <w:szCs w:val="23"/>
        </w:rPr>
        <w:t>, </w:t>
      </w:r>
      <w:r w:rsidRPr="00397ED3">
        <w:rPr>
          <w:rFonts w:ascii="Times New Roman" w:hAnsi="Times New Roman" w:cs="Times New Roman"/>
          <w:i/>
          <w:iCs/>
          <w:sz w:val="23"/>
          <w:szCs w:val="23"/>
        </w:rPr>
        <w:t>9</w:t>
      </w:r>
      <w:r w:rsidRPr="00397ED3">
        <w:rPr>
          <w:rFonts w:ascii="Times New Roman" w:hAnsi="Times New Roman" w:cs="Times New Roman"/>
          <w:sz w:val="23"/>
          <w:szCs w:val="23"/>
        </w:rPr>
        <w:t xml:space="preserve">(1), nwab107. </w:t>
      </w:r>
      <w:hyperlink r:id="rId26" w:history="1">
        <w:r w:rsidRPr="00397ED3">
          <w:rPr>
            <w:rStyle w:val="Hyperlink"/>
            <w:rFonts w:ascii="Times New Roman" w:hAnsi="Times New Roman" w:cs="Times New Roman"/>
            <w:sz w:val="23"/>
            <w:szCs w:val="23"/>
          </w:rPr>
          <w:t>https://doi.org/10.1093/nsr/nwab107</w:t>
        </w:r>
      </w:hyperlink>
      <w:r w:rsidRPr="00397ED3">
        <w:rPr>
          <w:rFonts w:ascii="Times New Roman" w:hAnsi="Times New Roman" w:cs="Times New Roman"/>
          <w:sz w:val="23"/>
          <w:szCs w:val="23"/>
        </w:rPr>
        <w:t>.</w:t>
      </w:r>
    </w:p>
    <w:p w14:paraId="25FB14FE" w14:textId="77777777" w:rsidR="00BF687F" w:rsidRPr="00397ED3" w:rsidRDefault="00BF687F" w:rsidP="00BF687F">
      <w:pPr>
        <w:pStyle w:val="ListParagraph"/>
        <w:numPr>
          <w:ilvl w:val="0"/>
          <w:numId w:val="21"/>
        </w:numPr>
        <w:spacing w:before="240" w:after="240" w:line="240" w:lineRule="auto"/>
        <w:rPr>
          <w:rFonts w:ascii="Times New Roman" w:hAnsi="Times New Roman" w:cs="Times New Roman"/>
          <w:sz w:val="23"/>
          <w:szCs w:val="23"/>
        </w:rPr>
      </w:pPr>
      <w:r w:rsidRPr="00397ED3">
        <w:rPr>
          <w:rFonts w:ascii="Times New Roman" w:hAnsi="Times New Roman" w:cs="Times New Roman"/>
          <w:sz w:val="23"/>
          <w:szCs w:val="23"/>
        </w:rPr>
        <w:t>Zhu, W., &amp; Ding, Y. (2025). Integrating Decision Tools for Environmental Impact Reduction in Sustainable Urban Planning. </w:t>
      </w:r>
      <w:r w:rsidRPr="00397ED3">
        <w:rPr>
          <w:rFonts w:ascii="Times New Roman" w:hAnsi="Times New Roman" w:cs="Times New Roman"/>
          <w:i/>
          <w:iCs/>
          <w:sz w:val="23"/>
          <w:szCs w:val="23"/>
        </w:rPr>
        <w:t>IEEE Access, 13</w:t>
      </w:r>
      <w:r w:rsidRPr="00397ED3">
        <w:rPr>
          <w:rFonts w:ascii="Times New Roman" w:hAnsi="Times New Roman" w:cs="Times New Roman"/>
          <w:sz w:val="23"/>
          <w:szCs w:val="23"/>
        </w:rPr>
        <w:t>, 30212-30234. https://doi.org/10.1109/access.2025.3540140.</w:t>
      </w:r>
    </w:p>
    <w:sectPr w:rsidR="00BF687F" w:rsidRPr="00397ED3" w:rsidSect="00782A4D">
      <w:footerReference w:type="default" r:id="rId27"/>
      <w:pgSz w:w="11906" w:h="16838" w:code="9"/>
      <w:pgMar w:top="1080" w:right="607" w:bottom="607" w:left="607" w:header="136" w:footer="1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94337" w14:textId="77777777" w:rsidR="001033DE" w:rsidRDefault="001033DE" w:rsidP="00B664FA">
      <w:pPr>
        <w:spacing w:after="0" w:line="240" w:lineRule="auto"/>
      </w:pPr>
      <w:r>
        <w:separator/>
      </w:r>
    </w:p>
  </w:endnote>
  <w:endnote w:type="continuationSeparator" w:id="0">
    <w:p w14:paraId="2B3B78DE" w14:textId="77777777" w:rsidR="001033DE" w:rsidRDefault="001033DE" w:rsidP="00B66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359215"/>
      <w:docPartObj>
        <w:docPartGallery w:val="Page Numbers (Bottom of Page)"/>
        <w:docPartUnique/>
      </w:docPartObj>
    </w:sdtPr>
    <w:sdtEndPr>
      <w:rPr>
        <w:rFonts w:ascii="Times New Roman" w:hAnsi="Times New Roman" w:cs="Times New Roman"/>
      </w:rPr>
    </w:sdtEndPr>
    <w:sdtContent>
      <w:p w14:paraId="661BBF86" w14:textId="0619C03F" w:rsidR="00B664FA" w:rsidRPr="00B664FA" w:rsidRDefault="00B664FA">
        <w:pPr>
          <w:pStyle w:val="Footer"/>
          <w:jc w:val="center"/>
          <w:rPr>
            <w:rFonts w:ascii="Times New Roman" w:hAnsi="Times New Roman" w:cs="Times New Roman"/>
          </w:rPr>
        </w:pPr>
        <w:r w:rsidRPr="00B664FA">
          <w:rPr>
            <w:rFonts w:ascii="Times New Roman" w:hAnsi="Times New Roman" w:cs="Times New Roman"/>
          </w:rPr>
          <w:fldChar w:fldCharType="begin"/>
        </w:r>
        <w:r w:rsidRPr="00B664FA">
          <w:rPr>
            <w:rFonts w:ascii="Times New Roman" w:hAnsi="Times New Roman" w:cs="Times New Roman"/>
          </w:rPr>
          <w:instrText>PAGE   \* MERGEFORMAT</w:instrText>
        </w:r>
        <w:r w:rsidRPr="00B664FA">
          <w:rPr>
            <w:rFonts w:ascii="Times New Roman" w:hAnsi="Times New Roman" w:cs="Times New Roman"/>
          </w:rPr>
          <w:fldChar w:fldCharType="separate"/>
        </w:r>
        <w:r w:rsidR="006F6565">
          <w:rPr>
            <w:rFonts w:ascii="Times New Roman" w:hAnsi="Times New Roman" w:cs="Times New Roman"/>
            <w:noProof/>
          </w:rPr>
          <w:t>15</w:t>
        </w:r>
        <w:r w:rsidRPr="00B664FA">
          <w:rPr>
            <w:rFonts w:ascii="Times New Roman" w:hAnsi="Times New Roman" w:cs="Times New Roman"/>
          </w:rPr>
          <w:fldChar w:fldCharType="end"/>
        </w:r>
      </w:p>
    </w:sdtContent>
  </w:sdt>
  <w:p w14:paraId="1DBAFF6A" w14:textId="77777777" w:rsidR="00B664FA" w:rsidRDefault="00B664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DEBEE" w14:textId="77777777" w:rsidR="001033DE" w:rsidRDefault="001033DE" w:rsidP="00B664FA">
      <w:pPr>
        <w:spacing w:after="0" w:line="240" w:lineRule="auto"/>
      </w:pPr>
      <w:r>
        <w:separator/>
      </w:r>
    </w:p>
  </w:footnote>
  <w:footnote w:type="continuationSeparator" w:id="0">
    <w:p w14:paraId="6533E67D" w14:textId="77777777" w:rsidR="001033DE" w:rsidRDefault="001033DE" w:rsidP="00B664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5FE2"/>
    <w:multiLevelType w:val="multilevel"/>
    <w:tmpl w:val="52FAB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AB7CDA"/>
    <w:multiLevelType w:val="multilevel"/>
    <w:tmpl w:val="36DC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5405E"/>
    <w:multiLevelType w:val="multilevel"/>
    <w:tmpl w:val="0AD0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D4954"/>
    <w:multiLevelType w:val="multilevel"/>
    <w:tmpl w:val="DCD6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A31A87"/>
    <w:multiLevelType w:val="hybridMultilevel"/>
    <w:tmpl w:val="B2642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070325"/>
    <w:multiLevelType w:val="multilevel"/>
    <w:tmpl w:val="1806DF5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F51BF2"/>
    <w:multiLevelType w:val="multilevel"/>
    <w:tmpl w:val="A108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AD6F7C"/>
    <w:multiLevelType w:val="multilevel"/>
    <w:tmpl w:val="6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28323E"/>
    <w:multiLevelType w:val="multilevel"/>
    <w:tmpl w:val="2EDE6F9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B34DC1"/>
    <w:multiLevelType w:val="hybridMultilevel"/>
    <w:tmpl w:val="3E2ED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3C92C3F"/>
    <w:multiLevelType w:val="multilevel"/>
    <w:tmpl w:val="C07845D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6448E7"/>
    <w:multiLevelType w:val="multilevel"/>
    <w:tmpl w:val="FA589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E4520B"/>
    <w:multiLevelType w:val="multilevel"/>
    <w:tmpl w:val="53B4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D2728A"/>
    <w:multiLevelType w:val="multilevel"/>
    <w:tmpl w:val="F42E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1C7259"/>
    <w:multiLevelType w:val="multilevel"/>
    <w:tmpl w:val="5A2CB7EE"/>
    <w:lvl w:ilvl="0">
      <w:start w:val="1"/>
      <w:numFmt w:val="lowerRoman"/>
      <w:lvlText w:val="%1."/>
      <w:lvlJc w:val="righ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9C137E"/>
    <w:multiLevelType w:val="multilevel"/>
    <w:tmpl w:val="05005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2CC59AD"/>
    <w:multiLevelType w:val="multilevel"/>
    <w:tmpl w:val="207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6459FA"/>
    <w:multiLevelType w:val="multilevel"/>
    <w:tmpl w:val="14E8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192736"/>
    <w:multiLevelType w:val="multilevel"/>
    <w:tmpl w:val="2E3E7D44"/>
    <w:lvl w:ilvl="0">
      <w:start w:val="1"/>
      <w:numFmt w:val="lowerRoman"/>
      <w:lvlText w:val="%1."/>
      <w:lvlJc w:val="righ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2027AC"/>
    <w:multiLevelType w:val="multilevel"/>
    <w:tmpl w:val="3F88C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FA066D2"/>
    <w:multiLevelType w:val="multilevel"/>
    <w:tmpl w:val="95289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0"/>
  </w:num>
  <w:num w:numId="3">
    <w:abstractNumId w:val="20"/>
  </w:num>
  <w:num w:numId="4">
    <w:abstractNumId w:val="7"/>
  </w:num>
  <w:num w:numId="5">
    <w:abstractNumId w:val="17"/>
  </w:num>
  <w:num w:numId="6">
    <w:abstractNumId w:val="12"/>
  </w:num>
  <w:num w:numId="7">
    <w:abstractNumId w:val="19"/>
  </w:num>
  <w:num w:numId="8">
    <w:abstractNumId w:val="2"/>
  </w:num>
  <w:num w:numId="9">
    <w:abstractNumId w:val="3"/>
  </w:num>
  <w:num w:numId="10">
    <w:abstractNumId w:val="14"/>
  </w:num>
  <w:num w:numId="11">
    <w:abstractNumId w:val="5"/>
  </w:num>
  <w:num w:numId="12">
    <w:abstractNumId w:val="8"/>
  </w:num>
  <w:num w:numId="13">
    <w:abstractNumId w:val="1"/>
  </w:num>
  <w:num w:numId="14">
    <w:abstractNumId w:val="11"/>
  </w:num>
  <w:num w:numId="15">
    <w:abstractNumId w:val="16"/>
  </w:num>
  <w:num w:numId="16">
    <w:abstractNumId w:val="10"/>
  </w:num>
  <w:num w:numId="17">
    <w:abstractNumId w:val="18"/>
  </w:num>
  <w:num w:numId="18">
    <w:abstractNumId w:val="4"/>
  </w:num>
  <w:num w:numId="19">
    <w:abstractNumId w:val="6"/>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4FA"/>
    <w:rsid w:val="000004F7"/>
    <w:rsid w:val="000459A0"/>
    <w:rsid w:val="000E317C"/>
    <w:rsid w:val="001033DE"/>
    <w:rsid w:val="00194C2B"/>
    <w:rsid w:val="001C7832"/>
    <w:rsid w:val="00221489"/>
    <w:rsid w:val="002C7970"/>
    <w:rsid w:val="00324D98"/>
    <w:rsid w:val="00336A33"/>
    <w:rsid w:val="00397ED3"/>
    <w:rsid w:val="003D2414"/>
    <w:rsid w:val="003F14D5"/>
    <w:rsid w:val="003F5495"/>
    <w:rsid w:val="00617A62"/>
    <w:rsid w:val="006522EA"/>
    <w:rsid w:val="00695845"/>
    <w:rsid w:val="006F6565"/>
    <w:rsid w:val="007341DF"/>
    <w:rsid w:val="00782A4D"/>
    <w:rsid w:val="00847EFD"/>
    <w:rsid w:val="008A7EC4"/>
    <w:rsid w:val="009000FE"/>
    <w:rsid w:val="00930E28"/>
    <w:rsid w:val="00B2025B"/>
    <w:rsid w:val="00B664FA"/>
    <w:rsid w:val="00B67DEE"/>
    <w:rsid w:val="00BE781D"/>
    <w:rsid w:val="00BF687F"/>
    <w:rsid w:val="00C43D97"/>
    <w:rsid w:val="00C8238D"/>
    <w:rsid w:val="00C960A5"/>
    <w:rsid w:val="00CA67AA"/>
    <w:rsid w:val="00D0579F"/>
    <w:rsid w:val="00D263DF"/>
    <w:rsid w:val="00D31A78"/>
    <w:rsid w:val="00D97F99"/>
    <w:rsid w:val="00E10CBC"/>
    <w:rsid w:val="00E47678"/>
    <w:rsid w:val="00E84303"/>
    <w:rsid w:val="00F1372C"/>
    <w:rsid w:val="00F32601"/>
    <w:rsid w:val="00F86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11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64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64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64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64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64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64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64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64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64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4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64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64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64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64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64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64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64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64FA"/>
    <w:rPr>
      <w:rFonts w:eastAsiaTheme="majorEastAsia" w:cstheme="majorBidi"/>
      <w:color w:val="272727" w:themeColor="text1" w:themeTint="D8"/>
    </w:rPr>
  </w:style>
  <w:style w:type="paragraph" w:styleId="Title">
    <w:name w:val="Title"/>
    <w:basedOn w:val="Normal"/>
    <w:next w:val="Normal"/>
    <w:link w:val="TitleChar"/>
    <w:uiPriority w:val="10"/>
    <w:qFormat/>
    <w:rsid w:val="00B664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4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64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64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64FA"/>
    <w:pPr>
      <w:spacing w:before="160"/>
      <w:jc w:val="center"/>
    </w:pPr>
    <w:rPr>
      <w:i/>
      <w:iCs/>
      <w:color w:val="404040" w:themeColor="text1" w:themeTint="BF"/>
    </w:rPr>
  </w:style>
  <w:style w:type="character" w:customStyle="1" w:styleId="QuoteChar">
    <w:name w:val="Quote Char"/>
    <w:basedOn w:val="DefaultParagraphFont"/>
    <w:link w:val="Quote"/>
    <w:uiPriority w:val="29"/>
    <w:rsid w:val="00B664FA"/>
    <w:rPr>
      <w:i/>
      <w:iCs/>
      <w:color w:val="404040" w:themeColor="text1" w:themeTint="BF"/>
    </w:rPr>
  </w:style>
  <w:style w:type="paragraph" w:styleId="ListParagraph">
    <w:name w:val="List Paragraph"/>
    <w:basedOn w:val="Normal"/>
    <w:uiPriority w:val="34"/>
    <w:qFormat/>
    <w:rsid w:val="00B664FA"/>
    <w:pPr>
      <w:ind w:left="720"/>
      <w:contextualSpacing/>
    </w:pPr>
  </w:style>
  <w:style w:type="character" w:styleId="IntenseEmphasis">
    <w:name w:val="Intense Emphasis"/>
    <w:basedOn w:val="DefaultParagraphFont"/>
    <w:uiPriority w:val="21"/>
    <w:qFormat/>
    <w:rsid w:val="00B664FA"/>
    <w:rPr>
      <w:i/>
      <w:iCs/>
      <w:color w:val="0F4761" w:themeColor="accent1" w:themeShade="BF"/>
    </w:rPr>
  </w:style>
  <w:style w:type="paragraph" w:styleId="IntenseQuote">
    <w:name w:val="Intense Quote"/>
    <w:basedOn w:val="Normal"/>
    <w:next w:val="Normal"/>
    <w:link w:val="IntenseQuoteChar"/>
    <w:uiPriority w:val="30"/>
    <w:qFormat/>
    <w:rsid w:val="00B664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64FA"/>
    <w:rPr>
      <w:i/>
      <w:iCs/>
      <w:color w:val="0F4761" w:themeColor="accent1" w:themeShade="BF"/>
    </w:rPr>
  </w:style>
  <w:style w:type="character" w:styleId="IntenseReference">
    <w:name w:val="Intense Reference"/>
    <w:basedOn w:val="DefaultParagraphFont"/>
    <w:uiPriority w:val="32"/>
    <w:qFormat/>
    <w:rsid w:val="00B664FA"/>
    <w:rPr>
      <w:b/>
      <w:bCs/>
      <w:smallCaps/>
      <w:color w:val="0F4761" w:themeColor="accent1" w:themeShade="BF"/>
      <w:spacing w:val="5"/>
    </w:rPr>
  </w:style>
  <w:style w:type="paragraph" w:styleId="Header">
    <w:name w:val="header"/>
    <w:basedOn w:val="Normal"/>
    <w:link w:val="HeaderChar"/>
    <w:uiPriority w:val="99"/>
    <w:unhideWhenUsed/>
    <w:rsid w:val="00B66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4FA"/>
  </w:style>
  <w:style w:type="paragraph" w:styleId="Footer">
    <w:name w:val="footer"/>
    <w:basedOn w:val="Normal"/>
    <w:link w:val="FooterChar"/>
    <w:uiPriority w:val="99"/>
    <w:unhideWhenUsed/>
    <w:rsid w:val="00B66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4FA"/>
  </w:style>
  <w:style w:type="character" w:styleId="Hyperlink">
    <w:name w:val="Hyperlink"/>
    <w:basedOn w:val="DefaultParagraphFont"/>
    <w:uiPriority w:val="99"/>
    <w:unhideWhenUsed/>
    <w:rsid w:val="001C7832"/>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64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64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64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64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64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64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64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64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64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4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64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64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64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64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64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64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64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64FA"/>
    <w:rPr>
      <w:rFonts w:eastAsiaTheme="majorEastAsia" w:cstheme="majorBidi"/>
      <w:color w:val="272727" w:themeColor="text1" w:themeTint="D8"/>
    </w:rPr>
  </w:style>
  <w:style w:type="paragraph" w:styleId="Title">
    <w:name w:val="Title"/>
    <w:basedOn w:val="Normal"/>
    <w:next w:val="Normal"/>
    <w:link w:val="TitleChar"/>
    <w:uiPriority w:val="10"/>
    <w:qFormat/>
    <w:rsid w:val="00B664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4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64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64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64FA"/>
    <w:pPr>
      <w:spacing w:before="160"/>
      <w:jc w:val="center"/>
    </w:pPr>
    <w:rPr>
      <w:i/>
      <w:iCs/>
      <w:color w:val="404040" w:themeColor="text1" w:themeTint="BF"/>
    </w:rPr>
  </w:style>
  <w:style w:type="character" w:customStyle="1" w:styleId="QuoteChar">
    <w:name w:val="Quote Char"/>
    <w:basedOn w:val="DefaultParagraphFont"/>
    <w:link w:val="Quote"/>
    <w:uiPriority w:val="29"/>
    <w:rsid w:val="00B664FA"/>
    <w:rPr>
      <w:i/>
      <w:iCs/>
      <w:color w:val="404040" w:themeColor="text1" w:themeTint="BF"/>
    </w:rPr>
  </w:style>
  <w:style w:type="paragraph" w:styleId="ListParagraph">
    <w:name w:val="List Paragraph"/>
    <w:basedOn w:val="Normal"/>
    <w:uiPriority w:val="34"/>
    <w:qFormat/>
    <w:rsid w:val="00B664FA"/>
    <w:pPr>
      <w:ind w:left="720"/>
      <w:contextualSpacing/>
    </w:pPr>
  </w:style>
  <w:style w:type="character" w:styleId="IntenseEmphasis">
    <w:name w:val="Intense Emphasis"/>
    <w:basedOn w:val="DefaultParagraphFont"/>
    <w:uiPriority w:val="21"/>
    <w:qFormat/>
    <w:rsid w:val="00B664FA"/>
    <w:rPr>
      <w:i/>
      <w:iCs/>
      <w:color w:val="0F4761" w:themeColor="accent1" w:themeShade="BF"/>
    </w:rPr>
  </w:style>
  <w:style w:type="paragraph" w:styleId="IntenseQuote">
    <w:name w:val="Intense Quote"/>
    <w:basedOn w:val="Normal"/>
    <w:next w:val="Normal"/>
    <w:link w:val="IntenseQuoteChar"/>
    <w:uiPriority w:val="30"/>
    <w:qFormat/>
    <w:rsid w:val="00B664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64FA"/>
    <w:rPr>
      <w:i/>
      <w:iCs/>
      <w:color w:val="0F4761" w:themeColor="accent1" w:themeShade="BF"/>
    </w:rPr>
  </w:style>
  <w:style w:type="character" w:styleId="IntenseReference">
    <w:name w:val="Intense Reference"/>
    <w:basedOn w:val="DefaultParagraphFont"/>
    <w:uiPriority w:val="32"/>
    <w:qFormat/>
    <w:rsid w:val="00B664FA"/>
    <w:rPr>
      <w:b/>
      <w:bCs/>
      <w:smallCaps/>
      <w:color w:val="0F4761" w:themeColor="accent1" w:themeShade="BF"/>
      <w:spacing w:val="5"/>
    </w:rPr>
  </w:style>
  <w:style w:type="paragraph" w:styleId="Header">
    <w:name w:val="header"/>
    <w:basedOn w:val="Normal"/>
    <w:link w:val="HeaderChar"/>
    <w:uiPriority w:val="99"/>
    <w:unhideWhenUsed/>
    <w:rsid w:val="00B66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4FA"/>
  </w:style>
  <w:style w:type="paragraph" w:styleId="Footer">
    <w:name w:val="footer"/>
    <w:basedOn w:val="Normal"/>
    <w:link w:val="FooterChar"/>
    <w:uiPriority w:val="99"/>
    <w:unhideWhenUsed/>
    <w:rsid w:val="00B66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4FA"/>
  </w:style>
  <w:style w:type="character" w:styleId="Hyperlink">
    <w:name w:val="Hyperlink"/>
    <w:basedOn w:val="DefaultParagraphFont"/>
    <w:uiPriority w:val="99"/>
    <w:unhideWhenUsed/>
    <w:rsid w:val="001C783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2161/ijaers.77.55" TargetMode="External"/><Relationship Id="rId18" Type="http://schemas.openxmlformats.org/officeDocument/2006/relationships/hyperlink" Target="https://doi.org/10.14207/ejsd.2022.v11n3p59" TargetMode="External"/><Relationship Id="rId26" Type="http://schemas.openxmlformats.org/officeDocument/2006/relationships/hyperlink" Target="https://doi.org/10.1093/nsr/nwab107" TargetMode="External"/><Relationship Id="rId3" Type="http://schemas.microsoft.com/office/2007/relationships/stylesWithEffects" Target="stylesWithEffects.xml"/><Relationship Id="rId21" Type="http://schemas.openxmlformats.org/officeDocument/2006/relationships/hyperlink" Target="https://unhabitat.org/sites/default/files/2020/10/wcr_2020_report.pdf" TargetMode="External"/><Relationship Id="rId7" Type="http://schemas.openxmlformats.org/officeDocument/2006/relationships/endnotes" Target="endnotes.xml"/><Relationship Id="rId12" Type="http://schemas.openxmlformats.org/officeDocument/2006/relationships/hyperlink" Target="https://www.ipcc.ch/report/ar6/wg3/" TargetMode="External"/><Relationship Id="rId17" Type="http://schemas.openxmlformats.org/officeDocument/2006/relationships/hyperlink" Target="https://doi.org/10.3390/buildings15224015" TargetMode="External"/><Relationship Id="rId25" Type="http://schemas.openxmlformats.org/officeDocument/2006/relationships/hyperlink" Target="https://doi.org/10.1016/j.habitatint.2015.11.018" TargetMode="External"/><Relationship Id="rId2" Type="http://schemas.openxmlformats.org/officeDocument/2006/relationships/styles" Target="styles.xml"/><Relationship Id="rId16" Type="http://schemas.openxmlformats.org/officeDocument/2006/relationships/hyperlink" Target="https://doi.org/10.1093/heapro/daaf238" TargetMode="External"/><Relationship Id="rId20" Type="http://schemas.openxmlformats.org/officeDocument/2006/relationships/hyperlink" Target="https://doi.org/10.3390/su15181354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016/j.tra.2019.10.018" TargetMode="External"/><Relationship Id="rId24" Type="http://schemas.openxmlformats.org/officeDocument/2006/relationships/hyperlink" Target="https://doi.org/10.1596/34990" TargetMode="External"/><Relationship Id="rId5" Type="http://schemas.openxmlformats.org/officeDocument/2006/relationships/webSettings" Target="webSettings.xml"/><Relationship Id="rId15" Type="http://schemas.openxmlformats.org/officeDocument/2006/relationships/hyperlink" Target="https://doi.org/10.3390/su17104310" TargetMode="External"/><Relationship Id="rId23" Type="http://schemas.openxmlformats.org/officeDocument/2006/relationships/hyperlink" Target="https://doi.org/10.55197/qjssh.v5isi1.575" TargetMode="External"/><Relationship Id="rId28" Type="http://schemas.openxmlformats.org/officeDocument/2006/relationships/fontTable" Target="fontTable.xml"/><Relationship Id="rId10" Type="http://schemas.openxmlformats.org/officeDocument/2006/relationships/hyperlink" Target="https://doi.org/10.55214/25768484.v9i4.6418" TargetMode="External"/><Relationship Id="rId19" Type="http://schemas.openxmlformats.org/officeDocument/2006/relationships/hyperlink" Target="https://doi.org/10.3389/fbuil.2024.14087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buildings12050637" TargetMode="External"/><Relationship Id="rId22" Type="http://schemas.openxmlformats.org/officeDocument/2006/relationships/hyperlink" Target="https://population.un.org/wup/"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19</Pages>
  <Words>11208</Words>
  <Characters>63892</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 Ajayi</dc:creator>
  <cp:keywords/>
  <dc:description/>
  <cp:lastModifiedBy>qwert</cp:lastModifiedBy>
  <cp:revision>9</cp:revision>
  <dcterms:created xsi:type="dcterms:W3CDTF">2026-05-06T17:07:00Z</dcterms:created>
  <dcterms:modified xsi:type="dcterms:W3CDTF">2026-05-07T13:05:00Z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cfab9a0a-7dfc-4837-8d15-2fa09ebf005a</vt:lpwstr>
  </property>
</Properties>
</file>