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5C5" w:rsidRDefault="005975C5">
      <w:pPr>
        <w:spacing w:before="54" w:line="276" w:lineRule="auto"/>
        <w:rPr>
          <w:rFonts w:ascii="Times New Roman" w:eastAsia="Times New Roman" w:hAnsi="Times New Roman" w:cs="Times New Roman"/>
          <w:b/>
          <w:sz w:val="26"/>
          <w:szCs w:val="26"/>
        </w:rPr>
      </w:pPr>
    </w:p>
    <w:p w:rsidR="005975C5" w:rsidRDefault="008C00FB">
      <w:pPr>
        <w:spacing w:after="160" w:line="259" w:lineRule="auto"/>
        <w:jc w:val="center"/>
        <w:rPr>
          <w:rFonts w:ascii="Times New Roman" w:eastAsia="Times New Roman" w:hAnsi="Times New Roman" w:cs="Times New Roman"/>
          <w:b/>
          <w:sz w:val="26"/>
          <w:szCs w:val="26"/>
        </w:rPr>
      </w:pPr>
      <w:r>
        <w:rPr>
          <w:rFonts w:ascii="Calibri" w:eastAsia="Calibri" w:hAnsi="Calibri" w:cs="Calibri"/>
          <w:b/>
          <w:bCs/>
          <w:color w:val="000080"/>
          <w:sz w:val="36"/>
          <w:szCs w:val="36"/>
          <w:lang w:val="en-US"/>
        </w:rPr>
        <w:t xml:space="preserve">A Research On Development and stability assessment of Antibiotic Nafithromycin using UV-Visible Spectroscopy. </w:t>
      </w:r>
    </w:p>
    <w:p w:rsidR="005975C5" w:rsidRDefault="005975C5">
      <w:pPr>
        <w:spacing w:after="160" w:line="360" w:lineRule="auto"/>
        <w:ind w:left="720"/>
        <w:rPr>
          <w:rFonts w:ascii="Times New Roman" w:eastAsia="Times New Roman" w:hAnsi="Times New Roman" w:cs="Times New Roman"/>
          <w:b/>
          <w:sz w:val="26"/>
          <w:szCs w:val="26"/>
        </w:rPr>
      </w:pPr>
      <w:bookmarkStart w:id="0" w:name="_GoBack"/>
      <w:bookmarkEnd w:id="0"/>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8"/>
          <w:szCs w:val="28"/>
          <w:lang w:eastAsia="en-US"/>
        </w:rPr>
        <w:t xml:space="preserve">INTRODUCTION </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eastAsia="en-US" w:bidi="hi-IN"/>
        </w:rPr>
        <w:t>ANTIBIOTICS &amp; INFECTIOUS DISEASES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eastAsia="en-US" w:bidi="hi-IN"/>
        </w:rPr>
        <w:t>1.1 Overview of Infectious Diseases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Infectious diseases are caused by pathogenic microorganisms such as bacteria, viruses, fungi, and parasites. These diseases remain a major global health concern, contributing significantly to morbidity and mortality worl</w:t>
      </w:r>
      <w:r>
        <w:rPr>
          <w:rFonts w:ascii="Times New Roman" w:eastAsia="Calibri" w:hAnsi="Times New Roman" w:cs="Times New Roman"/>
          <w:sz w:val="24"/>
          <w:szCs w:val="24"/>
          <w:lang w:eastAsia="en-US" w:bidi="hi-IN"/>
        </w:rPr>
        <w:t>dwide.</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According to the World Health Organization, antimicrobial resistance (AMR) is one of the top global health threats, reducing the effectiveness of antibiotics and complicating treatment outcomes [1].</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eastAsia="en-US" w:bidi="hi-IN"/>
        </w:rPr>
        <w:t>1.2 Role of Antibiotics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 xml:space="preserve">Antibiotics are chemical </w:t>
      </w:r>
      <w:r>
        <w:rPr>
          <w:rFonts w:ascii="Times New Roman" w:eastAsia="Calibri" w:hAnsi="Times New Roman" w:cs="Times New Roman"/>
          <w:sz w:val="24"/>
          <w:szCs w:val="24"/>
          <w:lang w:eastAsia="en-US" w:bidi="hi-IN"/>
        </w:rPr>
        <w:t>substances used to:</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Inhibit growth of microorganisms (bacteriostatic)</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Kill microorganisms (bactericidal)</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They play a crucial role in:</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Treating bacterial infections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Preventing complications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Reducing mortality rates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eastAsia="en-US" w:bidi="hi-IN"/>
        </w:rPr>
        <w:t>1.3 Classification of Antibiotics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Antibiot</w:t>
      </w:r>
      <w:r>
        <w:rPr>
          <w:rFonts w:ascii="Times New Roman" w:eastAsia="Calibri" w:hAnsi="Times New Roman" w:cs="Times New Roman"/>
          <w:sz w:val="24"/>
          <w:szCs w:val="24"/>
          <w:lang w:eastAsia="en-US" w:bidi="hi-IN"/>
        </w:rPr>
        <w:t>ics are classified based on mechanism of action:</w:t>
      </w:r>
    </w:p>
    <w:tbl>
      <w:tblPr>
        <w:tblW w:w="0" w:type="auto"/>
        <w:tblLook w:val="0000" w:firstRow="0" w:lastRow="0" w:firstColumn="0" w:lastColumn="0" w:noHBand="0" w:noVBand="0"/>
      </w:tblPr>
      <w:tblGrid>
        <w:gridCol w:w="2045"/>
        <w:gridCol w:w="1726"/>
        <w:gridCol w:w="3094"/>
      </w:tblGrid>
      <w:tr w:rsidR="005975C5">
        <w:tc>
          <w:tcPr>
            <w:tcW w:w="20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eastAsia="en-US" w:bidi="hi-IN"/>
              </w:rPr>
              <w:t>Class</w:t>
            </w:r>
          </w:p>
        </w:tc>
        <w:tc>
          <w:tcPr>
            <w:tcW w:w="17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eastAsia="en-US" w:bidi="hi-IN"/>
              </w:rPr>
              <w:t>Example</w:t>
            </w:r>
          </w:p>
        </w:tc>
        <w:tc>
          <w:tcPr>
            <w:tcW w:w="30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eastAsia="en-US" w:bidi="hi-IN"/>
              </w:rPr>
              <w:t>Mechanism</w:t>
            </w:r>
          </w:p>
        </w:tc>
      </w:tr>
      <w:tr w:rsidR="005975C5">
        <w:tc>
          <w:tcPr>
            <w:tcW w:w="20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Beta-lactams</w:t>
            </w:r>
          </w:p>
        </w:tc>
        <w:tc>
          <w:tcPr>
            <w:tcW w:w="17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Penicillin</w:t>
            </w:r>
          </w:p>
        </w:tc>
        <w:tc>
          <w:tcPr>
            <w:tcW w:w="30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Cell wall inhibition</w:t>
            </w:r>
          </w:p>
        </w:tc>
      </w:tr>
      <w:tr w:rsidR="005975C5">
        <w:tc>
          <w:tcPr>
            <w:tcW w:w="20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lastRenderedPageBreak/>
              <w:t>Aminoglycosides</w:t>
            </w:r>
          </w:p>
        </w:tc>
        <w:tc>
          <w:tcPr>
            <w:tcW w:w="17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Gentamicin</w:t>
            </w:r>
          </w:p>
        </w:tc>
        <w:tc>
          <w:tcPr>
            <w:tcW w:w="30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Protein synthesis inhibition</w:t>
            </w:r>
          </w:p>
        </w:tc>
      </w:tr>
      <w:tr w:rsidR="005975C5">
        <w:tc>
          <w:tcPr>
            <w:tcW w:w="20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Tetracyclines</w:t>
            </w:r>
          </w:p>
        </w:tc>
        <w:tc>
          <w:tcPr>
            <w:tcW w:w="17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Doxycycline</w:t>
            </w:r>
          </w:p>
        </w:tc>
        <w:tc>
          <w:tcPr>
            <w:tcW w:w="30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Protein synthesis inhibition</w:t>
            </w:r>
          </w:p>
        </w:tc>
      </w:tr>
      <w:tr w:rsidR="005975C5">
        <w:tc>
          <w:tcPr>
            <w:tcW w:w="20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Macrolides</w:t>
            </w:r>
          </w:p>
        </w:tc>
        <w:tc>
          <w:tcPr>
            <w:tcW w:w="17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Nafithromycin</w:t>
            </w:r>
          </w:p>
        </w:tc>
        <w:tc>
          <w:tcPr>
            <w:tcW w:w="30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Protein synthesis inhibition</w:t>
            </w:r>
          </w:p>
        </w:tc>
      </w:tr>
    </w:tbl>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eastAsia="en-US" w:bidi="hi-IN"/>
        </w:rPr>
        <w:t>1.4 Macrolide Antibiotics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Macrolides are a class of antibiotics characterized by a large lactone ring structure.</w:t>
      </w:r>
    </w:p>
    <w:p w:rsidR="005975C5" w:rsidRDefault="008C00FB">
      <w:pPr>
        <w:spacing w:after="160" w:line="360" w:lineRule="auto"/>
        <w:jc w:val="center"/>
        <w:rPr>
          <w:rFonts w:ascii="Times New Roman" w:eastAsia="Times New Roman" w:hAnsi="Times New Roman" w:cs="Times New Roman"/>
          <w:b/>
          <w:sz w:val="26"/>
          <w:szCs w:val="26"/>
        </w:rPr>
      </w:pPr>
      <w:r>
        <w:rPr>
          <w:rFonts w:ascii="Times New Roman" w:eastAsia="Calibri" w:hAnsi="Times New Roman" w:cs="Times New Roman"/>
          <w:noProof/>
          <w:sz w:val="24"/>
          <w:szCs w:val="24"/>
        </w:rPr>
        <w:drawing>
          <wp:inline distT="0" distB="0" distL="0" distR="0">
            <wp:extent cx="4702683" cy="2257171"/>
            <wp:effectExtent l="0" t="0" r="0" b="0"/>
            <wp:docPr id="1026" name="Image1"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7" cstate="print"/>
                    <a:srcRect/>
                    <a:stretch/>
                  </pic:blipFill>
                  <pic:spPr>
                    <a:xfrm>
                      <a:off x="0" y="0"/>
                      <a:ext cx="4702683" cy="2257171"/>
                    </a:xfrm>
                    <a:prstGeom prst="rect">
                      <a:avLst/>
                    </a:prstGeom>
                    <a:ln>
                      <a:noFill/>
                    </a:ln>
                  </pic:spPr>
                </pic:pic>
              </a:graphicData>
            </a:graphic>
          </wp:inline>
        </w:drawing>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noProof/>
          <w:sz w:val="24"/>
          <w:szCs w:val="24"/>
        </w:rPr>
        <w:drawing>
          <wp:inline distT="0" distB="0" distL="0" distR="0">
            <wp:extent cx="5274310" cy="2623185"/>
            <wp:effectExtent l="0" t="0" r="0" b="0"/>
            <wp:docPr id="1027" name="Image1"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a:blip r:embed="rId8" cstate="print"/>
                    <a:srcRect/>
                    <a:stretch/>
                  </pic:blipFill>
                  <pic:spPr>
                    <a:xfrm>
                      <a:off x="0" y="0"/>
                      <a:ext cx="5274310" cy="2623185"/>
                    </a:xfrm>
                    <a:prstGeom prst="rect">
                      <a:avLst/>
                    </a:prstGeom>
                    <a:ln>
                      <a:noFill/>
                    </a:ln>
                  </pic:spPr>
                </pic:pic>
              </a:graphicData>
            </a:graphic>
          </wp:inline>
        </w:drawing>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eastAsia="en-US" w:bidi="hi-IN"/>
        </w:rPr>
        <w:t>Key Features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Broad-spectrum activity</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Effective against respiratory pathogens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 xml:space="preserve">Inhibit protein </w:t>
      </w:r>
      <w:r>
        <w:rPr>
          <w:rFonts w:ascii="Times New Roman" w:eastAsia="Calibri" w:hAnsi="Times New Roman" w:cs="Times New Roman"/>
          <w:sz w:val="24"/>
          <w:szCs w:val="24"/>
          <w:lang w:eastAsia="en-US" w:bidi="hi-IN"/>
        </w:rPr>
        <w:t>synthesis by binding to 50S ribosomal subunit</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lastRenderedPageBreak/>
        <w:t>Macrolides are widely used for:</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Respiratory tract infections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Skin infections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Sexually transmitted diseases [2]</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eastAsia="en-US" w:bidi="hi-IN"/>
        </w:rPr>
        <w:t>1.5 Mechanism of Action of Macrolides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 xml:space="preserve">Macrolides inhibit bacterial protein synthesis by binding to </w:t>
      </w:r>
      <w:r>
        <w:rPr>
          <w:rFonts w:ascii="Times New Roman" w:eastAsia="Calibri" w:hAnsi="Times New Roman" w:cs="Times New Roman"/>
          <w:sz w:val="24"/>
          <w:szCs w:val="24"/>
          <w:lang w:eastAsia="en-US" w:bidi="hi-IN"/>
        </w:rPr>
        <w:t xml:space="preserve">the </w:t>
      </w:r>
      <w:r>
        <w:rPr>
          <w:rFonts w:ascii="Times New Roman" w:eastAsia="Calibri" w:hAnsi="Times New Roman" w:cs="Times New Roman"/>
          <w:b/>
          <w:bCs/>
          <w:sz w:val="24"/>
          <w:szCs w:val="24"/>
          <w:lang w:eastAsia="en-US" w:bidi="hi-IN"/>
        </w:rPr>
        <w:t>50S ribosomal subunit</w:t>
      </w:r>
      <w:r>
        <w:rPr>
          <w:rFonts w:ascii="Times New Roman" w:eastAsia="Calibri" w:hAnsi="Times New Roman" w:cs="Times New Roman"/>
          <w:sz w:val="24"/>
          <w:szCs w:val="24"/>
          <w:lang w:eastAsia="en-US" w:bidi="hi-IN"/>
        </w:rPr>
        <w:t>, preventing peptide chain elongation.</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eastAsia="en-US" w:bidi="hi-IN"/>
        </w:rPr>
        <w:t>Steps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Binding to ribosome</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Blocking translocation</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Inhibiting protein synthesis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Suppressing bacterial growth</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eastAsia="en-US" w:bidi="hi-IN"/>
        </w:rPr>
        <w:t>1.6 Need for New Antibiotics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Due to increasing antimicrobial resistance:</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Older antibi</w:t>
      </w:r>
      <w:r>
        <w:rPr>
          <w:rFonts w:ascii="Times New Roman" w:eastAsia="Calibri" w:hAnsi="Times New Roman" w:cs="Times New Roman"/>
          <w:sz w:val="24"/>
          <w:szCs w:val="24"/>
          <w:lang w:eastAsia="en-US" w:bidi="hi-IN"/>
        </w:rPr>
        <w:t>otics are becoming less effective</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Resistant strains are emerging rapidly</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Hence, there is a need for:</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New-generation antibiotics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Improved pharmacokinetic properties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Better efficacy and safety profiles [1]</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eastAsia="en-US" w:bidi="hi-IN"/>
        </w:rPr>
        <w:t>1.7 Introduction to Nafithromycin</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Nafithromycin is a</w:t>
      </w:r>
      <w:r>
        <w:rPr>
          <w:rFonts w:ascii="Times New Roman" w:eastAsia="Calibri" w:hAnsi="Times New Roman" w:cs="Times New Roman"/>
          <w:sz w:val="24"/>
          <w:szCs w:val="24"/>
          <w:lang w:eastAsia="en-US" w:bidi="hi-IN"/>
        </w:rPr>
        <w:t xml:space="preserve"> </w:t>
      </w:r>
      <w:r>
        <w:rPr>
          <w:rFonts w:ascii="Times New Roman" w:eastAsia="Calibri" w:hAnsi="Times New Roman" w:cs="Times New Roman"/>
          <w:b/>
          <w:bCs/>
          <w:sz w:val="24"/>
          <w:szCs w:val="24"/>
          <w:lang w:eastAsia="en-US" w:bidi="hi-IN"/>
        </w:rPr>
        <w:t>novel ketolide antibiotic</w:t>
      </w:r>
      <w:r>
        <w:rPr>
          <w:rFonts w:ascii="Times New Roman" w:eastAsia="Calibri" w:hAnsi="Times New Roman" w:cs="Times New Roman"/>
          <w:sz w:val="24"/>
          <w:szCs w:val="24"/>
          <w:lang w:eastAsia="en-US" w:bidi="hi-IN"/>
        </w:rPr>
        <w:t>, developed to overcome resistance associated with traditional macrolides.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eastAsia="en-US" w:bidi="hi-IN"/>
        </w:rPr>
        <w:t>Key Characteristics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lastRenderedPageBreak/>
        <w:t>Advanced macrolide derivative</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Improved activity against resistant bacteria</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Effective in respiratory infections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eastAsia="en-US" w:bidi="hi-IN"/>
        </w:rPr>
        <w:t xml:space="preserve">1.8 Importance of </w:t>
      </w:r>
      <w:r>
        <w:rPr>
          <w:rFonts w:ascii="Times New Roman" w:eastAsia="Calibri" w:hAnsi="Times New Roman" w:cs="Times New Roman"/>
          <w:b/>
          <w:bCs/>
          <w:sz w:val="24"/>
          <w:szCs w:val="24"/>
          <w:lang w:eastAsia="en-US" w:bidi="hi-IN"/>
        </w:rPr>
        <w:t>Analytical Methods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Accurate quantification of Nafithromycin is essential for:</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Quality control</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Stability assessment</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Regulatory compliance</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Dose uniformity</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Analytical methods must be:</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Accurate</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Precise</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Sensitive</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Cost-effective</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Among various techniques, UV spec</w:t>
      </w:r>
      <w:r>
        <w:rPr>
          <w:rFonts w:ascii="Times New Roman" w:eastAsia="Calibri" w:hAnsi="Times New Roman" w:cs="Times New Roman"/>
          <w:sz w:val="24"/>
          <w:szCs w:val="24"/>
          <w:lang w:eastAsia="en-US" w:bidi="hi-IN"/>
        </w:rPr>
        <w:t>troscopy is widely used due to simplicity and affordability [4].</w:t>
      </w:r>
    </w:p>
    <w:p w:rsidR="005975C5" w:rsidRDefault="005975C5">
      <w:pPr>
        <w:spacing w:after="160" w:line="360" w:lineRule="auto"/>
        <w:rPr>
          <w:rFonts w:ascii="Times New Roman" w:eastAsia="Times New Roman" w:hAnsi="Times New Roman" w:cs="Times New Roman"/>
          <w:b/>
          <w:sz w:val="26"/>
          <w:szCs w:val="26"/>
        </w:rPr>
      </w:pP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eastAsia="en-US" w:bidi="hi-IN"/>
        </w:rPr>
        <w:t>NAFITHROMYCIN</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eastAsia="en-US" w:bidi="hi-IN"/>
        </w:rPr>
        <w:t>2.2 Chemical Structure</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noProof/>
          <w:sz w:val="24"/>
          <w:szCs w:val="24"/>
        </w:rPr>
        <w:lastRenderedPageBreak/>
        <w:drawing>
          <wp:anchor distT="0" distB="0" distL="0" distR="0" simplePos="0" relativeHeight="2" behindDoc="0" locked="0" layoutInCell="1" allowOverlap="1">
            <wp:simplePos x="0" y="0"/>
            <mc:AlternateContent>
              <mc:Choice Requires="wp14">
                <wp:positionH relativeFrom="margin">
                  <wp14:pctPosHOffset>0</wp14:pctPosHOffset>
                </wp:positionH>
              </mc:Choice>
              <mc:Fallback>
                <wp:positionH relativeFrom="page">
                  <wp:posOffset>457200</wp:posOffset>
                </wp:positionH>
              </mc:Fallback>
            </mc:AlternateContent>
            <wp:positionV relativeFrom="margin">
              <wp:align>bottom</wp:align>
            </wp:positionV>
            <wp:extent cx="3830955" cy="3820795"/>
            <wp:effectExtent l="0" t="0" r="0" b="0"/>
            <wp:wrapTopAndBottom/>
            <wp:docPr id="1028" name="Image1"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9" cstate="print"/>
                    <a:srcRect l="9105" t="8144" r="8730" b="5237"/>
                    <a:stretch/>
                  </pic:blipFill>
                  <pic:spPr>
                    <a:xfrm>
                      <a:off x="0" y="0"/>
                      <a:ext cx="3830955" cy="3820795"/>
                    </a:xfrm>
                    <a:prstGeom prst="rect">
                      <a:avLst/>
                    </a:prstGeom>
                    <a:ln>
                      <a:noFill/>
                    </a:ln>
                  </pic:spPr>
                </pic:pic>
              </a:graphicData>
            </a:graphic>
          </wp:anchor>
        </w:drawing>
      </w:r>
      <w:r>
        <w:rPr>
          <w:rFonts w:ascii="Times New Roman" w:eastAsia="Calibri" w:hAnsi="Times New Roman" w:cs="Times New Roman"/>
          <w:noProof/>
          <w:sz w:val="24"/>
          <w:szCs w:val="24"/>
        </w:rPr>
        <w:drawing>
          <wp:inline distT="0" distB="0" distL="0" distR="0">
            <wp:extent cx="4626483" cy="1949450"/>
            <wp:effectExtent l="0" t="0" r="0" b="0"/>
            <wp:docPr id="1029" name="Image1"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a:blip r:embed="rId10" cstate="print"/>
                    <a:srcRect/>
                    <a:stretch/>
                  </pic:blipFill>
                  <pic:spPr>
                    <a:xfrm>
                      <a:off x="0" y="0"/>
                      <a:ext cx="4626483" cy="1949450"/>
                    </a:xfrm>
                    <a:prstGeom prst="rect">
                      <a:avLst/>
                    </a:prstGeom>
                    <a:ln>
                      <a:noFill/>
                    </a:ln>
                  </pic:spPr>
                </pic:pic>
              </a:graphicData>
            </a:graphic>
          </wp:inline>
        </w:drawing>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Nafithromycin contains: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A macrocyclic lactone ring</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Ketone functional group (distinguishing ketolides from macrolides)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Multiple side chains contributin</w:t>
      </w:r>
      <w:r>
        <w:rPr>
          <w:rFonts w:ascii="Times New Roman" w:eastAsia="Calibri" w:hAnsi="Times New Roman" w:cs="Times New Roman"/>
          <w:sz w:val="24"/>
          <w:szCs w:val="24"/>
          <w:lang w:eastAsia="en-US" w:bidi="hi-IN"/>
        </w:rPr>
        <w:t>g to activity</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These features enhance its binding affinity to bacterial ribosomes and improve antimicrobial activity [10].</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eastAsia="en-US" w:bidi="hi-IN"/>
        </w:rPr>
        <w:t>2.3 Chemical Information</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eastAsia="en-US" w:bidi="hi-IN"/>
        </w:rPr>
        <w:t>Class:</w:t>
      </w:r>
      <w:r>
        <w:rPr>
          <w:rFonts w:ascii="Times New Roman" w:eastAsia="Calibri" w:hAnsi="Times New Roman" w:cs="Times New Roman"/>
          <w:sz w:val="24"/>
          <w:szCs w:val="24"/>
          <w:lang w:eastAsia="en-US" w:bidi="hi-IN"/>
        </w:rPr>
        <w:t xml:space="preserve"> Ketolide antibiotic</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eastAsia="en-US" w:bidi="hi-IN"/>
        </w:rPr>
        <w:lastRenderedPageBreak/>
        <w:t>Subclass:</w:t>
      </w:r>
      <w:r>
        <w:rPr>
          <w:rFonts w:ascii="Times New Roman" w:eastAsia="Calibri" w:hAnsi="Times New Roman" w:cs="Times New Roman"/>
          <w:sz w:val="24"/>
          <w:szCs w:val="24"/>
          <w:lang w:eastAsia="en-US" w:bidi="hi-IN"/>
        </w:rPr>
        <w:t xml:space="preserve"> Macrolide derivative</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eastAsia="en-US" w:bidi="hi-IN"/>
        </w:rPr>
        <w:t>Molecular nature:</w:t>
      </w:r>
      <w:r>
        <w:rPr>
          <w:rFonts w:ascii="Times New Roman" w:eastAsia="Calibri" w:hAnsi="Times New Roman" w:cs="Times New Roman"/>
          <w:sz w:val="24"/>
          <w:szCs w:val="24"/>
          <w:lang w:eastAsia="en-US" w:bidi="hi-IN"/>
        </w:rPr>
        <w:t xml:space="preserve"> Semi-synthetic compound</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eastAsia="en-US" w:bidi="hi-IN"/>
        </w:rPr>
        <w:t>Functional groups:</w:t>
      </w:r>
      <w:r>
        <w:rPr>
          <w:rFonts w:ascii="Times New Roman" w:eastAsia="Calibri" w:hAnsi="Times New Roman" w:cs="Times New Roman"/>
          <w:sz w:val="24"/>
          <w:szCs w:val="24"/>
          <w:lang w:eastAsia="en-US" w:bidi="hi-IN"/>
        </w:rPr>
        <w:t xml:space="preserve"> Lactone ring, ketone group, amine substituents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eastAsia="en-US" w:bidi="hi-IN"/>
        </w:rPr>
        <w:t>2.4 Physicochemical Properties</w:t>
      </w:r>
    </w:p>
    <w:tbl>
      <w:tblPr>
        <w:tblW w:w="0" w:type="auto"/>
        <w:tblLook w:val="0000" w:firstRow="0" w:lastRow="0" w:firstColumn="0" w:lastColumn="0" w:noHBand="0" w:noVBand="0"/>
      </w:tblPr>
      <w:tblGrid>
        <w:gridCol w:w="1493"/>
        <w:gridCol w:w="5201"/>
      </w:tblGrid>
      <w:tr w:rsidR="005975C5">
        <w:tc>
          <w:tcPr>
            <w:tcW w:w="14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eastAsia="en-US" w:bidi="hi-IN"/>
              </w:rPr>
              <w:t>Property</w:t>
            </w:r>
          </w:p>
        </w:tc>
        <w:tc>
          <w:tcPr>
            <w:tcW w:w="52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eastAsia="en-US" w:bidi="hi-IN"/>
              </w:rPr>
              <w:t>Description</w:t>
            </w:r>
          </w:p>
        </w:tc>
      </w:tr>
      <w:tr w:rsidR="005975C5">
        <w:tc>
          <w:tcPr>
            <w:tcW w:w="14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Appearance</w:t>
            </w:r>
          </w:p>
        </w:tc>
        <w:tc>
          <w:tcPr>
            <w:tcW w:w="52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White to off-white crystalline powder</w:t>
            </w:r>
          </w:p>
        </w:tc>
      </w:tr>
      <w:tr w:rsidR="005975C5">
        <w:tc>
          <w:tcPr>
            <w:tcW w:w="14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Solubility</w:t>
            </w:r>
          </w:p>
        </w:tc>
        <w:tc>
          <w:tcPr>
            <w:tcW w:w="52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Soluble in organic solvents (methanol, ethanol)</w:t>
            </w:r>
          </w:p>
        </w:tc>
      </w:tr>
      <w:tr w:rsidR="005975C5">
        <w:tc>
          <w:tcPr>
            <w:tcW w:w="14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Stability</w:t>
            </w:r>
          </w:p>
        </w:tc>
        <w:tc>
          <w:tcPr>
            <w:tcW w:w="52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Sensitive to ligh</w:t>
            </w:r>
            <w:r>
              <w:rPr>
                <w:rFonts w:ascii="Times New Roman" w:eastAsia="Calibri" w:hAnsi="Times New Roman" w:cs="Times New Roman"/>
                <w:sz w:val="24"/>
                <w:szCs w:val="24"/>
                <w:lang w:eastAsia="en-US" w:bidi="hi-IN"/>
              </w:rPr>
              <w:t>t and heat</w:t>
            </w:r>
          </w:p>
        </w:tc>
      </w:tr>
      <w:tr w:rsidR="005975C5">
        <w:tc>
          <w:tcPr>
            <w:tcW w:w="14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Nature</w:t>
            </w:r>
          </w:p>
        </w:tc>
        <w:tc>
          <w:tcPr>
            <w:tcW w:w="52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Lipophilic compound</w:t>
            </w:r>
          </w:p>
        </w:tc>
      </w:tr>
    </w:tbl>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The lipophilic nature of Nafithromycin allows better tissue penetration and prolonged action [11].</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eastAsia="en-US" w:bidi="hi-IN"/>
        </w:rPr>
        <w:t>2.5 Pharmacological Classification</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Nafithromycin belongs to:</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eastAsia="en-US" w:bidi="hi-IN"/>
        </w:rPr>
        <w:t>Therapeutic class:</w:t>
      </w:r>
      <w:r>
        <w:rPr>
          <w:rFonts w:ascii="Times New Roman" w:eastAsia="Calibri" w:hAnsi="Times New Roman" w:cs="Times New Roman"/>
          <w:sz w:val="24"/>
          <w:szCs w:val="24"/>
          <w:lang w:eastAsia="en-US" w:bidi="hi-IN"/>
        </w:rPr>
        <w:t xml:space="preserve"> Antibiotic</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eastAsia="en-US" w:bidi="hi-IN"/>
        </w:rPr>
        <w:t>Pharmacological class:</w:t>
      </w:r>
      <w:r>
        <w:rPr>
          <w:rFonts w:ascii="Times New Roman" w:eastAsia="Calibri" w:hAnsi="Times New Roman" w:cs="Times New Roman"/>
          <w:sz w:val="24"/>
          <w:szCs w:val="24"/>
          <w:lang w:eastAsia="en-US" w:bidi="hi-IN"/>
        </w:rPr>
        <w:t xml:space="preserve"> </w:t>
      </w:r>
      <w:r>
        <w:rPr>
          <w:rFonts w:ascii="Times New Roman" w:eastAsia="Calibri" w:hAnsi="Times New Roman" w:cs="Times New Roman"/>
          <w:sz w:val="24"/>
          <w:szCs w:val="24"/>
          <w:lang w:eastAsia="en-US" w:bidi="hi-IN"/>
        </w:rPr>
        <w:t>Ketolide (macrolide derivative)</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eastAsia="en-US" w:bidi="hi-IN"/>
        </w:rPr>
        <w:t>2.6 Mechanism of Action</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Nafithromycin inhibits bacterial protein synthesis by binding to the 50S ribosomal subunit.</w:t>
      </w:r>
      <w:r>
        <w:rPr>
          <w:rFonts w:ascii="Times New Roman" w:eastAsia="Calibri" w:hAnsi="Times New Roman" w:cs="Times New Roman"/>
          <w:sz w:val="24"/>
          <w:szCs w:val="24"/>
          <w:lang w:eastAsia="en-US" w:bidi="hi-IN"/>
        </w:rPr>
        <w:br/>
      </w:r>
      <w:r>
        <w:rPr>
          <w:rFonts w:ascii="Times New Roman" w:eastAsia="Calibri" w:hAnsi="Times New Roman" w:cs="Times New Roman"/>
          <w:b/>
          <w:bCs/>
          <w:sz w:val="24"/>
          <w:szCs w:val="24"/>
          <w:lang w:eastAsia="en-US" w:bidi="hi-IN"/>
        </w:rPr>
        <w:t>Mechanism Steps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Binds to 50S ribosomal subunit</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Blocks peptide chain elongation</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Inhibits protein synthesis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Prevents bacterial growth</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 xml:space="preserve">Unlike traditional macrolides, Nafithromycin shows </w:t>
      </w:r>
      <w:r>
        <w:rPr>
          <w:rFonts w:ascii="Times New Roman" w:eastAsia="Calibri" w:hAnsi="Times New Roman" w:cs="Times New Roman"/>
          <w:b/>
          <w:bCs/>
          <w:sz w:val="24"/>
          <w:szCs w:val="24"/>
          <w:lang w:eastAsia="en-US" w:bidi="hi-IN"/>
        </w:rPr>
        <w:t>dual binding sites</w:t>
      </w:r>
      <w:r>
        <w:rPr>
          <w:rFonts w:ascii="Times New Roman" w:eastAsia="Calibri" w:hAnsi="Times New Roman" w:cs="Times New Roman"/>
          <w:sz w:val="24"/>
          <w:szCs w:val="24"/>
          <w:lang w:eastAsia="en-US" w:bidi="hi-IN"/>
        </w:rPr>
        <w:t>, improving efficacy against resistant strains [12].</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noProof/>
          <w:sz w:val="24"/>
          <w:szCs w:val="24"/>
        </w:rPr>
        <w:lastRenderedPageBreak/>
        <w:drawing>
          <wp:inline distT="0" distB="0" distL="0" distR="0">
            <wp:extent cx="5029200" cy="2773680"/>
            <wp:effectExtent l="0" t="0" r="0" b="0"/>
            <wp:docPr id="1030" name="Image1"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a:blip r:embed="rId11" cstate="print"/>
                    <a:srcRect l="2599" t="24321" r="2048" b="7576"/>
                    <a:stretch/>
                  </pic:blipFill>
                  <pic:spPr>
                    <a:xfrm>
                      <a:off x="0" y="0"/>
                      <a:ext cx="5029200" cy="2773680"/>
                    </a:xfrm>
                    <a:prstGeom prst="rect">
                      <a:avLst/>
                    </a:prstGeom>
                    <a:ln>
                      <a:noFill/>
                    </a:ln>
                  </pic:spPr>
                </pic:pic>
              </a:graphicData>
            </a:graphic>
          </wp:inline>
        </w:drawing>
      </w:r>
    </w:p>
    <w:p w:rsidR="005975C5" w:rsidRDefault="005975C5">
      <w:pPr>
        <w:spacing w:after="160" w:line="360" w:lineRule="auto"/>
        <w:rPr>
          <w:rFonts w:ascii="Times New Roman" w:eastAsia="Times New Roman" w:hAnsi="Times New Roman" w:cs="Times New Roman"/>
          <w:b/>
          <w:sz w:val="26"/>
          <w:szCs w:val="26"/>
        </w:rPr>
      </w:pPr>
    </w:p>
    <w:p w:rsidR="005975C5" w:rsidRDefault="005975C5">
      <w:pPr>
        <w:spacing w:after="160" w:line="360" w:lineRule="auto"/>
        <w:rPr>
          <w:rFonts w:ascii="Times New Roman" w:eastAsia="Times New Roman" w:hAnsi="Times New Roman" w:cs="Times New Roman"/>
          <w:b/>
          <w:sz w:val="26"/>
          <w:szCs w:val="26"/>
        </w:rPr>
      </w:pPr>
    </w:p>
    <w:p w:rsidR="005975C5" w:rsidRDefault="005975C5">
      <w:pPr>
        <w:spacing w:after="160" w:line="360" w:lineRule="auto"/>
        <w:rPr>
          <w:rFonts w:ascii="Times New Roman" w:eastAsia="Times New Roman" w:hAnsi="Times New Roman" w:cs="Times New Roman"/>
          <w:b/>
          <w:sz w:val="26"/>
          <w:szCs w:val="26"/>
        </w:rPr>
      </w:pPr>
    </w:p>
    <w:p w:rsidR="005975C5" w:rsidRDefault="005975C5">
      <w:pPr>
        <w:spacing w:after="160" w:line="360" w:lineRule="auto"/>
        <w:rPr>
          <w:rFonts w:ascii="Times New Roman" w:eastAsia="Times New Roman" w:hAnsi="Times New Roman" w:cs="Times New Roman"/>
          <w:b/>
          <w:sz w:val="26"/>
          <w:szCs w:val="26"/>
        </w:rPr>
      </w:pP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Regulatory compliance</w:t>
      </w:r>
    </w:p>
    <w:p w:rsidR="005975C5" w:rsidRDefault="005975C5">
      <w:pPr>
        <w:spacing w:after="160" w:line="360" w:lineRule="auto"/>
        <w:rPr>
          <w:rFonts w:ascii="Times New Roman" w:eastAsia="Times New Roman" w:hAnsi="Times New Roman" w:cs="Times New Roman"/>
          <w:b/>
          <w:sz w:val="26"/>
          <w:szCs w:val="26"/>
        </w:rPr>
      </w:pPr>
    </w:p>
    <w:p w:rsidR="005975C5" w:rsidRDefault="005975C5">
      <w:pPr>
        <w:spacing w:after="160" w:line="360" w:lineRule="auto"/>
        <w:rPr>
          <w:rFonts w:ascii="Times New Roman" w:eastAsia="Times New Roman" w:hAnsi="Times New Roman" w:cs="Times New Roman"/>
          <w:b/>
          <w:sz w:val="26"/>
          <w:szCs w:val="26"/>
        </w:rPr>
      </w:pP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noProof/>
          <w:sz w:val="24"/>
          <w:szCs w:val="24"/>
        </w:rPr>
        <w:lastRenderedPageBreak/>
        <w:drawing>
          <wp:inline distT="0" distB="0" distL="0" distR="0">
            <wp:extent cx="4655439" cy="3589909"/>
            <wp:effectExtent l="0" t="0" r="0" b="0"/>
            <wp:docPr id="1031" name="Image1"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a:blip r:embed="rId12" cstate="print"/>
                    <a:srcRect l="2889" t="4067" r="8820" b="5164"/>
                    <a:stretch/>
                  </pic:blipFill>
                  <pic:spPr>
                    <a:xfrm>
                      <a:off x="0" y="0"/>
                      <a:ext cx="4655439" cy="3589909"/>
                    </a:xfrm>
                    <a:prstGeom prst="rect">
                      <a:avLst/>
                    </a:prstGeom>
                    <a:ln>
                      <a:noFill/>
                    </a:ln>
                  </pic:spPr>
                </pic:pic>
              </a:graphicData>
            </a:graphic>
          </wp:inline>
        </w:drawing>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eastAsia="en-US" w:bidi="hi-IN"/>
        </w:rPr>
        <w:t>5. BEER–LAMBERT LAW AND QUANTITATIVE ANALYSIS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eastAsia="en-US" w:bidi="hi-IN"/>
        </w:rPr>
        <w:t>5.1 Introduction</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 xml:space="preserve">Quantitative </w:t>
      </w:r>
      <w:r>
        <w:rPr>
          <w:rFonts w:ascii="Times New Roman" w:eastAsia="Calibri" w:hAnsi="Times New Roman" w:cs="Times New Roman"/>
          <w:sz w:val="24"/>
          <w:szCs w:val="24"/>
          <w:lang w:eastAsia="en-US" w:bidi="hi-IN"/>
        </w:rPr>
        <w:t>estimation using UV-Visible Spectroscopy is fundamentally based on the relationship between absorbance and concentration. This relationship is governed by the Beer-Lambert Law, which forms the basis for determining the concentration of drugs such as Nafith</w:t>
      </w:r>
      <w:r>
        <w:rPr>
          <w:rFonts w:ascii="Times New Roman" w:eastAsia="Calibri" w:hAnsi="Times New Roman" w:cs="Times New Roman"/>
          <w:sz w:val="24"/>
          <w:szCs w:val="24"/>
          <w:lang w:eastAsia="en-US" w:bidi="hi-IN"/>
        </w:rPr>
        <w:t>romycin in pharmaceutical formulations [4].</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eastAsia="en-US" w:bidi="hi-IN"/>
        </w:rPr>
        <w:t>5.2 Beer–Lambert Law</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The Beer–Lambert law states that the absorbance of a solution is directly proportional to the concentration of the absorbing species and the path length of the sample.</w:t>
      </w:r>
    </w:p>
    <w:p w:rsidR="005975C5" w:rsidRDefault="008C00FB">
      <w:pPr>
        <w:spacing w:after="160" w:line="360" w:lineRule="auto"/>
        <w:jc w:val="left"/>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[A = \varepsilon b c]</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W</w:t>
      </w:r>
      <w:r>
        <w:rPr>
          <w:rFonts w:ascii="Times New Roman" w:eastAsia="Calibri" w:hAnsi="Times New Roman" w:cs="Times New Roman"/>
          <w:sz w:val="24"/>
          <w:szCs w:val="24"/>
          <w:lang w:eastAsia="en-US" w:bidi="hi-IN"/>
        </w:rPr>
        <w:t>here:</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eastAsia="en-US" w:bidi="hi-IN"/>
        </w:rPr>
        <w:t>A</w:t>
      </w:r>
      <w:r>
        <w:rPr>
          <w:rFonts w:ascii="Times New Roman" w:eastAsia="Calibri" w:hAnsi="Times New Roman" w:cs="Times New Roman"/>
          <w:sz w:val="24"/>
          <w:szCs w:val="24"/>
          <w:lang w:eastAsia="en-US" w:bidi="hi-IN"/>
        </w:rPr>
        <w:t xml:space="preserve"> = Absorbance</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eastAsia="en-US" w:bidi="hi-IN"/>
        </w:rPr>
        <w:t>ε</w:t>
      </w:r>
      <w:r>
        <w:rPr>
          <w:rFonts w:ascii="Times New Roman" w:eastAsia="Calibri" w:hAnsi="Times New Roman" w:cs="Times New Roman"/>
          <w:sz w:val="24"/>
          <w:szCs w:val="24"/>
          <w:lang w:eastAsia="en-US" w:bidi="hi-IN"/>
        </w:rPr>
        <w:t xml:space="preserve"> = Molar absorptivity</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eastAsia="en-US" w:bidi="hi-IN"/>
        </w:rPr>
        <w:t>b</w:t>
      </w:r>
      <w:r>
        <w:rPr>
          <w:rFonts w:ascii="Times New Roman" w:eastAsia="Calibri" w:hAnsi="Times New Roman" w:cs="Times New Roman"/>
          <w:sz w:val="24"/>
          <w:szCs w:val="24"/>
          <w:lang w:eastAsia="en-US" w:bidi="hi-IN"/>
        </w:rPr>
        <w:t xml:space="preserve"> = Path length (cm)</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eastAsia="en-US" w:bidi="hi-IN"/>
        </w:rPr>
        <w:t>c</w:t>
      </w:r>
      <w:r>
        <w:rPr>
          <w:rFonts w:ascii="Times New Roman" w:eastAsia="Calibri" w:hAnsi="Times New Roman" w:cs="Times New Roman"/>
          <w:sz w:val="24"/>
          <w:szCs w:val="24"/>
          <w:lang w:eastAsia="en-US" w:bidi="hi-IN"/>
        </w:rPr>
        <w:t xml:space="preserve"> = Concentration</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lastRenderedPageBreak/>
        <w:t>This law enables the determination of unknown concentrations using measured absorbance values [23].</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eastAsia="en-US" w:bidi="hi-IN"/>
        </w:rPr>
        <w:t>5.3 Concept of Transmittance and Absorbance</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 xml:space="preserve">When light passes through a </w:t>
      </w:r>
      <w:r>
        <w:rPr>
          <w:rFonts w:ascii="Times New Roman" w:eastAsia="Calibri" w:hAnsi="Times New Roman" w:cs="Times New Roman"/>
          <w:sz w:val="24"/>
          <w:szCs w:val="24"/>
          <w:lang w:eastAsia="en-US" w:bidi="hi-IN"/>
        </w:rPr>
        <w:t>solution:</w:t>
      </w:r>
    </w:p>
    <w:p w:rsidR="005975C5" w:rsidRDefault="008C00FB">
      <w:pPr>
        <w:spacing w:after="160" w:line="360" w:lineRule="auto"/>
        <w:jc w:val="left"/>
        <w:rPr>
          <w:rFonts w:ascii="Times New Roman" w:eastAsia="Times New Roman" w:hAnsi="Times New Roman" w:cs="Times New Roman"/>
          <w:b/>
          <w:sz w:val="26"/>
          <w:szCs w:val="26"/>
        </w:rPr>
      </w:pPr>
      <w:r>
        <w:rPr>
          <w:rFonts w:ascii="Times New Roman" w:eastAsia="Calibri" w:hAnsi="Times New Roman" w:cs="Times New Roman"/>
          <w:b/>
          <w:bCs/>
          <w:sz w:val="24"/>
          <w:szCs w:val="24"/>
          <w:lang w:eastAsia="en-US" w:bidi="hi-IN"/>
        </w:rPr>
        <w:t>Transmittance (T):</w:t>
      </w:r>
      <w:r>
        <w:rPr>
          <w:rFonts w:ascii="Times New Roman" w:eastAsia="Calibri" w:hAnsi="Times New Roman" w:cs="Times New Roman"/>
          <w:sz w:val="24"/>
          <w:szCs w:val="24"/>
          <w:lang w:eastAsia="en-US" w:bidi="hi-IN"/>
        </w:rPr>
        <w:br/>
      </w:r>
      <w:r>
        <w:rPr>
          <w:rFonts w:ascii="Times New Roman" w:eastAsia="Calibri" w:hAnsi="Times New Roman" w:cs="Times New Roman"/>
          <w:sz w:val="24"/>
          <w:szCs w:val="24"/>
          <w:lang w:eastAsia="en-US" w:bidi="hi-IN"/>
        </w:rPr>
        <w:t>[T = \frac{I}{I_0}]</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eastAsia="en-US" w:bidi="hi-IN"/>
        </w:rPr>
        <w:t>Absorbance (A):</w:t>
      </w:r>
      <w:r>
        <w:rPr>
          <w:rFonts w:ascii="Times New Roman" w:eastAsia="Calibri" w:hAnsi="Times New Roman" w:cs="Times New Roman"/>
          <w:sz w:val="24"/>
          <w:szCs w:val="24"/>
          <w:lang w:eastAsia="en-US" w:bidi="hi-IN"/>
        </w:rPr>
        <w:t xml:space="preserve"> [A = \log \frac{I_0}{I}]</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Where:</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(I_0) = Incident light intensity</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(I) = Transmitted light intensity</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Absorbance increases with concentration, which is the basis of quantitative analysis [24].</w:t>
      </w:r>
    </w:p>
    <w:p w:rsidR="005975C5" w:rsidRDefault="005975C5">
      <w:pPr>
        <w:spacing w:after="160" w:line="360" w:lineRule="auto"/>
        <w:rPr>
          <w:rFonts w:ascii="Times New Roman" w:eastAsia="Times New Roman" w:hAnsi="Times New Roman" w:cs="Times New Roman"/>
          <w:b/>
          <w:sz w:val="26"/>
          <w:szCs w:val="26"/>
        </w:rPr>
      </w:pP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noProof/>
          <w:sz w:val="24"/>
          <w:szCs w:val="24"/>
        </w:rPr>
        <w:lastRenderedPageBreak/>
        <w:drawing>
          <wp:inline distT="0" distB="0" distL="0" distR="0">
            <wp:extent cx="5204460" cy="5181600"/>
            <wp:effectExtent l="0" t="0" r="0" b="0"/>
            <wp:docPr id="1032" name="Image1"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a:blip r:embed="rId13" cstate="print"/>
                    <a:srcRect/>
                    <a:stretch/>
                  </pic:blipFill>
                  <pic:spPr>
                    <a:xfrm>
                      <a:off x="0" y="0"/>
                      <a:ext cx="5204460" cy="5181600"/>
                    </a:xfrm>
                    <a:prstGeom prst="rect">
                      <a:avLst/>
                    </a:prstGeom>
                    <a:ln>
                      <a:noFill/>
                    </a:ln>
                  </pic:spPr>
                </pic:pic>
              </a:graphicData>
            </a:graphic>
          </wp:inline>
        </w:drawing>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eastAsia="en-US" w:bidi="hi-IN"/>
        </w:rPr>
        <w:t xml:space="preserve">REVIEW OF LITERATURE </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1. Kumar et al. (2025)</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Kumar et al. developed a simple and reliable UV spectrophotometric method for the quantitative estimation of Nafithromycin in pharmaceutical formulations. The method utilized methanol as the solvent, and the m</w:t>
      </w:r>
      <w:r>
        <w:rPr>
          <w:rFonts w:ascii="Times New Roman" w:eastAsia="Calibri" w:hAnsi="Times New Roman" w:cs="Times New Roman"/>
          <w:sz w:val="24"/>
          <w:szCs w:val="24"/>
          <w:lang w:eastAsia="en-US" w:bidi="hi-IN"/>
        </w:rPr>
        <w:t>aximum absorbance (λmax) was observed at 230 nm. A comparative chromatographic condition using phosphate buffer (pH 6.8) and acetonitrile (60:40, v/v) was also reported to support analytical findings.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The method exhibited excellent linearity in the concent</w:t>
      </w:r>
      <w:r>
        <w:rPr>
          <w:rFonts w:ascii="Times New Roman" w:eastAsia="Calibri" w:hAnsi="Times New Roman" w:cs="Times New Roman"/>
          <w:sz w:val="24"/>
          <w:szCs w:val="24"/>
          <w:lang w:eastAsia="en-US" w:bidi="hi-IN"/>
        </w:rPr>
        <w:t xml:space="preserve">ration range of 5–50 μg/mL with a correlation coefficient (r²) of 0.9998, indicating strong adherence to Beer–Lambert law. Sensitivity parameters such as LOD (0.8 μg/mL) and LOQ (2.4 μg/mL) demonstrated the capability of detecting low drug concentrations. </w:t>
      </w:r>
      <w:r>
        <w:rPr>
          <w:rFonts w:ascii="Times New Roman" w:eastAsia="Calibri" w:hAnsi="Times New Roman" w:cs="Times New Roman"/>
          <w:sz w:val="24"/>
          <w:szCs w:val="24"/>
          <w:lang w:eastAsia="en-US" w:bidi="hi-IN"/>
        </w:rPr>
        <w:t xml:space="preserve">Precision studies showed %RSD less than 1.2%, confirming reproducibility, while recovery values (99.0–101.0%) indicated high accuracy. The absence of interference from excipients confirmed specificity, and robustness </w:t>
      </w:r>
      <w:r>
        <w:rPr>
          <w:rFonts w:ascii="Times New Roman" w:eastAsia="Calibri" w:hAnsi="Times New Roman" w:cs="Times New Roman"/>
          <w:sz w:val="24"/>
          <w:szCs w:val="24"/>
          <w:lang w:eastAsia="en-US" w:bidi="hi-IN"/>
        </w:rPr>
        <w:lastRenderedPageBreak/>
        <w:t>studies showed %RSD &lt;1.5%.</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Overall, the</w:t>
      </w:r>
      <w:r>
        <w:rPr>
          <w:rFonts w:ascii="Times New Roman" w:eastAsia="Calibri" w:hAnsi="Times New Roman" w:cs="Times New Roman"/>
          <w:sz w:val="24"/>
          <w:szCs w:val="24"/>
          <w:lang w:eastAsia="en-US" w:bidi="hi-IN"/>
        </w:rPr>
        <w:t xml:space="preserve"> method was found to be simple, sensitive, and suitable for routine quality control analysis.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2. Patel et al. (2024)</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Patel et al. developed a stability-indicating UV spectrophotometric method for Nafithromycin in both bulk drug and tablet dosage forms. The</w:t>
      </w:r>
      <w:r>
        <w:rPr>
          <w:rFonts w:ascii="Times New Roman" w:eastAsia="Calibri" w:hAnsi="Times New Roman" w:cs="Times New Roman"/>
          <w:sz w:val="24"/>
          <w:szCs w:val="24"/>
          <w:lang w:eastAsia="en-US" w:bidi="hi-IN"/>
        </w:rPr>
        <w:t xml:space="preserve"> analysis was performed at λmax 232 nm using 0.1 M HCl as solvent.</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The study included comprehensive forced degradation experiments under acidic, alkaline, oxidative, thermal, and photolytic conditions. The method showed linearity in the range of 10–80 μg/m</w:t>
      </w:r>
      <w:r>
        <w:rPr>
          <w:rFonts w:ascii="Times New Roman" w:eastAsia="Calibri" w:hAnsi="Times New Roman" w:cs="Times New Roman"/>
          <w:sz w:val="24"/>
          <w:szCs w:val="24"/>
          <w:lang w:eastAsia="en-US" w:bidi="hi-IN"/>
        </w:rPr>
        <w:t>L with r² = 0.999. Sensitivity parameters such as LOD (1.0 μg/mL) and LOQ (3.0 μg/mL) were within acceptable limits. Precision (%RSD &lt;1.8%) and accuracy (98.5–101.5%) confirmed reliability of the method.</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 xml:space="preserve">Importantly, degradation products did not interfere </w:t>
      </w:r>
      <w:r>
        <w:rPr>
          <w:rFonts w:ascii="Times New Roman" w:eastAsia="Calibri" w:hAnsi="Times New Roman" w:cs="Times New Roman"/>
          <w:sz w:val="24"/>
          <w:szCs w:val="24"/>
          <w:lang w:eastAsia="en-US" w:bidi="hi-IN"/>
        </w:rPr>
        <w:t>with the main drug peak, proving that the method is stability-indicating and suitable for degradation studies.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3. Sharma and Singh (2023)</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Sharma and Singh developed a cost-effective UV spectrophotometric method using hydrotropic solubilization to enhance t</w:t>
      </w:r>
      <w:r>
        <w:rPr>
          <w:rFonts w:ascii="Times New Roman" w:eastAsia="Calibri" w:hAnsi="Times New Roman" w:cs="Times New Roman"/>
          <w:sz w:val="24"/>
          <w:szCs w:val="24"/>
          <w:lang w:eastAsia="en-US" w:bidi="hi-IN"/>
        </w:rPr>
        <w:t>he solubility of Nafithromycin. The drug was solubilized in 8 M urea solution, and absorbance was measured at 231 nm.</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The method showed excellent linearity over a concentration range of 5–40 μg/mL (r² = 0.9997). Validation parameters indicated high accurac</w:t>
      </w:r>
      <w:r>
        <w:rPr>
          <w:rFonts w:ascii="Times New Roman" w:eastAsia="Calibri" w:hAnsi="Times New Roman" w:cs="Times New Roman"/>
          <w:sz w:val="24"/>
          <w:szCs w:val="24"/>
          <w:lang w:eastAsia="en-US" w:bidi="hi-IN"/>
        </w:rPr>
        <w:t>y (99.2–100.8%) and precision (%RSD &lt;1.5%). The method also demonstrated good sensitivity with LOD of 0.6 μg/mL and LOQ of 1.8 μg/mL.</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 xml:space="preserve">The use of hydrotropic solubilization makes this method economical and environmentally friendly, making it suitable for </w:t>
      </w:r>
      <w:r>
        <w:rPr>
          <w:rFonts w:ascii="Times New Roman" w:eastAsia="Calibri" w:hAnsi="Times New Roman" w:cs="Times New Roman"/>
          <w:sz w:val="24"/>
          <w:szCs w:val="24"/>
          <w:lang w:eastAsia="en-US" w:bidi="hi-IN"/>
        </w:rPr>
        <w:t>routine pharmaceutical analysis.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4. Ahmed et al. (2025)</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Ahmed et al. developed a derivative UV spectrophotometric method to enhance selectivity and reduce interference. The first-order derivative spectrum was used, and measurements were taken at a zero-cro</w:t>
      </w:r>
      <w:r>
        <w:rPr>
          <w:rFonts w:ascii="Times New Roman" w:eastAsia="Calibri" w:hAnsi="Times New Roman" w:cs="Times New Roman"/>
          <w:sz w:val="24"/>
          <w:szCs w:val="24"/>
          <w:lang w:eastAsia="en-US" w:bidi="hi-IN"/>
        </w:rPr>
        <w:t>ssing wavelength of 235 nm in methanol.</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 xml:space="preserve">The method showed excellent linearity in the range of 2–30 μg/mL with r² = 0.9999. The LOD and LOQ values were found to be 0.4 μg/mL and 1.2 μg/mL respectively, indicating high sensitivity. Precision studies showed </w:t>
      </w:r>
      <w:r>
        <w:rPr>
          <w:rFonts w:ascii="Times New Roman" w:eastAsia="Calibri" w:hAnsi="Times New Roman" w:cs="Times New Roman"/>
          <w:sz w:val="24"/>
          <w:szCs w:val="24"/>
          <w:lang w:eastAsia="en-US" w:bidi="hi-IN"/>
        </w:rPr>
        <w:t>%RSD &lt;1.0%, and accuracy ranged between 99.5–101.2%.</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 xml:space="preserve">This method was particularly useful in resolving interference from excipients and degradation products, making </w:t>
      </w:r>
      <w:r>
        <w:rPr>
          <w:rFonts w:ascii="Times New Roman" w:eastAsia="Calibri" w:hAnsi="Times New Roman" w:cs="Times New Roman"/>
          <w:sz w:val="24"/>
          <w:szCs w:val="24"/>
          <w:lang w:eastAsia="en-US" w:bidi="hi-IN"/>
        </w:rPr>
        <w:lastRenderedPageBreak/>
        <w:t>it highly selective and suitable for complex formulations.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5. Desai et al. (2024)</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Desai et a</w:t>
      </w:r>
      <w:r>
        <w:rPr>
          <w:rFonts w:ascii="Times New Roman" w:eastAsia="Calibri" w:hAnsi="Times New Roman" w:cs="Times New Roman"/>
          <w:sz w:val="24"/>
          <w:szCs w:val="24"/>
          <w:lang w:eastAsia="en-US" w:bidi="hi-IN"/>
        </w:rPr>
        <w:t>l. developed an Area Under Curve (AUC) UV spectrophotometric method for simultaneous estimation of Nafithromycin in combination with another antibiotic. The AUC was measured between 228–238 nm. The method exhibited linearity over 10–60 μg/mL with r² = 0.99</w:t>
      </w:r>
      <w:r>
        <w:rPr>
          <w:rFonts w:ascii="Times New Roman" w:eastAsia="Calibri" w:hAnsi="Times New Roman" w:cs="Times New Roman"/>
          <w:sz w:val="24"/>
          <w:szCs w:val="24"/>
          <w:lang w:eastAsia="en-US" w:bidi="hi-IN"/>
        </w:rPr>
        <w:t>96. Validation parameters confirmed accuracy (98.8–101.0%), precision (%RSD &lt;1.7%), LOD (0.9 μg/mL), and LOQ (2.7 μg/mL).</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The method successfully resolved Nafithromycin in the presence of degradation products under acidic and oxidative conditions, demonstr</w:t>
      </w:r>
      <w:r>
        <w:rPr>
          <w:rFonts w:ascii="Times New Roman" w:eastAsia="Calibri" w:hAnsi="Times New Roman" w:cs="Times New Roman"/>
          <w:sz w:val="24"/>
          <w:szCs w:val="24"/>
          <w:lang w:eastAsia="en-US" w:bidi="hi-IN"/>
        </w:rPr>
        <w:t>ating its applicability for stability studies in combined dosage forms.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6. Gupta and Rao (2023)</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Gupta and Rao reported a complementary RP-HPLC method with UV detection for Nafithromycin stability assessment. Although chromatographic separation was used, UV</w:t>
      </w:r>
      <w:r>
        <w:rPr>
          <w:rFonts w:ascii="Times New Roman" w:eastAsia="Calibri" w:hAnsi="Times New Roman" w:cs="Times New Roman"/>
          <w:sz w:val="24"/>
          <w:szCs w:val="24"/>
          <w:lang w:eastAsia="en-US" w:bidi="hi-IN"/>
        </w:rPr>
        <w:t xml:space="preserve"> detection at 230 nm played a crucial role.</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The method showed linearity in the range of 5–50 μg/mL (r² = 0.9998), with precision (%RSD &lt;1.3%) and accuracy (99.1–100.9%). Degradation products were successfully separated at different retention times, indicat</w:t>
      </w:r>
      <w:r>
        <w:rPr>
          <w:rFonts w:ascii="Times New Roman" w:eastAsia="Calibri" w:hAnsi="Times New Roman" w:cs="Times New Roman"/>
          <w:sz w:val="24"/>
          <w:szCs w:val="24"/>
          <w:lang w:eastAsia="en-US" w:bidi="hi-IN"/>
        </w:rPr>
        <w:t>ing the stability-indicating nature of the method. This study highlights the importance of UV detection in advanced analytical techniques.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7. Joshi et al. (2022)</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Joshi et al. developed a UV-visible spectrophotometric method using hydrotropic solubilization</w:t>
      </w:r>
      <w:r>
        <w:rPr>
          <w:rFonts w:ascii="Times New Roman" w:eastAsia="Calibri" w:hAnsi="Times New Roman" w:cs="Times New Roman"/>
          <w:sz w:val="24"/>
          <w:szCs w:val="24"/>
          <w:lang w:eastAsia="en-US" w:bidi="hi-IN"/>
        </w:rPr>
        <w:t xml:space="preserve"> with sodium benzoate to improve drug solubility. The absorbance was measured at 233 nm.</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The method showed linearity in the range of 10–50 μg/mL with r² = 0.999. Validation parameters included LOD (1.2 μg/mL), LOQ (3.6 μg/mL), accuracy (98.7–101.3%), and p</w:t>
      </w:r>
      <w:r>
        <w:rPr>
          <w:rFonts w:ascii="Times New Roman" w:eastAsia="Calibri" w:hAnsi="Times New Roman" w:cs="Times New Roman"/>
          <w:sz w:val="24"/>
          <w:szCs w:val="24"/>
          <w:lang w:eastAsia="en-US" w:bidi="hi-IN"/>
        </w:rPr>
        <w:t>recision (%RSD &lt;2.0%). The method was simple, eco-friendly, and suitable for routine analysis.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8. Singh et al. (2025)</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Singh et al. developed a UHPLC-UV method for Nafithromycin stability studies. Detection was carried out at 235 nm using a BEH C18 column.</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The method exhibited excellent linearity (2–40 μg/mL, r² = 0.9999), high sensitivity (LOD 0.3 μg/mL), precision (%RSD &lt;0.8%), and accuracy (99.8–100.5%). It effectively resolved degradation products formed under photolytic and thermal conditions, demonstra</w:t>
      </w:r>
      <w:r>
        <w:rPr>
          <w:rFonts w:ascii="Times New Roman" w:eastAsia="Calibri" w:hAnsi="Times New Roman" w:cs="Times New Roman"/>
          <w:sz w:val="24"/>
          <w:szCs w:val="24"/>
          <w:lang w:eastAsia="en-US" w:bidi="hi-IN"/>
        </w:rPr>
        <w:t>ting robustness and suitability for stability analysis.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 xml:space="preserve">. </w:t>
      </w:r>
    </w:p>
    <w:p w:rsidR="005975C5" w:rsidRDefault="008C00FB">
      <w:pPr>
        <w:spacing w:after="160" w:line="360" w:lineRule="auto"/>
        <w:rPr>
          <w:rFonts w:ascii="Times New Roman" w:eastAsia="Times New Roman" w:hAnsi="Times New Roman" w:cs="Times New Roman"/>
          <w:b/>
          <w:sz w:val="26"/>
          <w:szCs w:val="26"/>
        </w:rPr>
      </w:pPr>
      <w:r>
        <w:rPr>
          <w:rFonts w:ascii="Calibri" w:eastAsia="Calibri" w:hAnsi="Calibri" w:cs="Calibri"/>
          <w:b/>
          <w:bCs/>
          <w:color w:val="000000"/>
          <w:lang w:val="en-US"/>
        </w:rPr>
        <w:lastRenderedPageBreak/>
        <w:t xml:space="preserve"> AIM AND OBJECTIVE</w:t>
      </w:r>
      <w:r>
        <w:rPr>
          <w:rFonts w:ascii="Calibri" w:eastAsia="Calibri" w:hAnsi="Calibri" w:cs="Calibri"/>
          <w:color w:val="000000"/>
          <w:lang w:val="en-US"/>
        </w:rPr>
        <w:t xml:space="preserve"> </w:t>
      </w:r>
    </w:p>
    <w:p w:rsidR="005975C5" w:rsidRDefault="008C00FB">
      <w:pPr>
        <w:spacing w:after="160" w:line="360" w:lineRule="auto"/>
        <w:rPr>
          <w:rFonts w:ascii="Times New Roman" w:eastAsia="Times New Roman" w:hAnsi="Times New Roman" w:cs="Times New Roman"/>
          <w:b/>
          <w:sz w:val="26"/>
          <w:szCs w:val="26"/>
        </w:rPr>
      </w:pPr>
      <w:r>
        <w:rPr>
          <w:rFonts w:ascii="Calibri" w:eastAsia="Calibri" w:hAnsi="Calibri" w:cs="Calibri"/>
          <w:color w:val="000000"/>
          <w:lang w:val="en-US"/>
        </w:rPr>
        <w:t>Aim:</w:t>
      </w:r>
    </w:p>
    <w:p w:rsidR="005975C5" w:rsidRDefault="008C00FB">
      <w:pPr>
        <w:spacing w:after="160" w:line="360" w:lineRule="auto"/>
        <w:rPr>
          <w:rFonts w:ascii="Times New Roman" w:eastAsia="Times New Roman" w:hAnsi="Times New Roman" w:cs="Times New Roman"/>
          <w:b/>
          <w:sz w:val="26"/>
          <w:szCs w:val="26"/>
        </w:rPr>
      </w:pPr>
      <w:r>
        <w:rPr>
          <w:rFonts w:ascii="Calibri" w:eastAsia="Calibri" w:hAnsi="Calibri" w:cs="Calibri"/>
          <w:color w:val="000000"/>
          <w:lang w:val="en-US"/>
        </w:rPr>
        <w:t xml:space="preserve">Development and stability assessment of Antibiotic Nafithromycin using UV-Visible Spectroscopy. </w:t>
      </w:r>
    </w:p>
    <w:p w:rsidR="005975C5" w:rsidRDefault="008C00FB">
      <w:pPr>
        <w:spacing w:after="160" w:line="360" w:lineRule="auto"/>
        <w:rPr>
          <w:rFonts w:ascii="Times New Roman" w:eastAsia="Times New Roman" w:hAnsi="Times New Roman" w:cs="Times New Roman"/>
          <w:b/>
          <w:sz w:val="26"/>
          <w:szCs w:val="26"/>
        </w:rPr>
      </w:pPr>
      <w:r>
        <w:rPr>
          <w:rFonts w:ascii="Calibri" w:eastAsia="Calibri" w:hAnsi="Calibri" w:cs="Calibri"/>
          <w:color w:val="000000"/>
          <w:lang w:val="en-US"/>
        </w:rPr>
        <w:t>Objectives:</w:t>
      </w:r>
    </w:p>
    <w:p w:rsidR="005975C5" w:rsidRDefault="008C00FB">
      <w:pPr>
        <w:spacing w:after="160" w:line="360" w:lineRule="auto"/>
        <w:rPr>
          <w:rFonts w:ascii="Times New Roman" w:eastAsia="Times New Roman" w:hAnsi="Times New Roman" w:cs="Times New Roman"/>
          <w:b/>
          <w:sz w:val="26"/>
          <w:szCs w:val="26"/>
        </w:rPr>
      </w:pPr>
      <w:r>
        <w:rPr>
          <w:rFonts w:ascii="Calibri" w:eastAsia="Calibri" w:hAnsi="Calibri" w:cs="Calibri"/>
          <w:color w:val="000000"/>
          <w:lang w:val="en-US"/>
        </w:rPr>
        <w:t>The objective of the present analytical research work is:</w:t>
      </w:r>
    </w:p>
    <w:p w:rsidR="005975C5" w:rsidRDefault="008C00FB">
      <w:pPr>
        <w:spacing w:after="160" w:line="360" w:lineRule="auto"/>
        <w:rPr>
          <w:rFonts w:ascii="Times New Roman" w:eastAsia="Times New Roman" w:hAnsi="Times New Roman" w:cs="Times New Roman"/>
          <w:b/>
          <w:sz w:val="26"/>
          <w:szCs w:val="26"/>
        </w:rPr>
      </w:pPr>
      <w:r>
        <w:rPr>
          <w:rFonts w:ascii="Calibri" w:eastAsia="Calibri" w:hAnsi="Calibri" w:cs="Calibri"/>
          <w:color w:val="000000"/>
          <w:lang w:val="en-US"/>
        </w:rPr>
        <w:t>To de</w:t>
      </w:r>
      <w:r>
        <w:rPr>
          <w:rFonts w:ascii="Calibri" w:eastAsia="Calibri" w:hAnsi="Calibri" w:cs="Calibri"/>
          <w:color w:val="000000"/>
          <w:lang w:val="en-US"/>
        </w:rPr>
        <w:t>velop a simple, accurate, precise, and cost-effective UV spectrophotometric method for the quantitative estimation of Nafithromycin in bulk drug and pharmaceutical dosage forms.</w:t>
      </w:r>
    </w:p>
    <w:p w:rsidR="005975C5" w:rsidRDefault="008C00FB">
      <w:pPr>
        <w:spacing w:after="160" w:line="360" w:lineRule="auto"/>
        <w:rPr>
          <w:rFonts w:ascii="Times New Roman" w:eastAsia="Times New Roman" w:hAnsi="Times New Roman" w:cs="Times New Roman"/>
          <w:b/>
          <w:sz w:val="26"/>
          <w:szCs w:val="26"/>
        </w:rPr>
      </w:pPr>
      <w:r>
        <w:rPr>
          <w:rFonts w:ascii="Calibri" w:eastAsia="Calibri" w:hAnsi="Calibri" w:cs="Calibri"/>
          <w:color w:val="000000"/>
          <w:lang w:val="en-US"/>
        </w:rPr>
        <w:t xml:space="preserve">To select a suitable solvent system for Nafithromycin based on solubility and </w:t>
      </w:r>
      <w:r>
        <w:rPr>
          <w:rFonts w:ascii="Calibri" w:eastAsia="Calibri" w:hAnsi="Calibri" w:cs="Calibri"/>
          <w:color w:val="000000"/>
          <w:lang w:val="en-US"/>
        </w:rPr>
        <w:t>stability.</w:t>
      </w:r>
    </w:p>
    <w:p w:rsidR="005975C5" w:rsidRDefault="008C00FB">
      <w:pPr>
        <w:spacing w:after="160" w:line="360" w:lineRule="auto"/>
        <w:rPr>
          <w:rFonts w:ascii="Times New Roman" w:eastAsia="Times New Roman" w:hAnsi="Times New Roman" w:cs="Times New Roman"/>
          <w:b/>
          <w:sz w:val="26"/>
          <w:szCs w:val="26"/>
        </w:rPr>
      </w:pPr>
      <w:r>
        <w:rPr>
          <w:rFonts w:ascii="Calibri" w:eastAsia="Calibri" w:hAnsi="Calibri" w:cs="Calibri"/>
          <w:color w:val="000000"/>
          <w:lang w:val="en-US"/>
        </w:rPr>
        <w:t>To determine the maximum wavelength (λmax) of Nafithromycin in the selected solvent system.</w:t>
      </w:r>
    </w:p>
    <w:p w:rsidR="005975C5" w:rsidRDefault="008C00FB">
      <w:pPr>
        <w:spacing w:after="160" w:line="360" w:lineRule="auto"/>
        <w:rPr>
          <w:rFonts w:ascii="Times New Roman" w:eastAsia="Times New Roman" w:hAnsi="Times New Roman" w:cs="Times New Roman"/>
          <w:b/>
          <w:sz w:val="26"/>
          <w:szCs w:val="26"/>
        </w:rPr>
      </w:pPr>
      <w:r>
        <w:rPr>
          <w:rFonts w:ascii="Calibri" w:eastAsia="Calibri" w:hAnsi="Calibri" w:cs="Calibri"/>
          <w:color w:val="000000"/>
          <w:lang w:val="en-US"/>
        </w:rPr>
        <w:t>To prepare standard stock solution and working standard solutions of Nafithromycin.</w:t>
      </w:r>
    </w:p>
    <w:p w:rsidR="005975C5" w:rsidRDefault="008C00FB">
      <w:pPr>
        <w:spacing w:after="160" w:line="360" w:lineRule="auto"/>
        <w:rPr>
          <w:rFonts w:ascii="Times New Roman" w:eastAsia="Times New Roman" w:hAnsi="Times New Roman" w:cs="Times New Roman"/>
          <w:b/>
          <w:sz w:val="26"/>
          <w:szCs w:val="26"/>
        </w:rPr>
      </w:pPr>
      <w:r>
        <w:rPr>
          <w:rFonts w:ascii="Calibri" w:eastAsia="Calibri" w:hAnsi="Calibri" w:cs="Calibri"/>
          <w:color w:val="000000"/>
          <w:lang w:val="en-US"/>
        </w:rPr>
        <w:t>To construct a calibration curve and establish linearity range for Na</w:t>
      </w:r>
      <w:r>
        <w:rPr>
          <w:rFonts w:ascii="Calibri" w:eastAsia="Calibri" w:hAnsi="Calibri" w:cs="Calibri"/>
          <w:color w:val="000000"/>
          <w:lang w:val="en-US"/>
        </w:rPr>
        <w:t>fithromycin.</w:t>
      </w:r>
    </w:p>
    <w:p w:rsidR="005975C5" w:rsidRDefault="008C00FB">
      <w:pPr>
        <w:spacing w:after="160" w:line="360" w:lineRule="auto"/>
        <w:rPr>
          <w:rFonts w:ascii="Times New Roman" w:eastAsia="Times New Roman" w:hAnsi="Times New Roman" w:cs="Times New Roman"/>
          <w:b/>
          <w:sz w:val="26"/>
          <w:szCs w:val="26"/>
        </w:rPr>
      </w:pPr>
      <w:r>
        <w:rPr>
          <w:rFonts w:ascii="Calibri" w:eastAsia="Calibri" w:hAnsi="Calibri" w:cs="Calibri"/>
          <w:color w:val="000000"/>
          <w:lang w:val="en-US"/>
        </w:rPr>
        <w:t>To validate the developed method as per ICH Q2 (R1) guidelines.</w:t>
      </w:r>
    </w:p>
    <w:p w:rsidR="005975C5" w:rsidRDefault="008C00FB">
      <w:pPr>
        <w:spacing w:after="160" w:line="360" w:lineRule="auto"/>
        <w:rPr>
          <w:rFonts w:ascii="Times New Roman" w:eastAsia="Times New Roman" w:hAnsi="Times New Roman" w:cs="Times New Roman"/>
          <w:b/>
          <w:sz w:val="26"/>
          <w:szCs w:val="26"/>
        </w:rPr>
      </w:pPr>
      <w:r>
        <w:rPr>
          <w:rFonts w:ascii="Calibri" w:eastAsia="Calibri" w:hAnsi="Calibri" w:cs="Calibri"/>
          <w:color w:val="000000"/>
          <w:lang w:val="en-US"/>
        </w:rPr>
        <w:t>To evaluate validation parameters such as accuracy, precision, linearity, specificity, and robustness.</w:t>
      </w:r>
    </w:p>
    <w:p w:rsidR="005975C5" w:rsidRDefault="008C00FB">
      <w:pPr>
        <w:spacing w:after="160" w:line="360" w:lineRule="auto"/>
        <w:rPr>
          <w:rFonts w:ascii="Times New Roman" w:eastAsia="Times New Roman" w:hAnsi="Times New Roman" w:cs="Times New Roman"/>
          <w:b/>
          <w:sz w:val="26"/>
          <w:szCs w:val="26"/>
        </w:rPr>
      </w:pPr>
      <w:r>
        <w:rPr>
          <w:rFonts w:ascii="Calibri" w:eastAsia="Calibri" w:hAnsi="Calibri" w:cs="Calibri"/>
          <w:color w:val="000000"/>
          <w:lang w:val="en-US"/>
        </w:rPr>
        <w:t xml:space="preserve">To assess the stability of Nafithromycin using the developed UV </w:t>
      </w:r>
      <w:r>
        <w:rPr>
          <w:rFonts w:ascii="Calibri" w:eastAsia="Calibri" w:hAnsi="Calibri" w:cs="Calibri"/>
          <w:color w:val="000000"/>
          <w:lang w:val="en-US"/>
        </w:rPr>
        <w:t>spectrophotometric method.</w:t>
      </w:r>
    </w:p>
    <w:p w:rsidR="005975C5" w:rsidRDefault="008C00FB">
      <w:pPr>
        <w:spacing w:after="160" w:line="360" w:lineRule="auto"/>
        <w:rPr>
          <w:rFonts w:ascii="Times New Roman" w:eastAsia="Times New Roman" w:hAnsi="Times New Roman" w:cs="Times New Roman"/>
          <w:b/>
          <w:sz w:val="26"/>
          <w:szCs w:val="26"/>
        </w:rPr>
      </w:pPr>
      <w:r>
        <w:rPr>
          <w:rFonts w:ascii="Calibri" w:eastAsia="Calibri" w:hAnsi="Calibri" w:cs="Calibri"/>
          <w:color w:val="000000"/>
          <w:lang w:val="en-US"/>
        </w:rPr>
        <w:t>To apply the validated method for routine quantitative analysis of Nafithromycin in pharmaceutical dosage forms.</w:t>
      </w:r>
    </w:p>
    <w:p w:rsidR="005975C5" w:rsidRDefault="008C00FB">
      <w:pPr>
        <w:spacing w:after="160" w:line="360" w:lineRule="auto"/>
        <w:rPr>
          <w:rFonts w:ascii="Times New Roman" w:eastAsia="Times New Roman" w:hAnsi="Times New Roman" w:cs="Times New Roman"/>
          <w:b/>
          <w:sz w:val="26"/>
          <w:szCs w:val="26"/>
        </w:rPr>
      </w:pPr>
      <w:r>
        <w:rPr>
          <w:rFonts w:ascii="Calibri" w:eastAsia="Calibri" w:hAnsi="Calibri" w:cs="Calibri"/>
          <w:color w:val="000000"/>
          <w:lang w:val="en-US"/>
        </w:rPr>
        <w:t>To ensure that the developed method is suitable for stability-indicating studies and quality control applications.</w:t>
      </w:r>
    </w:p>
    <w:p w:rsidR="005975C5" w:rsidRDefault="005975C5">
      <w:pPr>
        <w:spacing w:after="160" w:line="360" w:lineRule="auto"/>
        <w:rPr>
          <w:rFonts w:ascii="Times New Roman" w:eastAsia="Times New Roman" w:hAnsi="Times New Roman" w:cs="Times New Roman"/>
          <w:b/>
          <w:sz w:val="26"/>
          <w:szCs w:val="26"/>
        </w:rPr>
      </w:pPr>
    </w:p>
    <w:p w:rsidR="005975C5" w:rsidRDefault="005975C5">
      <w:pPr>
        <w:spacing w:after="160" w:line="360" w:lineRule="auto"/>
        <w:rPr>
          <w:rFonts w:ascii="Times New Roman" w:eastAsia="Times New Roman" w:hAnsi="Times New Roman" w:cs="Times New Roman"/>
          <w:b/>
          <w:sz w:val="26"/>
          <w:szCs w:val="26"/>
        </w:rPr>
      </w:pPr>
    </w:p>
    <w:p w:rsidR="005975C5" w:rsidRDefault="005975C5">
      <w:pPr>
        <w:spacing w:after="160" w:line="360" w:lineRule="auto"/>
        <w:rPr>
          <w:rFonts w:ascii="Times New Roman" w:eastAsia="Times New Roman" w:hAnsi="Times New Roman" w:cs="Times New Roman"/>
          <w:b/>
          <w:sz w:val="26"/>
          <w:szCs w:val="26"/>
        </w:rPr>
      </w:pPr>
    </w:p>
    <w:p w:rsidR="005975C5" w:rsidRDefault="005975C5">
      <w:pPr>
        <w:spacing w:after="160" w:line="360" w:lineRule="auto"/>
        <w:rPr>
          <w:rFonts w:ascii="Times New Roman" w:eastAsia="Times New Roman" w:hAnsi="Times New Roman" w:cs="Times New Roman"/>
          <w:b/>
          <w:sz w:val="26"/>
          <w:szCs w:val="26"/>
        </w:rPr>
      </w:pPr>
    </w:p>
    <w:p w:rsidR="005975C5" w:rsidRDefault="005975C5">
      <w:pPr>
        <w:spacing w:after="160" w:line="360" w:lineRule="auto"/>
        <w:rPr>
          <w:rFonts w:ascii="Times New Roman" w:eastAsia="Times New Roman" w:hAnsi="Times New Roman" w:cs="Times New Roman"/>
          <w:b/>
          <w:sz w:val="26"/>
          <w:szCs w:val="26"/>
        </w:rPr>
      </w:pPr>
    </w:p>
    <w:p w:rsidR="005975C5" w:rsidRDefault="005975C5">
      <w:pPr>
        <w:spacing w:after="160" w:line="360" w:lineRule="auto"/>
        <w:rPr>
          <w:rFonts w:ascii="Times New Roman" w:eastAsia="Times New Roman" w:hAnsi="Times New Roman" w:cs="Times New Roman"/>
          <w:b/>
          <w:sz w:val="26"/>
          <w:szCs w:val="26"/>
        </w:rPr>
      </w:pPr>
    </w:p>
    <w:p w:rsidR="005975C5" w:rsidRDefault="008C00FB">
      <w:pPr>
        <w:spacing w:after="160" w:line="360" w:lineRule="auto"/>
        <w:rPr>
          <w:rFonts w:ascii="Times New Roman" w:eastAsia="Times New Roman" w:hAnsi="Times New Roman" w:cs="Times New Roman"/>
          <w:b/>
          <w:sz w:val="26"/>
          <w:szCs w:val="26"/>
        </w:rPr>
      </w:pPr>
      <w:r>
        <w:rPr>
          <w:rFonts w:ascii="Calibri" w:eastAsia="Calibri" w:hAnsi="Calibri" w:cs="Calibri"/>
          <w:b/>
          <w:bCs/>
          <w:color w:val="000000"/>
          <w:lang w:val="en-US"/>
        </w:rPr>
        <w:t xml:space="preserve">PLAN OF WORK </w:t>
      </w:r>
    </w:p>
    <w:p w:rsidR="005975C5" w:rsidRDefault="008C00FB">
      <w:pPr>
        <w:spacing w:after="160" w:line="360" w:lineRule="auto"/>
        <w:rPr>
          <w:rFonts w:ascii="Times New Roman" w:eastAsia="Times New Roman" w:hAnsi="Times New Roman" w:cs="Times New Roman"/>
          <w:b/>
          <w:sz w:val="26"/>
          <w:szCs w:val="26"/>
        </w:rPr>
      </w:pPr>
      <w:r>
        <w:rPr>
          <w:rFonts w:ascii="Calibri" w:eastAsia="Calibri" w:hAnsi="Calibri" w:cs="Calibri"/>
          <w:color w:val="000000"/>
          <w:lang w:val="en-US"/>
        </w:rPr>
        <w:t>Literature survey.</w:t>
      </w:r>
    </w:p>
    <w:p w:rsidR="005975C5" w:rsidRDefault="008C00FB">
      <w:pPr>
        <w:spacing w:after="160" w:line="360" w:lineRule="auto"/>
        <w:rPr>
          <w:rFonts w:ascii="Times New Roman" w:eastAsia="Times New Roman" w:hAnsi="Times New Roman" w:cs="Times New Roman"/>
          <w:b/>
          <w:sz w:val="26"/>
          <w:szCs w:val="26"/>
        </w:rPr>
      </w:pPr>
      <w:r>
        <w:rPr>
          <w:rFonts w:ascii="Calibri" w:eastAsia="Calibri" w:hAnsi="Calibri" w:cs="Calibri"/>
          <w:color w:val="000000"/>
          <w:lang w:val="en-US"/>
        </w:rPr>
        <w:t>Selection of drug (Nafithromycin).</w:t>
      </w:r>
    </w:p>
    <w:p w:rsidR="005975C5" w:rsidRDefault="008C00FB">
      <w:pPr>
        <w:spacing w:after="160" w:line="360" w:lineRule="auto"/>
        <w:rPr>
          <w:rFonts w:ascii="Times New Roman" w:eastAsia="Times New Roman" w:hAnsi="Times New Roman" w:cs="Times New Roman"/>
          <w:b/>
          <w:sz w:val="26"/>
          <w:szCs w:val="26"/>
        </w:rPr>
      </w:pPr>
      <w:r>
        <w:rPr>
          <w:rFonts w:ascii="Calibri" w:eastAsia="Calibri" w:hAnsi="Calibri" w:cs="Calibri"/>
          <w:color w:val="000000"/>
          <w:lang w:val="en-US"/>
        </w:rPr>
        <w:lastRenderedPageBreak/>
        <w:t>Procurement of drug and other chemicals.</w:t>
      </w:r>
    </w:p>
    <w:p w:rsidR="005975C5" w:rsidRDefault="008C00FB">
      <w:pPr>
        <w:spacing w:after="160" w:line="360" w:lineRule="auto"/>
        <w:rPr>
          <w:rFonts w:ascii="Times New Roman" w:eastAsia="Times New Roman" w:hAnsi="Times New Roman" w:cs="Times New Roman"/>
          <w:b/>
          <w:sz w:val="26"/>
          <w:szCs w:val="26"/>
        </w:rPr>
      </w:pPr>
      <w:r>
        <w:rPr>
          <w:rFonts w:ascii="Calibri" w:eastAsia="Calibri" w:hAnsi="Calibri" w:cs="Calibri"/>
          <w:color w:val="000000"/>
          <w:lang w:val="en-US"/>
        </w:rPr>
        <w:t>Estimation of Nafithromycin by UV-Visible Spectroscopy method involving following steps:</w:t>
      </w:r>
    </w:p>
    <w:p w:rsidR="005975C5" w:rsidRDefault="008C00FB">
      <w:pPr>
        <w:spacing w:after="160" w:line="360" w:lineRule="auto"/>
        <w:rPr>
          <w:rFonts w:ascii="Times New Roman" w:eastAsia="Times New Roman" w:hAnsi="Times New Roman" w:cs="Times New Roman"/>
          <w:b/>
          <w:sz w:val="26"/>
          <w:szCs w:val="26"/>
        </w:rPr>
      </w:pPr>
      <w:r>
        <w:rPr>
          <w:rFonts w:ascii="Calibri" w:eastAsia="Calibri" w:hAnsi="Calibri" w:cs="Calibri"/>
          <w:color w:val="000000"/>
          <w:lang w:val="en-US"/>
        </w:rPr>
        <w:t>a) Drug solubility study</w:t>
      </w:r>
    </w:p>
    <w:p w:rsidR="005975C5" w:rsidRDefault="008C00FB">
      <w:pPr>
        <w:spacing w:after="160" w:line="360" w:lineRule="auto"/>
        <w:rPr>
          <w:rFonts w:ascii="Times New Roman" w:eastAsia="Times New Roman" w:hAnsi="Times New Roman" w:cs="Times New Roman"/>
          <w:b/>
          <w:sz w:val="26"/>
          <w:szCs w:val="26"/>
        </w:rPr>
      </w:pPr>
      <w:r>
        <w:rPr>
          <w:rFonts w:ascii="Calibri" w:eastAsia="Calibri" w:hAnsi="Calibri" w:cs="Calibri"/>
          <w:color w:val="000000"/>
          <w:lang w:val="en-US"/>
        </w:rPr>
        <w:t>b) Selection of suitable sol</w:t>
      </w:r>
      <w:r>
        <w:rPr>
          <w:rFonts w:ascii="Calibri" w:eastAsia="Calibri" w:hAnsi="Calibri" w:cs="Calibri"/>
          <w:color w:val="000000"/>
          <w:lang w:val="en-US"/>
        </w:rPr>
        <w:t>vent system</w:t>
      </w:r>
    </w:p>
    <w:p w:rsidR="005975C5" w:rsidRDefault="008C00FB">
      <w:pPr>
        <w:spacing w:after="160" w:line="360" w:lineRule="auto"/>
        <w:rPr>
          <w:rFonts w:ascii="Times New Roman" w:eastAsia="Times New Roman" w:hAnsi="Times New Roman" w:cs="Times New Roman"/>
          <w:b/>
          <w:sz w:val="26"/>
          <w:szCs w:val="26"/>
        </w:rPr>
      </w:pPr>
      <w:r>
        <w:rPr>
          <w:rFonts w:ascii="Calibri" w:eastAsia="Calibri" w:hAnsi="Calibri" w:cs="Calibri"/>
          <w:color w:val="000000"/>
          <w:lang w:val="en-US"/>
        </w:rPr>
        <w:t>c) Determination of maximum wavelength (λmax)</w:t>
      </w:r>
    </w:p>
    <w:p w:rsidR="005975C5" w:rsidRDefault="008C00FB">
      <w:pPr>
        <w:spacing w:after="160" w:line="360" w:lineRule="auto"/>
        <w:rPr>
          <w:rFonts w:ascii="Times New Roman" w:eastAsia="Times New Roman" w:hAnsi="Times New Roman" w:cs="Times New Roman"/>
          <w:b/>
          <w:sz w:val="26"/>
          <w:szCs w:val="26"/>
        </w:rPr>
      </w:pPr>
      <w:r>
        <w:rPr>
          <w:rFonts w:ascii="Calibri" w:eastAsia="Calibri" w:hAnsi="Calibri" w:cs="Calibri"/>
          <w:color w:val="000000"/>
          <w:lang w:val="en-US"/>
        </w:rPr>
        <w:t>d) Preparation of standard stock solution</w:t>
      </w:r>
    </w:p>
    <w:p w:rsidR="005975C5" w:rsidRDefault="008C00FB">
      <w:pPr>
        <w:spacing w:after="160" w:line="360" w:lineRule="auto"/>
        <w:rPr>
          <w:rFonts w:ascii="Times New Roman" w:eastAsia="Times New Roman" w:hAnsi="Times New Roman" w:cs="Times New Roman"/>
          <w:b/>
          <w:sz w:val="26"/>
          <w:szCs w:val="26"/>
        </w:rPr>
      </w:pPr>
      <w:r>
        <w:rPr>
          <w:rFonts w:ascii="Calibri" w:eastAsia="Calibri" w:hAnsi="Calibri" w:cs="Calibri"/>
          <w:color w:val="000000"/>
          <w:lang w:val="en-US"/>
        </w:rPr>
        <w:t>e) Preparation of working standard solutions</w:t>
      </w:r>
    </w:p>
    <w:p w:rsidR="005975C5" w:rsidRDefault="008C00FB">
      <w:pPr>
        <w:spacing w:after="160" w:line="360" w:lineRule="auto"/>
        <w:rPr>
          <w:rFonts w:ascii="Times New Roman" w:eastAsia="Times New Roman" w:hAnsi="Times New Roman" w:cs="Times New Roman"/>
          <w:b/>
          <w:sz w:val="26"/>
          <w:szCs w:val="26"/>
        </w:rPr>
      </w:pPr>
      <w:r>
        <w:rPr>
          <w:rFonts w:ascii="Calibri" w:eastAsia="Calibri" w:hAnsi="Calibri" w:cs="Calibri"/>
          <w:color w:val="000000"/>
          <w:lang w:val="en-US"/>
        </w:rPr>
        <w:t>f) Construction of calibration curve (Linearity study)</w:t>
      </w:r>
    </w:p>
    <w:p w:rsidR="005975C5" w:rsidRDefault="008C00FB">
      <w:pPr>
        <w:spacing w:after="160" w:line="360" w:lineRule="auto"/>
        <w:rPr>
          <w:rFonts w:ascii="Times New Roman" w:eastAsia="Times New Roman" w:hAnsi="Times New Roman" w:cs="Times New Roman"/>
          <w:b/>
          <w:sz w:val="26"/>
          <w:szCs w:val="26"/>
        </w:rPr>
      </w:pPr>
      <w:r>
        <w:rPr>
          <w:rFonts w:ascii="Calibri" w:eastAsia="Calibri" w:hAnsi="Calibri" w:cs="Calibri"/>
          <w:color w:val="000000"/>
          <w:lang w:val="en-US"/>
        </w:rPr>
        <w:t>g) Method optimization (selection of analytical paramete</w:t>
      </w:r>
      <w:r>
        <w:rPr>
          <w:rFonts w:ascii="Calibri" w:eastAsia="Calibri" w:hAnsi="Calibri" w:cs="Calibri"/>
          <w:color w:val="000000"/>
          <w:lang w:val="en-US"/>
        </w:rPr>
        <w:t>rs)</w:t>
      </w:r>
    </w:p>
    <w:p w:rsidR="005975C5" w:rsidRDefault="008C00FB">
      <w:pPr>
        <w:spacing w:after="160" w:line="360" w:lineRule="auto"/>
        <w:rPr>
          <w:rFonts w:ascii="Times New Roman" w:eastAsia="Times New Roman" w:hAnsi="Times New Roman" w:cs="Times New Roman"/>
          <w:b/>
          <w:sz w:val="26"/>
          <w:szCs w:val="26"/>
        </w:rPr>
      </w:pPr>
      <w:r>
        <w:rPr>
          <w:rFonts w:ascii="Calibri" w:eastAsia="Calibri" w:hAnsi="Calibri" w:cs="Calibri"/>
          <w:color w:val="000000"/>
          <w:lang w:val="en-US"/>
        </w:rPr>
        <w:t>Validation of UV spectrophotometric method as per ICH Q2 (R1) guidelines:</w:t>
      </w:r>
    </w:p>
    <w:p w:rsidR="005975C5" w:rsidRDefault="008C00FB">
      <w:pPr>
        <w:spacing w:after="160" w:line="360" w:lineRule="auto"/>
        <w:rPr>
          <w:rFonts w:ascii="Times New Roman" w:eastAsia="Times New Roman" w:hAnsi="Times New Roman" w:cs="Times New Roman"/>
          <w:b/>
          <w:sz w:val="26"/>
          <w:szCs w:val="26"/>
        </w:rPr>
      </w:pPr>
      <w:r>
        <w:rPr>
          <w:rFonts w:ascii="Calibri" w:eastAsia="Calibri" w:hAnsi="Calibri" w:cs="Calibri"/>
          <w:color w:val="000000"/>
          <w:lang w:val="en-US"/>
        </w:rPr>
        <w:t>i. Linearity</w:t>
      </w:r>
    </w:p>
    <w:p w:rsidR="005975C5" w:rsidRDefault="008C00FB">
      <w:pPr>
        <w:spacing w:after="160" w:line="360" w:lineRule="auto"/>
        <w:rPr>
          <w:rFonts w:ascii="Times New Roman" w:eastAsia="Times New Roman" w:hAnsi="Times New Roman" w:cs="Times New Roman"/>
          <w:b/>
          <w:sz w:val="26"/>
          <w:szCs w:val="26"/>
        </w:rPr>
      </w:pPr>
      <w:r>
        <w:rPr>
          <w:rFonts w:ascii="Calibri" w:eastAsia="Calibri" w:hAnsi="Calibri" w:cs="Calibri"/>
          <w:color w:val="000000"/>
          <w:lang w:val="en-US"/>
        </w:rPr>
        <w:t>ii. Range</w:t>
      </w:r>
    </w:p>
    <w:p w:rsidR="005975C5" w:rsidRDefault="008C00FB">
      <w:pPr>
        <w:spacing w:after="160" w:line="360" w:lineRule="auto"/>
        <w:rPr>
          <w:rFonts w:ascii="Times New Roman" w:eastAsia="Times New Roman" w:hAnsi="Times New Roman" w:cs="Times New Roman"/>
          <w:b/>
          <w:sz w:val="26"/>
          <w:szCs w:val="26"/>
        </w:rPr>
      </w:pPr>
      <w:r>
        <w:rPr>
          <w:rFonts w:ascii="Calibri" w:eastAsia="Calibri" w:hAnsi="Calibri" w:cs="Calibri"/>
          <w:color w:val="000000"/>
          <w:lang w:val="en-US"/>
        </w:rPr>
        <w:t>iii. Precision</w:t>
      </w:r>
    </w:p>
    <w:p w:rsidR="005975C5" w:rsidRDefault="008C00FB">
      <w:pPr>
        <w:spacing w:after="160" w:line="360" w:lineRule="auto"/>
        <w:rPr>
          <w:rFonts w:ascii="Times New Roman" w:eastAsia="Times New Roman" w:hAnsi="Times New Roman" w:cs="Times New Roman"/>
          <w:b/>
          <w:sz w:val="26"/>
          <w:szCs w:val="26"/>
        </w:rPr>
      </w:pPr>
      <w:r>
        <w:rPr>
          <w:rFonts w:ascii="Calibri" w:eastAsia="Calibri" w:hAnsi="Calibri" w:cs="Calibri"/>
          <w:color w:val="000000"/>
          <w:lang w:val="en-US"/>
        </w:rPr>
        <w:t>iv. Accuracy</w:t>
      </w:r>
    </w:p>
    <w:p w:rsidR="005975C5" w:rsidRDefault="008C00FB">
      <w:pPr>
        <w:spacing w:after="160" w:line="360" w:lineRule="auto"/>
        <w:rPr>
          <w:rFonts w:ascii="Times New Roman" w:eastAsia="Times New Roman" w:hAnsi="Times New Roman" w:cs="Times New Roman"/>
          <w:b/>
          <w:sz w:val="26"/>
          <w:szCs w:val="26"/>
        </w:rPr>
      </w:pPr>
      <w:r>
        <w:rPr>
          <w:rFonts w:ascii="Calibri" w:eastAsia="Calibri" w:hAnsi="Calibri" w:cs="Calibri"/>
          <w:color w:val="000000"/>
          <w:lang w:val="en-US"/>
        </w:rPr>
        <w:t>v. Specificity</w:t>
      </w:r>
    </w:p>
    <w:p w:rsidR="005975C5" w:rsidRDefault="008C00FB">
      <w:pPr>
        <w:spacing w:after="160" w:line="360" w:lineRule="auto"/>
        <w:rPr>
          <w:rFonts w:ascii="Times New Roman" w:eastAsia="Times New Roman" w:hAnsi="Times New Roman" w:cs="Times New Roman"/>
          <w:b/>
          <w:sz w:val="26"/>
          <w:szCs w:val="26"/>
        </w:rPr>
      </w:pPr>
      <w:r>
        <w:rPr>
          <w:rFonts w:ascii="Calibri" w:eastAsia="Calibri" w:hAnsi="Calibri" w:cs="Calibri"/>
          <w:color w:val="000000"/>
          <w:lang w:val="en-US"/>
        </w:rPr>
        <w:t>vi. Robustness</w:t>
      </w:r>
    </w:p>
    <w:p w:rsidR="005975C5" w:rsidRDefault="008C00FB">
      <w:pPr>
        <w:spacing w:after="160" w:line="360" w:lineRule="auto"/>
        <w:rPr>
          <w:rFonts w:ascii="Times New Roman" w:eastAsia="Times New Roman" w:hAnsi="Times New Roman" w:cs="Times New Roman"/>
          <w:b/>
          <w:sz w:val="26"/>
          <w:szCs w:val="26"/>
        </w:rPr>
      </w:pPr>
      <w:r>
        <w:rPr>
          <w:rFonts w:ascii="Calibri" w:eastAsia="Calibri" w:hAnsi="Calibri" w:cs="Calibri"/>
          <w:color w:val="000000"/>
          <w:lang w:val="en-US"/>
        </w:rPr>
        <w:t>Application of developed method for estimation of Nafithromycin in pharmaceutical dosage form.</w:t>
      </w:r>
    </w:p>
    <w:p w:rsidR="005975C5" w:rsidRDefault="008C00FB">
      <w:pPr>
        <w:spacing w:after="160" w:line="360" w:lineRule="auto"/>
        <w:rPr>
          <w:rFonts w:ascii="Times New Roman" w:eastAsia="Times New Roman" w:hAnsi="Times New Roman" w:cs="Times New Roman"/>
          <w:b/>
          <w:sz w:val="26"/>
          <w:szCs w:val="26"/>
        </w:rPr>
      </w:pPr>
      <w:r>
        <w:rPr>
          <w:rFonts w:ascii="Calibri" w:eastAsia="Calibri" w:hAnsi="Calibri" w:cs="Calibri"/>
          <w:color w:val="000000"/>
          <w:lang w:val="en-US"/>
        </w:rPr>
        <w:t>Statistical analysis and comparison with reported methods.</w:t>
      </w:r>
    </w:p>
    <w:p w:rsidR="005975C5" w:rsidRDefault="008C00FB">
      <w:pPr>
        <w:spacing w:after="160" w:line="360" w:lineRule="auto"/>
        <w:rPr>
          <w:rFonts w:ascii="Times New Roman" w:eastAsia="Times New Roman" w:hAnsi="Times New Roman" w:cs="Times New Roman"/>
          <w:b/>
          <w:sz w:val="26"/>
          <w:szCs w:val="26"/>
        </w:rPr>
      </w:pPr>
      <w:r>
        <w:rPr>
          <w:rFonts w:ascii="Calibri" w:eastAsia="Calibri" w:hAnsi="Calibri" w:cs="Calibri"/>
          <w:color w:val="000000"/>
          <w:lang w:val="en-US"/>
        </w:rPr>
        <w:t>Compilation and interpretation of data.</w:t>
      </w:r>
    </w:p>
    <w:p w:rsidR="005975C5" w:rsidRDefault="005975C5">
      <w:pPr>
        <w:spacing w:after="160" w:line="360" w:lineRule="auto"/>
        <w:rPr>
          <w:rFonts w:ascii="Times New Roman" w:eastAsia="Times New Roman" w:hAnsi="Times New Roman" w:cs="Times New Roman"/>
          <w:b/>
          <w:sz w:val="26"/>
          <w:szCs w:val="26"/>
        </w:rPr>
      </w:pP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8"/>
          <w:szCs w:val="24"/>
          <w:lang w:eastAsia="en-US" w:bidi="hi-IN"/>
        </w:rPr>
        <w:t>DRUG PROFILE (Nafithromycin)</w:t>
      </w:r>
    </w:p>
    <w:p w:rsidR="005975C5" w:rsidRDefault="008C00FB">
      <w:pPr>
        <w:spacing w:after="160" w:line="360" w:lineRule="auto"/>
        <w:jc w:val="center"/>
        <w:rPr>
          <w:rFonts w:ascii="Times New Roman" w:eastAsia="Times New Roman" w:hAnsi="Times New Roman" w:cs="Times New Roman"/>
          <w:b/>
          <w:sz w:val="26"/>
          <w:szCs w:val="26"/>
        </w:rPr>
      </w:pPr>
      <w:r>
        <w:rPr>
          <w:rFonts w:ascii="Times New Roman" w:eastAsia="Calibri" w:hAnsi="Times New Roman" w:cs="Times New Roman"/>
          <w:b/>
          <w:bCs/>
          <w:sz w:val="24"/>
          <w:lang w:eastAsia="en-US" w:bidi="hi-IN"/>
        </w:rPr>
        <w:t>Table: Nafithromycin</w:t>
      </w:r>
    </w:p>
    <w:tbl>
      <w:tblPr>
        <w:tblW w:w="0" w:type="auto"/>
        <w:tblLook w:val="0000" w:firstRow="0" w:lastRow="0" w:firstColumn="0" w:lastColumn="0" w:noHBand="0" w:noVBand="0"/>
      </w:tblPr>
      <w:tblGrid>
        <w:gridCol w:w="740"/>
        <w:gridCol w:w="2032"/>
        <w:gridCol w:w="5533"/>
      </w:tblGrid>
      <w:tr w:rsidR="005975C5">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lang w:eastAsia="en-US" w:bidi="hi-IN"/>
              </w:rPr>
              <w:t>Sr. No</w:t>
            </w:r>
          </w:p>
        </w:tc>
        <w:tc>
          <w:tcPr>
            <w:tcW w:w="2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lang w:eastAsia="en-US" w:bidi="hi-IN"/>
              </w:rPr>
              <w:t>Parameter</w:t>
            </w:r>
          </w:p>
        </w:tc>
        <w:tc>
          <w:tcPr>
            <w:tcW w:w="5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lang w:eastAsia="en-US" w:bidi="hi-IN"/>
              </w:rPr>
              <w:t>Description</w:t>
            </w:r>
          </w:p>
        </w:tc>
      </w:tr>
      <w:tr w:rsidR="005975C5">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lang w:eastAsia="en-US" w:bidi="hi-IN"/>
              </w:rPr>
              <w:lastRenderedPageBreak/>
              <w:t>1</w:t>
            </w:r>
          </w:p>
        </w:tc>
        <w:tc>
          <w:tcPr>
            <w:tcW w:w="2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lang w:eastAsia="en-US" w:bidi="hi-IN"/>
              </w:rPr>
              <w:t>Chemical Structure</w:t>
            </w:r>
          </w:p>
        </w:tc>
        <w:tc>
          <w:tcPr>
            <w:tcW w:w="5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noProof/>
                <w:sz w:val="24"/>
              </w:rPr>
              <w:drawing>
                <wp:inline distT="0" distB="0" distL="0" distR="0">
                  <wp:extent cx="1838452" cy="774700"/>
                  <wp:effectExtent l="0" t="0" r="0" b="0"/>
                  <wp:docPr id="1033" name="Image1"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a:blip r:embed="rId14" cstate="print"/>
                          <a:srcRect/>
                          <a:stretch/>
                        </pic:blipFill>
                        <pic:spPr>
                          <a:xfrm>
                            <a:off x="0" y="0"/>
                            <a:ext cx="1838452" cy="774700"/>
                          </a:xfrm>
                          <a:prstGeom prst="rect">
                            <a:avLst/>
                          </a:prstGeom>
                          <a:ln>
                            <a:noFill/>
                          </a:ln>
                        </pic:spPr>
                      </pic:pic>
                    </a:graphicData>
                  </a:graphic>
                </wp:inline>
              </w:drawing>
            </w:r>
          </w:p>
        </w:tc>
      </w:tr>
      <w:tr w:rsidR="005975C5">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lang w:eastAsia="en-US" w:bidi="hi-IN"/>
              </w:rPr>
              <w:t>2</w:t>
            </w:r>
          </w:p>
        </w:tc>
        <w:tc>
          <w:tcPr>
            <w:tcW w:w="2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lang w:eastAsia="en-US" w:bidi="hi-IN"/>
              </w:rPr>
              <w:t>Drug category</w:t>
            </w:r>
          </w:p>
        </w:tc>
        <w:tc>
          <w:tcPr>
            <w:tcW w:w="5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lang w:eastAsia="en-US" w:bidi="hi-IN"/>
              </w:rPr>
              <w:t xml:space="preserve">Antibiotic (Ketolide – Macrolide </w:t>
            </w:r>
            <w:r>
              <w:rPr>
                <w:rFonts w:ascii="Times New Roman" w:eastAsia="Calibri" w:hAnsi="Times New Roman" w:cs="Times New Roman"/>
                <w:sz w:val="24"/>
                <w:lang w:eastAsia="en-US" w:bidi="hi-IN"/>
              </w:rPr>
              <w:t>derivative)</w:t>
            </w:r>
          </w:p>
        </w:tc>
      </w:tr>
      <w:tr w:rsidR="005975C5">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lang w:eastAsia="en-US" w:bidi="hi-IN"/>
              </w:rPr>
              <w:t>3</w:t>
            </w:r>
          </w:p>
        </w:tc>
        <w:tc>
          <w:tcPr>
            <w:tcW w:w="2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lang w:eastAsia="en-US" w:bidi="hi-IN"/>
              </w:rPr>
              <w:t>Chemical formula</w:t>
            </w:r>
          </w:p>
        </w:tc>
        <w:tc>
          <w:tcPr>
            <w:tcW w:w="5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lang w:eastAsia="en-US" w:bidi="hi-IN"/>
              </w:rPr>
              <w:t>C₄₀H₅₁N₃O₁₄ (approx.)</w:t>
            </w:r>
          </w:p>
        </w:tc>
      </w:tr>
      <w:tr w:rsidR="005975C5">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lang w:eastAsia="en-US" w:bidi="hi-IN"/>
              </w:rPr>
              <w:t>4</w:t>
            </w:r>
          </w:p>
        </w:tc>
        <w:tc>
          <w:tcPr>
            <w:tcW w:w="2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lang w:eastAsia="en-US" w:bidi="hi-IN"/>
              </w:rPr>
              <w:t>Molecular weight</w:t>
            </w:r>
          </w:p>
        </w:tc>
        <w:tc>
          <w:tcPr>
            <w:tcW w:w="5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lang w:eastAsia="en-US" w:bidi="hi-IN"/>
              </w:rPr>
              <w:t>~734.84 g/mol</w:t>
            </w:r>
          </w:p>
        </w:tc>
      </w:tr>
      <w:tr w:rsidR="005975C5">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lang w:eastAsia="en-US" w:bidi="hi-IN"/>
              </w:rPr>
              <w:t>5</w:t>
            </w:r>
          </w:p>
        </w:tc>
        <w:tc>
          <w:tcPr>
            <w:tcW w:w="2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lang w:eastAsia="en-US" w:bidi="hi-IN"/>
              </w:rPr>
              <w:t>pKa value</w:t>
            </w:r>
          </w:p>
        </w:tc>
        <w:tc>
          <w:tcPr>
            <w:tcW w:w="5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lang w:eastAsia="en-US" w:bidi="hi-IN"/>
              </w:rPr>
              <w:t>~8.5 (basic nature)</w:t>
            </w:r>
          </w:p>
        </w:tc>
      </w:tr>
      <w:tr w:rsidR="005975C5">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lang w:eastAsia="en-US" w:bidi="hi-IN"/>
              </w:rPr>
              <w:t>6</w:t>
            </w:r>
          </w:p>
        </w:tc>
        <w:tc>
          <w:tcPr>
            <w:tcW w:w="2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lang w:eastAsia="en-US" w:bidi="hi-IN"/>
              </w:rPr>
              <w:t>State</w:t>
            </w:r>
          </w:p>
        </w:tc>
        <w:tc>
          <w:tcPr>
            <w:tcW w:w="5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lang w:eastAsia="en-US" w:bidi="hi-IN"/>
              </w:rPr>
              <w:t>White to off-white crystalline powder</w:t>
            </w:r>
          </w:p>
        </w:tc>
      </w:tr>
      <w:tr w:rsidR="005975C5">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lang w:eastAsia="en-US" w:bidi="hi-IN"/>
              </w:rPr>
              <w:t>7</w:t>
            </w:r>
          </w:p>
        </w:tc>
        <w:tc>
          <w:tcPr>
            <w:tcW w:w="2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lang w:eastAsia="en-US" w:bidi="hi-IN"/>
              </w:rPr>
              <w:t>Solubility in solvent</w:t>
            </w:r>
          </w:p>
        </w:tc>
        <w:tc>
          <w:tcPr>
            <w:tcW w:w="5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lang w:eastAsia="en-US" w:bidi="hi-IN"/>
              </w:rPr>
              <w:t>Soluble in methanol, ethanol, acetonitrile; slightly soluble in</w:t>
            </w:r>
            <w:r>
              <w:rPr>
                <w:rFonts w:ascii="Times New Roman" w:eastAsia="Calibri" w:hAnsi="Times New Roman" w:cs="Times New Roman"/>
                <w:sz w:val="24"/>
                <w:lang w:eastAsia="en-US" w:bidi="hi-IN"/>
              </w:rPr>
              <w:t xml:space="preserve"> water</w:t>
            </w:r>
          </w:p>
        </w:tc>
      </w:tr>
      <w:tr w:rsidR="005975C5">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lang w:eastAsia="en-US" w:bidi="hi-IN"/>
              </w:rPr>
              <w:t>8</w:t>
            </w:r>
          </w:p>
        </w:tc>
        <w:tc>
          <w:tcPr>
            <w:tcW w:w="2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lang w:eastAsia="en-US" w:bidi="hi-IN"/>
              </w:rPr>
              <w:t>Route</w:t>
            </w:r>
          </w:p>
        </w:tc>
        <w:tc>
          <w:tcPr>
            <w:tcW w:w="5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lang w:eastAsia="en-US" w:bidi="hi-IN"/>
              </w:rPr>
              <w:t>Oral</w:t>
            </w:r>
          </w:p>
        </w:tc>
      </w:tr>
      <w:tr w:rsidR="005975C5">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lang w:eastAsia="en-US" w:bidi="hi-IN"/>
              </w:rPr>
              <w:t>9</w:t>
            </w:r>
          </w:p>
        </w:tc>
        <w:tc>
          <w:tcPr>
            <w:tcW w:w="2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lang w:eastAsia="en-US" w:bidi="hi-IN"/>
              </w:rPr>
              <w:t>BCS Classification</w:t>
            </w:r>
          </w:p>
        </w:tc>
        <w:tc>
          <w:tcPr>
            <w:tcW w:w="5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lang w:eastAsia="en-US" w:bidi="hi-IN"/>
              </w:rPr>
              <w:t>Class II (low solubility, high permeability)</w:t>
            </w:r>
          </w:p>
        </w:tc>
      </w:tr>
      <w:tr w:rsidR="005975C5">
        <w:tc>
          <w:tcPr>
            <w:tcW w:w="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lang w:eastAsia="en-US" w:bidi="hi-IN"/>
              </w:rPr>
              <w:t>10</w:t>
            </w:r>
          </w:p>
        </w:tc>
        <w:tc>
          <w:tcPr>
            <w:tcW w:w="2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lang w:eastAsia="en-US" w:bidi="hi-IN"/>
              </w:rPr>
              <w:t>Bioavailability</w:t>
            </w:r>
          </w:p>
        </w:tc>
        <w:tc>
          <w:tcPr>
            <w:tcW w:w="5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lang w:eastAsia="en-US" w:bidi="hi-IN"/>
              </w:rPr>
              <w:t>Moderate (~50–60%)</w:t>
            </w:r>
          </w:p>
        </w:tc>
      </w:tr>
    </w:tbl>
    <w:p w:rsidR="005975C5" w:rsidRDefault="005975C5">
      <w:pPr>
        <w:spacing w:after="160" w:line="360" w:lineRule="auto"/>
        <w:rPr>
          <w:rFonts w:ascii="Times New Roman" w:eastAsia="Times New Roman" w:hAnsi="Times New Roman" w:cs="Times New Roman"/>
          <w:b/>
          <w:sz w:val="26"/>
          <w:szCs w:val="26"/>
        </w:rPr>
      </w:pP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lang w:eastAsia="en-US" w:bidi="hi-IN"/>
        </w:rPr>
        <w:t>Mechanism of Action:</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lang w:eastAsia="en-US" w:bidi="hi-IN"/>
        </w:rPr>
        <w:t xml:space="preserve">Nafithromycin is a ketolide antibiotic that inhibits bacterial protein synthesis by binding to the 50S </w:t>
      </w:r>
      <w:r>
        <w:rPr>
          <w:rFonts w:ascii="Times New Roman" w:eastAsia="Calibri" w:hAnsi="Times New Roman" w:cs="Times New Roman"/>
          <w:sz w:val="24"/>
          <w:lang w:eastAsia="en-US" w:bidi="hi-IN"/>
        </w:rPr>
        <w:t>ribosomal subunit.</w:t>
      </w:r>
    </w:p>
    <w:p w:rsidR="005975C5" w:rsidRDefault="008C00FB">
      <w:pPr>
        <w:spacing w:after="160" w:line="360" w:lineRule="auto"/>
        <w:jc w:val="left"/>
        <w:rPr>
          <w:rFonts w:ascii="Times New Roman" w:eastAsia="Times New Roman" w:hAnsi="Times New Roman" w:cs="Times New Roman"/>
          <w:b/>
          <w:sz w:val="26"/>
          <w:szCs w:val="26"/>
        </w:rPr>
      </w:pPr>
      <w:r>
        <w:rPr>
          <w:rFonts w:ascii="Times New Roman" w:eastAsia="Calibri" w:hAnsi="Times New Roman" w:cs="Times New Roman"/>
          <w:sz w:val="24"/>
          <w:lang w:eastAsia="en-US" w:bidi="hi-IN"/>
        </w:rPr>
        <w:t>• Binds strongly to bacterial ribosome</w:t>
      </w:r>
      <w:r>
        <w:rPr>
          <w:rFonts w:ascii="Times New Roman" w:eastAsia="Calibri" w:hAnsi="Times New Roman" w:cs="Times New Roman"/>
          <w:sz w:val="24"/>
          <w:lang w:eastAsia="en-US" w:bidi="hi-IN"/>
        </w:rPr>
        <w:br/>
      </w:r>
      <w:r>
        <w:rPr>
          <w:rFonts w:ascii="Times New Roman" w:eastAsia="Calibri" w:hAnsi="Times New Roman" w:cs="Times New Roman"/>
          <w:sz w:val="24"/>
          <w:lang w:eastAsia="en-US" w:bidi="hi-IN"/>
        </w:rPr>
        <w:t>• Blocks peptide chain elongation</w:t>
      </w:r>
      <w:r>
        <w:rPr>
          <w:rFonts w:ascii="Times New Roman" w:eastAsia="Calibri" w:hAnsi="Times New Roman" w:cs="Times New Roman"/>
          <w:sz w:val="24"/>
          <w:lang w:eastAsia="en-US" w:bidi="hi-IN"/>
        </w:rPr>
        <w:br/>
      </w:r>
      <w:r>
        <w:rPr>
          <w:rFonts w:ascii="Times New Roman" w:eastAsia="Calibri" w:hAnsi="Times New Roman" w:cs="Times New Roman"/>
          <w:sz w:val="24"/>
          <w:lang w:eastAsia="en-US" w:bidi="hi-IN"/>
        </w:rPr>
        <w:t>• Inhibits protein synthesis</w:t>
      </w:r>
      <w:r>
        <w:rPr>
          <w:rFonts w:ascii="Times New Roman" w:eastAsia="Calibri" w:hAnsi="Times New Roman" w:cs="Times New Roman"/>
          <w:sz w:val="24"/>
          <w:lang w:eastAsia="en-US" w:bidi="hi-IN"/>
        </w:rPr>
        <w:br/>
      </w:r>
      <w:r>
        <w:rPr>
          <w:rFonts w:ascii="Times New Roman" w:eastAsia="Calibri" w:hAnsi="Times New Roman" w:cs="Times New Roman"/>
          <w:sz w:val="24"/>
          <w:lang w:eastAsia="en-US" w:bidi="hi-IN"/>
        </w:rPr>
        <w:t>• Prevents bacterial growth (bacteriostatic action)</w:t>
      </w:r>
      <w:r>
        <w:rPr>
          <w:rFonts w:ascii="Times New Roman" w:eastAsia="Calibri" w:hAnsi="Times New Roman" w:cs="Times New Roman"/>
          <w:sz w:val="24"/>
          <w:lang w:eastAsia="en-US" w:bidi="hi-IN"/>
        </w:rPr>
        <w:br/>
      </w:r>
      <w:r>
        <w:rPr>
          <w:rFonts w:ascii="Times New Roman" w:eastAsia="Calibri" w:hAnsi="Times New Roman" w:cs="Times New Roman"/>
          <w:sz w:val="24"/>
          <w:lang w:eastAsia="en-US" w:bidi="hi-IN"/>
        </w:rPr>
        <w:t>• Shows enhanced activity against macrolide-resistant strains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lang w:eastAsia="en-US" w:bidi="hi-IN"/>
        </w:rPr>
        <w:t xml:space="preserve">This dual binding </w:t>
      </w:r>
      <w:r>
        <w:rPr>
          <w:rFonts w:ascii="Times New Roman" w:eastAsia="Calibri" w:hAnsi="Times New Roman" w:cs="Times New Roman"/>
          <w:sz w:val="24"/>
          <w:lang w:eastAsia="en-US" w:bidi="hi-IN"/>
        </w:rPr>
        <w:t>mechanism makes Nafithromycin more effective than traditional macrolides in resistant infections.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lang w:eastAsia="en-US" w:bidi="hi-IN"/>
        </w:rPr>
        <w:t>Adverse Reactions: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lang w:eastAsia="en-US" w:bidi="hi-IN"/>
        </w:rPr>
        <w:lastRenderedPageBreak/>
        <w:t>Nausea</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lang w:eastAsia="en-US" w:bidi="hi-IN"/>
        </w:rPr>
        <w:t>Diarrhea</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lang w:eastAsia="en-US" w:bidi="hi-IN"/>
        </w:rPr>
        <w:t>Headache</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lang w:eastAsia="en-US" w:bidi="hi-IN"/>
        </w:rPr>
        <w:t>Abdominal discomfort</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lang w:eastAsia="en-US" w:bidi="hi-IN"/>
        </w:rPr>
        <w:t>Dizziness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lang w:eastAsia="en-US" w:bidi="hi-IN"/>
        </w:rPr>
        <w:t>Elevated liver enzymes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lang w:eastAsia="en-US" w:bidi="hi-IN"/>
        </w:rPr>
        <w:t xml:space="preserve">Pharmacokinetics </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lang w:eastAsia="en-US" w:bidi="hi-IN"/>
        </w:rPr>
        <w:t>Absorption:</w:t>
      </w:r>
      <w:r>
        <w:rPr>
          <w:rFonts w:ascii="Times New Roman" w:eastAsia="Calibri" w:hAnsi="Times New Roman" w:cs="Times New Roman"/>
          <w:sz w:val="24"/>
          <w:lang w:eastAsia="en-US" w:bidi="hi-IN"/>
        </w:rPr>
        <w:t xml:space="preserve"> Good oral absorption</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lang w:eastAsia="en-US" w:bidi="hi-IN"/>
        </w:rPr>
        <w:t>Distribution:</w:t>
      </w:r>
      <w:r>
        <w:rPr>
          <w:rFonts w:ascii="Times New Roman" w:eastAsia="Calibri" w:hAnsi="Times New Roman" w:cs="Times New Roman"/>
          <w:sz w:val="24"/>
          <w:lang w:eastAsia="en-US" w:bidi="hi-IN"/>
        </w:rPr>
        <w:t xml:space="preserve"> High tissue penetration (especially lungs)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lang w:eastAsia="en-US" w:bidi="hi-IN"/>
        </w:rPr>
        <w:t>Metabolism:</w:t>
      </w:r>
      <w:r>
        <w:rPr>
          <w:rFonts w:ascii="Times New Roman" w:eastAsia="Calibri" w:hAnsi="Times New Roman" w:cs="Times New Roman"/>
          <w:sz w:val="24"/>
          <w:lang w:eastAsia="en-US" w:bidi="hi-IN"/>
        </w:rPr>
        <w:t xml:space="preserve"> Hepatic metabolism</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lang w:eastAsia="en-US" w:bidi="hi-IN"/>
        </w:rPr>
        <w:t>Excretion:</w:t>
      </w:r>
      <w:r>
        <w:rPr>
          <w:rFonts w:ascii="Times New Roman" w:eastAsia="Calibri" w:hAnsi="Times New Roman" w:cs="Times New Roman"/>
          <w:sz w:val="24"/>
          <w:lang w:eastAsia="en-US" w:bidi="hi-IN"/>
        </w:rPr>
        <w:t xml:space="preserve"> Mainly via bile</w:t>
      </w:r>
    </w:p>
    <w:p w:rsidR="005975C5" w:rsidRDefault="005975C5">
      <w:pPr>
        <w:spacing w:after="200" w:line="360" w:lineRule="auto"/>
        <w:jc w:val="left"/>
        <w:rPr>
          <w:rFonts w:ascii="Times New Roman" w:eastAsia="Times New Roman" w:hAnsi="Times New Roman" w:cs="Times New Roman"/>
          <w:b/>
          <w:sz w:val="26"/>
          <w:szCs w:val="26"/>
        </w:rPr>
      </w:pPr>
    </w:p>
    <w:p w:rsidR="005975C5" w:rsidRDefault="005975C5">
      <w:pPr>
        <w:spacing w:after="200" w:line="360" w:lineRule="auto"/>
        <w:jc w:val="left"/>
        <w:rPr>
          <w:rFonts w:ascii="Times New Roman" w:eastAsia="Times New Roman" w:hAnsi="Times New Roman" w:cs="Times New Roman"/>
          <w:b/>
          <w:sz w:val="26"/>
          <w:szCs w:val="26"/>
        </w:rPr>
      </w:pPr>
    </w:p>
    <w:p w:rsidR="005975C5" w:rsidRDefault="005975C5">
      <w:pPr>
        <w:spacing w:after="200" w:line="360" w:lineRule="auto"/>
        <w:jc w:val="left"/>
        <w:rPr>
          <w:rFonts w:ascii="Times New Roman" w:eastAsia="Times New Roman" w:hAnsi="Times New Roman" w:cs="Times New Roman"/>
          <w:b/>
          <w:sz w:val="26"/>
          <w:szCs w:val="26"/>
        </w:rPr>
      </w:pPr>
    </w:p>
    <w:p w:rsidR="005975C5" w:rsidRDefault="008C00FB">
      <w:pPr>
        <w:spacing w:after="200" w:line="360" w:lineRule="auto"/>
        <w:jc w:val="left"/>
        <w:rPr>
          <w:rFonts w:ascii="Times New Roman" w:eastAsia="Times New Roman" w:hAnsi="Times New Roman" w:cs="Times New Roman"/>
          <w:b/>
          <w:sz w:val="26"/>
          <w:szCs w:val="26"/>
        </w:rPr>
      </w:pPr>
      <w:r>
        <w:rPr>
          <w:rFonts w:ascii="Times New Roman" w:eastAsia="Calibri" w:hAnsi="Times New Roman" w:cs="Times New Roman"/>
          <w:b/>
          <w:bCs/>
          <w:sz w:val="24"/>
          <w:szCs w:val="24"/>
          <w:lang w:val="en-US" w:eastAsia="en-US" w:bidi="hi-IN"/>
        </w:rPr>
        <w:t>MATERIALS &amp; EQUIPMENTS</w:t>
      </w:r>
    </w:p>
    <w:p w:rsidR="005975C5" w:rsidRDefault="008C00FB">
      <w:pPr>
        <w:spacing w:after="200" w:line="360" w:lineRule="auto"/>
        <w:jc w:val="center"/>
        <w:rPr>
          <w:rFonts w:ascii="Times New Roman" w:eastAsia="Times New Roman" w:hAnsi="Times New Roman" w:cs="Times New Roman"/>
          <w:b/>
          <w:sz w:val="26"/>
          <w:szCs w:val="26"/>
        </w:rPr>
      </w:pPr>
      <w:r>
        <w:rPr>
          <w:rFonts w:ascii="Times New Roman" w:eastAsia="Calibri" w:hAnsi="Times New Roman" w:cs="Times New Roman"/>
          <w:b/>
          <w:bCs/>
          <w:sz w:val="24"/>
          <w:szCs w:val="24"/>
          <w:lang w:val="en-US" w:eastAsia="en-US" w:bidi="hi-IN"/>
        </w:rPr>
        <w:t xml:space="preserve">Table No.2: </w:t>
      </w:r>
      <w:r>
        <w:rPr>
          <w:rFonts w:ascii="Times New Roman" w:eastAsia="Calibri" w:hAnsi="Times New Roman" w:cs="Times New Roman"/>
          <w:b/>
          <w:bCs/>
          <w:sz w:val="24"/>
          <w:szCs w:val="24"/>
          <w:lang w:eastAsia="en-US" w:bidi="hi-IN"/>
        </w:rPr>
        <w:t>INSTRUMENTS / EQUIPMENTS USED</w:t>
      </w:r>
    </w:p>
    <w:tbl>
      <w:tblPr>
        <w:tblW w:w="8642" w:type="dxa"/>
        <w:tblLook w:val="0000" w:firstRow="0" w:lastRow="0" w:firstColumn="0" w:lastColumn="0" w:noHBand="0" w:noVBand="0"/>
      </w:tblPr>
      <w:tblGrid>
        <w:gridCol w:w="1656"/>
        <w:gridCol w:w="3075"/>
        <w:gridCol w:w="3911"/>
      </w:tblGrid>
      <w:tr w:rsidR="005975C5">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autoSpaceDE w:val="0"/>
              <w:autoSpaceDN w:val="0"/>
              <w:spacing w:after="160" w:line="360" w:lineRule="auto"/>
              <w:jc w:val="left"/>
              <w:rPr>
                <w:rFonts w:ascii="Times New Roman" w:eastAsia="Times New Roman" w:hAnsi="Times New Roman" w:cs="Times New Roman"/>
                <w:b/>
                <w:sz w:val="26"/>
                <w:szCs w:val="26"/>
              </w:rPr>
            </w:pPr>
            <w:r>
              <w:rPr>
                <w:rFonts w:ascii="Times New Roman" w:eastAsia="Times New Roman" w:hAnsi="Times New Roman" w:cs="Times New Roman"/>
                <w:b/>
                <w:bCs/>
                <w:sz w:val="24"/>
                <w:szCs w:val="24"/>
                <w:lang w:eastAsia="en-US"/>
              </w:rPr>
              <w:t>Sr. No.</w:t>
            </w:r>
          </w:p>
        </w:tc>
        <w:tc>
          <w:tcPr>
            <w:tcW w:w="30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autoSpaceDE w:val="0"/>
              <w:autoSpaceDN w:val="0"/>
              <w:spacing w:after="160" w:line="360" w:lineRule="auto"/>
              <w:jc w:val="left"/>
              <w:rPr>
                <w:rFonts w:ascii="Times New Roman" w:eastAsia="Times New Roman" w:hAnsi="Times New Roman" w:cs="Times New Roman"/>
                <w:b/>
                <w:sz w:val="26"/>
                <w:szCs w:val="26"/>
              </w:rPr>
            </w:pPr>
            <w:r>
              <w:rPr>
                <w:rFonts w:ascii="Times New Roman" w:eastAsia="Times New Roman" w:hAnsi="Times New Roman" w:cs="Times New Roman"/>
                <w:b/>
                <w:bCs/>
                <w:sz w:val="24"/>
                <w:szCs w:val="24"/>
                <w:lang w:eastAsia="en-US"/>
              </w:rPr>
              <w:t>Instrument / Equipment</w:t>
            </w:r>
          </w:p>
        </w:tc>
        <w:tc>
          <w:tcPr>
            <w:tcW w:w="39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autoSpaceDE w:val="0"/>
              <w:autoSpaceDN w:val="0"/>
              <w:spacing w:after="160" w:line="360" w:lineRule="auto"/>
              <w:jc w:val="left"/>
              <w:rPr>
                <w:rFonts w:ascii="Times New Roman" w:eastAsia="Times New Roman" w:hAnsi="Times New Roman" w:cs="Times New Roman"/>
                <w:b/>
                <w:sz w:val="26"/>
                <w:szCs w:val="26"/>
              </w:rPr>
            </w:pPr>
            <w:r>
              <w:rPr>
                <w:rFonts w:ascii="Times New Roman" w:eastAsia="Times New Roman" w:hAnsi="Times New Roman" w:cs="Times New Roman"/>
                <w:b/>
                <w:bCs/>
                <w:sz w:val="24"/>
                <w:szCs w:val="24"/>
                <w:lang w:eastAsia="en-US"/>
              </w:rPr>
              <w:t>Specification / Details</w:t>
            </w:r>
          </w:p>
        </w:tc>
      </w:tr>
      <w:tr w:rsidR="005975C5">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5975C5">
            <w:pPr>
              <w:autoSpaceDE w:val="0"/>
              <w:autoSpaceDN w:val="0"/>
              <w:spacing w:after="160" w:line="360" w:lineRule="auto"/>
              <w:jc w:val="left"/>
              <w:rPr>
                <w:rFonts w:ascii="Times New Roman" w:eastAsia="Times New Roman" w:hAnsi="Times New Roman" w:cs="Times New Roman"/>
                <w:b/>
                <w:sz w:val="26"/>
                <w:szCs w:val="26"/>
              </w:rPr>
            </w:pPr>
          </w:p>
        </w:tc>
        <w:tc>
          <w:tcPr>
            <w:tcW w:w="30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autoSpaceDE w:val="0"/>
              <w:autoSpaceDN w:val="0"/>
              <w:spacing w:after="160" w:line="360" w:lineRule="auto"/>
              <w:jc w:val="left"/>
              <w:rPr>
                <w:rFonts w:ascii="Times New Roman" w:eastAsia="Times New Roman" w:hAnsi="Times New Roman" w:cs="Times New Roman"/>
                <w:b/>
                <w:sz w:val="26"/>
                <w:szCs w:val="26"/>
              </w:rPr>
            </w:pPr>
            <w:r>
              <w:rPr>
                <w:rFonts w:ascii="Times New Roman" w:eastAsia="Times New Roman" w:hAnsi="Times New Roman" w:cs="Times New Roman"/>
                <w:sz w:val="24"/>
                <w:szCs w:val="24"/>
                <w:lang w:eastAsia="en-US"/>
              </w:rPr>
              <w:t xml:space="preserve">UV–Visible </w:t>
            </w:r>
            <w:r>
              <w:rPr>
                <w:rFonts w:ascii="Times New Roman" w:eastAsia="Times New Roman" w:hAnsi="Times New Roman" w:cs="Times New Roman"/>
                <w:sz w:val="24"/>
                <w:szCs w:val="24"/>
                <w:lang w:eastAsia="en-US"/>
              </w:rPr>
              <w:t>Spectrophotometer</w:t>
            </w:r>
          </w:p>
        </w:tc>
        <w:tc>
          <w:tcPr>
            <w:tcW w:w="39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autoSpaceDE w:val="0"/>
              <w:autoSpaceDN w:val="0"/>
              <w:spacing w:after="160" w:line="360" w:lineRule="auto"/>
              <w:jc w:val="left"/>
              <w:rPr>
                <w:rFonts w:ascii="Times New Roman" w:eastAsia="Times New Roman" w:hAnsi="Times New Roman" w:cs="Times New Roman"/>
                <w:b/>
                <w:sz w:val="26"/>
                <w:szCs w:val="26"/>
              </w:rPr>
            </w:pPr>
            <w:r>
              <w:rPr>
                <w:rFonts w:ascii="Times New Roman" w:eastAsia="Times New Roman" w:hAnsi="Times New Roman" w:cs="Times New Roman"/>
                <w:sz w:val="24"/>
                <w:szCs w:val="24"/>
                <w:lang w:eastAsia="en-US"/>
              </w:rPr>
              <w:t>Systronics 119 (ID: AL - 19)</w:t>
            </w:r>
          </w:p>
        </w:tc>
      </w:tr>
      <w:tr w:rsidR="005975C5">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5975C5">
            <w:pPr>
              <w:autoSpaceDE w:val="0"/>
              <w:autoSpaceDN w:val="0"/>
              <w:spacing w:after="160" w:line="360" w:lineRule="auto"/>
              <w:jc w:val="left"/>
              <w:rPr>
                <w:rFonts w:ascii="Times New Roman" w:eastAsia="Times New Roman" w:hAnsi="Times New Roman" w:cs="Times New Roman"/>
                <w:b/>
                <w:sz w:val="26"/>
                <w:szCs w:val="26"/>
              </w:rPr>
            </w:pPr>
          </w:p>
        </w:tc>
        <w:tc>
          <w:tcPr>
            <w:tcW w:w="30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autoSpaceDE w:val="0"/>
              <w:autoSpaceDN w:val="0"/>
              <w:spacing w:after="160" w:line="360" w:lineRule="auto"/>
              <w:jc w:val="left"/>
              <w:rPr>
                <w:rFonts w:ascii="Times New Roman" w:eastAsia="Times New Roman" w:hAnsi="Times New Roman" w:cs="Times New Roman"/>
                <w:b/>
                <w:sz w:val="26"/>
                <w:szCs w:val="26"/>
              </w:rPr>
            </w:pPr>
            <w:r>
              <w:rPr>
                <w:rFonts w:ascii="Times New Roman" w:eastAsia="Times New Roman" w:hAnsi="Times New Roman" w:cs="Times New Roman"/>
                <w:sz w:val="24"/>
                <w:szCs w:val="24"/>
                <w:lang w:eastAsia="en-US"/>
              </w:rPr>
              <w:t>Analytical Weighing Balance</w:t>
            </w:r>
          </w:p>
        </w:tc>
        <w:tc>
          <w:tcPr>
            <w:tcW w:w="39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autoSpaceDE w:val="0"/>
              <w:autoSpaceDN w:val="0"/>
              <w:spacing w:after="160" w:line="360" w:lineRule="auto"/>
              <w:jc w:val="left"/>
              <w:rPr>
                <w:rFonts w:ascii="Times New Roman" w:eastAsia="Times New Roman" w:hAnsi="Times New Roman" w:cs="Times New Roman"/>
                <w:b/>
                <w:sz w:val="26"/>
                <w:szCs w:val="26"/>
              </w:rPr>
            </w:pPr>
            <w:r>
              <w:rPr>
                <w:rFonts w:ascii="Times New Roman" w:eastAsia="Times New Roman" w:hAnsi="Times New Roman" w:cs="Times New Roman"/>
                <w:sz w:val="24"/>
                <w:szCs w:val="24"/>
                <w:lang w:eastAsia="en-US"/>
              </w:rPr>
              <w:t>Mettler Toledo B204S</w:t>
            </w:r>
          </w:p>
        </w:tc>
      </w:tr>
      <w:tr w:rsidR="005975C5">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5975C5">
            <w:pPr>
              <w:autoSpaceDE w:val="0"/>
              <w:autoSpaceDN w:val="0"/>
              <w:spacing w:after="160" w:line="360" w:lineRule="auto"/>
              <w:jc w:val="left"/>
              <w:rPr>
                <w:rFonts w:ascii="Times New Roman" w:eastAsia="Times New Roman" w:hAnsi="Times New Roman" w:cs="Times New Roman"/>
                <w:b/>
                <w:sz w:val="26"/>
                <w:szCs w:val="26"/>
              </w:rPr>
            </w:pPr>
          </w:p>
        </w:tc>
        <w:tc>
          <w:tcPr>
            <w:tcW w:w="30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autoSpaceDE w:val="0"/>
              <w:autoSpaceDN w:val="0"/>
              <w:spacing w:after="160" w:line="360" w:lineRule="auto"/>
              <w:jc w:val="left"/>
              <w:rPr>
                <w:rFonts w:ascii="Times New Roman" w:eastAsia="Times New Roman" w:hAnsi="Times New Roman" w:cs="Times New Roman"/>
                <w:b/>
                <w:sz w:val="26"/>
                <w:szCs w:val="26"/>
              </w:rPr>
            </w:pPr>
            <w:r>
              <w:rPr>
                <w:rFonts w:ascii="Times New Roman" w:eastAsia="Times New Roman" w:hAnsi="Times New Roman" w:cs="Times New Roman"/>
                <w:sz w:val="24"/>
                <w:szCs w:val="24"/>
                <w:lang w:eastAsia="en-US"/>
              </w:rPr>
              <w:t>Membrane Filter</w:t>
            </w:r>
          </w:p>
        </w:tc>
        <w:tc>
          <w:tcPr>
            <w:tcW w:w="39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autoSpaceDE w:val="0"/>
              <w:autoSpaceDN w:val="0"/>
              <w:spacing w:after="160" w:line="360" w:lineRule="auto"/>
              <w:jc w:val="left"/>
              <w:rPr>
                <w:rFonts w:ascii="Times New Roman" w:eastAsia="Times New Roman" w:hAnsi="Times New Roman" w:cs="Times New Roman"/>
                <w:b/>
                <w:sz w:val="26"/>
                <w:szCs w:val="26"/>
              </w:rPr>
            </w:pPr>
            <w:r>
              <w:rPr>
                <w:rFonts w:ascii="Times New Roman" w:eastAsia="Times New Roman" w:hAnsi="Times New Roman" w:cs="Times New Roman"/>
                <w:sz w:val="24"/>
                <w:szCs w:val="24"/>
                <w:lang w:eastAsia="en-US"/>
              </w:rPr>
              <w:t>Millipore 0.2 µm</w:t>
            </w:r>
          </w:p>
        </w:tc>
      </w:tr>
      <w:tr w:rsidR="005975C5">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5975C5">
            <w:pPr>
              <w:autoSpaceDE w:val="0"/>
              <w:autoSpaceDN w:val="0"/>
              <w:spacing w:after="160" w:line="360" w:lineRule="auto"/>
              <w:jc w:val="left"/>
              <w:rPr>
                <w:rFonts w:ascii="Times New Roman" w:eastAsia="Times New Roman" w:hAnsi="Times New Roman" w:cs="Times New Roman"/>
                <w:b/>
                <w:sz w:val="26"/>
                <w:szCs w:val="26"/>
              </w:rPr>
            </w:pPr>
          </w:p>
        </w:tc>
        <w:tc>
          <w:tcPr>
            <w:tcW w:w="30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autoSpaceDE w:val="0"/>
              <w:autoSpaceDN w:val="0"/>
              <w:spacing w:after="160" w:line="360" w:lineRule="auto"/>
              <w:jc w:val="left"/>
              <w:rPr>
                <w:rFonts w:ascii="Times New Roman" w:eastAsia="Times New Roman" w:hAnsi="Times New Roman" w:cs="Times New Roman"/>
                <w:b/>
                <w:sz w:val="26"/>
                <w:szCs w:val="26"/>
              </w:rPr>
            </w:pPr>
            <w:r>
              <w:rPr>
                <w:rFonts w:ascii="Times New Roman" w:eastAsia="Times New Roman" w:hAnsi="Times New Roman" w:cs="Times New Roman"/>
                <w:sz w:val="24"/>
                <w:szCs w:val="24"/>
                <w:lang w:eastAsia="en-US"/>
              </w:rPr>
              <w:t>Laboratory Accessories</w:t>
            </w:r>
          </w:p>
        </w:tc>
        <w:tc>
          <w:tcPr>
            <w:tcW w:w="39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autoSpaceDE w:val="0"/>
              <w:autoSpaceDN w:val="0"/>
              <w:spacing w:after="160" w:line="360" w:lineRule="auto"/>
              <w:jc w:val="left"/>
              <w:rPr>
                <w:rFonts w:ascii="Times New Roman" w:eastAsia="Times New Roman" w:hAnsi="Times New Roman" w:cs="Times New Roman"/>
                <w:b/>
                <w:sz w:val="26"/>
                <w:szCs w:val="26"/>
              </w:rPr>
            </w:pPr>
            <w:r>
              <w:rPr>
                <w:rFonts w:ascii="Times New Roman" w:eastAsia="Times New Roman" w:hAnsi="Times New Roman" w:cs="Times New Roman"/>
                <w:sz w:val="24"/>
                <w:szCs w:val="24"/>
                <w:lang w:eastAsia="en-US"/>
              </w:rPr>
              <w:t>Volumetric flasks, pipettes, beakers, etc.</w:t>
            </w:r>
          </w:p>
        </w:tc>
      </w:tr>
    </w:tbl>
    <w:p w:rsidR="005975C5" w:rsidRDefault="008C00FB">
      <w:pPr>
        <w:autoSpaceDE w:val="0"/>
        <w:autoSpaceDN w:val="0"/>
        <w:spacing w:after="160"/>
        <w:jc w:val="left"/>
        <w:rPr>
          <w:rFonts w:ascii="Times New Roman" w:eastAsia="Times New Roman" w:hAnsi="Times New Roman" w:cs="Times New Roman"/>
          <w:b/>
          <w:sz w:val="26"/>
          <w:szCs w:val="26"/>
        </w:rPr>
      </w:pPr>
      <w:r>
        <w:rPr>
          <w:rFonts w:ascii="Times New Roman" w:eastAsia="Times New Roman" w:hAnsi="Times New Roman" w:cs="Times New Roman"/>
          <w:b/>
          <w:bCs/>
          <w:sz w:val="24"/>
          <w:szCs w:val="24"/>
          <w:lang w:val="en-US" w:eastAsia="en-US"/>
        </w:rPr>
        <w:t xml:space="preserve">                                                      </w:t>
      </w:r>
      <w:r>
        <w:rPr>
          <w:rFonts w:ascii="Times New Roman" w:eastAsia="Times New Roman" w:hAnsi="Times New Roman" w:cs="Times New Roman"/>
          <w:b/>
          <w:bCs/>
          <w:sz w:val="24"/>
          <w:szCs w:val="24"/>
          <w:lang w:val="en-US" w:eastAsia="en-US"/>
        </w:rPr>
        <w:t xml:space="preserve"> </w:t>
      </w:r>
      <w:r>
        <w:rPr>
          <w:rFonts w:ascii="Times New Roman" w:eastAsia="Times New Roman" w:hAnsi="Times New Roman" w:cs="Times New Roman"/>
          <w:b/>
          <w:bCs/>
          <w:sz w:val="24"/>
          <w:szCs w:val="24"/>
          <w:lang w:val="en-US" w:eastAsia="en-US"/>
        </w:rPr>
        <w:br/>
      </w:r>
      <w:r>
        <w:rPr>
          <w:rFonts w:ascii="Times New Roman" w:eastAsia="Times New Roman" w:hAnsi="Times New Roman" w:cs="Times New Roman"/>
          <w:b/>
          <w:bCs/>
          <w:sz w:val="24"/>
          <w:szCs w:val="24"/>
          <w:lang w:val="en-US" w:eastAsia="en-US"/>
        </w:rPr>
        <w:lastRenderedPageBreak/>
        <w:t xml:space="preserve">               </w:t>
      </w:r>
    </w:p>
    <w:p w:rsidR="005975C5" w:rsidRDefault="008C00FB">
      <w:pPr>
        <w:spacing w:after="200" w:line="276" w:lineRule="auto"/>
        <w:jc w:val="center"/>
        <w:rPr>
          <w:rFonts w:ascii="Times New Roman" w:eastAsia="Times New Roman" w:hAnsi="Times New Roman" w:cs="Times New Roman"/>
          <w:b/>
          <w:sz w:val="26"/>
          <w:szCs w:val="26"/>
        </w:rPr>
      </w:pPr>
      <w:r>
        <w:rPr>
          <w:rFonts w:ascii="Times New Roman" w:eastAsia="Calibri" w:hAnsi="Times New Roman" w:cs="Times New Roman"/>
          <w:b/>
          <w:bCs/>
          <w:sz w:val="24"/>
          <w:szCs w:val="24"/>
          <w:lang w:val="en-US" w:eastAsia="en-US" w:bidi="hi-IN"/>
        </w:rPr>
        <w:t xml:space="preserve">Table No.3: </w:t>
      </w:r>
      <w:r>
        <w:rPr>
          <w:rFonts w:ascii="Times New Roman" w:eastAsia="Calibri" w:hAnsi="Times New Roman" w:cs="Times New Roman"/>
          <w:b/>
          <w:bCs/>
          <w:sz w:val="24"/>
          <w:szCs w:val="24"/>
          <w:lang w:eastAsia="en-US" w:bidi="hi-IN"/>
        </w:rPr>
        <w:t>REAGENTS, STANDARDS &amp; SAMPLES USED</w:t>
      </w:r>
    </w:p>
    <w:tbl>
      <w:tblPr>
        <w:tblW w:w="8642" w:type="dxa"/>
        <w:tblLook w:val="0000" w:firstRow="0" w:lastRow="0" w:firstColumn="0" w:lastColumn="0" w:noHBand="0" w:noVBand="0"/>
      </w:tblPr>
      <w:tblGrid>
        <w:gridCol w:w="1655"/>
        <w:gridCol w:w="3009"/>
        <w:gridCol w:w="3978"/>
      </w:tblGrid>
      <w:tr w:rsidR="005975C5">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200" w:line="360" w:lineRule="auto"/>
              <w:jc w:val="left"/>
              <w:rPr>
                <w:rFonts w:ascii="Times New Roman" w:eastAsia="Times New Roman" w:hAnsi="Times New Roman" w:cs="Times New Roman"/>
                <w:b/>
                <w:sz w:val="26"/>
                <w:szCs w:val="26"/>
              </w:rPr>
            </w:pPr>
            <w:r>
              <w:rPr>
                <w:rFonts w:ascii="Times New Roman" w:eastAsia="Calibri" w:hAnsi="Times New Roman" w:cs="Times New Roman"/>
                <w:b/>
                <w:bCs/>
                <w:sz w:val="24"/>
                <w:szCs w:val="24"/>
                <w:lang w:eastAsia="en-US" w:bidi="hi-IN"/>
              </w:rPr>
              <w:t>Sr. No.</w:t>
            </w:r>
          </w:p>
        </w:tc>
        <w:tc>
          <w:tcPr>
            <w:tcW w:w="30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200" w:line="360" w:lineRule="auto"/>
              <w:jc w:val="left"/>
              <w:rPr>
                <w:rFonts w:ascii="Times New Roman" w:eastAsia="Times New Roman" w:hAnsi="Times New Roman" w:cs="Times New Roman"/>
                <w:b/>
                <w:sz w:val="26"/>
                <w:szCs w:val="26"/>
              </w:rPr>
            </w:pPr>
            <w:r>
              <w:rPr>
                <w:rFonts w:ascii="Times New Roman" w:eastAsia="Calibri" w:hAnsi="Times New Roman" w:cs="Times New Roman"/>
                <w:b/>
                <w:bCs/>
                <w:sz w:val="24"/>
                <w:szCs w:val="24"/>
                <w:lang w:eastAsia="en-US" w:bidi="hi-IN"/>
              </w:rPr>
              <w:t>Material</w:t>
            </w:r>
          </w:p>
        </w:tc>
        <w:tc>
          <w:tcPr>
            <w:tcW w:w="39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200" w:line="360" w:lineRule="auto"/>
              <w:jc w:val="left"/>
              <w:rPr>
                <w:rFonts w:ascii="Times New Roman" w:eastAsia="Times New Roman" w:hAnsi="Times New Roman" w:cs="Times New Roman"/>
                <w:b/>
                <w:sz w:val="26"/>
                <w:szCs w:val="26"/>
              </w:rPr>
            </w:pPr>
            <w:r>
              <w:rPr>
                <w:rFonts w:ascii="Times New Roman" w:eastAsia="Calibri" w:hAnsi="Times New Roman" w:cs="Times New Roman"/>
                <w:b/>
                <w:bCs/>
                <w:sz w:val="24"/>
                <w:szCs w:val="24"/>
                <w:lang w:eastAsia="en-US" w:bidi="hi-IN"/>
              </w:rPr>
              <w:t>Description</w:t>
            </w:r>
          </w:p>
        </w:tc>
      </w:tr>
      <w:tr w:rsidR="005975C5">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5975C5">
            <w:pPr>
              <w:spacing w:after="200" w:line="360" w:lineRule="auto"/>
              <w:ind w:left="720"/>
              <w:jc w:val="left"/>
              <w:rPr>
                <w:rFonts w:ascii="Times New Roman" w:eastAsia="Times New Roman" w:hAnsi="Times New Roman" w:cs="Times New Roman"/>
                <w:b/>
                <w:sz w:val="26"/>
                <w:szCs w:val="26"/>
              </w:rPr>
            </w:pPr>
          </w:p>
        </w:tc>
        <w:tc>
          <w:tcPr>
            <w:tcW w:w="30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200" w:line="360" w:lineRule="auto"/>
              <w:jc w:val="left"/>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Nafithromycin Working Standard</w:t>
            </w:r>
          </w:p>
        </w:tc>
        <w:tc>
          <w:tcPr>
            <w:tcW w:w="39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200" w:line="360" w:lineRule="auto"/>
              <w:jc w:val="left"/>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Pure drug sample</w:t>
            </w:r>
          </w:p>
        </w:tc>
      </w:tr>
      <w:tr w:rsidR="005975C5">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5975C5">
            <w:pPr>
              <w:spacing w:after="200" w:line="360" w:lineRule="auto"/>
              <w:ind w:left="720"/>
              <w:jc w:val="left"/>
              <w:rPr>
                <w:rFonts w:ascii="Times New Roman" w:eastAsia="Times New Roman" w:hAnsi="Times New Roman" w:cs="Times New Roman"/>
                <w:b/>
                <w:sz w:val="26"/>
                <w:szCs w:val="26"/>
              </w:rPr>
            </w:pPr>
          </w:p>
        </w:tc>
        <w:tc>
          <w:tcPr>
            <w:tcW w:w="30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200" w:line="360" w:lineRule="auto"/>
              <w:jc w:val="left"/>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Marketed Formulation</w:t>
            </w:r>
          </w:p>
        </w:tc>
        <w:tc>
          <w:tcPr>
            <w:tcW w:w="39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200" w:line="360" w:lineRule="auto"/>
              <w:jc w:val="left"/>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MIQNAF (Nafithromycin Tablets 400 mg)</w:t>
            </w:r>
          </w:p>
        </w:tc>
      </w:tr>
      <w:tr w:rsidR="005975C5">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5975C5">
            <w:pPr>
              <w:spacing w:after="200" w:line="360" w:lineRule="auto"/>
              <w:ind w:left="720"/>
              <w:jc w:val="left"/>
              <w:rPr>
                <w:rFonts w:ascii="Times New Roman" w:eastAsia="Times New Roman" w:hAnsi="Times New Roman" w:cs="Times New Roman"/>
                <w:b/>
                <w:sz w:val="26"/>
                <w:szCs w:val="26"/>
              </w:rPr>
            </w:pPr>
          </w:p>
        </w:tc>
        <w:tc>
          <w:tcPr>
            <w:tcW w:w="30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200" w:line="360" w:lineRule="auto"/>
              <w:jc w:val="left"/>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Methanol</w:t>
            </w:r>
          </w:p>
        </w:tc>
        <w:tc>
          <w:tcPr>
            <w:tcW w:w="39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200" w:line="360" w:lineRule="auto"/>
              <w:jc w:val="left"/>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AR Grade</w:t>
            </w:r>
          </w:p>
        </w:tc>
      </w:tr>
      <w:tr w:rsidR="005975C5">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5975C5">
            <w:pPr>
              <w:spacing w:after="200" w:line="360" w:lineRule="auto"/>
              <w:ind w:left="720"/>
              <w:jc w:val="left"/>
              <w:rPr>
                <w:rFonts w:ascii="Times New Roman" w:eastAsia="Times New Roman" w:hAnsi="Times New Roman" w:cs="Times New Roman"/>
                <w:b/>
                <w:sz w:val="26"/>
                <w:szCs w:val="26"/>
              </w:rPr>
            </w:pPr>
          </w:p>
        </w:tc>
        <w:tc>
          <w:tcPr>
            <w:tcW w:w="30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200" w:line="360" w:lineRule="auto"/>
              <w:jc w:val="left"/>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Water</w:t>
            </w:r>
          </w:p>
        </w:tc>
        <w:tc>
          <w:tcPr>
            <w:tcW w:w="39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200" w:line="360" w:lineRule="auto"/>
              <w:jc w:val="left"/>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bidi="hi-IN"/>
              </w:rPr>
              <w:t>AR Grade</w:t>
            </w:r>
          </w:p>
        </w:tc>
      </w:tr>
    </w:tbl>
    <w:p w:rsidR="005975C5" w:rsidRDefault="005975C5">
      <w:pPr>
        <w:keepNext/>
        <w:keepLines/>
        <w:spacing w:after="160" w:line="360" w:lineRule="auto"/>
        <w:jc w:val="left"/>
        <w:outlineLvl w:val="1"/>
        <w:rPr>
          <w:rFonts w:ascii="Times New Roman" w:eastAsia="Times New Roman" w:hAnsi="Times New Roman" w:cs="Times New Roman"/>
          <w:b/>
          <w:sz w:val="26"/>
          <w:szCs w:val="26"/>
        </w:rPr>
      </w:pPr>
    </w:p>
    <w:p w:rsidR="005975C5" w:rsidRDefault="008C00FB">
      <w:pPr>
        <w:keepNext/>
        <w:keepLines/>
        <w:spacing w:after="160" w:line="360" w:lineRule="auto"/>
        <w:jc w:val="left"/>
        <w:outlineLvl w:val="1"/>
        <w:rPr>
          <w:rFonts w:ascii="Times New Roman" w:eastAsia="Times New Roman" w:hAnsi="Times New Roman" w:cs="Times New Roman"/>
          <w:b/>
          <w:sz w:val="26"/>
          <w:szCs w:val="26"/>
        </w:rPr>
      </w:pPr>
      <w:r>
        <w:rPr>
          <w:rFonts w:ascii="Times New Roman" w:eastAsia="SimSun" w:hAnsi="Times New Roman" w:cs="Times New Roman"/>
          <w:b/>
          <w:bCs/>
          <w:sz w:val="28"/>
          <w:szCs w:val="28"/>
          <w:lang w:val="en-US" w:eastAsia="en-US" w:bidi="hi-IN"/>
        </w:rPr>
        <w:t>EXPERIMENTAL</w:t>
      </w:r>
      <w:r>
        <w:rPr>
          <w:rFonts w:ascii="Times New Roman" w:eastAsia="SimSun" w:hAnsi="Times New Roman" w:cs="Times New Roman"/>
          <w:b/>
          <w:bCs/>
          <w:sz w:val="28"/>
          <w:szCs w:val="28"/>
          <w:lang w:val="en-US" w:eastAsia="en-US" w:bidi="hi-IN"/>
        </w:rPr>
        <w:t xml:space="preserve"> WORK</w:t>
      </w:r>
    </w:p>
    <w:p w:rsidR="005975C5" w:rsidRDefault="008C00FB">
      <w:pPr>
        <w:keepNext/>
        <w:keepLines/>
        <w:spacing w:after="160" w:line="360" w:lineRule="auto"/>
        <w:ind w:left="720" w:hanging="720"/>
        <w:jc w:val="left"/>
        <w:outlineLvl w:val="1"/>
        <w:rPr>
          <w:rFonts w:ascii="Times New Roman" w:eastAsia="Times New Roman" w:hAnsi="Times New Roman" w:cs="Times New Roman"/>
          <w:b/>
          <w:sz w:val="26"/>
          <w:szCs w:val="26"/>
        </w:rPr>
      </w:pPr>
      <w:r>
        <w:rPr>
          <w:rFonts w:ascii="Times New Roman" w:eastAsia="SimSun" w:hAnsi="Times New Roman" w:cs="Times New Roman"/>
          <w:b/>
          <w:bCs/>
          <w:sz w:val="24"/>
          <w:szCs w:val="24"/>
          <w:lang w:val="en-US" w:eastAsia="en-US" w:bidi="hi-IN"/>
        </w:rPr>
        <w:t>EXPERIMENTAL PLAN AND DATA EVALUATION:</w:t>
      </w:r>
    </w:p>
    <w:p w:rsidR="005975C5" w:rsidRDefault="008C00FB">
      <w:pPr>
        <w:spacing w:after="200" w:line="360" w:lineRule="auto"/>
        <w:ind w:left="720"/>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The analytical method Verification will be executed as per the following plan:</w:t>
      </w:r>
    </w:p>
    <w:p w:rsidR="005975C5" w:rsidRDefault="008C00FB">
      <w:pPr>
        <w:spacing w:after="160" w:line="360" w:lineRule="auto"/>
        <w:ind w:left="720" w:hanging="720"/>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The experiments may be done as sequential or simultaneous operations.</w:t>
      </w:r>
    </w:p>
    <w:p w:rsidR="005975C5" w:rsidRDefault="008C00FB">
      <w:pPr>
        <w:spacing w:after="160" w:line="360" w:lineRule="auto"/>
        <w:ind w:left="720" w:hanging="720"/>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 xml:space="preserve">Sample sequence of each experiment may be run together or </w:t>
      </w:r>
      <w:r>
        <w:rPr>
          <w:rFonts w:ascii="Times New Roman" w:eastAsia="Calibri" w:hAnsi="Times New Roman" w:cs="Times New Roman"/>
          <w:sz w:val="24"/>
          <w:szCs w:val="24"/>
          <w:lang w:val="en-US" w:eastAsia="en-US" w:bidi="hi-IN"/>
        </w:rPr>
        <w:t>independently with necessary alteration of sample sequence.</w:t>
      </w:r>
    </w:p>
    <w:p w:rsidR="005975C5" w:rsidRDefault="008C00FB">
      <w:pPr>
        <w:spacing w:after="160" w:line="360" w:lineRule="auto"/>
        <w:ind w:left="720" w:hanging="720"/>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The system suitability parameters should be monitored throughout the Verification study.</w:t>
      </w:r>
    </w:p>
    <w:p w:rsidR="005975C5" w:rsidRDefault="008C00FB">
      <w:pPr>
        <w:spacing w:after="160" w:line="360" w:lineRule="auto"/>
        <w:ind w:left="720" w:hanging="720"/>
        <w:rPr>
          <w:rFonts w:ascii="Times New Roman" w:eastAsia="Times New Roman" w:hAnsi="Times New Roman" w:cs="Times New Roman"/>
          <w:b/>
          <w:sz w:val="26"/>
          <w:szCs w:val="26"/>
        </w:rPr>
      </w:pPr>
      <w:r>
        <w:rPr>
          <w:rFonts w:ascii="Times New Roman" w:eastAsia="Calibri" w:hAnsi="Times New Roman" w:cs="Times New Roman"/>
          <w:spacing w:val="-2"/>
          <w:sz w:val="24"/>
          <w:szCs w:val="24"/>
          <w:lang w:val="en-US" w:eastAsia="en-US" w:bidi="hi-IN"/>
        </w:rPr>
        <w:t>Any deviation from the plan shall be evaluated and approved by protocol approving authority.</w:t>
      </w:r>
    </w:p>
    <w:p w:rsidR="005975C5" w:rsidRDefault="008C00FB">
      <w:pPr>
        <w:spacing w:after="20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val="en-US" w:eastAsia="en-US" w:bidi="hi-IN"/>
        </w:rPr>
        <w:t>1.0</w:t>
      </w:r>
      <w:r>
        <w:tab/>
      </w:r>
      <w:r>
        <w:rPr>
          <w:rFonts w:ascii="Times New Roman" w:eastAsia="Calibri" w:hAnsi="Times New Roman" w:cs="Times New Roman"/>
          <w:b/>
          <w:bCs/>
          <w:sz w:val="24"/>
          <w:szCs w:val="24"/>
          <w:lang w:val="en-US" w:eastAsia="en-US" w:bidi="hi-IN"/>
        </w:rPr>
        <w:t>Specificit</w:t>
      </w:r>
      <w:r>
        <w:rPr>
          <w:rFonts w:ascii="Times New Roman" w:eastAsia="Calibri" w:hAnsi="Times New Roman" w:cs="Times New Roman"/>
          <w:b/>
          <w:bCs/>
          <w:sz w:val="24"/>
          <w:szCs w:val="24"/>
          <w:lang w:val="en-US" w:eastAsia="en-US" w:bidi="hi-IN"/>
        </w:rPr>
        <w:t>y / Selectivity</w:t>
      </w:r>
    </w:p>
    <w:p w:rsidR="005975C5" w:rsidRDefault="008C00FB">
      <w:pPr>
        <w:spacing w:after="20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val="en-US" w:eastAsia="en-US" w:bidi="hi-IN"/>
        </w:rPr>
        <w:t>1.1</w:t>
      </w:r>
      <w:r>
        <w:tab/>
      </w:r>
      <w:r>
        <w:rPr>
          <w:rFonts w:ascii="Times New Roman" w:eastAsia="Calibri" w:hAnsi="Times New Roman" w:cs="Times New Roman"/>
          <w:b/>
          <w:bCs/>
          <w:sz w:val="24"/>
          <w:szCs w:val="24"/>
          <w:lang w:val="en-US" w:eastAsia="en-US" w:bidi="hi-IN"/>
        </w:rPr>
        <w:t>Preparation of analytical solutions</w:t>
      </w:r>
    </w:p>
    <w:p w:rsidR="005975C5" w:rsidRDefault="008C00FB">
      <w:pPr>
        <w:spacing w:after="160" w:line="360" w:lineRule="auto"/>
        <w:ind w:right="-25"/>
        <w:rPr>
          <w:rFonts w:ascii="Times New Roman" w:eastAsia="Times New Roman" w:hAnsi="Times New Roman" w:cs="Times New Roman"/>
          <w:b/>
          <w:sz w:val="26"/>
          <w:szCs w:val="26"/>
        </w:rPr>
      </w:pPr>
      <w:r>
        <w:rPr>
          <w:rFonts w:ascii="Times New Roman" w:eastAsia="Times New Roman" w:hAnsi="Times New Roman" w:cs="Times New Roman"/>
          <w:b/>
          <w:bCs/>
          <w:sz w:val="24"/>
          <w:szCs w:val="24"/>
          <w:lang w:val="en-US" w:eastAsia="en-US"/>
        </w:rPr>
        <w:t xml:space="preserve">Blank solution: </w:t>
      </w:r>
      <w:r>
        <w:rPr>
          <w:rFonts w:ascii="Times New Roman" w:eastAsia="Times New Roman" w:hAnsi="Times New Roman" w:cs="Times New Roman"/>
          <w:sz w:val="24"/>
          <w:szCs w:val="24"/>
          <w:lang w:val="en-US" w:eastAsia="en-US"/>
        </w:rPr>
        <w:t>Use Diluent as blank solution.</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val="en-US" w:eastAsia="en-US" w:bidi="hi-IN"/>
        </w:rPr>
        <w:t xml:space="preserve">Preparation of Placebo solution: </w:t>
      </w:r>
      <w:r>
        <w:rPr>
          <w:rFonts w:ascii="Times New Roman" w:eastAsia="Calibri" w:hAnsi="Times New Roman" w:cs="Times New Roman"/>
          <w:sz w:val="24"/>
          <w:szCs w:val="24"/>
          <w:lang w:val="en-US" w:eastAsia="en-US" w:bidi="hi-IN"/>
        </w:rPr>
        <w:t xml:space="preserve">Weigh accurately about 10mg of </w:t>
      </w:r>
      <w:r>
        <w:rPr>
          <w:rFonts w:ascii="Times New Roman" w:eastAsia="Calibri" w:hAnsi="Times New Roman" w:cs="Times New Roman"/>
          <w:sz w:val="24"/>
          <w:szCs w:val="24"/>
          <w:lang w:val="en-US" w:eastAsia="ko-KR" w:bidi="hi-IN"/>
        </w:rPr>
        <w:t xml:space="preserve">Nafithromycin placebo </w:t>
      </w:r>
      <w:r>
        <w:rPr>
          <w:rFonts w:ascii="Times New Roman" w:eastAsia="Calibri" w:hAnsi="Times New Roman" w:cs="Times New Roman"/>
          <w:sz w:val="24"/>
          <w:szCs w:val="24"/>
          <w:lang w:val="en-US" w:eastAsia="en-US" w:bidi="hi-IN"/>
        </w:rPr>
        <w:t xml:space="preserve">and transfer to a 100ml volumetric flask. Add 70 ml of diluent and </w:t>
      </w:r>
      <w:r>
        <w:rPr>
          <w:rFonts w:ascii="Times New Roman" w:eastAsia="Calibri" w:hAnsi="Times New Roman" w:cs="Times New Roman"/>
          <w:sz w:val="24"/>
          <w:szCs w:val="24"/>
          <w:lang w:val="en-US" w:eastAsia="en-US" w:bidi="hi-IN"/>
        </w:rPr>
        <w:t xml:space="preserve">sonicate to dissolve. Dilute to volume with diluent and mix.  Transfer 1.0 ml of solution into a 10 ml of volumetric flask and dilute to volume with the diluent and mix. Filter the solution through 0.2µm nylon membrane filter. </w:t>
      </w:r>
    </w:p>
    <w:p w:rsidR="005975C5" w:rsidRDefault="008C00FB">
      <w:pPr>
        <w:spacing w:after="200" w:line="360" w:lineRule="auto"/>
        <w:ind w:left="1080"/>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lastRenderedPageBreak/>
        <w:t xml:space="preserve">(Dilution scheme: 10mg </w:t>
      </w:r>
      <w:r>
        <w:rPr>
          <w:rFonts w:ascii="Times New Roman" w:eastAsia="Calibri" w:hAnsi="Times New Roman" w:cs="Times New Roman"/>
          <w:sz w:val="24"/>
          <w:szCs w:val="24"/>
          <w:lang w:val="en-US" w:eastAsia="en-US" w:bidi="hi-IN"/>
        </w:rPr>
        <w:sym w:font="Symbol" w:char="F0AE"/>
      </w:r>
      <w:r>
        <w:rPr>
          <w:rFonts w:ascii="Times New Roman" w:eastAsia="Calibri" w:hAnsi="Times New Roman" w:cs="Times New Roman"/>
          <w:sz w:val="24"/>
          <w:szCs w:val="24"/>
          <w:lang w:val="en-US" w:eastAsia="en-US" w:bidi="hi-IN"/>
        </w:rPr>
        <w:t xml:space="preserve"> 100</w:t>
      </w:r>
      <w:r>
        <w:rPr>
          <w:rFonts w:ascii="Times New Roman" w:eastAsia="Calibri" w:hAnsi="Times New Roman" w:cs="Times New Roman"/>
          <w:sz w:val="24"/>
          <w:szCs w:val="24"/>
          <w:lang w:val="en-US" w:eastAsia="en-US" w:bidi="hi-IN"/>
        </w:rPr>
        <w:t>.0 ml</w:t>
      </w:r>
      <w:r>
        <w:rPr>
          <w:rFonts w:ascii="Times New Roman" w:eastAsia="Calibri" w:hAnsi="Times New Roman" w:cs="Times New Roman"/>
          <w:sz w:val="24"/>
          <w:szCs w:val="24"/>
          <w:lang w:val="en-US" w:eastAsia="en-US" w:bidi="hi-IN"/>
        </w:rPr>
        <w:sym w:font="Symbol" w:char="F0AE"/>
      </w:r>
      <w:r>
        <w:rPr>
          <w:rFonts w:ascii="Times New Roman" w:eastAsia="Calibri" w:hAnsi="Times New Roman" w:cs="Times New Roman"/>
          <w:sz w:val="24"/>
          <w:szCs w:val="24"/>
          <w:lang w:val="en-US" w:eastAsia="en-US" w:bidi="hi-IN"/>
        </w:rPr>
        <w:t xml:space="preserve"> 1.0 ml /10.0 ml)</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Times New Roman" w:hAnsi="Times New Roman" w:cs="Times New Roman"/>
          <w:b/>
          <w:bCs/>
          <w:sz w:val="24"/>
          <w:szCs w:val="24"/>
          <w:lang w:val="en-US" w:eastAsia="en-US"/>
        </w:rPr>
        <w:t xml:space="preserve">Preparation of Nafithromycin standard Solution: </w:t>
      </w:r>
      <w:r>
        <w:rPr>
          <w:rFonts w:ascii="Times New Roman" w:eastAsia="Times New Roman" w:hAnsi="Times New Roman" w:cs="Times New Roman"/>
          <w:sz w:val="24"/>
          <w:szCs w:val="24"/>
          <w:lang w:val="en-US" w:eastAsia="en-US"/>
        </w:rPr>
        <w:t xml:space="preserve">Weigh accurately about 20 mg of </w:t>
      </w:r>
      <w:r>
        <w:rPr>
          <w:rFonts w:ascii="Times New Roman" w:eastAsia="Times New Roman" w:hAnsi="Times New Roman" w:cs="Times New Roman"/>
          <w:sz w:val="24"/>
          <w:szCs w:val="24"/>
          <w:lang w:val="en-US" w:eastAsia="ko-KR"/>
        </w:rPr>
        <w:t>Nafithromycin working</w:t>
      </w:r>
      <w:r>
        <w:rPr>
          <w:rFonts w:ascii="Times New Roman" w:eastAsia="Times New Roman" w:hAnsi="Times New Roman" w:cs="Times New Roman"/>
          <w:sz w:val="24"/>
          <w:szCs w:val="24"/>
          <w:lang w:val="en-US" w:eastAsia="en-US"/>
        </w:rPr>
        <w:t xml:space="preserve"> standard and transfer to a 100 ml volumetric flask. Add 70 ml of diluent and sonicate to dissolve. Dilute to volume with diluent </w:t>
      </w:r>
      <w:r>
        <w:rPr>
          <w:rFonts w:ascii="Times New Roman" w:eastAsia="Times New Roman" w:hAnsi="Times New Roman" w:cs="Times New Roman"/>
          <w:sz w:val="24"/>
          <w:szCs w:val="24"/>
          <w:lang w:val="en-US" w:eastAsia="en-US"/>
        </w:rPr>
        <w:t>and mix. Transfer 1.0 ml of solution into a 10 ml of volumetric flask and dilute to volume with the diluent and mix.</w:t>
      </w:r>
    </w:p>
    <w:p w:rsidR="005975C5" w:rsidRDefault="008C00FB">
      <w:pPr>
        <w:spacing w:after="200" w:line="360" w:lineRule="auto"/>
        <w:ind w:left="1080"/>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 xml:space="preserve">(Dilution scheme: 20mg </w:t>
      </w:r>
      <w:r>
        <w:rPr>
          <w:rFonts w:ascii="Times New Roman" w:eastAsia="Calibri" w:hAnsi="Times New Roman" w:cs="Times New Roman"/>
          <w:sz w:val="24"/>
          <w:szCs w:val="24"/>
          <w:lang w:val="en-US" w:eastAsia="en-US" w:bidi="hi-IN"/>
        </w:rPr>
        <w:sym w:font="Symbol" w:char="F0AE"/>
      </w:r>
      <w:r>
        <w:rPr>
          <w:rFonts w:ascii="Times New Roman" w:eastAsia="Calibri" w:hAnsi="Times New Roman" w:cs="Times New Roman"/>
          <w:sz w:val="24"/>
          <w:szCs w:val="24"/>
          <w:lang w:val="en-US" w:eastAsia="en-US" w:bidi="hi-IN"/>
        </w:rPr>
        <w:t xml:space="preserve"> 100.0 ml </w:t>
      </w:r>
      <w:r>
        <w:rPr>
          <w:rFonts w:ascii="Times New Roman" w:eastAsia="Calibri" w:hAnsi="Times New Roman" w:cs="Times New Roman"/>
          <w:sz w:val="24"/>
          <w:szCs w:val="24"/>
          <w:lang w:val="en-US" w:eastAsia="en-US" w:bidi="hi-IN"/>
        </w:rPr>
        <w:sym w:font="Symbol" w:char="F0AE"/>
      </w:r>
      <w:r>
        <w:rPr>
          <w:rFonts w:ascii="Times New Roman" w:eastAsia="Calibri" w:hAnsi="Times New Roman" w:cs="Times New Roman"/>
          <w:sz w:val="24"/>
          <w:szCs w:val="24"/>
          <w:lang w:val="en-US" w:eastAsia="en-US" w:bidi="hi-IN"/>
        </w:rPr>
        <w:t xml:space="preserve"> 1.0 ml /10.0 ml)</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val="en-US" w:eastAsia="ko-KR" w:bidi="hi-IN"/>
        </w:rPr>
        <w:t>Preparation of Test Solution:</w:t>
      </w:r>
    </w:p>
    <w:p w:rsidR="005975C5" w:rsidRDefault="008C00FB">
      <w:pPr>
        <w:spacing w:after="160" w:line="360" w:lineRule="auto"/>
        <w:ind w:left="1080"/>
        <w:rPr>
          <w:rFonts w:ascii="Times New Roman" w:eastAsia="Times New Roman" w:hAnsi="Times New Roman" w:cs="Times New Roman"/>
          <w:b/>
          <w:sz w:val="26"/>
          <w:szCs w:val="26"/>
        </w:rPr>
      </w:pPr>
      <w:r>
        <w:rPr>
          <w:rFonts w:ascii="Times New Roman" w:eastAsia="Times New Roman" w:hAnsi="Times New Roman" w:cs="Times New Roman"/>
          <w:sz w:val="24"/>
          <w:szCs w:val="24"/>
          <w:lang w:val="en-US" w:eastAsia="en-US"/>
        </w:rPr>
        <w:t xml:space="preserve">Weigh and transfer 30mg of sample powder into a 100 ml </w:t>
      </w:r>
      <w:r>
        <w:rPr>
          <w:rFonts w:ascii="Times New Roman" w:eastAsia="Times New Roman" w:hAnsi="Times New Roman" w:cs="Times New Roman"/>
          <w:sz w:val="24"/>
          <w:szCs w:val="24"/>
          <w:lang w:val="en-US" w:eastAsia="en-US"/>
        </w:rPr>
        <w:t>volumetric flask. Add about 70 ml of diluent and shake for 20 minutes by mechanical means or manually and further sonicate for 30 minutes. Dilute up to mark with 0 diluent. Transfer 1.0ml of solution into another 10 ml volumetric flask and make up the volu</w:t>
      </w:r>
      <w:r>
        <w:rPr>
          <w:rFonts w:ascii="Times New Roman" w:eastAsia="Times New Roman" w:hAnsi="Times New Roman" w:cs="Times New Roman"/>
          <w:sz w:val="24"/>
          <w:szCs w:val="24"/>
          <w:lang w:val="en-US" w:eastAsia="en-US"/>
        </w:rPr>
        <w:t xml:space="preserve">me with diluent.  Filter the solution through 0.45 µm nylon membrane filter. </w:t>
      </w:r>
    </w:p>
    <w:p w:rsidR="005975C5" w:rsidRDefault="008C00FB">
      <w:pPr>
        <w:spacing w:after="200" w:line="360" w:lineRule="auto"/>
        <w:ind w:left="720" w:firstLine="360"/>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 xml:space="preserve"> (Dilution scheme: 30mg </w:t>
      </w:r>
      <w:r>
        <w:rPr>
          <w:rFonts w:ascii="Times New Roman" w:eastAsia="Calibri" w:hAnsi="Times New Roman" w:cs="Times New Roman"/>
          <w:sz w:val="24"/>
          <w:szCs w:val="24"/>
          <w:lang w:val="en-US" w:eastAsia="en-US" w:bidi="hi-IN"/>
        </w:rPr>
        <w:sym w:font="Symbol" w:char="F0AE"/>
      </w:r>
      <w:r>
        <w:rPr>
          <w:rFonts w:ascii="Times New Roman" w:eastAsia="Calibri" w:hAnsi="Times New Roman" w:cs="Times New Roman"/>
          <w:sz w:val="24"/>
          <w:szCs w:val="24"/>
          <w:lang w:val="en-US" w:eastAsia="en-US" w:bidi="hi-IN"/>
        </w:rPr>
        <w:t xml:space="preserve">100.0 ml </w:t>
      </w:r>
      <w:r>
        <w:rPr>
          <w:rFonts w:ascii="Times New Roman" w:eastAsia="Calibri" w:hAnsi="Times New Roman" w:cs="Times New Roman"/>
          <w:sz w:val="24"/>
          <w:szCs w:val="24"/>
          <w:lang w:val="en-US" w:eastAsia="en-US" w:bidi="hi-IN"/>
        </w:rPr>
        <w:sym w:font="Symbol" w:char="F0AE"/>
      </w:r>
      <w:r>
        <w:rPr>
          <w:rFonts w:ascii="Times New Roman" w:eastAsia="Calibri" w:hAnsi="Times New Roman" w:cs="Times New Roman"/>
          <w:sz w:val="24"/>
          <w:szCs w:val="24"/>
          <w:lang w:val="en-US" w:eastAsia="en-US" w:bidi="hi-IN"/>
        </w:rPr>
        <w:t xml:space="preserve"> 1.0 ml /10.0 ml)</w:t>
      </w:r>
    </w:p>
    <w:p w:rsidR="005975C5" w:rsidRDefault="008C00FB">
      <w:pPr>
        <w:spacing w:after="200" w:line="360" w:lineRule="auto"/>
        <w:ind w:left="1080"/>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Avg Wt of Tablet 600mg</w:t>
      </w:r>
    </w:p>
    <w:p w:rsidR="005975C5" w:rsidRDefault="008C00FB">
      <w:pPr>
        <w:spacing w:after="16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bCs/>
          <w:sz w:val="24"/>
          <w:szCs w:val="24"/>
          <w:lang w:val="en-US" w:eastAsia="en-US"/>
        </w:rPr>
        <w:t>Table - 2: Sequence for selectivity study</w:t>
      </w:r>
    </w:p>
    <w:tbl>
      <w:tblPr>
        <w:tblW w:w="8456" w:type="dxa"/>
        <w:tblInd w:w="547" w:type="dxa"/>
        <w:tblLayout w:type="fixed"/>
        <w:tblLook w:val="0000" w:firstRow="0" w:lastRow="0" w:firstColumn="0" w:lastColumn="0" w:noHBand="0" w:noVBand="0"/>
      </w:tblPr>
      <w:tblGrid>
        <w:gridCol w:w="1239"/>
        <w:gridCol w:w="4994"/>
        <w:gridCol w:w="2223"/>
      </w:tblGrid>
      <w:tr w:rsidR="005975C5">
        <w:trPr>
          <w:trHeight w:val="342"/>
        </w:trPr>
        <w:tc>
          <w:tcPr>
            <w:tcW w:w="1239" w:type="dxa"/>
            <w:tcBorders>
              <w:top w:val="single" w:sz="4" w:space="0" w:color="auto"/>
              <w:left w:val="single" w:sz="4" w:space="0" w:color="auto"/>
              <w:bottom w:val="single" w:sz="6" w:space="0" w:color="auto"/>
              <w:right w:val="single" w:sz="6" w:space="0" w:color="auto"/>
            </w:tcBorders>
            <w:tcMar>
              <w:top w:w="0" w:type="dxa"/>
              <w:left w:w="108" w:type="dxa"/>
              <w:bottom w:w="0" w:type="dxa"/>
              <w:right w:w="108" w:type="dxa"/>
            </w:tcMar>
            <w:vAlign w:val="center"/>
          </w:tcPr>
          <w:p w:rsidR="005975C5" w:rsidRDefault="008C00FB">
            <w:pPr>
              <w:spacing w:after="200"/>
              <w:jc w:val="center"/>
              <w:rPr>
                <w:rFonts w:ascii="Times New Roman" w:eastAsia="Times New Roman" w:hAnsi="Times New Roman" w:cs="Times New Roman"/>
                <w:b/>
                <w:sz w:val="26"/>
                <w:szCs w:val="26"/>
              </w:rPr>
            </w:pPr>
            <w:r>
              <w:rPr>
                <w:rFonts w:ascii="Times New Roman" w:eastAsia="Calibri" w:hAnsi="Times New Roman" w:cs="Times New Roman"/>
                <w:b/>
                <w:bCs/>
                <w:sz w:val="24"/>
                <w:szCs w:val="24"/>
                <w:lang w:val="fr-CA" w:eastAsia="en-US" w:bidi="hi-IN"/>
              </w:rPr>
              <w:t>Sr. No.</w:t>
            </w:r>
          </w:p>
        </w:tc>
        <w:tc>
          <w:tcPr>
            <w:tcW w:w="4994" w:type="dxa"/>
            <w:tcBorders>
              <w:top w:val="single" w:sz="4"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5975C5" w:rsidRDefault="008C00FB">
            <w:pPr>
              <w:spacing w:after="200"/>
              <w:jc w:val="center"/>
              <w:rPr>
                <w:rFonts w:ascii="Times New Roman" w:eastAsia="Times New Roman" w:hAnsi="Times New Roman" w:cs="Times New Roman"/>
                <w:b/>
                <w:sz w:val="26"/>
                <w:szCs w:val="26"/>
              </w:rPr>
            </w:pPr>
            <w:r>
              <w:rPr>
                <w:rFonts w:ascii="Times New Roman" w:eastAsia="Calibri" w:hAnsi="Times New Roman" w:cs="Times New Roman"/>
                <w:b/>
                <w:bCs/>
                <w:sz w:val="24"/>
                <w:szCs w:val="24"/>
                <w:lang w:val="en-US" w:eastAsia="en-US" w:bidi="hi-IN"/>
              </w:rPr>
              <w:t>Sample Name</w:t>
            </w:r>
          </w:p>
        </w:tc>
        <w:tc>
          <w:tcPr>
            <w:tcW w:w="2223" w:type="dxa"/>
            <w:tcBorders>
              <w:top w:val="single" w:sz="4" w:space="0" w:color="auto"/>
              <w:left w:val="single" w:sz="6" w:space="0" w:color="auto"/>
              <w:bottom w:val="single" w:sz="6" w:space="0" w:color="auto"/>
              <w:right w:val="single" w:sz="4" w:space="0" w:color="auto"/>
            </w:tcBorders>
            <w:tcMar>
              <w:top w:w="0" w:type="dxa"/>
              <w:left w:w="108" w:type="dxa"/>
              <w:bottom w:w="0" w:type="dxa"/>
              <w:right w:w="108" w:type="dxa"/>
            </w:tcMar>
            <w:vAlign w:val="center"/>
          </w:tcPr>
          <w:p w:rsidR="005975C5" w:rsidRDefault="008C00FB">
            <w:pPr>
              <w:spacing w:after="200"/>
              <w:jc w:val="center"/>
              <w:rPr>
                <w:rFonts w:ascii="Times New Roman" w:eastAsia="Times New Roman" w:hAnsi="Times New Roman" w:cs="Times New Roman"/>
                <w:b/>
                <w:sz w:val="26"/>
                <w:szCs w:val="26"/>
              </w:rPr>
            </w:pPr>
            <w:r>
              <w:rPr>
                <w:rFonts w:ascii="Times New Roman" w:eastAsia="Calibri" w:hAnsi="Times New Roman" w:cs="Times New Roman"/>
                <w:b/>
                <w:bCs/>
                <w:sz w:val="24"/>
                <w:szCs w:val="24"/>
                <w:lang w:val="en-US" w:eastAsia="en-US" w:bidi="hi-IN"/>
              </w:rPr>
              <w:t>No. of Readings</w:t>
            </w:r>
          </w:p>
        </w:tc>
      </w:tr>
      <w:tr w:rsidR="005975C5">
        <w:trPr>
          <w:trHeight w:val="342"/>
        </w:trPr>
        <w:tc>
          <w:tcPr>
            <w:tcW w:w="1239"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tcPr>
          <w:p w:rsidR="005975C5" w:rsidRDefault="008C00FB">
            <w:pPr>
              <w:spacing w:after="200"/>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1</w:t>
            </w:r>
          </w:p>
        </w:tc>
        <w:tc>
          <w:tcPr>
            <w:tcW w:w="499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5975C5" w:rsidRDefault="008C00FB">
            <w:pPr>
              <w:spacing w:after="200"/>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 xml:space="preserve">Diluent blank </w:t>
            </w:r>
            <w:r>
              <w:rPr>
                <w:rFonts w:ascii="Times New Roman" w:eastAsia="Calibri" w:hAnsi="Times New Roman" w:cs="Times New Roman"/>
                <w:sz w:val="24"/>
                <w:szCs w:val="24"/>
                <w:lang w:val="en-US" w:eastAsia="en-US" w:bidi="hi-IN"/>
              </w:rPr>
              <w:t>solution</w:t>
            </w:r>
          </w:p>
        </w:tc>
        <w:tc>
          <w:tcPr>
            <w:tcW w:w="2223"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tcPr>
          <w:p w:rsidR="005975C5" w:rsidRDefault="008C00FB">
            <w:pPr>
              <w:spacing w:after="200"/>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1</w:t>
            </w:r>
          </w:p>
        </w:tc>
      </w:tr>
      <w:tr w:rsidR="005975C5">
        <w:trPr>
          <w:trHeight w:val="342"/>
        </w:trPr>
        <w:tc>
          <w:tcPr>
            <w:tcW w:w="1239"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tcPr>
          <w:p w:rsidR="005975C5" w:rsidRDefault="008C00FB">
            <w:pPr>
              <w:spacing w:after="200"/>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2</w:t>
            </w:r>
          </w:p>
        </w:tc>
        <w:tc>
          <w:tcPr>
            <w:tcW w:w="499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5975C5" w:rsidRDefault="008C00FB">
            <w:pPr>
              <w:spacing w:after="200"/>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Placebo solution</w:t>
            </w:r>
          </w:p>
        </w:tc>
        <w:tc>
          <w:tcPr>
            <w:tcW w:w="2223"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tcPr>
          <w:p w:rsidR="005975C5" w:rsidRDefault="008C00FB">
            <w:pPr>
              <w:spacing w:after="200"/>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1</w:t>
            </w:r>
          </w:p>
        </w:tc>
      </w:tr>
      <w:tr w:rsidR="005975C5">
        <w:trPr>
          <w:trHeight w:val="342"/>
        </w:trPr>
        <w:tc>
          <w:tcPr>
            <w:tcW w:w="1239"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tcPr>
          <w:p w:rsidR="005975C5" w:rsidRDefault="008C00FB">
            <w:pPr>
              <w:spacing w:after="200"/>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3</w:t>
            </w:r>
          </w:p>
        </w:tc>
        <w:tc>
          <w:tcPr>
            <w:tcW w:w="499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5975C5" w:rsidRDefault="008C00FB">
            <w:pPr>
              <w:spacing w:after="200"/>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System suitability solution</w:t>
            </w:r>
          </w:p>
        </w:tc>
        <w:tc>
          <w:tcPr>
            <w:tcW w:w="2223"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tcPr>
          <w:p w:rsidR="005975C5" w:rsidRDefault="008C00FB">
            <w:pPr>
              <w:spacing w:after="200"/>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5</w:t>
            </w:r>
          </w:p>
        </w:tc>
      </w:tr>
      <w:tr w:rsidR="005975C5">
        <w:trPr>
          <w:trHeight w:val="342"/>
        </w:trPr>
        <w:tc>
          <w:tcPr>
            <w:tcW w:w="1239" w:type="dxa"/>
            <w:tcBorders>
              <w:top w:val="single" w:sz="6" w:space="0" w:color="auto"/>
              <w:left w:val="single" w:sz="4" w:space="0" w:color="auto"/>
              <w:bottom w:val="single" w:sz="4" w:space="0" w:color="auto"/>
              <w:right w:val="single" w:sz="6" w:space="0" w:color="auto"/>
            </w:tcBorders>
            <w:tcMar>
              <w:top w:w="0" w:type="dxa"/>
              <w:left w:w="108" w:type="dxa"/>
              <w:bottom w:w="0" w:type="dxa"/>
              <w:right w:w="108" w:type="dxa"/>
            </w:tcMar>
            <w:vAlign w:val="center"/>
          </w:tcPr>
          <w:p w:rsidR="005975C5" w:rsidRDefault="008C00FB">
            <w:pPr>
              <w:spacing w:after="200"/>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4</w:t>
            </w:r>
          </w:p>
        </w:tc>
        <w:tc>
          <w:tcPr>
            <w:tcW w:w="4994" w:type="dxa"/>
            <w:tcBorders>
              <w:top w:val="single" w:sz="6" w:space="0" w:color="auto"/>
              <w:left w:val="single" w:sz="6" w:space="0" w:color="auto"/>
              <w:bottom w:val="single" w:sz="4" w:space="0" w:color="auto"/>
              <w:right w:val="single" w:sz="6" w:space="0" w:color="auto"/>
            </w:tcBorders>
            <w:tcMar>
              <w:top w:w="0" w:type="dxa"/>
              <w:left w:w="108" w:type="dxa"/>
              <w:bottom w:w="0" w:type="dxa"/>
              <w:right w:w="108" w:type="dxa"/>
            </w:tcMar>
            <w:vAlign w:val="center"/>
          </w:tcPr>
          <w:p w:rsidR="005975C5" w:rsidRDefault="008C00FB">
            <w:pPr>
              <w:spacing w:after="200"/>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Test solution</w:t>
            </w:r>
          </w:p>
        </w:tc>
        <w:tc>
          <w:tcPr>
            <w:tcW w:w="2223" w:type="dxa"/>
            <w:tcBorders>
              <w:top w:val="single" w:sz="6" w:space="0" w:color="auto"/>
              <w:left w:val="single" w:sz="6"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2</w:t>
            </w:r>
          </w:p>
        </w:tc>
      </w:tr>
    </w:tbl>
    <w:p w:rsidR="005975C5" w:rsidRDefault="008C00FB">
      <w:pPr>
        <w:spacing w:after="20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val="en-US" w:eastAsia="en-US" w:bidi="hi-IN"/>
        </w:rPr>
        <w:t xml:space="preserve">     Data evaluation:</w:t>
      </w:r>
    </w:p>
    <w:p w:rsidR="005975C5" w:rsidRDefault="008C00FB">
      <w:pPr>
        <w:spacing w:after="160" w:line="360" w:lineRule="auto"/>
        <w:ind w:left="1080" w:right="-29"/>
        <w:rPr>
          <w:rFonts w:ascii="Times New Roman" w:eastAsia="Times New Roman" w:hAnsi="Times New Roman" w:cs="Times New Roman"/>
          <w:b/>
          <w:sz w:val="26"/>
          <w:szCs w:val="26"/>
        </w:rPr>
      </w:pPr>
      <w:r>
        <w:rPr>
          <w:rFonts w:ascii="Times New Roman" w:eastAsia="Times New Roman" w:hAnsi="Times New Roman" w:cs="Times New Roman"/>
          <w:sz w:val="24"/>
          <w:szCs w:val="24"/>
          <w:lang w:val="en-US" w:eastAsia="en-US"/>
        </w:rPr>
        <w:t>Record the UV spectrum processed at the wavelength provided in the method and selectivity will be demonstrated with regards to non-interference from</w:t>
      </w:r>
      <w:r>
        <w:rPr>
          <w:rFonts w:ascii="Times New Roman" w:eastAsia="Times New Roman" w:hAnsi="Times New Roman" w:cs="Times New Roman"/>
          <w:sz w:val="24"/>
          <w:szCs w:val="24"/>
          <w:lang w:val="en-US" w:eastAsia="en-US"/>
        </w:rPr>
        <w:t xml:space="preserve"> diluent blank with Nafithromycin absorbance.</w:t>
      </w:r>
    </w:p>
    <w:p w:rsidR="005975C5" w:rsidRDefault="008C00FB">
      <w:pPr>
        <w:spacing w:after="160" w:line="360" w:lineRule="auto"/>
        <w:ind w:left="720" w:right="-25" w:hanging="900"/>
        <w:jc w:val="left"/>
        <w:rPr>
          <w:rFonts w:ascii="Times New Roman" w:eastAsia="Times New Roman" w:hAnsi="Times New Roman" w:cs="Times New Roman"/>
          <w:b/>
          <w:sz w:val="26"/>
          <w:szCs w:val="26"/>
        </w:rPr>
      </w:pPr>
      <w:r>
        <w:rPr>
          <w:rFonts w:ascii="Times New Roman" w:eastAsia="Times New Roman" w:hAnsi="Times New Roman" w:cs="Times New Roman"/>
          <w:b/>
          <w:bCs/>
          <w:sz w:val="24"/>
          <w:szCs w:val="24"/>
          <w:lang w:val="en-US" w:eastAsia="en-US"/>
        </w:rPr>
        <w:t>2.0</w:t>
      </w:r>
      <w:r>
        <w:tab/>
      </w:r>
      <w:r>
        <w:rPr>
          <w:rFonts w:ascii="Times New Roman" w:eastAsia="Times New Roman" w:hAnsi="Times New Roman" w:cs="Times New Roman"/>
          <w:b/>
          <w:bCs/>
          <w:sz w:val="24"/>
          <w:szCs w:val="24"/>
          <w:lang w:val="en-US" w:eastAsia="en-US"/>
        </w:rPr>
        <w:t>LINEARITY &amp; RANGE</w:t>
      </w:r>
    </w:p>
    <w:p w:rsidR="005975C5" w:rsidRDefault="008C00FB">
      <w:pPr>
        <w:spacing w:after="160" w:line="360" w:lineRule="auto"/>
        <w:ind w:left="720" w:right="-25" w:hanging="900"/>
        <w:rPr>
          <w:rFonts w:ascii="Times New Roman" w:eastAsia="Times New Roman" w:hAnsi="Times New Roman" w:cs="Times New Roman"/>
          <w:b/>
          <w:sz w:val="26"/>
          <w:szCs w:val="26"/>
        </w:rPr>
      </w:pPr>
      <w:r>
        <w:rPr>
          <w:rFonts w:ascii="Times New Roman" w:eastAsia="Times New Roman" w:hAnsi="Times New Roman" w:cs="Times New Roman"/>
          <w:b/>
          <w:bCs/>
          <w:sz w:val="24"/>
          <w:szCs w:val="24"/>
          <w:lang w:val="en-US" w:eastAsia="en-US"/>
        </w:rPr>
        <w:t>2.0.1</w:t>
      </w:r>
      <w:r>
        <w:tab/>
      </w:r>
      <w:r>
        <w:rPr>
          <w:rFonts w:ascii="Times New Roman" w:eastAsia="Times New Roman" w:hAnsi="Times New Roman" w:cs="Times New Roman"/>
          <w:b/>
          <w:bCs/>
          <w:sz w:val="24"/>
          <w:szCs w:val="24"/>
          <w:lang w:val="en-US" w:eastAsia="en-US"/>
        </w:rPr>
        <w:t xml:space="preserve">Objective: </w:t>
      </w:r>
      <w:r>
        <w:rPr>
          <w:rFonts w:ascii="Times New Roman" w:eastAsia="Times New Roman" w:hAnsi="Times New Roman" w:cs="Times New Roman"/>
          <w:sz w:val="24"/>
          <w:szCs w:val="24"/>
          <w:lang w:val="en-US" w:eastAsia="en-US"/>
        </w:rPr>
        <w:t>To</w:t>
      </w:r>
      <w:r>
        <w:rPr>
          <w:rFonts w:ascii="Times New Roman" w:eastAsia="Times New Roman" w:hAnsi="Times New Roman" w:cs="Times New Roman"/>
          <w:b/>
          <w:bCs/>
          <w:sz w:val="24"/>
          <w:szCs w:val="24"/>
          <w:lang w:val="en-US" w:eastAsia="en-US"/>
        </w:rPr>
        <w:t xml:space="preserve"> </w:t>
      </w:r>
      <w:r>
        <w:rPr>
          <w:rFonts w:ascii="Times New Roman" w:eastAsia="Times New Roman" w:hAnsi="Times New Roman" w:cs="Times New Roman"/>
          <w:sz w:val="24"/>
          <w:szCs w:val="24"/>
          <w:lang w:val="en-US" w:eastAsia="en-US"/>
        </w:rPr>
        <w:t>establish the linearity of the analytical method for assay using the following three methods.</w:t>
      </w:r>
    </w:p>
    <w:p w:rsidR="005975C5" w:rsidRDefault="008C00FB">
      <w:pPr>
        <w:spacing w:after="160" w:line="360" w:lineRule="auto"/>
        <w:ind w:left="1080" w:right="-25" w:hanging="360"/>
        <w:rPr>
          <w:rFonts w:ascii="Times New Roman" w:eastAsia="Times New Roman" w:hAnsi="Times New Roman" w:cs="Times New Roman"/>
          <w:b/>
          <w:sz w:val="26"/>
          <w:szCs w:val="26"/>
        </w:rPr>
      </w:pPr>
      <w:r>
        <w:rPr>
          <w:rFonts w:ascii="Times New Roman" w:eastAsia="Times New Roman" w:hAnsi="Times New Roman" w:cs="Times New Roman"/>
          <w:b/>
          <w:bCs/>
          <w:sz w:val="24"/>
          <w:szCs w:val="24"/>
          <w:lang w:val="en-US" w:eastAsia="en-US"/>
        </w:rPr>
        <w:t>Linearity &amp; Range for Nafithromycin in Standard Preparations:</w:t>
      </w:r>
      <w:r>
        <w:rPr>
          <w:rFonts w:ascii="Times New Roman" w:eastAsia="Times New Roman" w:hAnsi="Times New Roman" w:cs="Times New Roman"/>
          <w:sz w:val="24"/>
          <w:szCs w:val="24"/>
          <w:lang w:val="en-US" w:eastAsia="en-US"/>
        </w:rPr>
        <w:t xml:space="preserve"> Demonstrate </w:t>
      </w:r>
      <w:r>
        <w:rPr>
          <w:rFonts w:ascii="Times New Roman" w:eastAsia="Times New Roman" w:hAnsi="Times New Roman" w:cs="Times New Roman"/>
          <w:sz w:val="24"/>
          <w:szCs w:val="24"/>
          <w:lang w:val="en-US" w:eastAsia="en-US"/>
        </w:rPr>
        <w:t xml:space="preserve">the linearity of the </w:t>
      </w:r>
      <w:r>
        <w:rPr>
          <w:rFonts w:ascii="Times New Roman" w:eastAsia="Times New Roman" w:hAnsi="Times New Roman" w:cs="Times New Roman"/>
          <w:sz w:val="24"/>
          <w:szCs w:val="24"/>
          <w:lang w:val="en-US" w:eastAsia="en-US"/>
        </w:rPr>
        <w:lastRenderedPageBreak/>
        <w:t>analytical method for assay by taking absorbance readings of  the various concentrations of Standard preparation prepared in the range of 50% - 150% of test concentration. Draw a plot between the concentrations in ppm Vs. Absorbance of</w:t>
      </w:r>
      <w:r>
        <w:rPr>
          <w:rFonts w:ascii="Times New Roman" w:eastAsia="Times New Roman" w:hAnsi="Times New Roman" w:cs="Times New Roman"/>
          <w:sz w:val="24"/>
          <w:szCs w:val="24"/>
          <w:lang w:val="en-US" w:eastAsia="en-US"/>
        </w:rPr>
        <w:t xml:space="preserve"> Nafithromycin WS. Report the slope, intercept and regression coefficient from the plot obtained for Concentration Vs. Absorbance of Nafithromycin  WS in standard preparation.</w:t>
      </w:r>
    </w:p>
    <w:p w:rsidR="005975C5" w:rsidRDefault="008C00FB">
      <w:pPr>
        <w:spacing w:after="160" w:line="360" w:lineRule="auto"/>
        <w:ind w:left="1080" w:right="-25" w:hanging="360"/>
        <w:rPr>
          <w:rFonts w:ascii="Times New Roman" w:eastAsia="Times New Roman" w:hAnsi="Times New Roman" w:cs="Times New Roman"/>
          <w:b/>
          <w:sz w:val="26"/>
          <w:szCs w:val="26"/>
        </w:rPr>
      </w:pPr>
      <w:r>
        <w:rPr>
          <w:rFonts w:ascii="Times New Roman" w:eastAsia="Times New Roman" w:hAnsi="Times New Roman" w:cs="Times New Roman"/>
          <w:b/>
          <w:bCs/>
          <w:sz w:val="24"/>
          <w:szCs w:val="24"/>
          <w:lang w:val="en-US" w:eastAsia="en-US"/>
        </w:rPr>
        <w:t>Linearity &amp; Range for Nafithromycin  WS in presence of Placebo:</w:t>
      </w:r>
      <w:r>
        <w:rPr>
          <w:rFonts w:ascii="Times New Roman" w:eastAsia="Times New Roman" w:hAnsi="Times New Roman" w:cs="Times New Roman"/>
          <w:sz w:val="24"/>
          <w:szCs w:val="24"/>
          <w:lang w:val="en-US" w:eastAsia="en-US"/>
        </w:rPr>
        <w:t xml:space="preserve"> Demonstrate the </w:t>
      </w:r>
      <w:r>
        <w:rPr>
          <w:rFonts w:ascii="Times New Roman" w:eastAsia="Times New Roman" w:hAnsi="Times New Roman" w:cs="Times New Roman"/>
          <w:sz w:val="24"/>
          <w:szCs w:val="24"/>
          <w:lang w:val="en-US" w:eastAsia="en-US"/>
        </w:rPr>
        <w:t>linearity of the analytical method for assay by taking absorbance readings of  the various concentrations of Standard preparation in presence of Placebo prepared in the range of 50% - 150% of test concentration, Draw a plot between the concentrations in pp</w:t>
      </w:r>
      <w:r>
        <w:rPr>
          <w:rFonts w:ascii="Times New Roman" w:eastAsia="Times New Roman" w:hAnsi="Times New Roman" w:cs="Times New Roman"/>
          <w:sz w:val="24"/>
          <w:szCs w:val="24"/>
          <w:lang w:val="en-US" w:eastAsia="en-US"/>
        </w:rPr>
        <w:t>m Vs. Absorbance of Nafithromycin WS. Report the slope, intercept and regression coefficient from the plot obtained for Concentration Vs. Absorbance of Nafithromycin WS in recovery solutions.</w:t>
      </w:r>
    </w:p>
    <w:p w:rsidR="005975C5" w:rsidRDefault="008C00FB">
      <w:pPr>
        <w:spacing w:after="160" w:line="360" w:lineRule="auto"/>
        <w:ind w:right="-25"/>
        <w:rPr>
          <w:rFonts w:ascii="Times New Roman" w:eastAsia="Times New Roman" w:hAnsi="Times New Roman" w:cs="Times New Roman"/>
          <w:b/>
          <w:sz w:val="26"/>
          <w:szCs w:val="26"/>
        </w:rPr>
      </w:pPr>
      <w:r>
        <w:rPr>
          <w:rFonts w:ascii="Times New Roman" w:eastAsia="Times New Roman" w:hAnsi="Times New Roman" w:cs="Times New Roman"/>
          <w:b/>
          <w:bCs/>
          <w:sz w:val="24"/>
          <w:szCs w:val="24"/>
          <w:lang w:val="en-US" w:eastAsia="en-US"/>
        </w:rPr>
        <w:t xml:space="preserve">For Linearity &amp; Range for Nafithromycin  in Standard </w:t>
      </w:r>
      <w:r>
        <w:rPr>
          <w:rFonts w:ascii="Times New Roman" w:eastAsia="Times New Roman" w:hAnsi="Times New Roman" w:cs="Times New Roman"/>
          <w:b/>
          <w:bCs/>
          <w:sz w:val="24"/>
          <w:szCs w:val="24"/>
          <w:lang w:val="en-US" w:eastAsia="en-US"/>
        </w:rPr>
        <w:t>Preparations:</w:t>
      </w:r>
    </w:p>
    <w:p w:rsidR="005975C5" w:rsidRDefault="008C00FB">
      <w:pPr>
        <w:spacing w:after="200" w:line="360" w:lineRule="auto"/>
        <w:ind w:left="720" w:hanging="720"/>
        <w:rPr>
          <w:rFonts w:ascii="Times New Roman" w:eastAsia="Times New Roman" w:hAnsi="Times New Roman" w:cs="Times New Roman"/>
          <w:b/>
          <w:sz w:val="26"/>
          <w:szCs w:val="26"/>
        </w:rPr>
      </w:pPr>
      <w:r>
        <w:rPr>
          <w:rFonts w:ascii="Times New Roman" w:eastAsia="Calibri" w:hAnsi="Times New Roman" w:cs="Times New Roman"/>
          <w:b/>
          <w:bCs/>
          <w:sz w:val="24"/>
          <w:szCs w:val="24"/>
          <w:lang w:val="en-US" w:eastAsia="en-US" w:bidi="hi-IN"/>
        </w:rPr>
        <w:t>2.1.2</w:t>
      </w:r>
      <w:r>
        <w:tab/>
      </w:r>
      <w:r>
        <w:rPr>
          <w:rFonts w:ascii="Times New Roman" w:eastAsia="Calibri" w:hAnsi="Times New Roman" w:cs="Times New Roman"/>
          <w:b/>
          <w:bCs/>
          <w:sz w:val="24"/>
          <w:szCs w:val="24"/>
          <w:lang w:val="en-US" w:eastAsia="en-US" w:bidi="hi-IN"/>
        </w:rPr>
        <w:t>Experiment:</w:t>
      </w:r>
    </w:p>
    <w:p w:rsidR="005975C5" w:rsidRDefault="008C00FB">
      <w:pPr>
        <w:spacing w:after="200" w:line="360" w:lineRule="auto"/>
        <w:ind w:left="720"/>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Prepare a series of standard preparations (five preparations) of Nafithromycin over a range starting from 50% to at least 150% of the specified limits of assay.</w:t>
      </w:r>
    </w:p>
    <w:p w:rsidR="005975C5" w:rsidRDefault="008C00FB">
      <w:pPr>
        <w:keepNext/>
        <w:keepLines/>
        <w:spacing w:after="160" w:line="360" w:lineRule="auto"/>
        <w:ind w:left="480" w:hanging="480"/>
        <w:jc w:val="left"/>
        <w:outlineLvl w:val="6"/>
        <w:rPr>
          <w:rFonts w:ascii="Times New Roman" w:eastAsia="Times New Roman" w:hAnsi="Times New Roman" w:cs="Times New Roman"/>
          <w:b/>
          <w:sz w:val="26"/>
          <w:szCs w:val="26"/>
        </w:rPr>
      </w:pPr>
      <w:r>
        <w:rPr>
          <w:rFonts w:ascii="Times New Roman" w:eastAsia="SimSun" w:hAnsi="Times New Roman" w:cs="Times New Roman"/>
          <w:b/>
          <w:bCs/>
          <w:i/>
          <w:iCs/>
          <w:sz w:val="24"/>
          <w:szCs w:val="24"/>
          <w:lang w:val="en-US" w:eastAsia="en-US" w:bidi="hi-IN"/>
        </w:rPr>
        <w:t>2.1.3</w:t>
      </w:r>
      <w:r>
        <w:tab/>
      </w:r>
      <w:r>
        <w:rPr>
          <w:rFonts w:ascii="Times New Roman" w:eastAsia="SimSun" w:hAnsi="Times New Roman" w:cs="Times New Roman"/>
          <w:b/>
          <w:bCs/>
          <w:i/>
          <w:iCs/>
          <w:sz w:val="24"/>
          <w:szCs w:val="24"/>
          <w:lang w:val="en-US" w:eastAsia="en-US" w:bidi="hi-IN"/>
        </w:rPr>
        <w:t>Preparation of linearity stock solutions:</w:t>
      </w:r>
    </w:p>
    <w:p w:rsidR="005975C5" w:rsidRDefault="008C00FB">
      <w:pPr>
        <w:spacing w:after="200" w:line="360" w:lineRule="auto"/>
        <w:ind w:left="720"/>
        <w:jc w:val="left"/>
        <w:rPr>
          <w:rFonts w:ascii="Times New Roman" w:eastAsia="Times New Roman" w:hAnsi="Times New Roman" w:cs="Times New Roman"/>
          <w:b/>
          <w:sz w:val="26"/>
          <w:szCs w:val="26"/>
        </w:rPr>
      </w:pPr>
      <w:r>
        <w:rPr>
          <w:rFonts w:ascii="Times New Roman" w:eastAsia="Calibri" w:hAnsi="Times New Roman" w:cs="Times New Roman"/>
          <w:b/>
          <w:bCs/>
          <w:sz w:val="24"/>
          <w:szCs w:val="24"/>
          <w:lang w:val="en-US" w:eastAsia="en-US" w:bidi="hi-IN"/>
        </w:rPr>
        <w:t xml:space="preserve">Stock solution </w:t>
      </w:r>
      <w:r>
        <w:rPr>
          <w:rFonts w:ascii="Times New Roman" w:eastAsia="Calibri" w:hAnsi="Times New Roman" w:cs="Times New Roman"/>
          <w:b/>
          <w:bCs/>
          <w:sz w:val="24"/>
          <w:szCs w:val="24"/>
          <w:lang w:val="en-US" w:eastAsia="en-US" w:bidi="hi-IN"/>
        </w:rPr>
        <w:t>preparation of Nafithromycin :</w:t>
      </w:r>
    </w:p>
    <w:p w:rsidR="005975C5" w:rsidRDefault="008C00FB">
      <w:pPr>
        <w:spacing w:after="160" w:line="360" w:lineRule="auto"/>
        <w:ind w:left="720"/>
        <w:rPr>
          <w:rFonts w:ascii="Times New Roman" w:eastAsia="Times New Roman" w:hAnsi="Times New Roman" w:cs="Times New Roman"/>
          <w:b/>
          <w:sz w:val="26"/>
          <w:szCs w:val="26"/>
        </w:rPr>
      </w:pPr>
      <w:r>
        <w:rPr>
          <w:rFonts w:ascii="Times New Roman" w:eastAsia="Times New Roman" w:hAnsi="Times New Roman" w:cs="Times New Roman"/>
          <w:spacing w:val="-2"/>
          <w:sz w:val="24"/>
          <w:szCs w:val="24"/>
          <w:lang w:val="en-US" w:eastAsia="en-US"/>
        </w:rPr>
        <w:t xml:space="preserve">Weigh accurately about 20mg of </w:t>
      </w:r>
      <w:r>
        <w:rPr>
          <w:rFonts w:ascii="Times New Roman" w:eastAsia="Times New Roman" w:hAnsi="Times New Roman" w:cs="Times New Roman"/>
          <w:sz w:val="24"/>
          <w:szCs w:val="24"/>
          <w:lang w:val="en-US" w:eastAsia="en-US"/>
        </w:rPr>
        <w:t xml:space="preserve">Nafithromycin </w:t>
      </w:r>
      <w:r>
        <w:rPr>
          <w:rFonts w:ascii="Times New Roman" w:eastAsia="Times New Roman" w:hAnsi="Times New Roman" w:cs="Times New Roman"/>
          <w:spacing w:val="-2"/>
          <w:sz w:val="24"/>
          <w:szCs w:val="24"/>
          <w:lang w:val="en-US" w:eastAsia="en-US"/>
        </w:rPr>
        <w:t xml:space="preserve">working standard to a 100 ml volumetric flask. Add 10 ml of diluent &amp; sonicate for 15 minutes to dissolve. Dilute to volume with diluent and mix. </w:t>
      </w:r>
    </w:p>
    <w:p w:rsidR="005975C5" w:rsidRDefault="008C00FB">
      <w:pPr>
        <w:spacing w:after="200" w:line="360" w:lineRule="auto"/>
        <w:ind w:left="720"/>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The preparation of linearity solu</w:t>
      </w:r>
      <w:r>
        <w:rPr>
          <w:rFonts w:ascii="Times New Roman" w:eastAsia="Calibri" w:hAnsi="Times New Roman" w:cs="Times New Roman"/>
          <w:sz w:val="24"/>
          <w:szCs w:val="24"/>
          <w:lang w:val="en-US" w:eastAsia="en-US" w:bidi="hi-IN"/>
        </w:rPr>
        <w:t>tions is given in Table 3.</w:t>
      </w:r>
    </w:p>
    <w:p w:rsidR="005975C5" w:rsidRDefault="008C00FB">
      <w:pPr>
        <w:tabs>
          <w:tab w:val="left" w:pos="800"/>
        </w:tabs>
        <w:spacing w:after="200" w:line="360" w:lineRule="auto"/>
        <w:ind w:left="720"/>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Inject each of the linearity preparation in duplicate and then take average absorbance count for calculations</w:t>
      </w:r>
      <w:r>
        <w:rPr>
          <w:rFonts w:ascii="Times New Roman" w:eastAsia="Calibri" w:hAnsi="Times New Roman" w:cs="Times New Roman"/>
          <w:b/>
          <w:bCs/>
          <w:sz w:val="24"/>
          <w:szCs w:val="24"/>
          <w:lang w:val="en-US" w:eastAsia="en-US" w:bidi="hi-IN"/>
        </w:rPr>
        <w:t xml:space="preserve"> </w:t>
      </w:r>
    </w:p>
    <w:p w:rsidR="005975C5" w:rsidRDefault="008C00FB">
      <w:pPr>
        <w:tabs>
          <w:tab w:val="left" w:pos="800"/>
        </w:tabs>
        <w:spacing w:after="200" w:line="360" w:lineRule="auto"/>
        <w:jc w:val="center"/>
        <w:rPr>
          <w:rFonts w:ascii="Times New Roman" w:eastAsia="Times New Roman" w:hAnsi="Times New Roman" w:cs="Times New Roman"/>
          <w:b/>
          <w:sz w:val="26"/>
          <w:szCs w:val="26"/>
        </w:rPr>
      </w:pPr>
      <w:r>
        <w:rPr>
          <w:rFonts w:ascii="Times New Roman" w:eastAsia="Calibri" w:hAnsi="Times New Roman" w:cs="Times New Roman"/>
          <w:b/>
          <w:bCs/>
          <w:sz w:val="24"/>
          <w:szCs w:val="24"/>
          <w:lang w:val="en-US" w:eastAsia="en-US" w:bidi="hi-IN"/>
        </w:rPr>
        <w:t>Table - 3: Dilutions for linearity of standard</w:t>
      </w:r>
    </w:p>
    <w:tbl>
      <w:tblPr>
        <w:tblpPr w:leftFromText="180" w:rightFromText="180" w:vertAnchor="text" w:horzAnchor="margin" w:tblpY="-202"/>
        <w:tblOverlap w:val="never"/>
        <w:tblW w:w="8931" w:type="dxa"/>
        <w:tblLayout w:type="fixed"/>
        <w:tblLook w:val="0000" w:firstRow="0" w:lastRow="0" w:firstColumn="0" w:lastColumn="0" w:noHBand="0" w:noVBand="0"/>
      </w:tblPr>
      <w:tblGrid>
        <w:gridCol w:w="1229"/>
        <w:gridCol w:w="1593"/>
        <w:gridCol w:w="2602"/>
        <w:gridCol w:w="1584"/>
        <w:gridCol w:w="1923"/>
      </w:tblGrid>
      <w:tr w:rsidR="005975C5">
        <w:trPr>
          <w:cantSplit/>
          <w:trHeight w:val="1100"/>
          <w:tblHeader/>
        </w:trPr>
        <w:tc>
          <w:tcPr>
            <w:tcW w:w="12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276" w:lineRule="auto"/>
              <w:jc w:val="center"/>
              <w:rPr>
                <w:rFonts w:ascii="Times New Roman" w:eastAsia="Times New Roman" w:hAnsi="Times New Roman" w:cs="Times New Roman"/>
                <w:b/>
                <w:sz w:val="26"/>
                <w:szCs w:val="26"/>
              </w:rPr>
            </w:pPr>
            <w:r>
              <w:rPr>
                <w:rFonts w:ascii="Times New Roman" w:eastAsia="Calibri" w:hAnsi="Times New Roman" w:cs="Times New Roman"/>
                <w:b/>
                <w:bCs/>
                <w:sz w:val="24"/>
                <w:szCs w:val="24"/>
                <w:lang w:val="en-US" w:eastAsia="en-US" w:bidi="hi-IN"/>
              </w:rPr>
              <w:lastRenderedPageBreak/>
              <w:t>Linearity level</w:t>
            </w:r>
          </w:p>
        </w:tc>
        <w:tc>
          <w:tcPr>
            <w:tcW w:w="15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276" w:lineRule="auto"/>
              <w:jc w:val="center"/>
              <w:rPr>
                <w:rFonts w:ascii="Times New Roman" w:eastAsia="Times New Roman" w:hAnsi="Times New Roman" w:cs="Times New Roman"/>
                <w:b/>
                <w:sz w:val="26"/>
                <w:szCs w:val="26"/>
              </w:rPr>
            </w:pPr>
            <w:r>
              <w:rPr>
                <w:rFonts w:ascii="Times New Roman" w:eastAsia="Calibri" w:hAnsi="Times New Roman" w:cs="Times New Roman"/>
                <w:b/>
                <w:bCs/>
                <w:sz w:val="24"/>
                <w:szCs w:val="24"/>
                <w:lang w:val="en-US" w:eastAsia="en-US" w:bidi="hi-IN"/>
              </w:rPr>
              <w:t>Sample</w:t>
            </w:r>
          </w:p>
          <w:p w:rsidR="005975C5" w:rsidRDefault="008C00FB">
            <w:pPr>
              <w:spacing w:after="200" w:line="276" w:lineRule="auto"/>
              <w:jc w:val="center"/>
              <w:rPr>
                <w:rFonts w:ascii="Times New Roman" w:eastAsia="Times New Roman" w:hAnsi="Times New Roman" w:cs="Times New Roman"/>
                <w:b/>
                <w:sz w:val="26"/>
                <w:szCs w:val="26"/>
              </w:rPr>
            </w:pPr>
            <w:r>
              <w:rPr>
                <w:rFonts w:ascii="Times New Roman" w:eastAsia="Calibri" w:hAnsi="Times New Roman" w:cs="Times New Roman"/>
                <w:b/>
                <w:bCs/>
                <w:sz w:val="24"/>
                <w:szCs w:val="24"/>
                <w:lang w:val="en-US" w:eastAsia="en-US" w:bidi="hi-IN"/>
              </w:rPr>
              <w:t>concentration</w:t>
            </w:r>
          </w:p>
        </w:tc>
        <w:tc>
          <w:tcPr>
            <w:tcW w:w="26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276" w:lineRule="auto"/>
              <w:jc w:val="center"/>
              <w:rPr>
                <w:rFonts w:ascii="Times New Roman" w:eastAsia="Times New Roman" w:hAnsi="Times New Roman" w:cs="Times New Roman"/>
                <w:b/>
                <w:sz w:val="26"/>
                <w:szCs w:val="26"/>
              </w:rPr>
            </w:pPr>
            <w:r>
              <w:rPr>
                <w:rFonts w:ascii="Times New Roman" w:eastAsia="Calibri" w:hAnsi="Times New Roman" w:cs="Times New Roman"/>
                <w:b/>
                <w:bCs/>
                <w:sz w:val="24"/>
                <w:szCs w:val="24"/>
                <w:lang w:val="en-US" w:eastAsia="en-US" w:bidi="hi-IN"/>
              </w:rPr>
              <w:t>Amount of stock solution preparati</w:t>
            </w:r>
            <w:r>
              <w:rPr>
                <w:rFonts w:ascii="Times New Roman" w:eastAsia="Calibri" w:hAnsi="Times New Roman" w:cs="Times New Roman"/>
                <w:b/>
                <w:bCs/>
                <w:sz w:val="24"/>
                <w:szCs w:val="24"/>
                <w:lang w:val="en-US" w:eastAsia="en-US" w:bidi="hi-IN"/>
              </w:rPr>
              <w:t xml:space="preserve">on of </w:t>
            </w:r>
            <w:r>
              <w:rPr>
                <w:rFonts w:ascii="Times New Roman" w:eastAsia="Calibri" w:hAnsi="Times New Roman" w:cs="Times New Roman"/>
                <w:sz w:val="24"/>
                <w:szCs w:val="24"/>
                <w:lang w:val="en-US" w:eastAsia="en-US" w:bidi="hi-IN"/>
              </w:rPr>
              <w:t xml:space="preserve"> </w:t>
            </w:r>
            <w:r>
              <w:rPr>
                <w:rFonts w:ascii="Times New Roman" w:eastAsia="Calibri" w:hAnsi="Times New Roman" w:cs="Times New Roman"/>
                <w:b/>
                <w:bCs/>
                <w:sz w:val="24"/>
                <w:szCs w:val="24"/>
                <w:lang w:val="en-US" w:eastAsia="en-US" w:bidi="hi-IN"/>
              </w:rPr>
              <w:t xml:space="preserve">Nafithromycin </w:t>
            </w:r>
            <w:r>
              <w:rPr>
                <w:rFonts w:ascii="Times New Roman" w:eastAsia="Calibri" w:hAnsi="Times New Roman" w:cs="Times New Roman"/>
                <w:sz w:val="24"/>
                <w:szCs w:val="24"/>
                <w:lang w:val="en-US" w:eastAsia="en-US" w:bidi="hi-IN"/>
              </w:rPr>
              <w:t xml:space="preserve"> </w:t>
            </w:r>
            <w:r>
              <w:rPr>
                <w:rFonts w:ascii="Times New Roman" w:eastAsia="Calibri" w:hAnsi="Times New Roman" w:cs="Times New Roman"/>
                <w:b/>
                <w:bCs/>
                <w:sz w:val="24"/>
                <w:szCs w:val="24"/>
                <w:lang w:val="en-US" w:eastAsia="en-US" w:bidi="hi-IN"/>
              </w:rPr>
              <w:t>to be transferred (ml)</w:t>
            </w:r>
          </w:p>
        </w:tc>
        <w:tc>
          <w:tcPr>
            <w:tcW w:w="15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276" w:lineRule="auto"/>
              <w:jc w:val="center"/>
              <w:rPr>
                <w:rFonts w:ascii="Times New Roman" w:eastAsia="Times New Roman" w:hAnsi="Times New Roman" w:cs="Times New Roman"/>
                <w:b/>
                <w:sz w:val="26"/>
                <w:szCs w:val="26"/>
              </w:rPr>
            </w:pPr>
            <w:r>
              <w:rPr>
                <w:rFonts w:ascii="Times New Roman" w:eastAsia="Calibri" w:hAnsi="Times New Roman" w:cs="Times New Roman"/>
                <w:b/>
                <w:bCs/>
                <w:sz w:val="24"/>
                <w:szCs w:val="24"/>
                <w:lang w:val="en-US" w:eastAsia="en-US" w:bidi="hi-IN"/>
              </w:rPr>
              <w:t>Volume made up to (ml) with Diluent</w:t>
            </w:r>
          </w:p>
        </w:tc>
        <w:tc>
          <w:tcPr>
            <w:tcW w:w="19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276" w:lineRule="auto"/>
              <w:jc w:val="center"/>
              <w:rPr>
                <w:rFonts w:ascii="Times New Roman" w:eastAsia="Times New Roman" w:hAnsi="Times New Roman" w:cs="Times New Roman"/>
                <w:b/>
                <w:sz w:val="26"/>
                <w:szCs w:val="26"/>
              </w:rPr>
            </w:pPr>
            <w:r>
              <w:rPr>
                <w:rFonts w:ascii="Times New Roman" w:eastAsia="Calibri" w:hAnsi="Times New Roman" w:cs="Times New Roman"/>
                <w:b/>
                <w:bCs/>
                <w:sz w:val="24"/>
                <w:szCs w:val="24"/>
                <w:lang w:val="en-US" w:eastAsia="en-US" w:bidi="hi-IN"/>
              </w:rPr>
              <w:t>Concentration of</w:t>
            </w:r>
          </w:p>
          <w:p w:rsidR="005975C5" w:rsidRDefault="008C00FB">
            <w:pPr>
              <w:spacing w:after="200" w:line="276" w:lineRule="auto"/>
              <w:jc w:val="center"/>
              <w:rPr>
                <w:rFonts w:ascii="Times New Roman" w:eastAsia="Times New Roman" w:hAnsi="Times New Roman" w:cs="Times New Roman"/>
                <w:b/>
                <w:sz w:val="26"/>
                <w:szCs w:val="26"/>
              </w:rPr>
            </w:pPr>
            <w:r>
              <w:rPr>
                <w:rFonts w:ascii="Times New Roman" w:eastAsia="Calibri" w:hAnsi="Times New Roman" w:cs="Times New Roman"/>
                <w:b/>
                <w:bCs/>
                <w:sz w:val="24"/>
                <w:szCs w:val="24"/>
                <w:lang w:val="en-US" w:eastAsia="en-US" w:bidi="hi-IN"/>
              </w:rPr>
              <w:t xml:space="preserve">Nafithromycin </w:t>
            </w:r>
            <w:r>
              <w:rPr>
                <w:rFonts w:ascii="Times New Roman" w:eastAsia="Calibri" w:hAnsi="Times New Roman" w:cs="Times New Roman"/>
                <w:sz w:val="24"/>
                <w:szCs w:val="24"/>
                <w:lang w:val="en-US" w:eastAsia="en-US" w:bidi="hi-IN"/>
              </w:rPr>
              <w:t xml:space="preserve"> </w:t>
            </w:r>
            <w:r>
              <w:rPr>
                <w:rFonts w:ascii="Times New Roman" w:eastAsia="Calibri" w:hAnsi="Times New Roman" w:cs="Times New Roman"/>
                <w:b/>
                <w:bCs/>
                <w:sz w:val="24"/>
                <w:szCs w:val="24"/>
                <w:lang w:val="en-US" w:eastAsia="en-US" w:bidi="hi-IN"/>
              </w:rPr>
              <w:t>(ppm)</w:t>
            </w:r>
          </w:p>
        </w:tc>
      </w:tr>
      <w:tr w:rsidR="005975C5">
        <w:trPr>
          <w:cantSplit/>
          <w:trHeight w:val="427"/>
          <w:tblHeader/>
        </w:trPr>
        <w:tc>
          <w:tcPr>
            <w:tcW w:w="12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276" w:lineRule="auto"/>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de-DE" w:eastAsia="en-US" w:bidi="hi-IN"/>
              </w:rPr>
              <w:t>Level – 1</w:t>
            </w:r>
          </w:p>
        </w:tc>
        <w:tc>
          <w:tcPr>
            <w:tcW w:w="15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276" w:lineRule="auto"/>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de-DE" w:eastAsia="en-US" w:bidi="hi-IN"/>
              </w:rPr>
              <w:t>50%</w:t>
            </w:r>
          </w:p>
        </w:tc>
        <w:tc>
          <w:tcPr>
            <w:tcW w:w="26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276" w:lineRule="auto"/>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de-DE" w:eastAsia="en-US" w:bidi="hi-IN"/>
              </w:rPr>
              <w:t>1.0 ml</w:t>
            </w:r>
          </w:p>
        </w:tc>
        <w:tc>
          <w:tcPr>
            <w:tcW w:w="15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276" w:lineRule="auto"/>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20</w:t>
            </w:r>
          </w:p>
        </w:tc>
        <w:tc>
          <w:tcPr>
            <w:tcW w:w="19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276" w:lineRule="auto"/>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10.0</w:t>
            </w:r>
          </w:p>
        </w:tc>
      </w:tr>
      <w:tr w:rsidR="005975C5">
        <w:trPr>
          <w:cantSplit/>
          <w:trHeight w:val="427"/>
        </w:trPr>
        <w:tc>
          <w:tcPr>
            <w:tcW w:w="12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276" w:lineRule="auto"/>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de-DE" w:eastAsia="en-US" w:bidi="hi-IN"/>
              </w:rPr>
              <w:t>Level – 2</w:t>
            </w:r>
          </w:p>
        </w:tc>
        <w:tc>
          <w:tcPr>
            <w:tcW w:w="15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276" w:lineRule="auto"/>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de-DE" w:eastAsia="en-US" w:bidi="hi-IN"/>
              </w:rPr>
              <w:t>75%</w:t>
            </w:r>
          </w:p>
        </w:tc>
        <w:tc>
          <w:tcPr>
            <w:tcW w:w="26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276" w:lineRule="auto"/>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de-DE" w:eastAsia="en-US" w:bidi="hi-IN"/>
              </w:rPr>
              <w:t>1.5 ml</w:t>
            </w:r>
          </w:p>
        </w:tc>
        <w:tc>
          <w:tcPr>
            <w:tcW w:w="15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276" w:lineRule="auto"/>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20</w:t>
            </w:r>
          </w:p>
        </w:tc>
        <w:tc>
          <w:tcPr>
            <w:tcW w:w="19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276" w:lineRule="auto"/>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15.0</w:t>
            </w:r>
          </w:p>
        </w:tc>
      </w:tr>
      <w:tr w:rsidR="005975C5">
        <w:trPr>
          <w:cantSplit/>
          <w:trHeight w:val="427"/>
        </w:trPr>
        <w:tc>
          <w:tcPr>
            <w:tcW w:w="12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276" w:lineRule="auto"/>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de-DE" w:eastAsia="en-US" w:bidi="hi-IN"/>
              </w:rPr>
              <w:t>Level – 3</w:t>
            </w:r>
          </w:p>
        </w:tc>
        <w:tc>
          <w:tcPr>
            <w:tcW w:w="15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276" w:lineRule="auto"/>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100%</w:t>
            </w:r>
          </w:p>
        </w:tc>
        <w:tc>
          <w:tcPr>
            <w:tcW w:w="26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276" w:lineRule="auto"/>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de-DE" w:eastAsia="en-US" w:bidi="hi-IN"/>
              </w:rPr>
              <w:t>2.0 ml</w:t>
            </w:r>
          </w:p>
        </w:tc>
        <w:tc>
          <w:tcPr>
            <w:tcW w:w="15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276" w:lineRule="auto"/>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20</w:t>
            </w:r>
          </w:p>
        </w:tc>
        <w:tc>
          <w:tcPr>
            <w:tcW w:w="19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276" w:lineRule="auto"/>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20.0</w:t>
            </w:r>
          </w:p>
        </w:tc>
      </w:tr>
      <w:tr w:rsidR="005975C5">
        <w:trPr>
          <w:cantSplit/>
          <w:trHeight w:val="427"/>
        </w:trPr>
        <w:tc>
          <w:tcPr>
            <w:tcW w:w="12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276" w:lineRule="auto"/>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de-DE" w:eastAsia="en-US" w:bidi="hi-IN"/>
              </w:rPr>
              <w:t>Level – 4</w:t>
            </w:r>
          </w:p>
        </w:tc>
        <w:tc>
          <w:tcPr>
            <w:tcW w:w="15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276" w:lineRule="auto"/>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125%</w:t>
            </w:r>
          </w:p>
        </w:tc>
        <w:tc>
          <w:tcPr>
            <w:tcW w:w="26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276" w:lineRule="auto"/>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de-DE" w:eastAsia="en-US" w:bidi="hi-IN"/>
              </w:rPr>
              <w:t>2.5 ml</w:t>
            </w:r>
          </w:p>
        </w:tc>
        <w:tc>
          <w:tcPr>
            <w:tcW w:w="15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276" w:lineRule="auto"/>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20</w:t>
            </w:r>
          </w:p>
        </w:tc>
        <w:tc>
          <w:tcPr>
            <w:tcW w:w="19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276" w:lineRule="auto"/>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25.0</w:t>
            </w:r>
          </w:p>
        </w:tc>
      </w:tr>
      <w:tr w:rsidR="005975C5">
        <w:trPr>
          <w:cantSplit/>
          <w:trHeight w:val="427"/>
        </w:trPr>
        <w:tc>
          <w:tcPr>
            <w:tcW w:w="12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276" w:lineRule="auto"/>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de-DE" w:eastAsia="en-US" w:bidi="hi-IN"/>
              </w:rPr>
              <w:t>Level – 5</w:t>
            </w:r>
          </w:p>
        </w:tc>
        <w:tc>
          <w:tcPr>
            <w:tcW w:w="15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276" w:lineRule="auto"/>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150%</w:t>
            </w:r>
          </w:p>
        </w:tc>
        <w:tc>
          <w:tcPr>
            <w:tcW w:w="26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276" w:lineRule="auto"/>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de-DE" w:eastAsia="en-US" w:bidi="hi-IN"/>
              </w:rPr>
              <w:t>3.0 ml</w:t>
            </w:r>
          </w:p>
        </w:tc>
        <w:tc>
          <w:tcPr>
            <w:tcW w:w="15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276" w:lineRule="auto"/>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20</w:t>
            </w:r>
          </w:p>
        </w:tc>
        <w:tc>
          <w:tcPr>
            <w:tcW w:w="19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276" w:lineRule="auto"/>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30.0</w:t>
            </w:r>
          </w:p>
        </w:tc>
      </w:tr>
    </w:tbl>
    <w:p w:rsidR="005975C5" w:rsidRDefault="005975C5">
      <w:pPr>
        <w:spacing w:after="200" w:line="360" w:lineRule="auto"/>
        <w:jc w:val="left"/>
        <w:rPr>
          <w:rFonts w:ascii="Times New Roman" w:eastAsia="Times New Roman" w:hAnsi="Times New Roman" w:cs="Times New Roman"/>
          <w:b/>
          <w:sz w:val="26"/>
          <w:szCs w:val="26"/>
        </w:rPr>
      </w:pPr>
    </w:p>
    <w:p w:rsidR="005975C5" w:rsidRDefault="005975C5">
      <w:pPr>
        <w:spacing w:after="200" w:line="360" w:lineRule="auto"/>
        <w:jc w:val="left"/>
        <w:rPr>
          <w:rFonts w:ascii="Times New Roman" w:eastAsia="Times New Roman" w:hAnsi="Times New Roman" w:cs="Times New Roman"/>
          <w:b/>
          <w:sz w:val="26"/>
          <w:szCs w:val="26"/>
        </w:rPr>
      </w:pPr>
    </w:p>
    <w:p w:rsidR="005975C5" w:rsidRDefault="005975C5">
      <w:pPr>
        <w:spacing w:after="200" w:line="360" w:lineRule="auto"/>
        <w:jc w:val="left"/>
        <w:rPr>
          <w:rFonts w:ascii="Times New Roman" w:eastAsia="Times New Roman" w:hAnsi="Times New Roman" w:cs="Times New Roman"/>
          <w:b/>
          <w:sz w:val="26"/>
          <w:szCs w:val="26"/>
        </w:rPr>
      </w:pPr>
    </w:p>
    <w:p w:rsidR="005975C5" w:rsidRDefault="005975C5">
      <w:pPr>
        <w:keepNext/>
        <w:keepLines/>
        <w:spacing w:after="160" w:line="360" w:lineRule="auto"/>
        <w:jc w:val="center"/>
        <w:outlineLvl w:val="8"/>
        <w:rPr>
          <w:rFonts w:ascii="Times New Roman" w:eastAsia="Times New Roman" w:hAnsi="Times New Roman" w:cs="Times New Roman"/>
          <w:b/>
          <w:sz w:val="26"/>
          <w:szCs w:val="26"/>
        </w:rPr>
      </w:pPr>
    </w:p>
    <w:p w:rsidR="005975C5" w:rsidRDefault="005975C5">
      <w:pPr>
        <w:spacing w:after="200" w:line="276" w:lineRule="auto"/>
        <w:jc w:val="left"/>
        <w:rPr>
          <w:rFonts w:ascii="Times New Roman" w:eastAsia="Times New Roman" w:hAnsi="Times New Roman" w:cs="Times New Roman"/>
          <w:b/>
          <w:sz w:val="26"/>
          <w:szCs w:val="26"/>
        </w:rPr>
      </w:pPr>
    </w:p>
    <w:p w:rsidR="005975C5" w:rsidRDefault="005975C5">
      <w:pPr>
        <w:spacing w:after="200" w:line="276" w:lineRule="auto"/>
        <w:jc w:val="left"/>
        <w:rPr>
          <w:rFonts w:ascii="Times New Roman" w:eastAsia="Times New Roman" w:hAnsi="Times New Roman" w:cs="Times New Roman"/>
          <w:b/>
          <w:sz w:val="26"/>
          <w:szCs w:val="26"/>
        </w:rPr>
      </w:pPr>
    </w:p>
    <w:p w:rsidR="005975C5" w:rsidRDefault="005975C5">
      <w:pPr>
        <w:spacing w:after="200" w:line="276" w:lineRule="auto"/>
        <w:jc w:val="left"/>
        <w:rPr>
          <w:rFonts w:ascii="Times New Roman" w:eastAsia="Times New Roman" w:hAnsi="Times New Roman" w:cs="Times New Roman"/>
          <w:b/>
          <w:sz w:val="26"/>
          <w:szCs w:val="26"/>
        </w:rPr>
      </w:pPr>
    </w:p>
    <w:p w:rsidR="005975C5" w:rsidRDefault="005975C5">
      <w:pPr>
        <w:spacing w:after="200" w:line="276" w:lineRule="auto"/>
        <w:jc w:val="left"/>
        <w:rPr>
          <w:rFonts w:ascii="Times New Roman" w:eastAsia="Times New Roman" w:hAnsi="Times New Roman" w:cs="Times New Roman"/>
          <w:b/>
          <w:sz w:val="26"/>
          <w:szCs w:val="26"/>
        </w:rPr>
      </w:pPr>
    </w:p>
    <w:p w:rsidR="005975C5" w:rsidRDefault="005975C5">
      <w:pPr>
        <w:spacing w:after="200" w:line="276" w:lineRule="auto"/>
        <w:jc w:val="left"/>
        <w:rPr>
          <w:rFonts w:ascii="Times New Roman" w:eastAsia="Times New Roman" w:hAnsi="Times New Roman" w:cs="Times New Roman"/>
          <w:b/>
          <w:sz w:val="26"/>
          <w:szCs w:val="26"/>
        </w:rPr>
      </w:pPr>
    </w:p>
    <w:p w:rsidR="005975C5" w:rsidRDefault="005975C5">
      <w:pPr>
        <w:keepNext/>
        <w:keepLines/>
        <w:spacing w:after="160" w:line="360" w:lineRule="auto"/>
        <w:jc w:val="left"/>
        <w:outlineLvl w:val="8"/>
        <w:rPr>
          <w:rFonts w:ascii="Times New Roman" w:eastAsia="Times New Roman" w:hAnsi="Times New Roman" w:cs="Times New Roman"/>
          <w:b/>
          <w:sz w:val="26"/>
          <w:szCs w:val="26"/>
        </w:rPr>
      </w:pP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noProof/>
          <w:sz w:val="24"/>
          <w:szCs w:val="24"/>
        </w:rPr>
        <w:drawing>
          <wp:anchor distT="0" distB="0" distL="0" distR="0" simplePos="0" relativeHeight="3" behindDoc="0" locked="0" layoutInCell="1" allowOverlap="1">
            <wp:simplePos x="0" y="0"/>
            <mc:AlternateContent>
              <mc:Choice Requires="wp14">
                <wp:positionH relativeFrom="column">
                  <wp14:pctPosHOffset>0</wp14:pctPosHOffset>
                </wp:positionH>
              </mc:Choice>
              <mc:Fallback>
                <wp:positionH relativeFrom="page">
                  <wp:posOffset>0</wp:posOffset>
                </wp:positionH>
              </mc:Fallback>
            </mc:AlternateContent>
            <wp:positionV relativeFrom="margin">
              <wp:align>top</wp:align>
            </wp:positionV>
            <wp:extent cx="6532880" cy="4385310"/>
            <wp:effectExtent l="0" t="0" r="0" b="0"/>
            <wp:wrapTopAndBottom/>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a:blip r:embed="rId15" cstate="print"/>
                    <a:srcRect/>
                    <a:stretch/>
                  </pic:blipFill>
                  <pic:spPr>
                    <a:xfrm>
                      <a:off x="0" y="0"/>
                      <a:ext cx="6532880" cy="4385310"/>
                    </a:xfrm>
                    <a:prstGeom prst="rect">
                      <a:avLst/>
                    </a:prstGeom>
                  </pic:spPr>
                </pic:pic>
              </a:graphicData>
            </a:graphic>
            <wp14:sizeRelH relativeFrom="margin">
              <wp14:pctWidth>0</wp14:pctWidth>
            </wp14:sizeRelH>
            <wp14:sizeRelV relativeFrom="margin">
              <wp14:pctHeight>0</wp14:pctHeight>
            </wp14:sizeRelV>
          </wp:anchor>
        </w:drawing>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val="en-US" w:eastAsia="en-US" w:bidi="hi-IN"/>
        </w:rPr>
        <w:t xml:space="preserve">RESULT AND DISCUSSION </w:t>
      </w:r>
    </w:p>
    <w:p w:rsidR="005975C5" w:rsidRDefault="008C00FB">
      <w:pPr>
        <w:spacing w:after="120" w:line="360" w:lineRule="auto"/>
        <w:ind w:left="360" w:right="-115" w:firstLine="360"/>
        <w:rPr>
          <w:rFonts w:ascii="Times New Roman" w:eastAsia="Times New Roman" w:hAnsi="Times New Roman" w:cs="Times New Roman"/>
          <w:b/>
          <w:sz w:val="26"/>
          <w:szCs w:val="26"/>
        </w:rPr>
      </w:pPr>
      <w:r>
        <w:rPr>
          <w:rFonts w:ascii="Times New Roman" w:eastAsia="Times New Roman" w:hAnsi="Times New Roman" w:cs="Times New Roman"/>
          <w:sz w:val="24"/>
          <w:szCs w:val="24"/>
          <w:lang w:val="en-US" w:eastAsia="en-US"/>
        </w:rPr>
        <w:lastRenderedPageBreak/>
        <w:t>No absorption peak obtained for placebo preparations at 232nm in the UV spectrum</w:t>
      </w:r>
    </w:p>
    <w:p w:rsidR="005975C5" w:rsidRDefault="008C00FB">
      <w:pPr>
        <w:spacing w:after="200" w:line="360" w:lineRule="auto"/>
        <w:ind w:left="720"/>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 xml:space="preserve">One Absorption peak observed at 232nm for Nafithromycin WS preparations </w:t>
      </w:r>
    </w:p>
    <w:p w:rsidR="005975C5" w:rsidRDefault="008C00FB">
      <w:pPr>
        <w:spacing w:after="200" w:line="360" w:lineRule="auto"/>
        <w:ind w:left="720" w:hanging="360"/>
        <w:rPr>
          <w:rFonts w:ascii="Times New Roman" w:eastAsia="Times New Roman" w:hAnsi="Times New Roman" w:cs="Times New Roman"/>
          <w:b/>
          <w:sz w:val="26"/>
          <w:szCs w:val="26"/>
        </w:rPr>
      </w:pPr>
      <w:r>
        <w:rPr>
          <w:rFonts w:ascii="Times New Roman" w:eastAsia="Calibri" w:hAnsi="Times New Roman" w:cs="Times New Roman"/>
          <w:b/>
          <w:bCs/>
          <w:sz w:val="24"/>
          <w:szCs w:val="24"/>
          <w:lang w:val="en-US" w:eastAsia="en-US" w:bidi="hi-IN"/>
        </w:rPr>
        <w:t>Table - 2: System suitability - Selectivity</w:t>
      </w:r>
    </w:p>
    <w:tbl>
      <w:tblPr>
        <w:tblW w:w="8110" w:type="dxa"/>
        <w:jc w:val="center"/>
        <w:tblLayout w:type="fixed"/>
        <w:tblLook w:val="0000" w:firstRow="0" w:lastRow="0" w:firstColumn="0" w:lastColumn="0" w:noHBand="0" w:noVBand="0"/>
      </w:tblPr>
      <w:tblGrid>
        <w:gridCol w:w="3703"/>
        <w:gridCol w:w="4407"/>
      </w:tblGrid>
      <w:tr w:rsidR="005975C5">
        <w:trPr>
          <w:trHeight w:val="576"/>
          <w:jc w:val="center"/>
        </w:trPr>
        <w:tc>
          <w:tcPr>
            <w:tcW w:w="37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val="en-US" w:eastAsia="en-US" w:bidi="hi-IN"/>
              </w:rPr>
              <w:t xml:space="preserve">Sr. </w:t>
            </w:r>
            <w:r>
              <w:rPr>
                <w:rFonts w:ascii="Times New Roman" w:eastAsia="Calibri" w:hAnsi="Times New Roman" w:cs="Times New Roman"/>
                <w:b/>
                <w:bCs/>
                <w:sz w:val="24"/>
                <w:szCs w:val="24"/>
                <w:lang w:val="en-US" w:eastAsia="en-US" w:bidi="hi-IN"/>
              </w:rPr>
              <w:t>No.</w:t>
            </w:r>
          </w:p>
        </w:tc>
        <w:tc>
          <w:tcPr>
            <w:tcW w:w="44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val="en-US" w:eastAsia="en-US" w:bidi="hi-IN"/>
              </w:rPr>
              <w:t>Absorbance of Nafithromycin at 232nm</w:t>
            </w:r>
          </w:p>
        </w:tc>
      </w:tr>
      <w:tr w:rsidR="005975C5">
        <w:trPr>
          <w:trHeight w:hRule="exact" w:val="504"/>
          <w:jc w:val="center"/>
        </w:trPr>
        <w:tc>
          <w:tcPr>
            <w:tcW w:w="37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1</w:t>
            </w:r>
          </w:p>
        </w:tc>
        <w:tc>
          <w:tcPr>
            <w:tcW w:w="44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0.252</w:t>
            </w:r>
          </w:p>
        </w:tc>
      </w:tr>
      <w:tr w:rsidR="005975C5">
        <w:trPr>
          <w:trHeight w:hRule="exact" w:val="504"/>
          <w:jc w:val="center"/>
        </w:trPr>
        <w:tc>
          <w:tcPr>
            <w:tcW w:w="37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2</w:t>
            </w:r>
          </w:p>
        </w:tc>
        <w:tc>
          <w:tcPr>
            <w:tcW w:w="44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0.251</w:t>
            </w:r>
          </w:p>
        </w:tc>
      </w:tr>
      <w:tr w:rsidR="005975C5">
        <w:trPr>
          <w:trHeight w:hRule="exact" w:val="504"/>
          <w:jc w:val="center"/>
        </w:trPr>
        <w:tc>
          <w:tcPr>
            <w:tcW w:w="37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3</w:t>
            </w:r>
          </w:p>
        </w:tc>
        <w:tc>
          <w:tcPr>
            <w:tcW w:w="44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0.254</w:t>
            </w:r>
          </w:p>
        </w:tc>
      </w:tr>
      <w:tr w:rsidR="005975C5">
        <w:trPr>
          <w:trHeight w:hRule="exact" w:val="504"/>
          <w:jc w:val="center"/>
        </w:trPr>
        <w:tc>
          <w:tcPr>
            <w:tcW w:w="37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4</w:t>
            </w:r>
          </w:p>
        </w:tc>
        <w:tc>
          <w:tcPr>
            <w:tcW w:w="44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0.253</w:t>
            </w:r>
          </w:p>
        </w:tc>
      </w:tr>
      <w:tr w:rsidR="005975C5">
        <w:trPr>
          <w:trHeight w:hRule="exact" w:val="504"/>
          <w:jc w:val="center"/>
        </w:trPr>
        <w:tc>
          <w:tcPr>
            <w:tcW w:w="37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val="en-GB" w:eastAsia="en-US" w:bidi="hi-IN"/>
              </w:rPr>
              <w:t>5</w:t>
            </w:r>
          </w:p>
        </w:tc>
        <w:tc>
          <w:tcPr>
            <w:tcW w:w="44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0.250</w:t>
            </w:r>
          </w:p>
        </w:tc>
      </w:tr>
      <w:tr w:rsidR="005975C5">
        <w:trPr>
          <w:trHeight w:hRule="exact" w:val="504"/>
          <w:jc w:val="center"/>
        </w:trPr>
        <w:tc>
          <w:tcPr>
            <w:tcW w:w="37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val="en-US" w:eastAsia="en-US" w:bidi="hi-IN"/>
              </w:rPr>
              <w:t>Mean</w:t>
            </w:r>
          </w:p>
        </w:tc>
        <w:tc>
          <w:tcPr>
            <w:tcW w:w="44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val="en-US" w:eastAsia="en-US" w:bidi="hi-IN"/>
              </w:rPr>
              <w:t>0.252</w:t>
            </w:r>
          </w:p>
        </w:tc>
      </w:tr>
      <w:tr w:rsidR="005975C5">
        <w:trPr>
          <w:trHeight w:hRule="exact" w:val="504"/>
          <w:jc w:val="center"/>
        </w:trPr>
        <w:tc>
          <w:tcPr>
            <w:tcW w:w="37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val="en-GB" w:eastAsia="en-US" w:bidi="hi-IN"/>
              </w:rPr>
              <w:t>Standard Deviation (±)</w:t>
            </w:r>
          </w:p>
        </w:tc>
        <w:tc>
          <w:tcPr>
            <w:tcW w:w="44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val="en-US" w:eastAsia="en-US" w:bidi="hi-IN"/>
              </w:rPr>
              <w:t>0.002</w:t>
            </w:r>
          </w:p>
        </w:tc>
      </w:tr>
      <w:tr w:rsidR="005975C5">
        <w:trPr>
          <w:trHeight w:hRule="exact" w:val="504"/>
          <w:jc w:val="center"/>
        </w:trPr>
        <w:tc>
          <w:tcPr>
            <w:tcW w:w="37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val="en-GB" w:eastAsia="en-US" w:bidi="hi-IN"/>
              </w:rPr>
              <w:t>(%) Relative Standard Deviation</w:t>
            </w:r>
          </w:p>
        </w:tc>
        <w:tc>
          <w:tcPr>
            <w:tcW w:w="44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val="en-US" w:eastAsia="en-US" w:bidi="hi-IN"/>
              </w:rPr>
              <w:t>0.627</w:t>
            </w:r>
          </w:p>
        </w:tc>
      </w:tr>
    </w:tbl>
    <w:p w:rsidR="005975C5" w:rsidRDefault="008C00FB">
      <w:pPr>
        <w:spacing w:after="160" w:line="360" w:lineRule="auto"/>
        <w:ind w:left="720" w:right="-25"/>
        <w:rPr>
          <w:rFonts w:ascii="Times New Roman" w:eastAsia="Times New Roman" w:hAnsi="Times New Roman" w:cs="Times New Roman"/>
          <w:b/>
          <w:sz w:val="26"/>
          <w:szCs w:val="26"/>
        </w:rPr>
      </w:pPr>
      <w:r>
        <w:rPr>
          <w:rFonts w:ascii="Times New Roman" w:eastAsia="Times New Roman" w:hAnsi="Times New Roman" w:cs="Times New Roman"/>
          <w:sz w:val="24"/>
          <w:szCs w:val="24"/>
          <w:lang w:val="en-US" w:eastAsia="en-US"/>
        </w:rPr>
        <w:t xml:space="preserve">All the absorbance readings were processed at the wavelength provided in the method. </w:t>
      </w:r>
      <w:r>
        <w:rPr>
          <w:rFonts w:ascii="Times New Roman" w:eastAsia="Times New Roman" w:hAnsi="Times New Roman" w:cs="Times New Roman"/>
          <w:sz w:val="24"/>
          <w:szCs w:val="24"/>
          <w:lang w:val="en-US" w:eastAsia="en-US"/>
        </w:rPr>
        <w:t>There was no interference observed from diluent blank solution, excipient blend solution with Nafithromycin peak.</w:t>
      </w:r>
    </w:p>
    <w:p w:rsidR="005975C5" w:rsidRDefault="008C00FB">
      <w:pPr>
        <w:spacing w:after="20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val="en-US" w:eastAsia="en-US" w:bidi="hi-IN"/>
        </w:rPr>
        <w:t>1.3</w:t>
      </w:r>
      <w:r>
        <w:tab/>
      </w:r>
      <w:r>
        <w:rPr>
          <w:rFonts w:ascii="Times New Roman" w:eastAsia="Calibri" w:hAnsi="Times New Roman" w:cs="Times New Roman"/>
          <w:b/>
          <w:bCs/>
          <w:sz w:val="24"/>
          <w:szCs w:val="24"/>
          <w:lang w:val="en-US" w:eastAsia="en-US" w:bidi="hi-IN"/>
        </w:rPr>
        <w:t>Remarks:</w:t>
      </w:r>
    </w:p>
    <w:p w:rsidR="005975C5" w:rsidRDefault="008C00FB">
      <w:pPr>
        <w:spacing w:after="200" w:line="360" w:lineRule="auto"/>
        <w:ind w:left="720"/>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The method is selective.</w:t>
      </w:r>
    </w:p>
    <w:p w:rsidR="005975C5" w:rsidRDefault="008C00FB">
      <w:pPr>
        <w:spacing w:after="20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val="en-US" w:eastAsia="en-US" w:bidi="hi-IN"/>
        </w:rPr>
        <w:t>2.0</w:t>
      </w:r>
      <w:r>
        <w:tab/>
      </w:r>
      <w:r>
        <w:rPr>
          <w:rFonts w:ascii="Times New Roman" w:eastAsia="Calibri" w:hAnsi="Times New Roman" w:cs="Times New Roman"/>
          <w:b/>
          <w:bCs/>
          <w:sz w:val="24"/>
          <w:szCs w:val="24"/>
          <w:lang w:val="en-US" w:eastAsia="en-US" w:bidi="hi-IN"/>
        </w:rPr>
        <w:t>Linearity</w:t>
      </w:r>
    </w:p>
    <w:p w:rsidR="005975C5" w:rsidRDefault="008C00FB">
      <w:pPr>
        <w:tabs>
          <w:tab w:val="center" w:pos="4320"/>
          <w:tab w:val="right" w:pos="8640"/>
        </w:tabs>
        <w:spacing w:after="160" w:line="360" w:lineRule="auto"/>
        <w:rPr>
          <w:rFonts w:ascii="Times New Roman" w:eastAsia="Times New Roman" w:hAnsi="Times New Roman" w:cs="Times New Roman"/>
          <w:b/>
          <w:sz w:val="26"/>
          <w:szCs w:val="26"/>
        </w:rPr>
      </w:pPr>
      <w:r>
        <w:rPr>
          <w:rFonts w:ascii="Times New Roman" w:eastAsia="Times New Roman" w:hAnsi="Times New Roman" w:cs="Times New Roman"/>
          <w:b/>
          <w:bCs/>
          <w:sz w:val="24"/>
          <w:szCs w:val="24"/>
          <w:lang w:val="en-US" w:eastAsia="en-US"/>
        </w:rPr>
        <w:t>Linearity and Range for standard:</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 xml:space="preserve">For the linearity study five standard solutions of </w:t>
      </w:r>
      <w:r>
        <w:rPr>
          <w:rFonts w:ascii="Times New Roman" w:eastAsia="Calibri" w:hAnsi="Times New Roman" w:cs="Times New Roman"/>
          <w:sz w:val="24"/>
          <w:szCs w:val="24"/>
          <w:lang w:val="en-US" w:eastAsia="en-US" w:bidi="hi-IN"/>
        </w:rPr>
        <w:t>Nafithromycin were prepared from the range starting from 50% to 150% of the theoretical concentration of assay preparation.</w:t>
      </w:r>
    </w:p>
    <w:p w:rsidR="005975C5" w:rsidRDefault="008C00FB">
      <w:pPr>
        <w:spacing w:after="200" w:line="360" w:lineRule="auto"/>
        <w:ind w:left="720"/>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The Absorbance of the system suitability solution and the linearity solutions were measured as per the protocol. The linearity graph</w:t>
      </w:r>
      <w:r>
        <w:rPr>
          <w:rFonts w:ascii="Times New Roman" w:eastAsia="Calibri" w:hAnsi="Times New Roman" w:cs="Times New Roman"/>
          <w:sz w:val="24"/>
          <w:szCs w:val="24"/>
          <w:lang w:val="en-US" w:eastAsia="en-US" w:bidi="hi-IN"/>
        </w:rPr>
        <w:t xml:space="preserve"> of concentration against Absorbance was plotted and the correlation coefficient was determined.</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val="en-US" w:eastAsia="en-US" w:bidi="hi-IN"/>
        </w:rPr>
        <w:t>Acceptance criteria:</w:t>
      </w:r>
    </w:p>
    <w:p w:rsidR="005975C5" w:rsidRDefault="008C00FB">
      <w:pPr>
        <w:spacing w:after="200" w:line="360" w:lineRule="auto"/>
        <w:ind w:left="720"/>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Correlation coefficient should be greater than or equal to 0.999.</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4"/>
          <w:szCs w:val="24"/>
          <w:lang w:val="en-US" w:eastAsia="en-US" w:bidi="hi-IN"/>
        </w:rPr>
        <w:lastRenderedPageBreak/>
        <w:t>Results:</w:t>
      </w:r>
    </w:p>
    <w:p w:rsidR="005975C5" w:rsidRDefault="008C00FB">
      <w:pPr>
        <w:spacing w:after="200" w:line="360" w:lineRule="auto"/>
        <w:ind w:left="720"/>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The system suitability criteria were found to meet the pre-esta</w:t>
      </w:r>
      <w:r>
        <w:rPr>
          <w:rFonts w:ascii="Times New Roman" w:eastAsia="Calibri" w:hAnsi="Times New Roman" w:cs="Times New Roman"/>
          <w:sz w:val="24"/>
          <w:szCs w:val="24"/>
          <w:lang w:val="en-US" w:eastAsia="en-US" w:bidi="hi-IN"/>
        </w:rPr>
        <w:t>blished acceptance criteria as per the analytical method. (Refer to Table-3 for system suitability results).</w:t>
      </w:r>
    </w:p>
    <w:p w:rsidR="005975C5" w:rsidRDefault="008C00FB">
      <w:pPr>
        <w:spacing w:after="200" w:line="360" w:lineRule="auto"/>
        <w:ind w:left="720" w:hanging="720"/>
        <w:rPr>
          <w:rFonts w:ascii="Times New Roman" w:eastAsia="Times New Roman" w:hAnsi="Times New Roman" w:cs="Times New Roman"/>
          <w:b/>
          <w:sz w:val="26"/>
          <w:szCs w:val="26"/>
        </w:rPr>
      </w:pPr>
      <w:r>
        <w:rPr>
          <w:rFonts w:ascii="Times New Roman" w:eastAsia="Calibri" w:hAnsi="Times New Roman" w:cs="Times New Roman"/>
          <w:b/>
          <w:bCs/>
          <w:sz w:val="24"/>
          <w:szCs w:val="24"/>
          <w:lang w:val="en-US" w:eastAsia="en-US" w:bidi="hi-IN"/>
        </w:rPr>
        <w:t xml:space="preserve">Table 3: System suitability - Linearity of standard </w:t>
      </w:r>
    </w:p>
    <w:tbl>
      <w:tblPr>
        <w:tblW w:w="7915" w:type="dxa"/>
        <w:jc w:val="center"/>
        <w:tblLayout w:type="fixed"/>
        <w:tblLook w:val="0000" w:firstRow="0" w:lastRow="0" w:firstColumn="0" w:lastColumn="0" w:noHBand="0" w:noVBand="0"/>
      </w:tblPr>
      <w:tblGrid>
        <w:gridCol w:w="3595"/>
        <w:gridCol w:w="4320"/>
      </w:tblGrid>
      <w:tr w:rsidR="005975C5">
        <w:trPr>
          <w:trHeight w:hRule="exact" w:val="504"/>
          <w:jc w:val="center"/>
        </w:trPr>
        <w:tc>
          <w:tcPr>
            <w:tcW w:w="3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360" w:lineRule="auto"/>
              <w:ind w:left="-72" w:right="-58"/>
              <w:jc w:val="center"/>
              <w:rPr>
                <w:rFonts w:ascii="Times New Roman" w:eastAsia="Times New Roman" w:hAnsi="Times New Roman" w:cs="Times New Roman"/>
                <w:b/>
                <w:sz w:val="26"/>
                <w:szCs w:val="26"/>
              </w:rPr>
            </w:pPr>
            <w:r>
              <w:rPr>
                <w:rFonts w:ascii="Times New Roman" w:eastAsia="Calibri" w:hAnsi="Times New Roman" w:cs="Times New Roman"/>
                <w:b/>
                <w:bCs/>
                <w:sz w:val="24"/>
                <w:szCs w:val="24"/>
                <w:lang w:val="en-US" w:eastAsia="en-US" w:bidi="hi-IN"/>
              </w:rPr>
              <w:t>Sr. No.</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360" w:lineRule="auto"/>
              <w:ind w:left="-72" w:right="-58"/>
              <w:jc w:val="center"/>
              <w:rPr>
                <w:rFonts w:ascii="Times New Roman" w:eastAsia="Times New Roman" w:hAnsi="Times New Roman" w:cs="Times New Roman"/>
                <w:b/>
                <w:sz w:val="26"/>
                <w:szCs w:val="26"/>
              </w:rPr>
            </w:pPr>
            <w:r>
              <w:rPr>
                <w:rFonts w:ascii="Times New Roman" w:eastAsia="Calibri" w:hAnsi="Times New Roman" w:cs="Times New Roman"/>
                <w:b/>
                <w:bCs/>
                <w:sz w:val="24"/>
                <w:szCs w:val="24"/>
                <w:lang w:val="en-US" w:eastAsia="en-US" w:bidi="hi-IN"/>
              </w:rPr>
              <w:t>Absorbance of Nafithromycin at 232nm</w:t>
            </w:r>
          </w:p>
        </w:tc>
      </w:tr>
      <w:tr w:rsidR="005975C5">
        <w:trPr>
          <w:trHeight w:hRule="exact" w:val="504"/>
          <w:jc w:val="center"/>
        </w:trPr>
        <w:tc>
          <w:tcPr>
            <w:tcW w:w="3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360" w:lineRule="auto"/>
              <w:ind w:left="-72" w:right="-58"/>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1</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360" w:lineRule="auto"/>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0.259</w:t>
            </w:r>
          </w:p>
        </w:tc>
      </w:tr>
      <w:tr w:rsidR="005975C5">
        <w:trPr>
          <w:trHeight w:hRule="exact" w:val="504"/>
          <w:jc w:val="center"/>
        </w:trPr>
        <w:tc>
          <w:tcPr>
            <w:tcW w:w="3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360" w:lineRule="auto"/>
              <w:ind w:left="-72" w:right="-58"/>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2</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360" w:lineRule="auto"/>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0.257</w:t>
            </w:r>
          </w:p>
        </w:tc>
      </w:tr>
      <w:tr w:rsidR="005975C5">
        <w:trPr>
          <w:trHeight w:hRule="exact" w:val="504"/>
          <w:jc w:val="center"/>
        </w:trPr>
        <w:tc>
          <w:tcPr>
            <w:tcW w:w="3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360" w:lineRule="auto"/>
              <w:ind w:left="-72" w:right="-58"/>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3</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360" w:lineRule="auto"/>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0.256</w:t>
            </w:r>
          </w:p>
        </w:tc>
      </w:tr>
      <w:tr w:rsidR="005975C5">
        <w:trPr>
          <w:trHeight w:hRule="exact" w:val="504"/>
          <w:jc w:val="center"/>
        </w:trPr>
        <w:tc>
          <w:tcPr>
            <w:tcW w:w="3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360" w:lineRule="auto"/>
              <w:ind w:left="-72" w:right="-58"/>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4</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360" w:lineRule="auto"/>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0.258</w:t>
            </w:r>
          </w:p>
        </w:tc>
      </w:tr>
      <w:tr w:rsidR="005975C5">
        <w:trPr>
          <w:trHeight w:hRule="exact" w:val="504"/>
          <w:jc w:val="center"/>
        </w:trPr>
        <w:tc>
          <w:tcPr>
            <w:tcW w:w="3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360" w:lineRule="auto"/>
              <w:ind w:left="-72" w:right="-58"/>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5</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360" w:lineRule="auto"/>
              <w:jc w:val="center"/>
              <w:rPr>
                <w:rFonts w:ascii="Times New Roman" w:eastAsia="Times New Roman" w:hAnsi="Times New Roman" w:cs="Times New Roman"/>
                <w:b/>
                <w:sz w:val="26"/>
                <w:szCs w:val="26"/>
              </w:rPr>
            </w:pPr>
            <w:r>
              <w:rPr>
                <w:rFonts w:ascii="Times New Roman" w:eastAsia="Calibri" w:hAnsi="Times New Roman" w:cs="Times New Roman"/>
                <w:sz w:val="24"/>
                <w:szCs w:val="24"/>
                <w:lang w:val="en-US" w:eastAsia="en-US" w:bidi="hi-IN"/>
              </w:rPr>
              <w:t>0.258</w:t>
            </w:r>
          </w:p>
        </w:tc>
      </w:tr>
      <w:tr w:rsidR="005975C5">
        <w:trPr>
          <w:trHeight w:hRule="exact" w:val="504"/>
          <w:jc w:val="center"/>
        </w:trPr>
        <w:tc>
          <w:tcPr>
            <w:tcW w:w="3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360" w:lineRule="auto"/>
              <w:ind w:left="-72" w:right="-58"/>
              <w:rPr>
                <w:rFonts w:ascii="Times New Roman" w:eastAsia="Times New Roman" w:hAnsi="Times New Roman" w:cs="Times New Roman"/>
                <w:b/>
                <w:sz w:val="26"/>
                <w:szCs w:val="26"/>
              </w:rPr>
            </w:pPr>
            <w:r>
              <w:rPr>
                <w:rFonts w:ascii="Times New Roman" w:eastAsia="Calibri" w:hAnsi="Times New Roman" w:cs="Times New Roman"/>
                <w:b/>
                <w:bCs/>
                <w:sz w:val="24"/>
                <w:szCs w:val="24"/>
                <w:lang w:val="en-US" w:eastAsia="en-US" w:bidi="hi-IN"/>
              </w:rPr>
              <w:t xml:space="preserve"> </w:t>
            </w:r>
            <w:r>
              <w:rPr>
                <w:rFonts w:ascii="Times New Roman" w:eastAsia="Calibri" w:hAnsi="Times New Roman" w:cs="Times New Roman"/>
                <w:b/>
                <w:bCs/>
                <w:sz w:val="24"/>
                <w:szCs w:val="24"/>
                <w:lang w:val="en-US" w:eastAsia="en-US" w:bidi="hi-IN"/>
              </w:rPr>
              <w:t>Mean</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360" w:lineRule="auto"/>
              <w:jc w:val="center"/>
              <w:rPr>
                <w:rFonts w:ascii="Times New Roman" w:eastAsia="Times New Roman" w:hAnsi="Times New Roman" w:cs="Times New Roman"/>
                <w:b/>
                <w:sz w:val="26"/>
                <w:szCs w:val="26"/>
              </w:rPr>
            </w:pPr>
            <w:r>
              <w:rPr>
                <w:rFonts w:ascii="Times New Roman" w:eastAsia="Calibri" w:hAnsi="Times New Roman" w:cs="Times New Roman"/>
                <w:b/>
                <w:bCs/>
                <w:sz w:val="24"/>
                <w:szCs w:val="24"/>
                <w:lang w:val="en-US" w:eastAsia="en-US" w:bidi="hi-IN"/>
              </w:rPr>
              <w:t>0.258</w:t>
            </w:r>
          </w:p>
        </w:tc>
      </w:tr>
      <w:tr w:rsidR="005975C5">
        <w:trPr>
          <w:trHeight w:hRule="exact" w:val="504"/>
          <w:jc w:val="center"/>
        </w:trPr>
        <w:tc>
          <w:tcPr>
            <w:tcW w:w="3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360" w:lineRule="auto"/>
              <w:ind w:left="-72" w:right="-58"/>
              <w:rPr>
                <w:rFonts w:ascii="Times New Roman" w:eastAsia="Times New Roman" w:hAnsi="Times New Roman" w:cs="Times New Roman"/>
                <w:b/>
                <w:sz w:val="26"/>
                <w:szCs w:val="26"/>
              </w:rPr>
            </w:pPr>
            <w:r>
              <w:rPr>
                <w:rFonts w:ascii="Times New Roman" w:eastAsia="Calibri" w:hAnsi="Times New Roman" w:cs="Times New Roman"/>
                <w:b/>
                <w:bCs/>
                <w:sz w:val="24"/>
                <w:szCs w:val="24"/>
                <w:lang w:val="en-GB" w:eastAsia="en-US" w:bidi="hi-IN"/>
              </w:rPr>
              <w:t xml:space="preserve"> Standard Deviation (±)</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360" w:lineRule="auto"/>
              <w:jc w:val="center"/>
              <w:rPr>
                <w:rFonts w:ascii="Times New Roman" w:eastAsia="Times New Roman" w:hAnsi="Times New Roman" w:cs="Times New Roman"/>
                <w:b/>
                <w:sz w:val="26"/>
                <w:szCs w:val="26"/>
              </w:rPr>
            </w:pPr>
            <w:r>
              <w:rPr>
                <w:rFonts w:ascii="Times New Roman" w:eastAsia="Calibri" w:hAnsi="Times New Roman" w:cs="Times New Roman"/>
                <w:b/>
                <w:bCs/>
                <w:sz w:val="24"/>
                <w:szCs w:val="24"/>
                <w:lang w:val="en-US" w:eastAsia="en-US" w:bidi="hi-IN"/>
              </w:rPr>
              <w:t>0.001</w:t>
            </w:r>
          </w:p>
        </w:tc>
      </w:tr>
      <w:tr w:rsidR="005975C5">
        <w:trPr>
          <w:trHeight w:hRule="exact" w:val="504"/>
          <w:jc w:val="center"/>
        </w:trPr>
        <w:tc>
          <w:tcPr>
            <w:tcW w:w="3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360" w:lineRule="auto"/>
              <w:ind w:left="-72" w:right="-58"/>
              <w:rPr>
                <w:rFonts w:ascii="Times New Roman" w:eastAsia="Times New Roman" w:hAnsi="Times New Roman" w:cs="Times New Roman"/>
                <w:b/>
                <w:sz w:val="26"/>
                <w:szCs w:val="26"/>
              </w:rPr>
            </w:pPr>
            <w:r>
              <w:rPr>
                <w:rFonts w:ascii="Times New Roman" w:eastAsia="Calibri" w:hAnsi="Times New Roman" w:cs="Times New Roman"/>
                <w:b/>
                <w:bCs/>
                <w:sz w:val="24"/>
                <w:szCs w:val="24"/>
                <w:lang w:val="en-GB" w:eastAsia="en-US" w:bidi="hi-IN"/>
              </w:rPr>
              <w:t xml:space="preserve"> (%) Relative Standard Deviation</w:t>
            </w:r>
          </w:p>
        </w:tc>
        <w:tc>
          <w:tcPr>
            <w:tcW w:w="43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200" w:line="360" w:lineRule="auto"/>
              <w:jc w:val="center"/>
              <w:rPr>
                <w:rFonts w:ascii="Times New Roman" w:eastAsia="Times New Roman" w:hAnsi="Times New Roman" w:cs="Times New Roman"/>
                <w:b/>
                <w:sz w:val="26"/>
                <w:szCs w:val="26"/>
              </w:rPr>
            </w:pPr>
            <w:r>
              <w:rPr>
                <w:rFonts w:ascii="Times New Roman" w:eastAsia="Calibri" w:hAnsi="Times New Roman" w:cs="Times New Roman"/>
                <w:b/>
                <w:bCs/>
                <w:sz w:val="24"/>
                <w:szCs w:val="24"/>
                <w:lang w:val="en-US" w:eastAsia="en-US" w:bidi="hi-IN"/>
              </w:rPr>
              <w:t>0.443</w:t>
            </w:r>
          </w:p>
        </w:tc>
      </w:tr>
    </w:tbl>
    <w:p w:rsidR="005975C5" w:rsidRDefault="005975C5">
      <w:pPr>
        <w:spacing w:after="160" w:line="360" w:lineRule="auto"/>
        <w:ind w:left="720"/>
        <w:rPr>
          <w:rFonts w:ascii="Times New Roman" w:eastAsia="Times New Roman" w:hAnsi="Times New Roman" w:cs="Times New Roman"/>
          <w:b/>
          <w:sz w:val="26"/>
          <w:szCs w:val="26"/>
        </w:rPr>
      </w:pPr>
    </w:p>
    <w:p w:rsidR="005975C5" w:rsidRDefault="008C00FB">
      <w:pPr>
        <w:spacing w:after="160" w:line="360" w:lineRule="auto"/>
        <w:ind w:left="720"/>
        <w:rPr>
          <w:rFonts w:ascii="Times New Roman" w:eastAsia="Times New Roman" w:hAnsi="Times New Roman" w:cs="Times New Roman"/>
          <w:b/>
          <w:sz w:val="26"/>
          <w:szCs w:val="26"/>
        </w:rPr>
      </w:pPr>
      <w:r>
        <w:rPr>
          <w:rFonts w:ascii="Times New Roman" w:eastAsia="Times New Roman" w:hAnsi="Times New Roman" w:cs="Times New Roman"/>
          <w:sz w:val="24"/>
          <w:szCs w:val="24"/>
          <w:lang w:val="en-US" w:eastAsia="en-US"/>
        </w:rPr>
        <w:t xml:space="preserve">The average Absorbance of Nafithromycin at 232nm at each concentration level was determined and the linearity graph was plotted against the sample concentration in </w:t>
      </w:r>
      <w:r>
        <w:rPr>
          <w:rFonts w:ascii="Times New Roman" w:eastAsia="Times New Roman" w:hAnsi="Times New Roman" w:cs="Times New Roman"/>
          <w:sz w:val="24"/>
          <w:szCs w:val="24"/>
          <w:lang w:val="en-US" w:eastAsia="en-US"/>
        </w:rPr>
        <w:t>percentage. The results of linearity study are as given in Table 4.</w:t>
      </w:r>
    </w:p>
    <w:p w:rsidR="005975C5" w:rsidRDefault="005975C5">
      <w:pPr>
        <w:spacing w:after="160" w:line="360" w:lineRule="auto"/>
        <w:ind w:left="-90" w:right="-115"/>
        <w:rPr>
          <w:rFonts w:ascii="Times New Roman" w:eastAsia="Times New Roman" w:hAnsi="Times New Roman" w:cs="Times New Roman"/>
          <w:b/>
          <w:sz w:val="26"/>
          <w:szCs w:val="26"/>
        </w:rPr>
      </w:pPr>
    </w:p>
    <w:p w:rsidR="005975C5" w:rsidRDefault="005975C5">
      <w:pPr>
        <w:spacing w:after="160" w:line="312" w:lineRule="auto"/>
        <w:jc w:val="left"/>
        <w:rPr>
          <w:rFonts w:ascii="Times New Roman" w:eastAsia="Times New Roman" w:hAnsi="Times New Roman" w:cs="Times New Roman"/>
          <w:b/>
          <w:sz w:val="26"/>
          <w:szCs w:val="26"/>
        </w:rPr>
      </w:pPr>
    </w:p>
    <w:p w:rsidR="005975C5" w:rsidRDefault="008C00FB">
      <w:pPr>
        <w:spacing w:after="160" w:line="312" w:lineRule="auto"/>
        <w:jc w:val="left"/>
        <w:rPr>
          <w:rFonts w:ascii="Times New Roman" w:eastAsia="Times New Roman" w:hAnsi="Times New Roman" w:cs="Times New Roman"/>
          <w:b/>
          <w:sz w:val="26"/>
          <w:szCs w:val="26"/>
        </w:rPr>
      </w:pPr>
      <w:r>
        <w:rPr>
          <w:rFonts w:ascii="Times New Roman" w:eastAsia="Times New Roman" w:hAnsi="Times New Roman" w:cs="Times New Roman"/>
          <w:b/>
          <w:bCs/>
          <w:sz w:val="28"/>
          <w:szCs w:val="28"/>
          <w:lang w:val="en-US" w:eastAsia="en-US"/>
        </w:rPr>
        <w:t>SUMMARY</w:t>
      </w:r>
    </w:p>
    <w:p w:rsidR="005975C5" w:rsidRDefault="008C00FB">
      <w:pPr>
        <w:spacing w:after="160" w:line="312" w:lineRule="auto"/>
        <w:jc w:val="left"/>
        <w:rPr>
          <w:rFonts w:ascii="Times New Roman" w:eastAsia="Times New Roman" w:hAnsi="Times New Roman" w:cs="Times New Roman"/>
          <w:b/>
          <w:sz w:val="26"/>
          <w:szCs w:val="26"/>
        </w:rPr>
      </w:pPr>
      <w:r>
        <w:rPr>
          <w:rFonts w:ascii="Times New Roman" w:eastAsia="Times New Roman" w:hAnsi="Times New Roman" w:cs="Times New Roman"/>
          <w:sz w:val="24"/>
          <w:szCs w:val="24"/>
          <w:lang w:val="en-US" w:eastAsia="en-US"/>
        </w:rPr>
        <w:t xml:space="preserve"> The result and acceptance criteria of development and validation of analytical method were summarized in following table. </w:t>
      </w:r>
    </w:p>
    <w:p w:rsidR="005975C5" w:rsidRDefault="005975C5">
      <w:pPr>
        <w:spacing w:after="160" w:line="312" w:lineRule="auto"/>
        <w:ind w:left="720" w:hanging="720"/>
        <w:jc w:val="left"/>
        <w:rPr>
          <w:rFonts w:ascii="Times New Roman" w:eastAsia="Times New Roman" w:hAnsi="Times New Roman" w:cs="Times New Roman"/>
          <w:b/>
          <w:sz w:val="26"/>
          <w:szCs w:val="26"/>
        </w:rPr>
      </w:pPr>
    </w:p>
    <w:p w:rsidR="005975C5" w:rsidRDefault="008C00FB">
      <w:pPr>
        <w:spacing w:after="160" w:line="312"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b/>
          <w:bCs/>
          <w:sz w:val="24"/>
          <w:szCs w:val="24"/>
          <w:lang w:val="en-US" w:eastAsia="en-US"/>
        </w:rPr>
        <w:t xml:space="preserve">Table : Summary </w:t>
      </w:r>
    </w:p>
    <w:tbl>
      <w:tblPr>
        <w:tblW w:w="9209" w:type="dxa"/>
        <w:tblLayout w:type="fixed"/>
        <w:tblLook w:val="0000" w:firstRow="0" w:lastRow="0" w:firstColumn="0" w:lastColumn="0" w:noHBand="0" w:noVBand="0"/>
      </w:tblPr>
      <w:tblGrid>
        <w:gridCol w:w="562"/>
        <w:gridCol w:w="1560"/>
        <w:gridCol w:w="3402"/>
        <w:gridCol w:w="3685"/>
      </w:tblGrid>
      <w:tr w:rsidR="005975C5">
        <w:trPr>
          <w:trHeight w:val="720"/>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160" w:line="360" w:lineRule="auto"/>
              <w:jc w:val="left"/>
              <w:rPr>
                <w:rFonts w:ascii="Times New Roman" w:eastAsia="Times New Roman" w:hAnsi="Times New Roman" w:cs="Times New Roman"/>
                <w:b/>
                <w:sz w:val="26"/>
                <w:szCs w:val="26"/>
              </w:rPr>
            </w:pPr>
            <w:r>
              <w:rPr>
                <w:rFonts w:ascii="Times New Roman" w:eastAsia="Times New Roman" w:hAnsi="Times New Roman" w:cs="Times New Roman"/>
                <w:b/>
                <w:bCs/>
                <w:sz w:val="24"/>
                <w:szCs w:val="24"/>
                <w:lang w:val="en-US" w:eastAsia="en-US"/>
              </w:rPr>
              <w:t>Sr.No</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keepNext/>
              <w:spacing w:after="160" w:line="360" w:lineRule="auto"/>
              <w:jc w:val="left"/>
              <w:outlineLvl w:val="0"/>
              <w:rPr>
                <w:rFonts w:ascii="Times New Roman" w:eastAsia="Times New Roman" w:hAnsi="Times New Roman" w:cs="Times New Roman"/>
                <w:b/>
                <w:sz w:val="26"/>
                <w:szCs w:val="26"/>
              </w:rPr>
            </w:pPr>
            <w:r>
              <w:rPr>
                <w:rFonts w:ascii="Times New Roman" w:eastAsia="Times New Roman" w:hAnsi="Times New Roman" w:cs="Times New Roman"/>
                <w:b/>
                <w:bCs/>
                <w:sz w:val="24"/>
                <w:szCs w:val="24"/>
                <w:lang w:val="en-US" w:eastAsia="en-US"/>
              </w:rPr>
              <w:t>Parameter</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160" w:line="360" w:lineRule="auto"/>
              <w:ind w:right="13"/>
              <w:jc w:val="center"/>
              <w:rPr>
                <w:rFonts w:ascii="Times New Roman" w:eastAsia="Times New Roman" w:hAnsi="Times New Roman" w:cs="Times New Roman"/>
                <w:b/>
                <w:sz w:val="26"/>
                <w:szCs w:val="26"/>
              </w:rPr>
            </w:pPr>
            <w:r>
              <w:rPr>
                <w:rFonts w:ascii="Times New Roman" w:eastAsia="Times New Roman" w:hAnsi="Times New Roman" w:cs="Times New Roman"/>
                <w:b/>
                <w:bCs/>
                <w:sz w:val="24"/>
                <w:szCs w:val="24"/>
                <w:lang w:val="en-US" w:eastAsia="en-US"/>
              </w:rPr>
              <w:t>Result</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975C5" w:rsidRDefault="008C00FB">
            <w:pPr>
              <w:spacing w:after="16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bCs/>
                <w:sz w:val="24"/>
                <w:szCs w:val="24"/>
                <w:lang w:val="en-US" w:eastAsia="en-US"/>
              </w:rPr>
              <w:t xml:space="preserve">Acceptance </w:t>
            </w:r>
            <w:r>
              <w:rPr>
                <w:rFonts w:ascii="Times New Roman" w:eastAsia="Times New Roman" w:hAnsi="Times New Roman" w:cs="Times New Roman"/>
                <w:b/>
                <w:bCs/>
                <w:sz w:val="24"/>
                <w:szCs w:val="24"/>
                <w:lang w:val="en-US" w:eastAsia="en-US"/>
              </w:rPr>
              <w:t>Criteria</w:t>
            </w:r>
          </w:p>
        </w:tc>
      </w:tr>
      <w:tr w:rsidR="005975C5">
        <w:trPr>
          <w:trHeight w:val="288"/>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sz w:val="24"/>
                <w:szCs w:val="24"/>
                <w:lang w:val="en-US" w:eastAsia="en-US"/>
              </w:rPr>
              <w:lastRenderedPageBreak/>
              <w:t>1</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jc w:val="left"/>
              <w:rPr>
                <w:rFonts w:ascii="Times New Roman" w:eastAsia="Times New Roman" w:hAnsi="Times New Roman" w:cs="Times New Roman"/>
                <w:b/>
                <w:sz w:val="26"/>
                <w:szCs w:val="26"/>
              </w:rPr>
            </w:pPr>
            <w:r>
              <w:rPr>
                <w:rFonts w:ascii="Times New Roman" w:eastAsia="Times New Roman" w:hAnsi="Times New Roman" w:cs="Times New Roman"/>
                <w:b/>
                <w:bCs/>
                <w:sz w:val="24"/>
                <w:szCs w:val="24"/>
                <w:lang w:val="en-US" w:eastAsia="en-US"/>
              </w:rPr>
              <w:t>Specificity:</w:t>
            </w:r>
          </w:p>
          <w:p w:rsidR="005975C5" w:rsidRDefault="008C00FB">
            <w:pPr>
              <w:spacing w:after="160" w:line="360" w:lineRule="auto"/>
              <w:jc w:val="left"/>
              <w:rPr>
                <w:rFonts w:ascii="Times New Roman" w:eastAsia="Times New Roman" w:hAnsi="Times New Roman" w:cs="Times New Roman"/>
                <w:b/>
                <w:sz w:val="26"/>
                <w:szCs w:val="26"/>
              </w:rPr>
            </w:pPr>
            <w:r>
              <w:rPr>
                <w:rFonts w:ascii="Times New Roman" w:eastAsia="Times New Roman" w:hAnsi="Times New Roman" w:cs="Times New Roman"/>
                <w:b/>
                <w:bCs/>
                <w:sz w:val="24"/>
                <w:szCs w:val="24"/>
                <w:lang w:val="en-US" w:eastAsia="en-US"/>
              </w:rPr>
              <w:t>Selectivity</w:t>
            </w:r>
            <w:r>
              <w:rPr>
                <w:rFonts w:ascii="Times New Roman" w:eastAsia="Times New Roman" w:hAnsi="Times New Roman" w:cs="Times New Roman"/>
                <w:sz w:val="24"/>
                <w:szCs w:val="24"/>
                <w:lang w:val="en-US" w:eastAsia="en-US"/>
              </w:rPr>
              <w:t xml:space="preserve"> </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ind w:right="13"/>
              <w:rPr>
                <w:rFonts w:ascii="Times New Roman" w:eastAsia="Times New Roman" w:hAnsi="Times New Roman" w:cs="Times New Roman"/>
                <w:b/>
                <w:sz w:val="26"/>
                <w:szCs w:val="26"/>
              </w:rPr>
            </w:pPr>
            <w:r>
              <w:rPr>
                <w:rFonts w:ascii="Times New Roman" w:eastAsia="Times New Roman" w:hAnsi="Times New Roman" w:cs="Times New Roman"/>
                <w:sz w:val="24"/>
                <w:szCs w:val="20"/>
                <w:lang w:val="en-US" w:eastAsia="en-US"/>
              </w:rPr>
              <w:t>There is no interference between the absorption peaks obtained for the spectrum of the solutions of blank, Nafithromycin Standard &amp; Sample preparation preparations</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widowControl/>
              <w:spacing w:after="160" w:line="360" w:lineRule="auto"/>
              <w:rPr>
                <w:rFonts w:ascii="Times New Roman" w:eastAsia="Times New Roman" w:hAnsi="Times New Roman" w:cs="Times New Roman"/>
                <w:b/>
                <w:sz w:val="26"/>
                <w:szCs w:val="26"/>
              </w:rPr>
            </w:pPr>
            <w:r>
              <w:rPr>
                <w:rFonts w:ascii="Times New Roman" w:eastAsia="MS Mincho" w:hAnsi="Times New Roman" w:cs="Times New Roman"/>
                <w:sz w:val="24"/>
                <w:szCs w:val="24"/>
                <w:lang w:val="en-US" w:eastAsia="en-US"/>
              </w:rPr>
              <w:t>There should not be any interference between the absor</w:t>
            </w:r>
            <w:r>
              <w:rPr>
                <w:rFonts w:ascii="Times New Roman" w:eastAsia="MS Mincho" w:hAnsi="Times New Roman" w:cs="Times New Roman"/>
                <w:sz w:val="24"/>
                <w:szCs w:val="24"/>
                <w:lang w:val="en-US" w:eastAsia="en-US"/>
              </w:rPr>
              <w:t>ption peaks obtained for the spectrum of the solutions of blank, Nafithromycin Standard&amp; Sample</w:t>
            </w:r>
            <w:r>
              <w:rPr>
                <w:rFonts w:ascii="Times New Roman" w:eastAsia="Times New Roman" w:hAnsi="Times New Roman" w:cs="Times New Roman"/>
                <w:sz w:val="24"/>
                <w:szCs w:val="24"/>
                <w:lang w:val="en-US" w:eastAsia="en-US"/>
              </w:rPr>
              <w:t>.</w:t>
            </w:r>
          </w:p>
        </w:tc>
      </w:tr>
      <w:tr w:rsidR="005975C5">
        <w:trPr>
          <w:trHeight w:val="288"/>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sz w:val="24"/>
                <w:szCs w:val="24"/>
                <w:lang w:val="en-US" w:eastAsia="en-US"/>
              </w:rPr>
              <w:t>2</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jc w:val="left"/>
              <w:rPr>
                <w:rFonts w:ascii="Times New Roman" w:eastAsia="Times New Roman" w:hAnsi="Times New Roman" w:cs="Times New Roman"/>
                <w:b/>
                <w:sz w:val="26"/>
                <w:szCs w:val="26"/>
              </w:rPr>
            </w:pPr>
            <w:r>
              <w:rPr>
                <w:rFonts w:ascii="Times New Roman" w:eastAsia="Times New Roman" w:hAnsi="Times New Roman" w:cs="Times New Roman"/>
                <w:b/>
                <w:bCs/>
                <w:sz w:val="24"/>
                <w:szCs w:val="24"/>
                <w:lang w:val="en-US" w:eastAsia="en-US"/>
              </w:rPr>
              <w:t>Linearity and Range of Standard</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ind w:right="-41"/>
              <w:rPr>
                <w:rFonts w:ascii="Times New Roman" w:eastAsia="Times New Roman" w:hAnsi="Times New Roman" w:cs="Times New Roman"/>
                <w:b/>
                <w:sz w:val="26"/>
                <w:szCs w:val="26"/>
              </w:rPr>
            </w:pPr>
            <w:r>
              <w:rPr>
                <w:rFonts w:ascii="Times New Roman" w:eastAsia="Times New Roman" w:hAnsi="Times New Roman" w:cs="Times New Roman"/>
                <w:sz w:val="24"/>
                <w:szCs w:val="24"/>
                <w:lang w:val="en-US" w:eastAsia="en-US"/>
              </w:rPr>
              <w:t>Correlation coefficient = 0.9995</w:t>
            </w:r>
          </w:p>
          <w:p w:rsidR="005975C5" w:rsidRDefault="008C00FB">
            <w:pPr>
              <w:spacing w:after="160" w:line="360" w:lineRule="auto"/>
              <w:ind w:right="-41"/>
              <w:rPr>
                <w:rFonts w:ascii="Times New Roman" w:eastAsia="Times New Roman" w:hAnsi="Times New Roman" w:cs="Times New Roman"/>
                <w:b/>
                <w:sz w:val="26"/>
                <w:szCs w:val="26"/>
              </w:rPr>
            </w:pPr>
            <w:r>
              <w:rPr>
                <w:rFonts w:ascii="Times New Roman" w:eastAsia="Times New Roman" w:hAnsi="Times New Roman" w:cs="Times New Roman"/>
                <w:sz w:val="24"/>
                <w:szCs w:val="24"/>
                <w:lang w:val="en-US" w:eastAsia="en-US"/>
              </w:rPr>
              <w:t>Range = 10 ppm to 30 ppm</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Times New Roman" w:hAnsi="Times New Roman" w:cs="Times New Roman"/>
                <w:sz w:val="24"/>
                <w:szCs w:val="24"/>
                <w:lang w:val="en-US" w:eastAsia="en-US"/>
              </w:rPr>
              <w:t>Correlation coefficient should be greater than or equal to 0.999.</w:t>
            </w:r>
          </w:p>
        </w:tc>
      </w:tr>
      <w:tr w:rsidR="005975C5">
        <w:trPr>
          <w:trHeight w:val="288"/>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sz w:val="24"/>
                <w:szCs w:val="24"/>
                <w:lang w:val="en-US" w:eastAsia="en-US"/>
              </w:rPr>
              <w:t>3</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jc w:val="left"/>
              <w:rPr>
                <w:rFonts w:ascii="Times New Roman" w:eastAsia="Times New Roman" w:hAnsi="Times New Roman" w:cs="Times New Roman"/>
                <w:b/>
                <w:sz w:val="26"/>
                <w:szCs w:val="26"/>
              </w:rPr>
            </w:pPr>
            <w:r>
              <w:rPr>
                <w:rFonts w:ascii="Times New Roman" w:eastAsia="Times New Roman" w:hAnsi="Times New Roman" w:cs="Times New Roman"/>
                <w:b/>
                <w:bCs/>
                <w:sz w:val="24"/>
                <w:szCs w:val="24"/>
                <w:lang w:val="en-US" w:eastAsia="en-US"/>
              </w:rPr>
              <w:t>Linearity and Range of standard in presence of placebo</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ind w:right="-41"/>
              <w:rPr>
                <w:rFonts w:ascii="Times New Roman" w:eastAsia="Times New Roman" w:hAnsi="Times New Roman" w:cs="Times New Roman"/>
                <w:b/>
                <w:sz w:val="26"/>
                <w:szCs w:val="26"/>
              </w:rPr>
            </w:pPr>
            <w:r>
              <w:rPr>
                <w:rFonts w:ascii="Times New Roman" w:eastAsia="Times New Roman" w:hAnsi="Times New Roman" w:cs="Times New Roman"/>
                <w:sz w:val="24"/>
                <w:szCs w:val="24"/>
                <w:lang w:val="en-US" w:eastAsia="en-US"/>
              </w:rPr>
              <w:t>Correlation coefficient = 0.9996</w:t>
            </w:r>
          </w:p>
          <w:p w:rsidR="005975C5" w:rsidRDefault="008C00FB">
            <w:pPr>
              <w:spacing w:after="160" w:line="360" w:lineRule="auto"/>
              <w:ind w:right="-41"/>
              <w:rPr>
                <w:rFonts w:ascii="Times New Roman" w:eastAsia="Times New Roman" w:hAnsi="Times New Roman" w:cs="Times New Roman"/>
                <w:b/>
                <w:sz w:val="26"/>
                <w:szCs w:val="26"/>
              </w:rPr>
            </w:pPr>
            <w:r>
              <w:rPr>
                <w:rFonts w:ascii="Times New Roman" w:eastAsia="Times New Roman" w:hAnsi="Times New Roman" w:cs="Times New Roman"/>
                <w:sz w:val="24"/>
                <w:szCs w:val="24"/>
                <w:lang w:val="en-US" w:eastAsia="en-US"/>
              </w:rPr>
              <w:t>Range = 10 ppm to 30 ppm</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Times New Roman" w:hAnsi="Times New Roman" w:cs="Times New Roman"/>
                <w:sz w:val="24"/>
                <w:szCs w:val="24"/>
                <w:lang w:val="en-US" w:eastAsia="en-US"/>
              </w:rPr>
              <w:t>Correlation coefficient should be greater than or equal to 0.999.</w:t>
            </w:r>
          </w:p>
        </w:tc>
      </w:tr>
      <w:tr w:rsidR="005975C5">
        <w:trPr>
          <w:trHeight w:val="1050"/>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sz w:val="24"/>
                <w:szCs w:val="24"/>
                <w:lang w:val="en-US" w:eastAsia="en-US"/>
              </w:rPr>
              <w:t>4</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jc w:val="left"/>
              <w:rPr>
                <w:rFonts w:ascii="Times New Roman" w:eastAsia="Times New Roman" w:hAnsi="Times New Roman" w:cs="Times New Roman"/>
                <w:b/>
                <w:sz w:val="26"/>
                <w:szCs w:val="26"/>
              </w:rPr>
            </w:pPr>
            <w:r>
              <w:rPr>
                <w:rFonts w:ascii="Times New Roman" w:eastAsia="Times New Roman" w:hAnsi="Times New Roman" w:cs="Times New Roman"/>
                <w:b/>
                <w:bCs/>
                <w:sz w:val="24"/>
                <w:szCs w:val="24"/>
                <w:lang w:val="en-US" w:eastAsia="en-US"/>
              </w:rPr>
              <w:t>Method precision</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ind w:right="-41"/>
              <w:jc w:val="left"/>
              <w:rPr>
                <w:rFonts w:ascii="Times New Roman" w:eastAsia="Times New Roman" w:hAnsi="Times New Roman" w:cs="Times New Roman"/>
                <w:b/>
                <w:sz w:val="26"/>
                <w:szCs w:val="26"/>
              </w:rPr>
            </w:pPr>
            <w:r>
              <w:rPr>
                <w:rFonts w:ascii="Times New Roman" w:eastAsia="Times New Roman" w:hAnsi="Times New Roman" w:cs="Times New Roman"/>
                <w:sz w:val="24"/>
                <w:szCs w:val="24"/>
                <w:lang w:val="en-US" w:eastAsia="en-US"/>
              </w:rPr>
              <w:t>% RSD = 1.01</w:t>
            </w:r>
          </w:p>
          <w:p w:rsidR="005975C5" w:rsidRDefault="005975C5">
            <w:pPr>
              <w:spacing w:after="160" w:line="360" w:lineRule="auto"/>
              <w:ind w:right="-41"/>
              <w:jc w:val="left"/>
              <w:rPr>
                <w:rFonts w:ascii="Times New Roman" w:eastAsia="Times New Roman" w:hAnsi="Times New Roman" w:cs="Times New Roman"/>
                <w:b/>
                <w:sz w:val="26"/>
                <w:szCs w:val="26"/>
              </w:rPr>
            </w:pP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Times New Roman" w:hAnsi="Times New Roman" w:cs="Times New Roman"/>
                <w:sz w:val="24"/>
                <w:szCs w:val="24"/>
                <w:lang w:val="en-US" w:eastAsia="en-US"/>
              </w:rPr>
              <w:t xml:space="preserve">% RSD of the results of six test </w:t>
            </w:r>
            <w:r>
              <w:rPr>
                <w:rFonts w:ascii="Times New Roman" w:eastAsia="Times New Roman" w:hAnsi="Times New Roman" w:cs="Times New Roman"/>
                <w:sz w:val="24"/>
                <w:szCs w:val="24"/>
                <w:lang w:val="en-US" w:eastAsia="en-US"/>
              </w:rPr>
              <w:t>solutions should not be more than 2.0%.</w:t>
            </w:r>
          </w:p>
        </w:tc>
      </w:tr>
      <w:tr w:rsidR="005975C5">
        <w:trPr>
          <w:trHeight w:val="177"/>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sz w:val="24"/>
                <w:szCs w:val="24"/>
                <w:lang w:val="en-US" w:eastAsia="en-US"/>
              </w:rPr>
              <w:t>5</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jc w:val="left"/>
              <w:rPr>
                <w:rFonts w:ascii="Times New Roman" w:eastAsia="Times New Roman" w:hAnsi="Times New Roman" w:cs="Times New Roman"/>
                <w:b/>
                <w:sz w:val="26"/>
                <w:szCs w:val="26"/>
              </w:rPr>
            </w:pPr>
            <w:r>
              <w:rPr>
                <w:rFonts w:ascii="Times New Roman" w:eastAsia="Times New Roman" w:hAnsi="Times New Roman" w:cs="Times New Roman"/>
                <w:b/>
                <w:bCs/>
                <w:sz w:val="24"/>
                <w:szCs w:val="24"/>
                <w:lang w:val="en-US" w:eastAsia="en-US"/>
              </w:rPr>
              <w:t>Intermediate</w:t>
            </w:r>
          </w:p>
          <w:p w:rsidR="005975C5" w:rsidRDefault="008C00FB">
            <w:pPr>
              <w:spacing w:after="160" w:line="360" w:lineRule="auto"/>
              <w:jc w:val="left"/>
              <w:rPr>
                <w:rFonts w:ascii="Times New Roman" w:eastAsia="Times New Roman" w:hAnsi="Times New Roman" w:cs="Times New Roman"/>
                <w:b/>
                <w:sz w:val="26"/>
                <w:szCs w:val="26"/>
              </w:rPr>
            </w:pPr>
            <w:r>
              <w:rPr>
                <w:rFonts w:ascii="Times New Roman" w:eastAsia="Times New Roman" w:hAnsi="Times New Roman" w:cs="Times New Roman"/>
                <w:b/>
                <w:bCs/>
                <w:sz w:val="24"/>
                <w:szCs w:val="24"/>
                <w:lang w:val="en-US" w:eastAsia="en-US"/>
              </w:rPr>
              <w:t>precision</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ind w:right="14"/>
              <w:rPr>
                <w:rFonts w:ascii="Times New Roman" w:eastAsia="Times New Roman" w:hAnsi="Times New Roman" w:cs="Times New Roman"/>
                <w:b/>
                <w:sz w:val="26"/>
                <w:szCs w:val="26"/>
              </w:rPr>
            </w:pPr>
            <w:r>
              <w:rPr>
                <w:rFonts w:ascii="Times New Roman" w:eastAsia="Times New Roman" w:hAnsi="Times New Roman" w:cs="Times New Roman"/>
                <w:sz w:val="24"/>
                <w:szCs w:val="24"/>
                <w:lang w:val="en-US" w:eastAsia="en-US"/>
              </w:rPr>
              <w:t xml:space="preserve">% RSD </w:t>
            </w:r>
            <w:r>
              <w:rPr>
                <w:rFonts w:ascii="Times New Roman" w:eastAsia="Times New Roman" w:hAnsi="Times New Roman" w:cs="Times New Roman"/>
                <w:sz w:val="24"/>
                <w:szCs w:val="24"/>
                <w:shd w:val="clear" w:color="FFFFFF" w:fill="FFFFFF"/>
                <w:lang w:val="en-US" w:eastAsia="en-US"/>
              </w:rPr>
              <w:t>= 1.29</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Times New Roman" w:hAnsi="Times New Roman" w:cs="Times New Roman"/>
                <w:sz w:val="24"/>
                <w:szCs w:val="24"/>
                <w:lang w:val="en-US" w:eastAsia="en-US"/>
              </w:rPr>
              <w:t>% RSD of the results of twelve test solutions (six of Method Precision and six of Intermediate Precision) should not be more than 2.0%.</w:t>
            </w:r>
          </w:p>
        </w:tc>
      </w:tr>
      <w:tr w:rsidR="005975C5">
        <w:trPr>
          <w:trHeight w:val="1671"/>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sz w:val="24"/>
                <w:szCs w:val="24"/>
                <w:lang w:val="en-US" w:eastAsia="en-US"/>
              </w:rPr>
              <w:t>6</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jc w:val="left"/>
              <w:rPr>
                <w:rFonts w:ascii="Times New Roman" w:eastAsia="Times New Roman" w:hAnsi="Times New Roman" w:cs="Times New Roman"/>
                <w:b/>
                <w:sz w:val="26"/>
                <w:szCs w:val="26"/>
              </w:rPr>
            </w:pPr>
            <w:r>
              <w:rPr>
                <w:rFonts w:ascii="Times New Roman" w:eastAsia="Times New Roman" w:hAnsi="Times New Roman" w:cs="Times New Roman"/>
                <w:b/>
                <w:bCs/>
                <w:sz w:val="24"/>
                <w:szCs w:val="24"/>
                <w:lang w:val="en-US" w:eastAsia="en-US"/>
              </w:rPr>
              <w:t>Accuracy</w:t>
            </w:r>
          </w:p>
          <w:p w:rsidR="005975C5" w:rsidRDefault="008C00FB">
            <w:pPr>
              <w:spacing w:after="160" w:line="360" w:lineRule="auto"/>
              <w:jc w:val="left"/>
              <w:rPr>
                <w:rFonts w:ascii="Times New Roman" w:eastAsia="Times New Roman" w:hAnsi="Times New Roman" w:cs="Times New Roman"/>
                <w:b/>
                <w:sz w:val="26"/>
                <w:szCs w:val="26"/>
              </w:rPr>
            </w:pPr>
            <w:r>
              <w:rPr>
                <w:rFonts w:ascii="Times New Roman" w:eastAsia="Times New Roman" w:hAnsi="Times New Roman" w:cs="Times New Roman"/>
                <w:b/>
                <w:bCs/>
                <w:sz w:val="24"/>
                <w:szCs w:val="24"/>
                <w:lang w:val="en-US" w:eastAsia="en-US"/>
              </w:rPr>
              <w:t>(%Recovery)</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ind w:right="-108"/>
              <w:rPr>
                <w:rFonts w:ascii="Times New Roman" w:eastAsia="Times New Roman" w:hAnsi="Times New Roman" w:cs="Times New Roman"/>
                <w:b/>
                <w:sz w:val="26"/>
                <w:szCs w:val="26"/>
              </w:rPr>
            </w:pPr>
            <w:r>
              <w:rPr>
                <w:rFonts w:ascii="Times New Roman" w:eastAsia="Times New Roman" w:hAnsi="Times New Roman" w:cs="Times New Roman"/>
                <w:sz w:val="24"/>
                <w:szCs w:val="24"/>
                <w:lang w:val="en-US" w:eastAsia="en-US"/>
              </w:rPr>
              <w:t xml:space="preserve">Level 1 at 50% </w:t>
            </w:r>
            <w:r>
              <w:rPr>
                <w:rFonts w:ascii="Times New Roman" w:eastAsia="Times New Roman" w:hAnsi="Times New Roman" w:cs="Times New Roman"/>
                <w:sz w:val="24"/>
                <w:szCs w:val="24"/>
                <w:lang w:val="en-US" w:eastAsia="en-US"/>
              </w:rPr>
              <w:t>Recovery = 99.03%</w:t>
            </w:r>
          </w:p>
          <w:p w:rsidR="005975C5" w:rsidRDefault="008C00FB">
            <w:pPr>
              <w:spacing w:after="160" w:line="360" w:lineRule="auto"/>
              <w:ind w:right="-108"/>
              <w:rPr>
                <w:rFonts w:ascii="Times New Roman" w:eastAsia="Times New Roman" w:hAnsi="Times New Roman" w:cs="Times New Roman"/>
                <w:b/>
                <w:sz w:val="26"/>
                <w:szCs w:val="26"/>
              </w:rPr>
            </w:pPr>
            <w:r>
              <w:rPr>
                <w:rFonts w:ascii="Times New Roman" w:eastAsia="Times New Roman" w:hAnsi="Times New Roman" w:cs="Times New Roman"/>
                <w:sz w:val="24"/>
                <w:szCs w:val="24"/>
                <w:lang w:val="en-US" w:eastAsia="en-US"/>
              </w:rPr>
              <w:t>Level 2 at 75% Recovery = 99.80%</w:t>
            </w:r>
          </w:p>
          <w:p w:rsidR="005975C5" w:rsidRDefault="008C00FB">
            <w:pPr>
              <w:spacing w:after="160" w:line="360" w:lineRule="auto"/>
              <w:ind w:right="-108"/>
              <w:rPr>
                <w:rFonts w:ascii="Times New Roman" w:eastAsia="Times New Roman" w:hAnsi="Times New Roman" w:cs="Times New Roman"/>
                <w:b/>
                <w:sz w:val="26"/>
                <w:szCs w:val="26"/>
              </w:rPr>
            </w:pPr>
            <w:r>
              <w:rPr>
                <w:rFonts w:ascii="Times New Roman" w:eastAsia="Times New Roman" w:hAnsi="Times New Roman" w:cs="Times New Roman"/>
                <w:sz w:val="24"/>
                <w:szCs w:val="24"/>
                <w:lang w:val="en-US" w:eastAsia="en-US"/>
              </w:rPr>
              <w:t>Level 3 at 100% Recovery = 99.56%</w:t>
            </w:r>
          </w:p>
          <w:p w:rsidR="005975C5" w:rsidRDefault="008C00FB">
            <w:pPr>
              <w:spacing w:after="160" w:line="360" w:lineRule="auto"/>
              <w:ind w:right="-108"/>
              <w:rPr>
                <w:rFonts w:ascii="Times New Roman" w:eastAsia="Times New Roman" w:hAnsi="Times New Roman" w:cs="Times New Roman"/>
                <w:b/>
                <w:sz w:val="26"/>
                <w:szCs w:val="26"/>
              </w:rPr>
            </w:pPr>
            <w:r>
              <w:rPr>
                <w:rFonts w:ascii="Times New Roman" w:eastAsia="Times New Roman" w:hAnsi="Times New Roman" w:cs="Times New Roman"/>
                <w:sz w:val="24"/>
                <w:szCs w:val="24"/>
                <w:lang w:val="en-US" w:eastAsia="en-US"/>
              </w:rPr>
              <w:t>Level 4 at 125% Recovery = 99.88%</w:t>
            </w:r>
          </w:p>
          <w:p w:rsidR="005975C5" w:rsidRDefault="008C00FB">
            <w:pPr>
              <w:spacing w:after="160" w:line="360" w:lineRule="auto"/>
              <w:ind w:right="-108"/>
              <w:rPr>
                <w:rFonts w:ascii="Times New Roman" w:eastAsia="Times New Roman" w:hAnsi="Times New Roman" w:cs="Times New Roman"/>
                <w:b/>
                <w:sz w:val="26"/>
                <w:szCs w:val="26"/>
              </w:rPr>
            </w:pPr>
            <w:r>
              <w:rPr>
                <w:rFonts w:ascii="Times New Roman" w:eastAsia="Times New Roman" w:hAnsi="Times New Roman" w:cs="Times New Roman"/>
                <w:sz w:val="24"/>
                <w:szCs w:val="24"/>
                <w:lang w:val="en-US" w:eastAsia="en-US"/>
              </w:rPr>
              <w:lastRenderedPageBreak/>
              <w:t>Level 5 at 150% Recovery = 99.57%</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Times New Roman" w:hAnsi="Times New Roman" w:cs="Times New Roman"/>
                <w:sz w:val="24"/>
                <w:szCs w:val="24"/>
                <w:lang w:val="en-US" w:eastAsia="en-US"/>
              </w:rPr>
              <w:lastRenderedPageBreak/>
              <w:t>Mean recovery at each concentration level should be between 98.0% and 102.0%.</w:t>
            </w:r>
          </w:p>
        </w:tc>
      </w:tr>
      <w:tr w:rsidR="005975C5">
        <w:trPr>
          <w:trHeight w:val="177"/>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sz w:val="24"/>
                <w:szCs w:val="24"/>
                <w:lang w:val="en-US" w:eastAsia="en-US"/>
              </w:rPr>
              <w:lastRenderedPageBreak/>
              <w:t>7</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jc w:val="left"/>
              <w:rPr>
                <w:rFonts w:ascii="Times New Roman" w:eastAsia="Times New Roman" w:hAnsi="Times New Roman" w:cs="Times New Roman"/>
                <w:b/>
                <w:sz w:val="26"/>
                <w:szCs w:val="26"/>
              </w:rPr>
            </w:pPr>
            <w:r>
              <w:rPr>
                <w:rFonts w:ascii="Times New Roman" w:eastAsia="Times New Roman" w:hAnsi="Times New Roman" w:cs="Times New Roman"/>
                <w:b/>
                <w:bCs/>
                <w:sz w:val="24"/>
                <w:szCs w:val="24"/>
                <w:lang w:val="en-US" w:eastAsia="en-US"/>
              </w:rPr>
              <w:t xml:space="preserve">Robustness </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ind w:right="-108"/>
              <w:rPr>
                <w:rFonts w:ascii="Times New Roman" w:eastAsia="Times New Roman" w:hAnsi="Times New Roman" w:cs="Times New Roman"/>
                <w:b/>
                <w:sz w:val="26"/>
                <w:szCs w:val="26"/>
              </w:rPr>
            </w:pPr>
            <w:r>
              <w:rPr>
                <w:rFonts w:ascii="Times New Roman" w:eastAsia="Times New Roman" w:hAnsi="Times New Roman" w:cs="Times New Roman"/>
                <w:sz w:val="24"/>
                <w:szCs w:val="24"/>
                <w:lang w:val="en-US" w:eastAsia="en-US"/>
              </w:rPr>
              <w:t xml:space="preserve">1] System </w:t>
            </w:r>
            <w:r>
              <w:rPr>
                <w:rFonts w:ascii="Times New Roman" w:eastAsia="Times New Roman" w:hAnsi="Times New Roman" w:cs="Times New Roman"/>
                <w:sz w:val="24"/>
                <w:szCs w:val="24"/>
                <w:lang w:val="en-US" w:eastAsia="en-US"/>
              </w:rPr>
              <w:t>suitability criteria are found to meet the pre-established acceptance criteria.</w:t>
            </w:r>
          </w:p>
          <w:p w:rsidR="005975C5" w:rsidRDefault="008C00FB">
            <w:pPr>
              <w:spacing w:after="160" w:line="360" w:lineRule="auto"/>
              <w:ind w:right="-108"/>
              <w:rPr>
                <w:rFonts w:ascii="Times New Roman" w:eastAsia="Times New Roman" w:hAnsi="Times New Roman" w:cs="Times New Roman"/>
                <w:b/>
                <w:sz w:val="26"/>
                <w:szCs w:val="26"/>
              </w:rPr>
            </w:pPr>
            <w:r>
              <w:rPr>
                <w:rFonts w:ascii="Times New Roman" w:eastAsia="Times New Roman" w:hAnsi="Times New Roman" w:cs="Times New Roman"/>
                <w:sz w:val="24"/>
                <w:szCs w:val="24"/>
                <w:lang w:val="en-US" w:eastAsia="en-US"/>
              </w:rPr>
              <w:t>2] % RSD between results obtained with changed condition and average result of method precision, are found less than 2.0%.</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Times New Roman" w:hAnsi="Times New Roman" w:cs="Times New Roman"/>
                <w:sz w:val="24"/>
                <w:szCs w:val="24"/>
                <w:lang w:val="en-US" w:eastAsia="en-US"/>
              </w:rPr>
              <w:t xml:space="preserve">System suitability criteria should pass as per </w:t>
            </w:r>
            <w:r>
              <w:rPr>
                <w:rFonts w:ascii="Times New Roman" w:eastAsia="Times New Roman" w:hAnsi="Times New Roman" w:cs="Times New Roman"/>
                <w:sz w:val="24"/>
                <w:szCs w:val="24"/>
                <w:lang w:val="en-US" w:eastAsia="en-US"/>
              </w:rPr>
              <w:t>analytical method and the % RSD between results obtained with changed condition and average result of method precision, should not be more than 2.0%.</w:t>
            </w:r>
          </w:p>
        </w:tc>
      </w:tr>
      <w:tr w:rsidR="005975C5">
        <w:trPr>
          <w:trHeight w:val="177"/>
        </w:trPr>
        <w:tc>
          <w:tcPr>
            <w:tcW w:w="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sz w:val="24"/>
                <w:szCs w:val="24"/>
                <w:lang w:val="en-US" w:eastAsia="en-US"/>
              </w:rPr>
              <w:t>8</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jc w:val="left"/>
              <w:rPr>
                <w:rFonts w:ascii="Times New Roman" w:eastAsia="Times New Roman" w:hAnsi="Times New Roman" w:cs="Times New Roman"/>
                <w:b/>
                <w:sz w:val="26"/>
                <w:szCs w:val="26"/>
              </w:rPr>
            </w:pPr>
            <w:r>
              <w:rPr>
                <w:rFonts w:ascii="Times New Roman" w:eastAsia="Times New Roman" w:hAnsi="Times New Roman" w:cs="Times New Roman"/>
                <w:b/>
                <w:bCs/>
                <w:sz w:val="24"/>
                <w:szCs w:val="24"/>
                <w:lang w:val="en-US" w:eastAsia="en-US"/>
              </w:rPr>
              <w:t>Stability of analytical solution</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ind w:right="-108"/>
              <w:rPr>
                <w:rFonts w:ascii="Times New Roman" w:eastAsia="Times New Roman" w:hAnsi="Times New Roman" w:cs="Times New Roman"/>
                <w:b/>
                <w:sz w:val="26"/>
                <w:szCs w:val="26"/>
              </w:rPr>
            </w:pPr>
            <w:r>
              <w:rPr>
                <w:rFonts w:ascii="Times New Roman" w:eastAsia="Times New Roman" w:hAnsi="Times New Roman" w:cs="Times New Roman"/>
                <w:sz w:val="24"/>
                <w:szCs w:val="24"/>
                <w:lang w:val="en-US" w:eastAsia="en-US"/>
              </w:rPr>
              <w:t xml:space="preserve">No significant change is observed in the % assay upto 48 Hrs. Hence </w:t>
            </w:r>
            <w:r>
              <w:rPr>
                <w:rFonts w:ascii="Times New Roman" w:eastAsia="Times New Roman" w:hAnsi="Times New Roman" w:cs="Times New Roman"/>
                <w:sz w:val="24"/>
                <w:szCs w:val="24"/>
                <w:lang w:val="en-US" w:eastAsia="en-US"/>
              </w:rPr>
              <w:t>the solution is found to be stable up to 48   Hours at room temperature.</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975C5" w:rsidRDefault="008C00FB">
            <w:pPr>
              <w:spacing w:after="160" w:line="360" w:lineRule="auto"/>
              <w:rPr>
                <w:rFonts w:ascii="Times New Roman" w:eastAsia="Times New Roman" w:hAnsi="Times New Roman" w:cs="Times New Roman"/>
                <w:b/>
                <w:sz w:val="26"/>
                <w:szCs w:val="26"/>
              </w:rPr>
            </w:pPr>
            <w:r>
              <w:rPr>
                <w:rFonts w:ascii="Times New Roman" w:eastAsia="Times New Roman" w:hAnsi="Times New Roman" w:cs="Times New Roman"/>
                <w:sz w:val="24"/>
                <w:szCs w:val="24"/>
                <w:lang w:val="en-US" w:eastAsia="en-US"/>
              </w:rPr>
              <w:t>The analyte is considered stable if there is no significant change in % assay.</w:t>
            </w:r>
          </w:p>
        </w:tc>
      </w:tr>
    </w:tbl>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8"/>
          <w:szCs w:val="28"/>
          <w:lang w:eastAsia="en-US"/>
        </w:rPr>
        <w:t>CONCLUSION</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rPr>
        <w:t>The present study was successfully carried out with the objective of developing and validati</w:t>
      </w:r>
      <w:r>
        <w:rPr>
          <w:rFonts w:ascii="Times New Roman" w:eastAsia="Calibri" w:hAnsi="Times New Roman" w:cs="Times New Roman"/>
          <w:sz w:val="24"/>
          <w:szCs w:val="24"/>
          <w:lang w:eastAsia="en-US"/>
        </w:rPr>
        <w:t>ng a simple, rapid, and cost-effective UV spectrophotometric method for the quantitative estimation of Nafithromycin in bulk drug and pharmaceutical dosage form (MIQNAF tablets 400 mg).</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rPr>
        <w:t>During the method development phase, various solvent systems such as w</w:t>
      </w:r>
      <w:r>
        <w:rPr>
          <w:rFonts w:ascii="Times New Roman" w:eastAsia="Calibri" w:hAnsi="Times New Roman" w:cs="Times New Roman"/>
          <w:sz w:val="24"/>
          <w:szCs w:val="24"/>
          <w:lang w:eastAsia="en-US"/>
        </w:rPr>
        <w:t>ater, ethanol, and methanol were evaluated to obtain an optimal analytical condition. Among these, methanol was selected as the most suitable diluent due to its superior solubilizing ability and its capability to produce a sharp, well-defined absorption sp</w:t>
      </w:r>
      <w:r>
        <w:rPr>
          <w:rFonts w:ascii="Times New Roman" w:eastAsia="Calibri" w:hAnsi="Times New Roman" w:cs="Times New Roman"/>
          <w:sz w:val="24"/>
          <w:szCs w:val="24"/>
          <w:lang w:eastAsia="en-US"/>
        </w:rPr>
        <w:t>ectrum. The drug exhibited maximum absorbance (λmax) at approximately 232 nm, which was selected as the analytical wavelength for further quantitative analysis.</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rPr>
        <w:t>The developed analytical method was validated in accordance with the guidelines of the ICH Q2 (</w:t>
      </w:r>
      <w:r>
        <w:rPr>
          <w:rFonts w:ascii="Times New Roman" w:eastAsia="Calibri" w:hAnsi="Times New Roman" w:cs="Times New Roman"/>
          <w:sz w:val="24"/>
          <w:szCs w:val="24"/>
          <w:lang w:eastAsia="en-US"/>
        </w:rPr>
        <w:t>R1), ensuring its suitability for its intended purpose. The validation parameters demonstrated excellent performance of the method. The method showed good linearity over the selected concentration range with a correlation coefficient (r²) close to unity, c</w:t>
      </w:r>
      <w:r>
        <w:rPr>
          <w:rFonts w:ascii="Times New Roman" w:eastAsia="Calibri" w:hAnsi="Times New Roman" w:cs="Times New Roman"/>
          <w:sz w:val="24"/>
          <w:szCs w:val="24"/>
          <w:lang w:eastAsia="en-US"/>
        </w:rPr>
        <w:t>onfirming adherence to Beer–Lambert law.</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rPr>
        <w:lastRenderedPageBreak/>
        <w:t>Accuracy studies, performed through recovery experiments, yielded results within the acceptable limits of 98–102%, indicating the reliability and correctness of the method. Precision studies, including repeatability</w:t>
      </w:r>
      <w:r>
        <w:rPr>
          <w:rFonts w:ascii="Times New Roman" w:eastAsia="Calibri" w:hAnsi="Times New Roman" w:cs="Times New Roman"/>
          <w:sz w:val="24"/>
          <w:szCs w:val="24"/>
          <w:lang w:eastAsia="en-US"/>
        </w:rPr>
        <w:t xml:space="preserve"> and intermediate precision, showed %RSD values less than 2%, confirming that the method is highly reproducible. The specificity of the method was established by the absence of interference from excipients present in the tablet formulation, demonstrating t</w:t>
      </w:r>
      <w:r>
        <w:rPr>
          <w:rFonts w:ascii="Times New Roman" w:eastAsia="Calibri" w:hAnsi="Times New Roman" w:cs="Times New Roman"/>
          <w:sz w:val="24"/>
          <w:szCs w:val="24"/>
          <w:lang w:eastAsia="en-US"/>
        </w:rPr>
        <w:t>hat the method is selective for Nafithromycin.</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rPr>
        <w:t>The robustness of the method was evaluated by introducing small deliberate variations in analytical parameters such as wavelength and solvent composition. The results indicated that these minor changes did not</w:t>
      </w:r>
      <w:r>
        <w:rPr>
          <w:rFonts w:ascii="Times New Roman" w:eastAsia="Calibri" w:hAnsi="Times New Roman" w:cs="Times New Roman"/>
          <w:sz w:val="24"/>
          <w:szCs w:val="24"/>
          <w:lang w:eastAsia="en-US"/>
        </w:rPr>
        <w:t xml:space="preserve"> significantly affect the absorbance, confirming that the method is robust and reliable under normal working conditions. Additionally, sensitivity parameters such as limit of detection (LOD) and limit of quantification (LOQ) confirmed that the method is ca</w:t>
      </w:r>
      <w:r>
        <w:rPr>
          <w:rFonts w:ascii="Times New Roman" w:eastAsia="Calibri" w:hAnsi="Times New Roman" w:cs="Times New Roman"/>
          <w:sz w:val="24"/>
          <w:szCs w:val="24"/>
          <w:lang w:eastAsia="en-US"/>
        </w:rPr>
        <w:t>pable of detecting and quantifying low concentrations of the drug effectively.</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rPr>
        <w:t>Furthermore, stability studies revealed that the prepared analytical solution of Nafithromycin remained stable for up to 48 hours at room temperature, indicating that the method</w:t>
      </w:r>
      <w:r>
        <w:rPr>
          <w:rFonts w:ascii="Times New Roman" w:eastAsia="Calibri" w:hAnsi="Times New Roman" w:cs="Times New Roman"/>
          <w:sz w:val="24"/>
          <w:szCs w:val="24"/>
          <w:lang w:eastAsia="en-US"/>
        </w:rPr>
        <w:t xml:space="preserve"> allows flexibility in sample handling and analysis without significant degradation.</w:t>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rPr>
        <w:t>Based on the overall results of method development and validation, it can be conclusively stated that the developed UV spectrophotometric method is simple, accurate, preci</w:t>
      </w:r>
      <w:r>
        <w:rPr>
          <w:rFonts w:ascii="Times New Roman" w:eastAsia="Calibri" w:hAnsi="Times New Roman" w:cs="Times New Roman"/>
          <w:sz w:val="24"/>
          <w:szCs w:val="24"/>
          <w:lang w:eastAsia="en-US"/>
        </w:rPr>
        <w:t>se, specific, linear, robust, and economical. Therefore, the method is highly suitable for routine quantitative analysis of Nafithromycin in pharmaceutical dosage forms and can also be effectively applied for stability studies.</w:t>
      </w:r>
    </w:p>
    <w:p w:rsidR="005975C5" w:rsidRDefault="008C00FB">
      <w:pPr>
        <w:spacing w:after="160" w:line="360" w:lineRule="auto"/>
        <w:rPr>
          <w:rFonts w:ascii="Times New Roman" w:eastAsia="Times New Roman" w:hAnsi="Times New Roman" w:cs="Times New Roman"/>
          <w:b/>
          <w:sz w:val="26"/>
          <w:szCs w:val="26"/>
        </w:rPr>
      </w:pPr>
      <w:r>
        <w:rPr>
          <w:rFonts w:ascii="Calibri" w:eastAsia="Calibri" w:hAnsi="Calibri" w:cs="Calibri"/>
          <w:color w:val="000000"/>
          <w:lang w:val="en-US"/>
        </w:rPr>
        <w:br w:type="page"/>
      </w:r>
    </w:p>
    <w:p w:rsidR="005975C5" w:rsidRDefault="008C00FB">
      <w:pPr>
        <w:spacing w:after="160" w:line="360" w:lineRule="auto"/>
        <w:rPr>
          <w:rFonts w:ascii="Times New Roman" w:eastAsia="Times New Roman" w:hAnsi="Times New Roman" w:cs="Times New Roman"/>
          <w:b/>
          <w:sz w:val="26"/>
          <w:szCs w:val="26"/>
        </w:rPr>
      </w:pPr>
      <w:r>
        <w:rPr>
          <w:rFonts w:ascii="Times New Roman" w:eastAsia="Calibri" w:hAnsi="Times New Roman" w:cs="Times New Roman"/>
          <w:b/>
          <w:bCs/>
          <w:sz w:val="28"/>
          <w:szCs w:val="28"/>
          <w:lang w:val="en-US" w:eastAsia="en-US" w:bidi="hi-IN"/>
        </w:rPr>
        <w:lastRenderedPageBreak/>
        <w:t>REFERENCES :</w:t>
      </w:r>
    </w:p>
    <w:p w:rsidR="005975C5" w:rsidRDefault="008C00FB">
      <w:pPr>
        <w:spacing w:after="160" w:line="360" w:lineRule="auto"/>
        <w:ind w:left="720"/>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rPr>
        <w:t xml:space="preserve">World Health </w:t>
      </w:r>
      <w:r>
        <w:rPr>
          <w:rFonts w:ascii="Times New Roman" w:eastAsia="Calibri" w:hAnsi="Times New Roman" w:cs="Times New Roman"/>
          <w:sz w:val="24"/>
          <w:szCs w:val="24"/>
          <w:lang w:eastAsia="en-US"/>
        </w:rPr>
        <w:t xml:space="preserve">Organization. (2023). </w:t>
      </w:r>
      <w:r>
        <w:rPr>
          <w:rFonts w:ascii="Times New Roman" w:eastAsia="Calibri" w:hAnsi="Times New Roman" w:cs="Times New Roman"/>
          <w:i/>
          <w:iCs/>
          <w:sz w:val="24"/>
          <w:szCs w:val="24"/>
          <w:lang w:eastAsia="en-US"/>
        </w:rPr>
        <w:t>Antimicrobial resistance</w:t>
      </w:r>
      <w:r>
        <w:rPr>
          <w:rFonts w:ascii="Times New Roman" w:eastAsia="Calibri" w:hAnsi="Times New Roman" w:cs="Times New Roman"/>
          <w:sz w:val="24"/>
          <w:szCs w:val="24"/>
          <w:lang w:eastAsia="en-US"/>
        </w:rPr>
        <w:t xml:space="preserve">. </w:t>
      </w:r>
      <w:hyperlink r:id="rId16" w:history="1">
        <w:r>
          <w:rPr>
            <w:rStyle w:val="Hyperlink"/>
            <w:rFonts w:eastAsia="Calibri"/>
            <w:sz w:val="24"/>
            <w:szCs w:val="24"/>
            <w:lang w:eastAsia="en-US"/>
          </w:rPr>
          <w:t>https://www.who.int</w:t>
        </w:r>
      </w:hyperlink>
    </w:p>
    <w:p w:rsidR="005975C5" w:rsidRDefault="008C00FB">
      <w:pPr>
        <w:spacing w:after="200" w:line="360" w:lineRule="auto"/>
        <w:ind w:left="720"/>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rPr>
        <w:t xml:space="preserve">Rang, H. P., Dale, M. M., Ritter, J. M., Flower, R. J., &amp; Henderson, G. (2020). </w:t>
      </w:r>
      <w:r>
        <w:rPr>
          <w:rFonts w:ascii="Times New Roman" w:eastAsia="Calibri" w:hAnsi="Times New Roman" w:cs="Times New Roman"/>
          <w:i/>
          <w:iCs/>
          <w:sz w:val="24"/>
          <w:szCs w:val="24"/>
          <w:lang w:eastAsia="en-US"/>
        </w:rPr>
        <w:t>Rang &amp; Dale’s pharmacology</w:t>
      </w:r>
      <w:r>
        <w:rPr>
          <w:rFonts w:ascii="Times New Roman" w:eastAsia="Calibri" w:hAnsi="Times New Roman" w:cs="Times New Roman"/>
          <w:sz w:val="24"/>
          <w:szCs w:val="24"/>
          <w:lang w:eastAsia="en-US"/>
        </w:rPr>
        <w:t xml:space="preserve"> (9th ed.). Elsevier.</w:t>
      </w:r>
    </w:p>
    <w:p w:rsidR="005975C5" w:rsidRDefault="008C00FB">
      <w:pPr>
        <w:spacing w:after="200" w:line="360" w:lineRule="auto"/>
        <w:ind w:left="720"/>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rPr>
        <w:t>Tripathi, K. D. (2019).</w:t>
      </w:r>
      <w:r>
        <w:rPr>
          <w:rFonts w:ascii="Times New Roman" w:eastAsia="Calibri" w:hAnsi="Times New Roman" w:cs="Times New Roman"/>
          <w:sz w:val="24"/>
          <w:szCs w:val="24"/>
          <w:lang w:eastAsia="en-US"/>
        </w:rPr>
        <w:t xml:space="preserve"> </w:t>
      </w:r>
      <w:r>
        <w:rPr>
          <w:rFonts w:ascii="Times New Roman" w:eastAsia="Calibri" w:hAnsi="Times New Roman" w:cs="Times New Roman"/>
          <w:i/>
          <w:iCs/>
          <w:sz w:val="24"/>
          <w:szCs w:val="24"/>
          <w:lang w:eastAsia="en-US"/>
        </w:rPr>
        <w:t>Essentials of medical pharmacology</w:t>
      </w:r>
      <w:r>
        <w:rPr>
          <w:rFonts w:ascii="Times New Roman" w:eastAsia="Calibri" w:hAnsi="Times New Roman" w:cs="Times New Roman"/>
          <w:sz w:val="24"/>
          <w:szCs w:val="24"/>
          <w:lang w:eastAsia="en-US"/>
        </w:rPr>
        <w:t xml:space="preserve"> (8th ed.). Jaypee Brothers Medical Publishers.</w:t>
      </w:r>
    </w:p>
    <w:p w:rsidR="005975C5" w:rsidRDefault="008C00FB">
      <w:pPr>
        <w:spacing w:after="200" w:line="360" w:lineRule="auto"/>
        <w:ind w:left="720"/>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rPr>
        <w:t xml:space="preserve">Skoog, D. A., Holler, F. J., &amp; Crouch, S. R. (2007). </w:t>
      </w:r>
      <w:r>
        <w:rPr>
          <w:rFonts w:ascii="Times New Roman" w:eastAsia="Calibri" w:hAnsi="Times New Roman" w:cs="Times New Roman"/>
          <w:i/>
          <w:iCs/>
          <w:sz w:val="24"/>
          <w:szCs w:val="24"/>
          <w:lang w:eastAsia="en-US"/>
        </w:rPr>
        <w:t>Principles of instrumental analysis</w:t>
      </w:r>
      <w:r>
        <w:rPr>
          <w:rFonts w:ascii="Times New Roman" w:eastAsia="Calibri" w:hAnsi="Times New Roman" w:cs="Times New Roman"/>
          <w:sz w:val="24"/>
          <w:szCs w:val="24"/>
          <w:lang w:eastAsia="en-US"/>
        </w:rPr>
        <w:t xml:space="preserve"> (6th ed.). Cengage Learning.</w:t>
      </w:r>
    </w:p>
    <w:p w:rsidR="005975C5" w:rsidRDefault="008C00FB">
      <w:pPr>
        <w:spacing w:after="200" w:line="360" w:lineRule="auto"/>
        <w:ind w:left="720"/>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rPr>
        <w:t xml:space="preserve">Chatwal, G. R., &amp; Anand, S. K. (2007). </w:t>
      </w:r>
      <w:r>
        <w:rPr>
          <w:rFonts w:ascii="Times New Roman" w:eastAsia="Calibri" w:hAnsi="Times New Roman" w:cs="Times New Roman"/>
          <w:i/>
          <w:iCs/>
          <w:sz w:val="24"/>
          <w:szCs w:val="24"/>
          <w:lang w:eastAsia="en-US"/>
        </w:rPr>
        <w:t xml:space="preserve">Instrumental </w:t>
      </w:r>
      <w:r>
        <w:rPr>
          <w:rFonts w:ascii="Times New Roman" w:eastAsia="Calibri" w:hAnsi="Times New Roman" w:cs="Times New Roman"/>
          <w:i/>
          <w:iCs/>
          <w:sz w:val="24"/>
          <w:szCs w:val="24"/>
          <w:lang w:eastAsia="en-US"/>
        </w:rPr>
        <w:t>methods of chemical analysis</w:t>
      </w:r>
      <w:r>
        <w:rPr>
          <w:rFonts w:ascii="Times New Roman" w:eastAsia="Calibri" w:hAnsi="Times New Roman" w:cs="Times New Roman"/>
          <w:sz w:val="24"/>
          <w:szCs w:val="24"/>
          <w:lang w:eastAsia="en-US"/>
        </w:rPr>
        <w:t xml:space="preserve"> (5th ed.). Himalaya Publishing House.</w:t>
      </w:r>
    </w:p>
    <w:p w:rsidR="005975C5" w:rsidRDefault="008C00FB">
      <w:pPr>
        <w:spacing w:after="200" w:line="360" w:lineRule="auto"/>
        <w:ind w:left="720"/>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rPr>
        <w:t xml:space="preserve">Willard, H. H., Merritt, L. L., Dean, J. A., &amp; Settle, F. A. (1988). </w:t>
      </w:r>
      <w:r>
        <w:rPr>
          <w:rFonts w:ascii="Times New Roman" w:eastAsia="Calibri" w:hAnsi="Times New Roman" w:cs="Times New Roman"/>
          <w:i/>
          <w:iCs/>
          <w:sz w:val="24"/>
          <w:szCs w:val="24"/>
          <w:lang w:eastAsia="en-US"/>
        </w:rPr>
        <w:t>Instrumental methods of analysis</w:t>
      </w:r>
      <w:r>
        <w:rPr>
          <w:rFonts w:ascii="Times New Roman" w:eastAsia="Calibri" w:hAnsi="Times New Roman" w:cs="Times New Roman"/>
          <w:sz w:val="24"/>
          <w:szCs w:val="24"/>
          <w:lang w:eastAsia="en-US"/>
        </w:rPr>
        <w:t xml:space="preserve"> (7th ed.). CBS Publishers.</w:t>
      </w:r>
    </w:p>
    <w:p w:rsidR="005975C5" w:rsidRDefault="008C00FB">
      <w:pPr>
        <w:spacing w:after="200" w:line="360" w:lineRule="auto"/>
        <w:ind w:left="720"/>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rPr>
        <w:t xml:space="preserve">International Council for Harmonisation. (2005). </w:t>
      </w:r>
      <w:r>
        <w:rPr>
          <w:rFonts w:ascii="Times New Roman" w:eastAsia="Calibri" w:hAnsi="Times New Roman" w:cs="Times New Roman"/>
          <w:i/>
          <w:iCs/>
          <w:sz w:val="24"/>
          <w:szCs w:val="24"/>
          <w:lang w:eastAsia="en-US"/>
        </w:rPr>
        <w:t>ICH Q2(R1):</w:t>
      </w:r>
      <w:r>
        <w:rPr>
          <w:rFonts w:ascii="Times New Roman" w:eastAsia="Calibri" w:hAnsi="Times New Roman" w:cs="Times New Roman"/>
          <w:i/>
          <w:iCs/>
          <w:sz w:val="24"/>
          <w:szCs w:val="24"/>
          <w:lang w:eastAsia="en-US"/>
        </w:rPr>
        <w:t xml:space="preserve"> Validation of analytical procedures: Text and methodology</w:t>
      </w:r>
      <w:r>
        <w:rPr>
          <w:rFonts w:ascii="Times New Roman" w:eastAsia="Calibri" w:hAnsi="Times New Roman" w:cs="Times New Roman"/>
          <w:sz w:val="24"/>
          <w:szCs w:val="24"/>
          <w:lang w:eastAsia="en-US"/>
        </w:rPr>
        <w:t xml:space="preserve">. </w:t>
      </w:r>
      <w:hyperlink r:id="rId17" w:history="1">
        <w:r>
          <w:rPr>
            <w:rStyle w:val="Hyperlink"/>
            <w:rFonts w:eastAsia="Calibri"/>
            <w:sz w:val="24"/>
            <w:szCs w:val="24"/>
            <w:lang w:eastAsia="en-US"/>
          </w:rPr>
          <w:t>https://www.ich.org</w:t>
        </w:r>
      </w:hyperlink>
    </w:p>
    <w:p w:rsidR="005975C5" w:rsidRDefault="008C00FB">
      <w:pPr>
        <w:spacing w:after="200" w:line="360" w:lineRule="auto"/>
        <w:ind w:left="720"/>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rPr>
        <w:t xml:space="preserve">International Council for Harmonisation. (2003). </w:t>
      </w:r>
      <w:r>
        <w:rPr>
          <w:rFonts w:ascii="Times New Roman" w:eastAsia="Calibri" w:hAnsi="Times New Roman" w:cs="Times New Roman"/>
          <w:i/>
          <w:iCs/>
          <w:sz w:val="24"/>
          <w:szCs w:val="24"/>
          <w:lang w:eastAsia="en-US"/>
        </w:rPr>
        <w:t>ICH Q1A(R2): Stability testing of new drug substances and products</w:t>
      </w:r>
      <w:r>
        <w:rPr>
          <w:rFonts w:ascii="Times New Roman" w:eastAsia="Calibri" w:hAnsi="Times New Roman" w:cs="Times New Roman"/>
          <w:sz w:val="24"/>
          <w:szCs w:val="24"/>
          <w:lang w:eastAsia="en-US"/>
        </w:rPr>
        <w:t xml:space="preserve">. </w:t>
      </w:r>
      <w:hyperlink r:id="rId18" w:history="1">
        <w:r>
          <w:rPr>
            <w:rStyle w:val="Hyperlink"/>
            <w:rFonts w:eastAsia="Calibri"/>
            <w:sz w:val="24"/>
            <w:szCs w:val="24"/>
            <w:lang w:eastAsia="en-US"/>
          </w:rPr>
          <w:t>https://www.ich.org</w:t>
        </w:r>
      </w:hyperlink>
    </w:p>
    <w:p w:rsidR="005975C5" w:rsidRDefault="008C00FB">
      <w:pPr>
        <w:spacing w:after="200" w:line="360" w:lineRule="auto"/>
        <w:ind w:left="720"/>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rPr>
        <w:t xml:space="preserve">Zhanel, G. G., et al. (2019). Ketolides and macrolides: A review. </w:t>
      </w:r>
      <w:r>
        <w:rPr>
          <w:rFonts w:ascii="Times New Roman" w:eastAsia="Calibri" w:hAnsi="Times New Roman" w:cs="Times New Roman"/>
          <w:i/>
          <w:iCs/>
          <w:sz w:val="24"/>
          <w:szCs w:val="24"/>
          <w:lang w:eastAsia="en-US"/>
        </w:rPr>
        <w:t>Drugs</w:t>
      </w:r>
      <w:r>
        <w:rPr>
          <w:rFonts w:ascii="Times New Roman" w:eastAsia="Calibri" w:hAnsi="Times New Roman" w:cs="Times New Roman"/>
          <w:sz w:val="24"/>
          <w:szCs w:val="24"/>
          <w:lang w:eastAsia="en-US"/>
        </w:rPr>
        <w:t>, 79(2), 1–25.</w:t>
      </w:r>
    </w:p>
    <w:p w:rsidR="005975C5" w:rsidRDefault="008C00FB">
      <w:pPr>
        <w:spacing w:after="200" w:line="360" w:lineRule="auto"/>
        <w:ind w:left="720"/>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rPr>
        <w:t xml:space="preserve">Fernandes, P. (2015). Macrolide and ketolide antibiotics. </w:t>
      </w:r>
      <w:r>
        <w:rPr>
          <w:rFonts w:ascii="Times New Roman" w:eastAsia="Calibri" w:hAnsi="Times New Roman" w:cs="Times New Roman"/>
          <w:i/>
          <w:iCs/>
          <w:sz w:val="24"/>
          <w:szCs w:val="24"/>
          <w:lang w:eastAsia="en-US"/>
        </w:rPr>
        <w:t>Clinical Microbiology Reviews</w:t>
      </w:r>
      <w:r>
        <w:rPr>
          <w:rFonts w:ascii="Times New Roman" w:eastAsia="Calibri" w:hAnsi="Times New Roman" w:cs="Times New Roman"/>
          <w:sz w:val="24"/>
          <w:szCs w:val="24"/>
          <w:lang w:eastAsia="en-US"/>
        </w:rPr>
        <w:t>, 28(2), 1–25.</w:t>
      </w:r>
    </w:p>
    <w:p w:rsidR="005975C5" w:rsidRDefault="008C00FB">
      <w:pPr>
        <w:spacing w:after="200" w:line="360" w:lineRule="auto"/>
        <w:ind w:left="720"/>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rPr>
        <w:t>Bryskier, A. (2000). Ketolides—Ne</w:t>
      </w:r>
      <w:r>
        <w:rPr>
          <w:rFonts w:ascii="Times New Roman" w:eastAsia="Calibri" w:hAnsi="Times New Roman" w:cs="Times New Roman"/>
          <w:sz w:val="24"/>
          <w:szCs w:val="24"/>
          <w:lang w:eastAsia="en-US"/>
        </w:rPr>
        <w:t xml:space="preserve">w generation antibiotics. </w:t>
      </w:r>
      <w:r>
        <w:rPr>
          <w:rFonts w:ascii="Times New Roman" w:eastAsia="Calibri" w:hAnsi="Times New Roman" w:cs="Times New Roman"/>
          <w:i/>
          <w:iCs/>
          <w:sz w:val="24"/>
          <w:szCs w:val="24"/>
          <w:lang w:eastAsia="en-US"/>
        </w:rPr>
        <w:t>Journal of Antimicrobial Chemotherapy</w:t>
      </w:r>
      <w:r>
        <w:rPr>
          <w:rFonts w:ascii="Times New Roman" w:eastAsia="Calibri" w:hAnsi="Times New Roman" w:cs="Times New Roman"/>
          <w:sz w:val="24"/>
          <w:szCs w:val="24"/>
          <w:lang w:eastAsia="en-US"/>
        </w:rPr>
        <w:t>, 45(Suppl A), 1–7.</w:t>
      </w:r>
    </w:p>
    <w:p w:rsidR="005975C5" w:rsidRDefault="008C00FB">
      <w:pPr>
        <w:spacing w:after="200" w:line="360" w:lineRule="auto"/>
        <w:ind w:left="720"/>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rPr>
        <w:t xml:space="preserve">Retsema, J., &amp; Fu, W. (2001). Macrolides: Structures and mechanisms. </w:t>
      </w:r>
      <w:r>
        <w:rPr>
          <w:rFonts w:ascii="Times New Roman" w:eastAsia="Calibri" w:hAnsi="Times New Roman" w:cs="Times New Roman"/>
          <w:i/>
          <w:iCs/>
          <w:sz w:val="24"/>
          <w:szCs w:val="24"/>
          <w:lang w:eastAsia="en-US"/>
        </w:rPr>
        <w:t>Antimicrobial Agents and Chemotherapy</w:t>
      </w:r>
      <w:r>
        <w:rPr>
          <w:rFonts w:ascii="Times New Roman" w:eastAsia="Calibri" w:hAnsi="Times New Roman" w:cs="Times New Roman"/>
          <w:sz w:val="24"/>
          <w:szCs w:val="24"/>
          <w:lang w:eastAsia="en-US"/>
        </w:rPr>
        <w:t>, 45(3), 1–12.</w:t>
      </w:r>
    </w:p>
    <w:p w:rsidR="005975C5" w:rsidRDefault="008C00FB">
      <w:pPr>
        <w:spacing w:after="200" w:line="360" w:lineRule="auto"/>
        <w:ind w:left="720"/>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rPr>
        <w:t>Blessy, M., Patel, R. D., Prajapati, P. N., &amp; Agrawa</w:t>
      </w:r>
      <w:r>
        <w:rPr>
          <w:rFonts w:ascii="Times New Roman" w:eastAsia="Calibri" w:hAnsi="Times New Roman" w:cs="Times New Roman"/>
          <w:sz w:val="24"/>
          <w:szCs w:val="24"/>
          <w:lang w:eastAsia="en-US"/>
        </w:rPr>
        <w:t xml:space="preserve">l, Y. K. (2014). Stability indicating studies. </w:t>
      </w:r>
      <w:r>
        <w:rPr>
          <w:rFonts w:ascii="Times New Roman" w:eastAsia="Calibri" w:hAnsi="Times New Roman" w:cs="Times New Roman"/>
          <w:i/>
          <w:iCs/>
          <w:sz w:val="24"/>
          <w:szCs w:val="24"/>
          <w:lang w:eastAsia="en-US"/>
        </w:rPr>
        <w:t>Journal of Pharmaceutical Analysis</w:t>
      </w:r>
      <w:r>
        <w:rPr>
          <w:rFonts w:ascii="Times New Roman" w:eastAsia="Calibri" w:hAnsi="Times New Roman" w:cs="Times New Roman"/>
          <w:sz w:val="24"/>
          <w:szCs w:val="24"/>
          <w:lang w:eastAsia="en-US"/>
        </w:rPr>
        <w:t>, 4(3), 159–165.</w:t>
      </w:r>
    </w:p>
    <w:p w:rsidR="005975C5" w:rsidRDefault="008C00FB">
      <w:pPr>
        <w:spacing w:after="200" w:line="360" w:lineRule="auto"/>
        <w:ind w:left="720"/>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rPr>
        <w:t xml:space="preserve">Ahuja, S., &amp; Dong, M. W. (2005). </w:t>
      </w:r>
      <w:r>
        <w:rPr>
          <w:rFonts w:ascii="Times New Roman" w:eastAsia="Calibri" w:hAnsi="Times New Roman" w:cs="Times New Roman"/>
          <w:i/>
          <w:iCs/>
          <w:sz w:val="24"/>
          <w:szCs w:val="24"/>
          <w:lang w:eastAsia="en-US"/>
        </w:rPr>
        <w:t>Handbook of pharmaceutical analysis</w:t>
      </w:r>
      <w:r>
        <w:rPr>
          <w:rFonts w:ascii="Times New Roman" w:eastAsia="Calibri" w:hAnsi="Times New Roman" w:cs="Times New Roman"/>
          <w:sz w:val="24"/>
          <w:szCs w:val="24"/>
          <w:lang w:eastAsia="en-US"/>
        </w:rPr>
        <w:t>. Elsevier.</w:t>
      </w:r>
    </w:p>
    <w:p w:rsidR="005975C5" w:rsidRDefault="008C00FB">
      <w:pPr>
        <w:spacing w:after="200" w:line="360" w:lineRule="auto"/>
        <w:ind w:left="720"/>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rPr>
        <w:t xml:space="preserve">Christian, G. D. (2004). </w:t>
      </w:r>
      <w:r>
        <w:rPr>
          <w:rFonts w:ascii="Times New Roman" w:eastAsia="Calibri" w:hAnsi="Times New Roman" w:cs="Times New Roman"/>
          <w:i/>
          <w:iCs/>
          <w:sz w:val="24"/>
          <w:szCs w:val="24"/>
          <w:lang w:eastAsia="en-US"/>
        </w:rPr>
        <w:t>Analytical chemistry</w:t>
      </w:r>
      <w:r>
        <w:rPr>
          <w:rFonts w:ascii="Times New Roman" w:eastAsia="Calibri" w:hAnsi="Times New Roman" w:cs="Times New Roman"/>
          <w:sz w:val="24"/>
          <w:szCs w:val="24"/>
          <w:lang w:eastAsia="en-US"/>
        </w:rPr>
        <w:t xml:space="preserve"> (6th ed.). Wiley.</w:t>
      </w:r>
    </w:p>
    <w:p w:rsidR="005975C5" w:rsidRDefault="008C00FB">
      <w:pPr>
        <w:spacing w:after="200" w:line="360" w:lineRule="auto"/>
        <w:ind w:left="720"/>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rPr>
        <w:lastRenderedPageBreak/>
        <w:t>Snyder, L. R.,</w:t>
      </w:r>
      <w:r>
        <w:rPr>
          <w:rFonts w:ascii="Times New Roman" w:eastAsia="Calibri" w:hAnsi="Times New Roman" w:cs="Times New Roman"/>
          <w:sz w:val="24"/>
          <w:szCs w:val="24"/>
          <w:lang w:eastAsia="en-US"/>
        </w:rPr>
        <w:t xml:space="preserve"> Kirkland, J. J., &amp; Dolan, J. W. (2010). </w:t>
      </w:r>
      <w:r>
        <w:rPr>
          <w:rFonts w:ascii="Times New Roman" w:eastAsia="Calibri" w:hAnsi="Times New Roman" w:cs="Times New Roman"/>
          <w:i/>
          <w:iCs/>
          <w:sz w:val="24"/>
          <w:szCs w:val="24"/>
          <w:lang w:eastAsia="en-US"/>
        </w:rPr>
        <w:t>Introduction to modern liquid chromatography</w:t>
      </w:r>
      <w:r>
        <w:rPr>
          <w:rFonts w:ascii="Times New Roman" w:eastAsia="Calibri" w:hAnsi="Times New Roman" w:cs="Times New Roman"/>
          <w:sz w:val="24"/>
          <w:szCs w:val="24"/>
          <w:lang w:eastAsia="en-US"/>
        </w:rPr>
        <w:t xml:space="preserve"> (3rd ed.). Wiley.</w:t>
      </w:r>
    </w:p>
    <w:p w:rsidR="005975C5" w:rsidRDefault="008C00FB">
      <w:pPr>
        <w:spacing w:after="200" w:line="360" w:lineRule="auto"/>
        <w:ind w:left="720"/>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rPr>
        <w:t xml:space="preserve">Harris, D. C. (2010). </w:t>
      </w:r>
      <w:r>
        <w:rPr>
          <w:rFonts w:ascii="Times New Roman" w:eastAsia="Calibri" w:hAnsi="Times New Roman" w:cs="Times New Roman"/>
          <w:i/>
          <w:iCs/>
          <w:sz w:val="24"/>
          <w:szCs w:val="24"/>
          <w:lang w:eastAsia="en-US"/>
        </w:rPr>
        <w:t>Quantitative chemical analysis</w:t>
      </w:r>
      <w:r>
        <w:rPr>
          <w:rFonts w:ascii="Times New Roman" w:eastAsia="Calibri" w:hAnsi="Times New Roman" w:cs="Times New Roman"/>
          <w:sz w:val="24"/>
          <w:szCs w:val="24"/>
          <w:lang w:eastAsia="en-US"/>
        </w:rPr>
        <w:t xml:space="preserve"> (8th ed.). W.H. Freeman.</w:t>
      </w:r>
    </w:p>
    <w:p w:rsidR="005975C5" w:rsidRDefault="008C00FB">
      <w:pPr>
        <w:spacing w:after="200" w:line="360" w:lineRule="auto"/>
        <w:ind w:left="720"/>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rPr>
        <w:t xml:space="preserve">Swartz, M. E., &amp; Krull, I. S. (2012). </w:t>
      </w:r>
      <w:r>
        <w:rPr>
          <w:rFonts w:ascii="Times New Roman" w:eastAsia="Calibri" w:hAnsi="Times New Roman" w:cs="Times New Roman"/>
          <w:i/>
          <w:iCs/>
          <w:sz w:val="24"/>
          <w:szCs w:val="24"/>
          <w:lang w:eastAsia="en-US"/>
        </w:rPr>
        <w:t>Analytical method development and va</w:t>
      </w:r>
      <w:r>
        <w:rPr>
          <w:rFonts w:ascii="Times New Roman" w:eastAsia="Calibri" w:hAnsi="Times New Roman" w:cs="Times New Roman"/>
          <w:i/>
          <w:iCs/>
          <w:sz w:val="24"/>
          <w:szCs w:val="24"/>
          <w:lang w:eastAsia="en-US"/>
        </w:rPr>
        <w:t>lidation</w:t>
      </w:r>
      <w:r>
        <w:rPr>
          <w:rFonts w:ascii="Times New Roman" w:eastAsia="Calibri" w:hAnsi="Times New Roman" w:cs="Times New Roman"/>
          <w:sz w:val="24"/>
          <w:szCs w:val="24"/>
          <w:lang w:eastAsia="en-US"/>
        </w:rPr>
        <w:t>. CRC Press.</w:t>
      </w:r>
    </w:p>
    <w:p w:rsidR="005975C5" w:rsidRDefault="008C00FB">
      <w:pPr>
        <w:spacing w:after="200" w:line="360" w:lineRule="auto"/>
        <w:ind w:left="720"/>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rPr>
        <w:t xml:space="preserve">Silverstein, R. M., Webster, F. X., &amp; Kiemle, D. J. (2005). </w:t>
      </w:r>
      <w:r>
        <w:rPr>
          <w:rFonts w:ascii="Times New Roman" w:eastAsia="Calibri" w:hAnsi="Times New Roman" w:cs="Times New Roman"/>
          <w:i/>
          <w:iCs/>
          <w:sz w:val="24"/>
          <w:szCs w:val="24"/>
          <w:lang w:eastAsia="en-US"/>
        </w:rPr>
        <w:t>Spectrometric identification of organic compounds</w:t>
      </w:r>
      <w:r>
        <w:rPr>
          <w:rFonts w:ascii="Times New Roman" w:eastAsia="Calibri" w:hAnsi="Times New Roman" w:cs="Times New Roman"/>
          <w:sz w:val="24"/>
          <w:szCs w:val="24"/>
          <w:lang w:eastAsia="en-US"/>
        </w:rPr>
        <w:t xml:space="preserve"> (7th ed.). Wiley.</w:t>
      </w:r>
    </w:p>
    <w:p w:rsidR="005975C5" w:rsidRDefault="008C00FB">
      <w:pPr>
        <w:spacing w:after="200" w:line="360" w:lineRule="auto"/>
        <w:ind w:left="720"/>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rPr>
        <w:t xml:space="preserve">Pavia, D. L., Lampman, G. M., &amp; Kriz, G. S. (2008). </w:t>
      </w:r>
      <w:r>
        <w:rPr>
          <w:rFonts w:ascii="Times New Roman" w:eastAsia="Calibri" w:hAnsi="Times New Roman" w:cs="Times New Roman"/>
          <w:i/>
          <w:iCs/>
          <w:sz w:val="24"/>
          <w:szCs w:val="24"/>
          <w:lang w:eastAsia="en-US"/>
        </w:rPr>
        <w:t>Introduction to spectroscopy</w:t>
      </w:r>
      <w:r>
        <w:rPr>
          <w:rFonts w:ascii="Times New Roman" w:eastAsia="Calibri" w:hAnsi="Times New Roman" w:cs="Times New Roman"/>
          <w:sz w:val="24"/>
          <w:szCs w:val="24"/>
          <w:lang w:eastAsia="en-US"/>
        </w:rPr>
        <w:t xml:space="preserve"> (4th ed.). Cengage Learnin</w:t>
      </w:r>
      <w:r>
        <w:rPr>
          <w:rFonts w:ascii="Times New Roman" w:eastAsia="Calibri" w:hAnsi="Times New Roman" w:cs="Times New Roman"/>
          <w:sz w:val="24"/>
          <w:szCs w:val="24"/>
          <w:lang w:eastAsia="en-US"/>
        </w:rPr>
        <w:t>g.</w:t>
      </w:r>
    </w:p>
    <w:p w:rsidR="005975C5" w:rsidRDefault="008C00FB">
      <w:pPr>
        <w:spacing w:after="200" w:line="360" w:lineRule="auto"/>
        <w:ind w:left="720"/>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rPr>
        <w:t xml:space="preserve">Connors, K. A. (1997). </w:t>
      </w:r>
      <w:r>
        <w:rPr>
          <w:rFonts w:ascii="Times New Roman" w:eastAsia="Calibri" w:hAnsi="Times New Roman" w:cs="Times New Roman"/>
          <w:i/>
          <w:iCs/>
          <w:sz w:val="24"/>
          <w:szCs w:val="24"/>
          <w:lang w:eastAsia="en-US"/>
        </w:rPr>
        <w:t>Chemical kinetics: The study of reaction rates in solution</w:t>
      </w:r>
      <w:r>
        <w:rPr>
          <w:rFonts w:ascii="Times New Roman" w:eastAsia="Calibri" w:hAnsi="Times New Roman" w:cs="Times New Roman"/>
          <w:sz w:val="24"/>
          <w:szCs w:val="24"/>
          <w:lang w:eastAsia="en-US"/>
        </w:rPr>
        <w:t>. Wiley.</w:t>
      </w:r>
    </w:p>
    <w:p w:rsidR="005975C5" w:rsidRDefault="008C00FB">
      <w:pPr>
        <w:spacing w:after="200" w:line="360" w:lineRule="auto"/>
        <w:ind w:left="720"/>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rPr>
        <w:t xml:space="preserve">Sharma, B. K. (2014). </w:t>
      </w:r>
      <w:r>
        <w:rPr>
          <w:rFonts w:ascii="Times New Roman" w:eastAsia="Calibri" w:hAnsi="Times New Roman" w:cs="Times New Roman"/>
          <w:i/>
          <w:iCs/>
          <w:sz w:val="24"/>
          <w:szCs w:val="24"/>
          <w:lang w:eastAsia="en-US"/>
        </w:rPr>
        <w:t>Instrumental methods of chemical analysis</w:t>
      </w:r>
      <w:r>
        <w:rPr>
          <w:rFonts w:ascii="Times New Roman" w:eastAsia="Calibri" w:hAnsi="Times New Roman" w:cs="Times New Roman"/>
          <w:sz w:val="24"/>
          <w:szCs w:val="24"/>
          <w:lang w:eastAsia="en-US"/>
        </w:rPr>
        <w:t>. Goel Publishing House.</w:t>
      </w:r>
    </w:p>
    <w:p w:rsidR="005975C5" w:rsidRDefault="008C00FB">
      <w:pPr>
        <w:spacing w:after="200" w:line="360" w:lineRule="auto"/>
        <w:ind w:left="720"/>
        <w:rPr>
          <w:rFonts w:ascii="Times New Roman" w:eastAsia="Times New Roman" w:hAnsi="Times New Roman" w:cs="Times New Roman"/>
          <w:b/>
          <w:sz w:val="26"/>
          <w:szCs w:val="26"/>
        </w:rPr>
      </w:pPr>
      <w:r>
        <w:rPr>
          <w:rFonts w:ascii="Times New Roman" w:eastAsia="Calibri" w:hAnsi="Times New Roman" w:cs="Times New Roman"/>
          <w:sz w:val="24"/>
          <w:szCs w:val="24"/>
          <w:lang w:eastAsia="en-US"/>
        </w:rPr>
        <w:t xml:space="preserve">Miller, J. N., &amp; Miller, J. C. (2010). </w:t>
      </w:r>
      <w:r>
        <w:rPr>
          <w:rFonts w:ascii="Times New Roman" w:eastAsia="Calibri" w:hAnsi="Times New Roman" w:cs="Times New Roman"/>
          <w:i/>
          <w:iCs/>
          <w:sz w:val="24"/>
          <w:szCs w:val="24"/>
          <w:lang w:eastAsia="en-US"/>
        </w:rPr>
        <w:t xml:space="preserve">Statistics and chemometrics for </w:t>
      </w:r>
      <w:r>
        <w:rPr>
          <w:rFonts w:ascii="Times New Roman" w:eastAsia="Calibri" w:hAnsi="Times New Roman" w:cs="Times New Roman"/>
          <w:i/>
          <w:iCs/>
          <w:sz w:val="24"/>
          <w:szCs w:val="24"/>
          <w:lang w:eastAsia="en-US"/>
        </w:rPr>
        <w:t>analytical chemistry</w:t>
      </w:r>
      <w:r>
        <w:rPr>
          <w:rFonts w:ascii="Times New Roman" w:eastAsia="Calibri" w:hAnsi="Times New Roman" w:cs="Times New Roman"/>
          <w:sz w:val="24"/>
          <w:szCs w:val="24"/>
          <w:lang w:eastAsia="en-US"/>
        </w:rPr>
        <w:t xml:space="preserve"> (6th ed.). Pearson.</w:t>
      </w:r>
    </w:p>
    <w:p w:rsidR="005975C5" w:rsidRDefault="005975C5">
      <w:pPr>
        <w:spacing w:after="200" w:line="360" w:lineRule="auto"/>
        <w:ind w:left="720"/>
        <w:rPr>
          <w:rFonts w:ascii="Times New Roman" w:eastAsia="Times New Roman" w:hAnsi="Times New Roman" w:cs="Times New Roman"/>
          <w:b/>
          <w:sz w:val="26"/>
          <w:szCs w:val="26"/>
        </w:rPr>
      </w:pPr>
    </w:p>
    <w:p w:rsidR="005975C5" w:rsidRDefault="005975C5">
      <w:pPr>
        <w:spacing w:after="160" w:line="360" w:lineRule="auto"/>
        <w:rPr>
          <w:rFonts w:ascii="Times New Roman" w:eastAsia="Times New Roman" w:hAnsi="Times New Roman" w:cs="Times New Roman"/>
          <w:b/>
          <w:sz w:val="26"/>
          <w:szCs w:val="26"/>
        </w:rPr>
      </w:pPr>
    </w:p>
    <w:p w:rsidR="005975C5" w:rsidRDefault="005975C5">
      <w:pPr>
        <w:spacing w:after="160" w:line="360" w:lineRule="auto"/>
        <w:rPr>
          <w:rFonts w:ascii="Times New Roman" w:eastAsia="Times New Roman" w:hAnsi="Times New Roman" w:cs="Times New Roman"/>
          <w:b/>
          <w:sz w:val="26"/>
          <w:szCs w:val="26"/>
        </w:rPr>
      </w:pPr>
    </w:p>
    <w:p w:rsidR="005975C5" w:rsidRDefault="005975C5">
      <w:pPr>
        <w:spacing w:after="160" w:line="360" w:lineRule="auto"/>
        <w:rPr>
          <w:rFonts w:ascii="Times New Roman" w:eastAsia="Times New Roman" w:hAnsi="Times New Roman" w:cs="Times New Roman"/>
          <w:b/>
          <w:sz w:val="26"/>
          <w:szCs w:val="26"/>
        </w:rPr>
      </w:pPr>
    </w:p>
    <w:p w:rsidR="005975C5" w:rsidRDefault="005975C5">
      <w:pPr>
        <w:spacing w:before="54" w:line="276" w:lineRule="auto"/>
        <w:rPr>
          <w:rFonts w:ascii="Times New Roman" w:eastAsia="Times New Roman" w:hAnsi="Times New Roman" w:cs="Times New Roman"/>
          <w:b/>
          <w:sz w:val="26"/>
          <w:szCs w:val="26"/>
        </w:rPr>
      </w:pPr>
    </w:p>
    <w:p w:rsidR="005975C5" w:rsidRDefault="005975C5">
      <w:pPr>
        <w:tabs>
          <w:tab w:val="left" w:pos="887"/>
          <w:tab w:val="left" w:pos="1000"/>
        </w:tabs>
        <w:spacing w:before="3"/>
        <w:ind w:right="1158"/>
        <w:rPr>
          <w:rFonts w:ascii="Times New Roman" w:eastAsia="Times New Roman" w:hAnsi="Times New Roman" w:cs="Times New Roman"/>
          <w:b/>
          <w:sz w:val="26"/>
          <w:szCs w:val="26"/>
        </w:rPr>
      </w:pPr>
    </w:p>
    <w:sectPr w:rsidR="005975C5">
      <w:headerReference w:type="default" r:id="rId19"/>
      <w:footerReference w:type="default" r:id="rId20"/>
      <w:pgSz w:w="12240" w:h="15840"/>
      <w:pgMar w:top="1520" w:right="720" w:bottom="280" w:left="720" w:header="36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0FB" w:rsidRDefault="008C00FB">
      <w:r>
        <w:separator/>
      </w:r>
    </w:p>
  </w:endnote>
  <w:endnote w:type="continuationSeparator" w:id="0">
    <w:p w:rsidR="008C00FB" w:rsidRDefault="008C0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5C5" w:rsidRDefault="008C00FB">
    <w:pPr>
      <w:jc w:val="right"/>
    </w:pPr>
    <w:r>
      <w:fldChar w:fldCharType="begin"/>
    </w:r>
    <w:r>
      <w:instrText>PAGE</w:instrText>
    </w:r>
    <w:r w:rsidR="001D1C2F">
      <w:fldChar w:fldCharType="separate"/>
    </w:r>
    <w:r w:rsidR="001D1C2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0FB" w:rsidRDefault="008C00FB">
      <w:r>
        <w:separator/>
      </w:r>
    </w:p>
  </w:footnote>
  <w:footnote w:type="continuationSeparator" w:id="0">
    <w:p w:rsidR="008C00FB" w:rsidRDefault="008C00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5C5" w:rsidRDefault="005975C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975C5"/>
    <w:rsid w:val="001D1C2F"/>
    <w:rsid w:val="005975C5"/>
    <w:rsid w:val="008C00F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2"/>
        <w:szCs w:val="22"/>
        <w:lang w:val="en-IN" w:eastAsia="en-IN"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jc w:val="both"/>
    </w:pPr>
    <w:rPr>
      <w:sz w:val="21"/>
    </w:rPr>
  </w:style>
  <w:style w:type="paragraph" w:styleId="Heading1">
    <w:name w:val="heading 1"/>
    <w:basedOn w:val="Normal1"/>
    <w:next w:val="Normal1"/>
    <w:pPr>
      <w:spacing w:before="87"/>
      <w:ind w:right="84"/>
      <w:jc w:val="center"/>
      <w:outlineLvl w:val="0"/>
    </w:pPr>
    <w:rPr>
      <w:rFonts w:ascii="Times New Roman" w:eastAsia="Times New Roman" w:hAnsi="Times New Roman" w:cs="Times New Roman"/>
      <w:b/>
      <w:i/>
      <w:sz w:val="32"/>
      <w:szCs w:val="32"/>
      <w:u w:val="single"/>
    </w:rPr>
  </w:style>
  <w:style w:type="paragraph" w:styleId="Heading2">
    <w:name w:val="heading 2"/>
    <w:basedOn w:val="Normal1"/>
    <w:next w:val="Normal1"/>
    <w:pPr>
      <w:jc w:val="center"/>
      <w:outlineLvl w:val="1"/>
    </w:pPr>
    <w:rPr>
      <w:rFonts w:ascii="Times New Roman" w:eastAsia="Times New Roman" w:hAnsi="Times New Roman" w:cs="Times New Roman"/>
      <w:b/>
      <w:sz w:val="28"/>
      <w:szCs w:val="28"/>
    </w:rPr>
  </w:style>
  <w:style w:type="paragraph" w:styleId="Heading3">
    <w:name w:val="heading 3"/>
    <w:basedOn w:val="Normal1"/>
    <w:next w:val="Normal1"/>
    <w:pPr>
      <w:spacing w:before="1"/>
      <w:jc w:val="center"/>
      <w:outlineLvl w:val="2"/>
    </w:pPr>
    <w:rPr>
      <w:rFonts w:ascii="Times New Roman" w:eastAsia="Times New Roman" w:hAnsi="Times New Roman" w:cs="Times New Roman"/>
      <w:b/>
      <w:sz w:val="26"/>
      <w:szCs w:val="26"/>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table" w:customStyle="1" w:styleId="TableNormal0">
    <w:name w:val="TableNormal"/>
    <w:tblPr>
      <w:tblCellMar>
        <w:top w:w="0" w:type="dxa"/>
        <w:left w:w="0" w:type="dxa"/>
        <w:bottom w:w="0" w:type="dxa"/>
        <w:right w:w="0" w:type="dxa"/>
      </w:tblCellMar>
    </w:tblPr>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character" w:styleId="Hyperlink">
    <w:name w:val="Hyperlink"/>
    <w:basedOn w:val="DefaultParagraphFont"/>
    <w:rPr>
      <w:rFonts w:ascii="Times New Roman" w:eastAsia="SimSun" w:hAnsi="Times New Roman" w:cs="Times New Roman"/>
      <w:color w:val="0563C1"/>
      <w:sz w:val="2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2"/>
        <w:szCs w:val="22"/>
        <w:lang w:val="en-IN" w:eastAsia="en-IN"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jc w:val="both"/>
    </w:pPr>
    <w:rPr>
      <w:sz w:val="21"/>
    </w:rPr>
  </w:style>
  <w:style w:type="paragraph" w:styleId="Heading1">
    <w:name w:val="heading 1"/>
    <w:basedOn w:val="Normal1"/>
    <w:next w:val="Normal1"/>
    <w:pPr>
      <w:spacing w:before="87"/>
      <w:ind w:right="84"/>
      <w:jc w:val="center"/>
      <w:outlineLvl w:val="0"/>
    </w:pPr>
    <w:rPr>
      <w:rFonts w:ascii="Times New Roman" w:eastAsia="Times New Roman" w:hAnsi="Times New Roman" w:cs="Times New Roman"/>
      <w:b/>
      <w:i/>
      <w:sz w:val="32"/>
      <w:szCs w:val="32"/>
      <w:u w:val="single"/>
    </w:rPr>
  </w:style>
  <w:style w:type="paragraph" w:styleId="Heading2">
    <w:name w:val="heading 2"/>
    <w:basedOn w:val="Normal1"/>
    <w:next w:val="Normal1"/>
    <w:pPr>
      <w:jc w:val="center"/>
      <w:outlineLvl w:val="1"/>
    </w:pPr>
    <w:rPr>
      <w:rFonts w:ascii="Times New Roman" w:eastAsia="Times New Roman" w:hAnsi="Times New Roman" w:cs="Times New Roman"/>
      <w:b/>
      <w:sz w:val="28"/>
      <w:szCs w:val="28"/>
    </w:rPr>
  </w:style>
  <w:style w:type="paragraph" w:styleId="Heading3">
    <w:name w:val="heading 3"/>
    <w:basedOn w:val="Normal1"/>
    <w:next w:val="Normal1"/>
    <w:pPr>
      <w:spacing w:before="1"/>
      <w:jc w:val="center"/>
      <w:outlineLvl w:val="2"/>
    </w:pPr>
    <w:rPr>
      <w:rFonts w:ascii="Times New Roman" w:eastAsia="Times New Roman" w:hAnsi="Times New Roman" w:cs="Times New Roman"/>
      <w:b/>
      <w:sz w:val="26"/>
      <w:szCs w:val="26"/>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table" w:customStyle="1" w:styleId="TableNormal0">
    <w:name w:val="TableNormal"/>
    <w:tblPr>
      <w:tblCellMar>
        <w:top w:w="0" w:type="dxa"/>
        <w:left w:w="0" w:type="dxa"/>
        <w:bottom w:w="0" w:type="dxa"/>
        <w:right w:w="0" w:type="dxa"/>
      </w:tblCellMar>
    </w:tblPr>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character" w:styleId="Hyperlink">
    <w:name w:val="Hyperlink"/>
    <w:basedOn w:val="DefaultParagraphFont"/>
    <w:rPr>
      <w:rFonts w:ascii="Times New Roman" w:eastAsia="SimSun" w:hAnsi="Times New Roman" w:cs="Times New Roman"/>
      <w:color w:val="0563C1"/>
      <w:sz w:val="2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ich.or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ich.org/" TargetMode="External"/><Relationship Id="rId2" Type="http://schemas.microsoft.com/office/2007/relationships/stylesWithEffects" Target="stylesWithEffects.xml"/><Relationship Id="rId16" Type="http://schemas.openxmlformats.org/officeDocument/2006/relationships/hyperlink" Target="https://www.who.int/"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4288</Words>
  <Characters>24446</Characters>
  <Application>Microsoft Office Word</Application>
  <DocSecurity>0</DocSecurity>
  <Lines>203</Lines>
  <Paragraphs>57</Paragraphs>
  <ScaleCrop>false</ScaleCrop>
  <Company/>
  <LinksUpToDate>false</LinksUpToDate>
  <CharactersWithSpaces>28677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qwert</cp:lastModifiedBy>
  <cp:revision>2</cp:revision>
  <dcterms:created xsi:type="dcterms:W3CDTF">2026-05-02T11:20:00Z</dcterms:created>
  <dcterms:modified xsi:type="dcterms:W3CDTF">2026-05-08T06:36:00Z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e1b85e60363d4d92b6b981d4babfcec5</vt:lpwstr>
  </property>
</Properties>
</file>