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B7C" w:rsidRDefault="00602F4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Assessing the Impact of Trust and Security on Digital Payment Preference Among Digital Payment Users in Muscat, Oman</w:t>
      </w:r>
    </w:p>
    <w:p w:rsidR="00012B7C" w:rsidRDefault="00602F41">
      <w:pPr>
        <w:spacing w:line="360" w:lineRule="auto"/>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Abstract</w:t>
      </w:r>
    </w:p>
    <w:p w:rsidR="00012B7C" w:rsidRDefault="00602F41">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This study examines the influence of perceived trust and perceived security on digital </w:t>
      </w:r>
      <w:r>
        <w:rPr>
          <w:rFonts w:ascii="Times New Roman" w:hAnsi="Times New Roman" w:cs="Times New Roman"/>
          <w:bCs/>
          <w:color w:val="000000" w:themeColor="text1"/>
          <w:sz w:val="24"/>
          <w:szCs w:val="24"/>
        </w:rPr>
        <w:t>payment preference among users in Muscat, Oman. As digital payment systems become increasingly integrated into daily financial activities, understanding the factors that influence user preference has become important for financial institutions, policymaker</w:t>
      </w:r>
      <w:r>
        <w:rPr>
          <w:rFonts w:ascii="Times New Roman" w:hAnsi="Times New Roman" w:cs="Times New Roman"/>
          <w:bCs/>
          <w:color w:val="000000" w:themeColor="text1"/>
          <w:sz w:val="24"/>
          <w:szCs w:val="24"/>
        </w:rPr>
        <w:t>s, and payment service providers. The study adopted a quantitative research design and collected data from 128 digital payment users through a structured questionnaire. Perceived trust and perceived security were treated as independent variables, while pre</w:t>
      </w:r>
      <w:r>
        <w:rPr>
          <w:rFonts w:ascii="Times New Roman" w:hAnsi="Times New Roman" w:cs="Times New Roman"/>
          <w:bCs/>
          <w:color w:val="000000" w:themeColor="text1"/>
          <w:sz w:val="24"/>
          <w:szCs w:val="24"/>
        </w:rPr>
        <w:t>ferred digital payment method was treated as the dependent variable. Descriptive statistics and regression analysis were conducted using MS Excel and PSPP software. The findings revealed that neither perceived trust nor perceived security had a statistical</w:t>
      </w:r>
      <w:r>
        <w:rPr>
          <w:rFonts w:ascii="Times New Roman" w:hAnsi="Times New Roman" w:cs="Times New Roman"/>
          <w:bCs/>
          <w:color w:val="000000" w:themeColor="text1"/>
          <w:sz w:val="24"/>
          <w:szCs w:val="24"/>
        </w:rPr>
        <w:t>ly significant influence on users’ preferred digital payment method. Trust explained only 1.1% of the variation in payment preference, while security explained only 0.1%. These results suggest that trust and security may be viewed by respondents as basic e</w:t>
      </w:r>
      <w:r>
        <w:rPr>
          <w:rFonts w:ascii="Times New Roman" w:hAnsi="Times New Roman" w:cs="Times New Roman"/>
          <w:bCs/>
          <w:color w:val="000000" w:themeColor="text1"/>
          <w:sz w:val="24"/>
          <w:szCs w:val="24"/>
        </w:rPr>
        <w:t>xpectations rather than direct factors influencing payment preference. However, due to the small sample size, gender imbalance, and exploratory statistical approach, the findings should be interpreted with caution. The study recommends that future research</w:t>
      </w:r>
      <w:r>
        <w:rPr>
          <w:rFonts w:ascii="Times New Roman" w:hAnsi="Times New Roman" w:cs="Times New Roman"/>
          <w:bCs/>
          <w:color w:val="000000" w:themeColor="text1"/>
          <w:sz w:val="24"/>
          <w:szCs w:val="24"/>
        </w:rPr>
        <w:t xml:space="preserve"> should examine additional factors such as convenience, transaction speed, ease of use, promotional benefits, merchant acceptance, and service reliability to better understand digital payment preference in Oman.</w:t>
      </w:r>
    </w:p>
    <w:p w:rsidR="00012B7C" w:rsidRDefault="00602F41">
      <w:pPr>
        <w:spacing w:line="360"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 xml:space="preserve">Keywords: digital payment, trust, security, </w:t>
      </w:r>
      <w:r>
        <w:rPr>
          <w:rFonts w:ascii="Times New Roman" w:hAnsi="Times New Roman" w:cs="Times New Roman"/>
          <w:b/>
          <w:i/>
          <w:iCs/>
          <w:color w:val="000000" w:themeColor="text1"/>
          <w:sz w:val="24"/>
          <w:szCs w:val="24"/>
        </w:rPr>
        <w:t>payment preference.</w:t>
      </w:r>
    </w:p>
    <w:p w:rsidR="00012B7C" w:rsidRDefault="00012B7C">
      <w:pPr>
        <w:spacing w:line="360" w:lineRule="auto"/>
        <w:rPr>
          <w:rFonts w:ascii="Times New Roman" w:hAnsi="Times New Roman" w:cs="Times New Roman"/>
          <w:b/>
          <w:bCs/>
          <w:color w:val="000000" w:themeColor="text1"/>
          <w:sz w:val="24"/>
          <w:szCs w:val="24"/>
        </w:rPr>
      </w:pPr>
    </w:p>
    <w:p w:rsidR="00012B7C" w:rsidRDefault="00012B7C">
      <w:pPr>
        <w:spacing w:line="360" w:lineRule="auto"/>
        <w:rPr>
          <w:rFonts w:ascii="Times New Roman" w:hAnsi="Times New Roman" w:cs="Times New Roman"/>
          <w:b/>
          <w:bCs/>
          <w:color w:val="000000" w:themeColor="text1"/>
          <w:sz w:val="24"/>
          <w:szCs w:val="24"/>
        </w:rPr>
      </w:pPr>
    </w:p>
    <w:p w:rsidR="00012B7C" w:rsidRDefault="00012B7C">
      <w:pPr>
        <w:spacing w:line="360" w:lineRule="auto"/>
        <w:rPr>
          <w:rFonts w:ascii="Times New Roman" w:hAnsi="Times New Roman" w:cs="Times New Roman"/>
          <w:b/>
          <w:bCs/>
          <w:color w:val="000000" w:themeColor="text1"/>
          <w:sz w:val="24"/>
          <w:szCs w:val="24"/>
        </w:rPr>
      </w:pPr>
    </w:p>
    <w:p w:rsidR="00012B7C" w:rsidRDefault="00602F41">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 Introduction</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Digital payment systems have become an essential component of modern financial activity, enabling users to conduct transactions through debit cards, credit cards, mobile wallets, internet banking, and contactless </w:t>
      </w:r>
      <w:r>
        <w:rPr>
          <w:rFonts w:ascii="Times New Roman" w:hAnsi="Times New Roman" w:cs="Times New Roman"/>
          <w:color w:val="000000" w:themeColor="text1"/>
          <w:sz w:val="24"/>
          <w:szCs w:val="24"/>
        </w:rPr>
        <w:t xml:space="preserve">payment platforms. The rapid growth of financial technology (FinTech) </w:t>
      </w:r>
      <w:r>
        <w:rPr>
          <w:rFonts w:ascii="Times New Roman" w:hAnsi="Times New Roman" w:cs="Times New Roman"/>
          <w:color w:val="000000" w:themeColor="text1"/>
          <w:sz w:val="24"/>
          <w:szCs w:val="24"/>
        </w:rPr>
        <w:lastRenderedPageBreak/>
        <w:t>has significantly transformed how individuals and businesses manage financial transactions worldwide. According to World Bank, the increasing use of digital payments is closely linked to</w:t>
      </w:r>
      <w:r>
        <w:rPr>
          <w:rFonts w:ascii="Times New Roman" w:hAnsi="Times New Roman" w:cs="Times New Roman"/>
          <w:color w:val="000000" w:themeColor="text1"/>
          <w:sz w:val="24"/>
          <w:szCs w:val="24"/>
        </w:rPr>
        <w:t xml:space="preserve"> financial inclusion, as more individuals rely on digital accounts for payments, savings, and financial management (Demirgüç-Kunt et al., 2022). This global shift highlights the importance of digital financial systems in promoting efficiency, accessibility</w:t>
      </w:r>
      <w:r>
        <w:rPr>
          <w:rFonts w:ascii="Times New Roman" w:hAnsi="Times New Roman" w:cs="Times New Roman"/>
          <w:color w:val="000000" w:themeColor="text1"/>
          <w:sz w:val="24"/>
          <w:szCs w:val="24"/>
        </w:rPr>
        <w:t>, and economic participation.</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context of Oman, digital payment adoption is strongly aligned with national development strategies focused on digital transformation. Oman Vision 2040 emphasizes technological advancement, economic diversification, and </w:t>
      </w:r>
      <w:r>
        <w:rPr>
          <w:rFonts w:ascii="Times New Roman" w:hAnsi="Times New Roman" w:cs="Times New Roman"/>
          <w:color w:val="000000" w:themeColor="text1"/>
          <w:sz w:val="24"/>
          <w:szCs w:val="24"/>
        </w:rPr>
        <w:t>the development of a knowledge-based economy as key national priorities (Oman Vision 2040, n.d.). Similarly, the Government Digital Transformation Program 2021–2025 aims to establish a digitally integrated government and promote the use of advanced technol</w:t>
      </w:r>
      <w:r>
        <w:rPr>
          <w:rFonts w:ascii="Times New Roman" w:hAnsi="Times New Roman" w:cs="Times New Roman"/>
          <w:color w:val="000000" w:themeColor="text1"/>
          <w:sz w:val="24"/>
          <w:szCs w:val="24"/>
        </w:rPr>
        <w:t>ogies across sectors (Government of Oman, n.d.). These initiatives have created a supportive environment for digital financial services, further strengthened by the regulatory role of the Central Bank of Oman, which oversees the development and security of</w:t>
      </w:r>
      <w:r>
        <w:rPr>
          <w:rFonts w:ascii="Times New Roman" w:hAnsi="Times New Roman" w:cs="Times New Roman"/>
          <w:color w:val="000000" w:themeColor="text1"/>
          <w:sz w:val="24"/>
          <w:szCs w:val="24"/>
        </w:rPr>
        <w:t xml:space="preserve"> national payment systems (Central Bank of Oman, 2024).</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Despite these advancements, several issues continue to influence consumer behavior in digital payment usage. One of the primary concerns is the perceived risk associated with digital transactions, inc</w:t>
      </w:r>
      <w:r>
        <w:rPr>
          <w:rFonts w:ascii="Times New Roman" w:hAnsi="Times New Roman" w:cs="Times New Roman"/>
          <w:color w:val="000000" w:themeColor="text1"/>
          <w:sz w:val="24"/>
          <w:szCs w:val="24"/>
        </w:rPr>
        <w:t>luding fraud, data breaches, identity theft, and unauthorized access to financial information. Although modern digital payment systems incorporate advanced security features such as encryption, biometric authentication, and multi-factor verification, users</w:t>
      </w:r>
      <w:r>
        <w:rPr>
          <w:rFonts w:ascii="Times New Roman" w:hAnsi="Times New Roman" w:cs="Times New Roman"/>
          <w:color w:val="000000" w:themeColor="text1"/>
          <w:sz w:val="24"/>
          <w:szCs w:val="24"/>
        </w:rPr>
        <w:t xml:space="preserve"> may still perceive digital transactions as risky. Research has shown that perceived risk can negatively affect users’ willingness to adopt digital payment technologies, particularly when users lack sufficient knowledge or experience with these systems (Al</w:t>
      </w:r>
      <w:r>
        <w:rPr>
          <w:rFonts w:ascii="Times New Roman" w:hAnsi="Times New Roman" w:cs="Times New Roman"/>
          <w:color w:val="000000" w:themeColor="text1"/>
          <w:sz w:val="24"/>
          <w:szCs w:val="24"/>
        </w:rPr>
        <w:t>maiah et al., 2022).</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addition to security concerns, trust plays a critical role in digital payment environments. Trust refers to the user’s confidence in the reliability, integrity, and competence of payment service providers. Since digital transactions</w:t>
      </w:r>
      <w:r>
        <w:rPr>
          <w:rFonts w:ascii="Times New Roman" w:hAnsi="Times New Roman" w:cs="Times New Roman"/>
          <w:color w:val="000000" w:themeColor="text1"/>
          <w:sz w:val="24"/>
          <w:szCs w:val="24"/>
        </w:rPr>
        <w:t xml:space="preserve"> involve the exchange of sensitive financial information, users must rely on service providers, financial institutions, and digital infrastructures to ensure transaction safety. Previous studies have consistently identified trust as a key determinant of di</w:t>
      </w:r>
      <w:r>
        <w:rPr>
          <w:rFonts w:ascii="Times New Roman" w:hAnsi="Times New Roman" w:cs="Times New Roman"/>
          <w:color w:val="000000" w:themeColor="text1"/>
          <w:sz w:val="24"/>
          <w:szCs w:val="24"/>
        </w:rPr>
        <w:t xml:space="preserve">gital payment adoption and usage, particularly in mobile payment and e-wallet systems (Ghouse et al., 2024). In the Omani context, trust is also influenced by the regulatory </w:t>
      </w:r>
      <w:r>
        <w:rPr>
          <w:rFonts w:ascii="Times New Roman" w:hAnsi="Times New Roman" w:cs="Times New Roman"/>
          <w:color w:val="000000" w:themeColor="text1"/>
          <w:sz w:val="24"/>
          <w:szCs w:val="24"/>
        </w:rPr>
        <w:lastRenderedPageBreak/>
        <w:t>environment and the reputation of financial institutions, which can enhance user c</w:t>
      </w:r>
      <w:r>
        <w:rPr>
          <w:rFonts w:ascii="Times New Roman" w:hAnsi="Times New Roman" w:cs="Times New Roman"/>
          <w:color w:val="000000" w:themeColor="text1"/>
          <w:sz w:val="24"/>
          <w:szCs w:val="24"/>
        </w:rPr>
        <w:t>onfidence in digital payment platforms.</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However, as digital payment systems become more widespread and regulated, user expectations may evolve. Trust and security may no longer function as strong differentiating factors if users assume that all major payme</w:t>
      </w:r>
      <w:r>
        <w:rPr>
          <w:rFonts w:ascii="Times New Roman" w:hAnsi="Times New Roman" w:cs="Times New Roman"/>
          <w:color w:val="000000" w:themeColor="text1"/>
          <w:sz w:val="24"/>
          <w:szCs w:val="24"/>
        </w:rPr>
        <w:t>nt platforms meet minimum safety standards. In such cases, these factors become baseline requirements rather than key drivers of preference. Consequently, users may begin to prioritize other aspects such as convenience, transaction speed, ease of use, prom</w:t>
      </w:r>
      <w:r>
        <w:rPr>
          <w:rFonts w:ascii="Times New Roman" w:hAnsi="Times New Roman" w:cs="Times New Roman"/>
          <w:color w:val="000000" w:themeColor="text1"/>
          <w:sz w:val="24"/>
          <w:szCs w:val="24"/>
        </w:rPr>
        <w:t>otional benefits, and service efficiency when choosing between different payment methods. This shift in consumer behavior creates an important research issue, particularly in emerging digital economies like Oman, where digital payment adoption is increasin</w:t>
      </w:r>
      <w:r>
        <w:rPr>
          <w:rFonts w:ascii="Times New Roman" w:hAnsi="Times New Roman" w:cs="Times New Roman"/>
          <w:color w:val="000000" w:themeColor="text1"/>
          <w:sz w:val="24"/>
          <w:szCs w:val="24"/>
        </w:rPr>
        <w:t>g but user decision-making patterns are still developing.</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importance of this study lies in its focus on understanding whether trust and security continue to influence digital payment preference among users in Muscat, Oman. While previous research has e</w:t>
      </w:r>
      <w:r>
        <w:rPr>
          <w:rFonts w:ascii="Times New Roman" w:hAnsi="Times New Roman" w:cs="Times New Roman"/>
          <w:color w:val="000000" w:themeColor="text1"/>
          <w:sz w:val="24"/>
          <w:szCs w:val="24"/>
        </w:rPr>
        <w:t xml:space="preserve">stablished the importance of these factors in adoption decisions, there is limited empirical evidence examining their role in determining payment preference among existing users. This distinction is important because users who have already adopted digital </w:t>
      </w:r>
      <w:r>
        <w:rPr>
          <w:rFonts w:ascii="Times New Roman" w:hAnsi="Times New Roman" w:cs="Times New Roman"/>
          <w:color w:val="000000" w:themeColor="text1"/>
          <w:sz w:val="24"/>
          <w:szCs w:val="24"/>
        </w:rPr>
        <w:t>payment systems may evaluate platforms differently compared to non-users. Therefore, examining the relevance of trust and security in this context can provide valuable insights for policymakers, financial institutions, and digital payment providers.</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Furthe</w:t>
      </w:r>
      <w:r>
        <w:rPr>
          <w:rFonts w:ascii="Times New Roman" w:hAnsi="Times New Roman" w:cs="Times New Roman"/>
          <w:color w:val="000000" w:themeColor="text1"/>
          <w:sz w:val="24"/>
          <w:szCs w:val="24"/>
        </w:rPr>
        <w:t xml:space="preserve">rmore, this study contributes to the existing body of knowledge by exploring the changing role of traditional determinants in a modern digital payment environment. If trust and security are found to have limited influence on user preference, it suggests a </w:t>
      </w:r>
      <w:r>
        <w:rPr>
          <w:rFonts w:ascii="Times New Roman" w:hAnsi="Times New Roman" w:cs="Times New Roman"/>
          <w:color w:val="000000" w:themeColor="text1"/>
          <w:sz w:val="24"/>
          <w:szCs w:val="24"/>
        </w:rPr>
        <w:t>shift in consumer priorities, which has important implications for service providers. In such a scenario, digital payment providers may need to focus more on enhancing user experience, improving service efficiency, offering incentives, and increasing acces</w:t>
      </w:r>
      <w:r>
        <w:rPr>
          <w:rFonts w:ascii="Times New Roman" w:hAnsi="Times New Roman" w:cs="Times New Roman"/>
          <w:color w:val="000000" w:themeColor="text1"/>
          <w:sz w:val="24"/>
          <w:szCs w:val="24"/>
        </w:rPr>
        <w:t>sibility to remain competitive in the evolving market.</w:t>
      </w:r>
    </w:p>
    <w:p w:rsidR="00012B7C" w:rsidRDefault="00012B7C">
      <w:pPr>
        <w:spacing w:line="360" w:lineRule="auto"/>
        <w:jc w:val="both"/>
        <w:rPr>
          <w:rFonts w:ascii="Times New Roman" w:hAnsi="Times New Roman" w:cs="Times New Roman"/>
          <w:color w:val="000000" w:themeColor="text1"/>
          <w:sz w:val="24"/>
          <w:szCs w:val="24"/>
        </w:rPr>
      </w:pPr>
    </w:p>
    <w:p w:rsidR="00012B7C" w:rsidRDefault="00012B7C">
      <w:pPr>
        <w:spacing w:line="360" w:lineRule="auto"/>
        <w:jc w:val="both"/>
        <w:rPr>
          <w:rFonts w:ascii="Times New Roman" w:hAnsi="Times New Roman" w:cs="Times New Roman"/>
          <w:color w:val="000000" w:themeColor="text1"/>
          <w:sz w:val="24"/>
          <w:szCs w:val="24"/>
        </w:rPr>
      </w:pP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Therefore, this study aims to analyze the influence of perceived trust and perceived security on digital payment preference among users in Muscat, Oman, and to determine whether these </w:t>
      </w:r>
      <w:r>
        <w:rPr>
          <w:rFonts w:ascii="Times New Roman" w:hAnsi="Times New Roman" w:cs="Times New Roman"/>
          <w:color w:val="000000" w:themeColor="text1"/>
          <w:sz w:val="24"/>
          <w:szCs w:val="24"/>
        </w:rPr>
        <w:lastRenderedPageBreak/>
        <w:t>traditionally i</w:t>
      </w:r>
      <w:r>
        <w:rPr>
          <w:rFonts w:ascii="Times New Roman" w:hAnsi="Times New Roman" w:cs="Times New Roman"/>
          <w:color w:val="000000" w:themeColor="text1"/>
          <w:sz w:val="24"/>
          <w:szCs w:val="24"/>
        </w:rPr>
        <w:t>mportant factors still play a significant role in shaping user decisions in the current digital payment landscape.</w:t>
      </w:r>
    </w:p>
    <w:p w:rsidR="00012B7C" w:rsidRDefault="00602F41">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 Literature Review</w:t>
      </w:r>
    </w:p>
    <w:p w:rsidR="00012B7C" w:rsidRDefault="00602F4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 Digital Payment Adoption: Concepts and Theoretical Foundations</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Digital payment adoption refers to the acceptance and</w:t>
      </w:r>
      <w:r>
        <w:rPr>
          <w:rFonts w:ascii="Times New Roman" w:hAnsi="Times New Roman" w:cs="Times New Roman"/>
          <w:color w:val="000000" w:themeColor="text1"/>
          <w:sz w:val="24"/>
          <w:szCs w:val="24"/>
        </w:rPr>
        <w:t xml:space="preserve"> use of electronic platforms for financial transactions, including mobile wallets, debit/credit cards, online banking, and contactless systems. The expansion of digital payments is closely linked to financial inclusion, efficiency, and economic participati</w:t>
      </w:r>
      <w:r>
        <w:rPr>
          <w:rFonts w:ascii="Times New Roman" w:hAnsi="Times New Roman" w:cs="Times New Roman"/>
          <w:color w:val="000000" w:themeColor="text1"/>
          <w:sz w:val="24"/>
          <w:szCs w:val="24"/>
        </w:rPr>
        <w:t>on, as users increasingly rely on digital accounts for everyday transactions (Demirgüç-Kunt et al., 2022). The adoption of digital payment systems has been widely explained through established theoretical models such as the Technology Acceptance Model (TAM</w:t>
      </w:r>
      <w:r>
        <w:rPr>
          <w:rFonts w:ascii="Times New Roman" w:hAnsi="Times New Roman" w:cs="Times New Roman"/>
          <w:color w:val="000000" w:themeColor="text1"/>
          <w:sz w:val="24"/>
          <w:szCs w:val="24"/>
        </w:rPr>
        <w:t>) and the Unified Theory of Acceptance and Use of Technology (UTAUT). TAM suggests that perceived usefulness and perceived ease of use are primary determinants of technology adoption (Davis, 1989), while UTAUT expands this by incorporating social influence</w:t>
      </w:r>
      <w:r>
        <w:rPr>
          <w:rFonts w:ascii="Times New Roman" w:hAnsi="Times New Roman" w:cs="Times New Roman"/>
          <w:color w:val="000000" w:themeColor="text1"/>
          <w:sz w:val="24"/>
          <w:szCs w:val="24"/>
        </w:rPr>
        <w:t xml:space="preserve"> and facilitating conditions (Venkatesh et al., 2003). Later extensions such as UTAUT2 emphasize hedonic motivation, price value, and habit as additional determinants (Venkatesh et al., 2012).</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Recent studies argue that digital payment adoption is a multidi</w:t>
      </w:r>
      <w:r>
        <w:rPr>
          <w:rFonts w:ascii="Times New Roman" w:hAnsi="Times New Roman" w:cs="Times New Roman"/>
          <w:color w:val="000000" w:themeColor="text1"/>
          <w:sz w:val="24"/>
          <w:szCs w:val="24"/>
        </w:rPr>
        <w:t>mensional process involving technical, behavioral, and institutional factors (Jafri et al., 2023). For example, Liébana-Cabanillas et al. (2020) found that performance expectancy, effort expectancy, and perceived risk significantly influence mobile payment</w:t>
      </w:r>
      <w:r>
        <w:rPr>
          <w:rFonts w:ascii="Times New Roman" w:hAnsi="Times New Roman" w:cs="Times New Roman"/>
          <w:color w:val="000000" w:themeColor="text1"/>
          <w:sz w:val="24"/>
          <w:szCs w:val="24"/>
        </w:rPr>
        <w:t xml:space="preserve"> adoption across countries. Similarly, Oliveira et al. (2016) highlighted that compatibility, innovativeness, and trust jointly affect adoption behavior. However, while these models explain adoption intention, they do not always explain preference among ex</w:t>
      </w:r>
      <w:r>
        <w:rPr>
          <w:rFonts w:ascii="Times New Roman" w:hAnsi="Times New Roman" w:cs="Times New Roman"/>
          <w:color w:val="000000" w:themeColor="text1"/>
          <w:sz w:val="24"/>
          <w:szCs w:val="24"/>
        </w:rPr>
        <w:t>isting users, which is the focus of the present study. This distinction is important because users who have already adopted digital payments may rely on different criteria when choosing between platforms.</w:t>
      </w:r>
    </w:p>
    <w:p w:rsidR="00012B7C" w:rsidRDefault="00012B7C">
      <w:pPr>
        <w:spacing w:line="360" w:lineRule="auto"/>
        <w:jc w:val="both"/>
        <w:rPr>
          <w:rFonts w:ascii="Times New Roman" w:hAnsi="Times New Roman" w:cs="Times New Roman"/>
          <w:b/>
          <w:bCs/>
          <w:color w:val="000000" w:themeColor="text1"/>
          <w:sz w:val="24"/>
          <w:szCs w:val="24"/>
        </w:rPr>
      </w:pPr>
    </w:p>
    <w:p w:rsidR="00012B7C" w:rsidRDefault="00602F4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 Trust as a Determinant of Digital Payment Beha</w:t>
      </w:r>
      <w:r>
        <w:rPr>
          <w:rFonts w:ascii="Times New Roman" w:hAnsi="Times New Roman" w:cs="Times New Roman"/>
          <w:b/>
          <w:bCs/>
          <w:color w:val="000000" w:themeColor="text1"/>
          <w:sz w:val="24"/>
          <w:szCs w:val="24"/>
        </w:rPr>
        <w:t>vior</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Trust is widely recognized as a central factor in digital financial services due to the intangible nature of online transactions. In digital payment environments, trust refers to the belief that a service provider is reliable, secure, and capable of f</w:t>
      </w:r>
      <w:r>
        <w:rPr>
          <w:rFonts w:ascii="Times New Roman" w:hAnsi="Times New Roman" w:cs="Times New Roman"/>
          <w:color w:val="000000" w:themeColor="text1"/>
          <w:sz w:val="24"/>
          <w:szCs w:val="24"/>
        </w:rPr>
        <w:t>ulfilling its obligations without opportunistic behavior (Gefen et al., 2003). Several empirical studies have established a positive relationship between trust and digital payment adoption. For instance, Kim et al. (2010) found that trust significantly red</w:t>
      </w:r>
      <w:r>
        <w:rPr>
          <w:rFonts w:ascii="Times New Roman" w:hAnsi="Times New Roman" w:cs="Times New Roman"/>
          <w:color w:val="000000" w:themeColor="text1"/>
          <w:sz w:val="24"/>
          <w:szCs w:val="24"/>
        </w:rPr>
        <w:t>uces perceived risk and increases users’ willingness to adopt mobile payment systems. Similarly, Zhou (2011) demonstrated that initial trust plays a critical role in mobile banking adoption, particularly in early-stage usage.</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developing and emerging </w:t>
      </w:r>
      <w:r>
        <w:rPr>
          <w:rFonts w:ascii="Times New Roman" w:hAnsi="Times New Roman" w:cs="Times New Roman"/>
          <w:color w:val="000000" w:themeColor="text1"/>
          <w:sz w:val="24"/>
          <w:szCs w:val="24"/>
        </w:rPr>
        <w:t>markets, trust becomes even more critical due to lower familiarity with digital systems. Slade et al. (2015) found that trust and perceived risk strongly influence consumer intention to adopt mobile payments in the UK. Likewise, Barkhordari et al. (2021) s</w:t>
      </w:r>
      <w:r>
        <w:rPr>
          <w:rFonts w:ascii="Times New Roman" w:hAnsi="Times New Roman" w:cs="Times New Roman"/>
          <w:color w:val="000000" w:themeColor="text1"/>
          <w:sz w:val="24"/>
          <w:szCs w:val="24"/>
        </w:rPr>
        <w:t>howed that trust significantly affects users’ willingness to use e-payment systems in developing economies. In the Gulf region, trust remains an important factor in shaping digital payment behavior. Ghouse et al. (2024) found that trust influences mobile w</w:t>
      </w:r>
      <w:r>
        <w:rPr>
          <w:rFonts w:ascii="Times New Roman" w:hAnsi="Times New Roman" w:cs="Times New Roman"/>
          <w:color w:val="000000" w:themeColor="text1"/>
          <w:sz w:val="24"/>
          <w:szCs w:val="24"/>
        </w:rPr>
        <w:t>allet adoption among Omani millennials, particularly when combined with perceived security and social influence. Similarly, Almaiah et al. (2022) confirmed that trust is a significant predictor of mobile payment acceptance in Middle Eastern contexts.</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Despi</w:t>
      </w:r>
      <w:r>
        <w:rPr>
          <w:rFonts w:ascii="Times New Roman" w:hAnsi="Times New Roman" w:cs="Times New Roman"/>
          <w:color w:val="000000" w:themeColor="text1"/>
          <w:sz w:val="24"/>
          <w:szCs w:val="24"/>
        </w:rPr>
        <w:t>te this strong empirical support, some studies suggest that the role of trust may decline over time. As digital payment systems become more regulated and standardized, users may develop institution-based trust, where confidence is placed in the overall sys</w:t>
      </w:r>
      <w:r>
        <w:rPr>
          <w:rFonts w:ascii="Times New Roman" w:hAnsi="Times New Roman" w:cs="Times New Roman"/>
          <w:color w:val="000000" w:themeColor="text1"/>
          <w:sz w:val="24"/>
          <w:szCs w:val="24"/>
        </w:rPr>
        <w:t>tem rather than individual providers (McKnight et al., 2002). In such environments, trust may become a hygiene factor—necessary but not sufficient to influence preference (Kim et al., 2009). This perspective provides a possible explanation for the findings</w:t>
      </w:r>
      <w:r>
        <w:rPr>
          <w:rFonts w:ascii="Times New Roman" w:hAnsi="Times New Roman" w:cs="Times New Roman"/>
          <w:color w:val="000000" w:themeColor="text1"/>
          <w:sz w:val="24"/>
          <w:szCs w:val="24"/>
        </w:rPr>
        <w:t xml:space="preserve"> of the present study, where trust did not significantly influence payment preference. It suggests that users may already assume a baseline level of trust across payment platforms.</w:t>
      </w:r>
    </w:p>
    <w:p w:rsidR="00012B7C" w:rsidRDefault="00012B7C">
      <w:pPr>
        <w:spacing w:line="360" w:lineRule="auto"/>
        <w:jc w:val="both"/>
        <w:rPr>
          <w:rFonts w:ascii="Times New Roman" w:hAnsi="Times New Roman" w:cs="Times New Roman"/>
          <w:b/>
          <w:bCs/>
          <w:color w:val="000000" w:themeColor="text1"/>
          <w:sz w:val="24"/>
          <w:szCs w:val="24"/>
        </w:rPr>
      </w:pPr>
    </w:p>
    <w:p w:rsidR="00012B7C" w:rsidRDefault="00012B7C">
      <w:pPr>
        <w:spacing w:line="360" w:lineRule="auto"/>
        <w:jc w:val="both"/>
        <w:rPr>
          <w:rFonts w:ascii="Times New Roman" w:hAnsi="Times New Roman" w:cs="Times New Roman"/>
          <w:b/>
          <w:bCs/>
          <w:color w:val="000000" w:themeColor="text1"/>
          <w:sz w:val="24"/>
          <w:szCs w:val="24"/>
        </w:rPr>
      </w:pPr>
    </w:p>
    <w:p w:rsidR="00012B7C" w:rsidRDefault="00012B7C">
      <w:pPr>
        <w:spacing w:line="360" w:lineRule="auto"/>
        <w:jc w:val="both"/>
        <w:rPr>
          <w:rFonts w:ascii="Times New Roman" w:hAnsi="Times New Roman" w:cs="Times New Roman"/>
          <w:b/>
          <w:bCs/>
          <w:color w:val="000000" w:themeColor="text1"/>
          <w:sz w:val="24"/>
          <w:szCs w:val="24"/>
        </w:rPr>
      </w:pPr>
    </w:p>
    <w:p w:rsidR="00012B7C" w:rsidRDefault="00602F4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2.3 Security and Perceived Risk in Digital Payments</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Security is closely </w:t>
      </w:r>
      <w:r>
        <w:rPr>
          <w:rFonts w:ascii="Times New Roman" w:hAnsi="Times New Roman" w:cs="Times New Roman"/>
          <w:color w:val="000000" w:themeColor="text1"/>
          <w:sz w:val="24"/>
          <w:szCs w:val="24"/>
        </w:rPr>
        <w:t xml:space="preserve">related to perceived risk and is considered a fundamental requirement in digital payment systems. Perceived security refers to the extent to which users believe that a system can protect their financial and personal information from threats such as fraud, </w:t>
      </w:r>
      <w:r>
        <w:rPr>
          <w:rFonts w:ascii="Times New Roman" w:hAnsi="Times New Roman" w:cs="Times New Roman"/>
          <w:color w:val="000000" w:themeColor="text1"/>
          <w:sz w:val="24"/>
          <w:szCs w:val="24"/>
        </w:rPr>
        <w:t>hacking, and identity theft (Flavián &amp; Guinalíu, 2006). Numerous studies have found that perceived security significantly influences digital payment adoption. For example, Featherman and Pavlou (2003) demonstrated that perceived risk negatively affects tec</w:t>
      </w:r>
      <w:r>
        <w:rPr>
          <w:rFonts w:ascii="Times New Roman" w:hAnsi="Times New Roman" w:cs="Times New Roman"/>
          <w:color w:val="000000" w:themeColor="text1"/>
          <w:sz w:val="24"/>
          <w:szCs w:val="24"/>
        </w:rPr>
        <w:t>hnology adoption, while enhanced security reduces user resistance. Similarly, Shin (2009) found that perceived security directly influences trust and adoption of mobile payment systems.</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in mobile payment contexts further confirms this relationship</w:t>
      </w:r>
      <w:r>
        <w:rPr>
          <w:rFonts w:ascii="Times New Roman" w:hAnsi="Times New Roman" w:cs="Times New Roman"/>
          <w:color w:val="000000" w:themeColor="text1"/>
          <w:sz w:val="24"/>
          <w:szCs w:val="24"/>
        </w:rPr>
        <w:t>. Oliveira et al. (2016) identified perceived risk and security as critical determinants of adoption intention. Liébana-Cabanillas et al. (2017) also reported that security concerns significantly affect users’ willingness to adopt mobile payment technologi</w:t>
      </w:r>
      <w:r>
        <w:rPr>
          <w:rFonts w:ascii="Times New Roman" w:hAnsi="Times New Roman" w:cs="Times New Roman"/>
          <w:color w:val="000000" w:themeColor="text1"/>
          <w:sz w:val="24"/>
          <w:szCs w:val="24"/>
        </w:rPr>
        <w:t>es. In the Middle East, Almaiah et al. (2022) found that perceived security is a key factor influencing mobile payment adoption. In Oman specifically, increasing awareness of digital fraud has led users to adopt precautionary measures, indicating that secu</w:t>
      </w:r>
      <w:r>
        <w:rPr>
          <w:rFonts w:ascii="Times New Roman" w:hAnsi="Times New Roman" w:cs="Times New Roman"/>
          <w:color w:val="000000" w:themeColor="text1"/>
          <w:sz w:val="24"/>
          <w:szCs w:val="24"/>
        </w:rPr>
        <w:t>rity remains a relevant concern in digital financial transactions (Visa, 2025).</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However, similar to trust, the role of security may evolve as digital payment systems mature. When users perceive that all major platforms meet minimum security standards, secu</w:t>
      </w:r>
      <w:r>
        <w:rPr>
          <w:rFonts w:ascii="Times New Roman" w:hAnsi="Times New Roman" w:cs="Times New Roman"/>
          <w:color w:val="000000" w:themeColor="text1"/>
          <w:sz w:val="24"/>
          <w:szCs w:val="24"/>
        </w:rPr>
        <w:t xml:space="preserve">rity may no longer act as a differentiating factor. Instead, it becomes an expected feature, and users may base their preferences on other attributes such as convenience and usability (Kim et al., 2010). This aligns with the findings of the present study, </w:t>
      </w:r>
      <w:r>
        <w:rPr>
          <w:rFonts w:ascii="Times New Roman" w:hAnsi="Times New Roman" w:cs="Times New Roman"/>
          <w:color w:val="000000" w:themeColor="text1"/>
          <w:sz w:val="24"/>
          <w:szCs w:val="24"/>
        </w:rPr>
        <w:t>where security did not significantly influence payment preference among respondents.</w:t>
      </w:r>
    </w:p>
    <w:p w:rsidR="00012B7C" w:rsidRDefault="00602F4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2.4 Digital Payment Ecosystem in Oman</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development of digital payment systems in Oman is closely linked to national digital transformation initiatives. Oman Vision 2040</w:t>
      </w:r>
      <w:r>
        <w:rPr>
          <w:rFonts w:ascii="Times New Roman" w:hAnsi="Times New Roman" w:cs="Times New Roman"/>
          <w:color w:val="000000" w:themeColor="text1"/>
          <w:sz w:val="24"/>
          <w:szCs w:val="24"/>
        </w:rPr>
        <w:t xml:space="preserve"> emphasizes the role of digital technologies in economic diversification and modernization (Oman Vision 2040, n.d.). The Government Digital Transformation Program 2021–2025 further promotes the adoption of digital services across sectors (Government of Oma</w:t>
      </w:r>
      <w:r>
        <w:rPr>
          <w:rFonts w:ascii="Times New Roman" w:hAnsi="Times New Roman" w:cs="Times New Roman"/>
          <w:color w:val="000000" w:themeColor="text1"/>
          <w:sz w:val="24"/>
          <w:szCs w:val="24"/>
        </w:rPr>
        <w:t xml:space="preserve">n, n.d.). The Central Bank of Oman plays a critical role in regulating and developing payment systems, ensuring transaction security and financial stability </w:t>
      </w:r>
      <w:r>
        <w:rPr>
          <w:rFonts w:ascii="Times New Roman" w:hAnsi="Times New Roman" w:cs="Times New Roman"/>
          <w:color w:val="000000" w:themeColor="text1"/>
          <w:sz w:val="24"/>
          <w:szCs w:val="24"/>
        </w:rPr>
        <w:lastRenderedPageBreak/>
        <w:t>(Central Bank of Oman, 2024). These institutional frameworks contribute to a high level of system-l</w:t>
      </w:r>
      <w:r>
        <w:rPr>
          <w:rFonts w:ascii="Times New Roman" w:hAnsi="Times New Roman" w:cs="Times New Roman"/>
          <w:color w:val="000000" w:themeColor="text1"/>
          <w:sz w:val="24"/>
          <w:szCs w:val="24"/>
        </w:rPr>
        <w:t>evel trust, which may reduce the importance of individual-level trust in decision-making. Additionally, increased smartphone penetration, internet access, and fintech innovation have accelerated digital payment adoption in Oman. However, empirical research</w:t>
      </w:r>
      <w:r>
        <w:rPr>
          <w:rFonts w:ascii="Times New Roman" w:hAnsi="Times New Roman" w:cs="Times New Roman"/>
          <w:color w:val="000000" w:themeColor="text1"/>
          <w:sz w:val="24"/>
          <w:szCs w:val="24"/>
        </w:rPr>
        <w:t xml:space="preserve"> on consumer preference behavior in Oman remains limited, particularly in relation to trust and security.</w:t>
      </w:r>
    </w:p>
    <w:p w:rsidR="00012B7C" w:rsidRDefault="00602F4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2.5 Critical Synthesis and Research Gap</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existing literature consistently identifies trust and perceived security as key determinants of digital pa</w:t>
      </w:r>
      <w:r>
        <w:rPr>
          <w:rFonts w:ascii="Times New Roman" w:hAnsi="Times New Roman" w:cs="Times New Roman"/>
          <w:color w:val="000000" w:themeColor="text1"/>
          <w:sz w:val="24"/>
          <w:szCs w:val="24"/>
        </w:rPr>
        <w:t>yment adoption. However, most studies focus on intention to adopt rather than preference among existing users. This creates a gap in understanding how users make choices between different payment methods after adoption. Furthermore, the literature suggests</w:t>
      </w:r>
      <w:r>
        <w:rPr>
          <w:rFonts w:ascii="Times New Roman" w:hAnsi="Times New Roman" w:cs="Times New Roman"/>
          <w:color w:val="000000" w:themeColor="text1"/>
          <w:sz w:val="24"/>
          <w:szCs w:val="24"/>
        </w:rPr>
        <w:t xml:space="preserve"> that the influence of trust and security may change over time. In mature digital ecosystems, these factors may become baseline expectations rather than differentiating variables. Despite this, empirical studies testing this shift—especially in the context</w:t>
      </w:r>
      <w:r>
        <w:rPr>
          <w:rFonts w:ascii="Times New Roman" w:hAnsi="Times New Roman" w:cs="Times New Roman"/>
          <w:color w:val="000000" w:themeColor="text1"/>
          <w:sz w:val="24"/>
          <w:szCs w:val="24"/>
        </w:rPr>
        <w:t xml:space="preserve"> of Oman—are limited. Therefore, this study addresses two key gaps: It examines digital payment preference, rather than general adoption intention. It tests whether trust and security remain significant predictors in a developing digital economy like Oman.</w:t>
      </w:r>
      <w:r>
        <w:rPr>
          <w:rFonts w:ascii="Times New Roman" w:hAnsi="Times New Roman" w:cs="Times New Roman"/>
          <w:color w:val="000000" w:themeColor="text1"/>
          <w:sz w:val="24"/>
          <w:szCs w:val="24"/>
        </w:rPr>
        <w:t xml:space="preserve"> The findings of this study, which show that trust and security are not statistically significant predictors, contribute to the evolving understanding of digital payment behavior by suggesting a potential shift in consumer priorities.</w:t>
      </w:r>
    </w:p>
    <w:p w:rsidR="00012B7C" w:rsidRDefault="00602F41">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 Methodology</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Pr>
          <w:rFonts w:ascii="Times New Roman" w:hAnsi="Times New Roman" w:cs="Times New Roman"/>
          <w:color w:val="000000" w:themeColor="text1"/>
          <w:sz w:val="24"/>
          <w:szCs w:val="24"/>
        </w:rPr>
        <w:t>study adopted a quantitative research design to examine whether perceived trust and perceived security influence digital payment preference among digital payment users in Muscat, Oman. A quantitative approach was considered appropriate because the study ai</w:t>
      </w:r>
      <w:r>
        <w:rPr>
          <w:rFonts w:ascii="Times New Roman" w:hAnsi="Times New Roman" w:cs="Times New Roman"/>
          <w:color w:val="000000" w:themeColor="text1"/>
          <w:sz w:val="24"/>
          <w:szCs w:val="24"/>
        </w:rPr>
        <w:t>med to test specific hypotheses and measure the statistical relationship between selected independent variables and users’ preferred digital payment method. The target population consisted of digital payment users living in Muscat. Respondents were require</w:t>
      </w:r>
      <w:r>
        <w:rPr>
          <w:rFonts w:ascii="Times New Roman" w:hAnsi="Times New Roman" w:cs="Times New Roman"/>
          <w:color w:val="000000" w:themeColor="text1"/>
          <w:sz w:val="24"/>
          <w:szCs w:val="24"/>
        </w:rPr>
        <w:t>d to have experience using at least one digital payment method, such as debit cards, credit cards, mobile wallets, internet banking, Apple Pay, Google Pay, or other contactless payment services. Primary data were collected through a structured questionnair</w:t>
      </w:r>
      <w:r>
        <w:rPr>
          <w:rFonts w:ascii="Times New Roman" w:hAnsi="Times New Roman" w:cs="Times New Roman"/>
          <w:color w:val="000000" w:themeColor="text1"/>
          <w:sz w:val="24"/>
          <w:szCs w:val="24"/>
        </w:rPr>
        <w:t>e, while secondary data were used to support the theoretical background and literature review.</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questionnaire consisted of three sections. Section A collected demographic information, including gender, age, education level, occupation, and monthly incom</w:t>
      </w:r>
      <w:r>
        <w:rPr>
          <w:rFonts w:ascii="Times New Roman" w:hAnsi="Times New Roman" w:cs="Times New Roman"/>
          <w:color w:val="000000" w:themeColor="text1"/>
          <w:sz w:val="24"/>
          <w:szCs w:val="24"/>
        </w:rPr>
        <w:t>e. Section B measured perceived trust using statements related to provider reliability, confidence, transparency, and protection of user interests. Section C measured perceived security using statements related to fraud protection, transaction safety, data</w:t>
      </w:r>
      <w:r>
        <w:rPr>
          <w:rFonts w:ascii="Times New Roman" w:hAnsi="Times New Roman" w:cs="Times New Roman"/>
          <w:color w:val="000000" w:themeColor="text1"/>
          <w:sz w:val="24"/>
          <w:szCs w:val="24"/>
        </w:rPr>
        <w:t xml:space="preserve"> privacy, and prevention of unauthorized access. The perception-based items were measured using a five-point Likert scale, where 1 = Strongly Disagree, 2 = Disagree, 3 = Neutral, 4 = Agree, and 5 = Strongly Agree. A combination of convenience and snowball </w:t>
      </w:r>
      <w:r>
        <w:rPr>
          <w:rFonts w:ascii="Times New Roman" w:hAnsi="Times New Roman" w:cs="Times New Roman"/>
          <w:color w:val="000000" w:themeColor="text1"/>
          <w:sz w:val="24"/>
          <w:szCs w:val="24"/>
        </w:rPr>
        <w:t xml:space="preserve">sampling techniques was used to collect responses. This approach was selected because of practical limitations in reaching a wider population of digital payment users. A total of 128 valid responses were collected and used for analysis. However, since the </w:t>
      </w:r>
      <w:r>
        <w:rPr>
          <w:rFonts w:ascii="Times New Roman" w:hAnsi="Times New Roman" w:cs="Times New Roman"/>
          <w:color w:val="000000" w:themeColor="text1"/>
          <w:sz w:val="24"/>
          <w:szCs w:val="24"/>
        </w:rPr>
        <w:t>sampling method was non-probability-based and the sample was not fully balanced in terms of gender and age, the findings should be interpreted as sample-based results rather than fully generalizable conclusions for all digital payment users in Oman.</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w:t>
      </w:r>
      <w:r>
        <w:rPr>
          <w:rFonts w:ascii="Times New Roman" w:hAnsi="Times New Roman" w:cs="Times New Roman"/>
          <w:color w:val="000000" w:themeColor="text1"/>
          <w:sz w:val="24"/>
          <w:szCs w:val="24"/>
        </w:rPr>
        <w:t xml:space="preserve">llected data were analyzed using MS Excel and PSPP software. Descriptive statistics were used to summarize the demographic characteristics of respondents and their digital payment awareness. Regression analysis was then applied to examine the relationship </w:t>
      </w:r>
      <w:r>
        <w:rPr>
          <w:rFonts w:ascii="Times New Roman" w:hAnsi="Times New Roman" w:cs="Times New Roman"/>
          <w:color w:val="000000" w:themeColor="text1"/>
          <w:sz w:val="24"/>
          <w:szCs w:val="24"/>
        </w:rPr>
        <w:t>between perceived trust, perceived security, and preferred digital payment method. The significance level was set at 0.05. A p-value below 0.05 was considered statistically significant, while a p-value above 0.05 was considered statistically insignificant.</w:t>
      </w:r>
      <w:r>
        <w:rPr>
          <w:rFonts w:ascii="Times New Roman" w:hAnsi="Times New Roman" w:cs="Times New Roman"/>
          <w:color w:val="000000" w:themeColor="text1"/>
          <w:sz w:val="24"/>
          <w:szCs w:val="24"/>
        </w:rPr>
        <w:t xml:space="preserve"> In this study, perceived trust and perceived security were treated as independent variables, while preferred digital payment method was treated as the dependent variable. However, because payment preference is categorical in nature, the use of simple line</w:t>
      </w:r>
      <w:r>
        <w:rPr>
          <w:rFonts w:ascii="Times New Roman" w:hAnsi="Times New Roman" w:cs="Times New Roman"/>
          <w:color w:val="000000" w:themeColor="text1"/>
          <w:sz w:val="24"/>
          <w:szCs w:val="24"/>
        </w:rPr>
        <w:t>ar regression should be treated as an exploratory statistical approach. For stronger future analysis, chi-square analysis may be used to examine associations between categorical variables, while multinomial logistic regression would be more suitable if the</w:t>
      </w:r>
      <w:r>
        <w:rPr>
          <w:rFonts w:ascii="Times New Roman" w:hAnsi="Times New Roman" w:cs="Times New Roman"/>
          <w:color w:val="000000" w:themeColor="text1"/>
          <w:sz w:val="24"/>
          <w:szCs w:val="24"/>
        </w:rPr>
        <w:t xml:space="preserve"> preferred payment method includes more than two categories. If the dependent variable is re-coded into two categories, binary logistic regression may also be applied.</w:t>
      </w:r>
    </w:p>
    <w:p w:rsidR="00012B7C" w:rsidRDefault="00012B7C">
      <w:pPr>
        <w:spacing w:line="360" w:lineRule="auto"/>
        <w:jc w:val="both"/>
        <w:rPr>
          <w:rFonts w:ascii="Times New Roman" w:hAnsi="Times New Roman" w:cs="Times New Roman"/>
          <w:b/>
          <w:bCs/>
          <w:color w:val="000000" w:themeColor="text1"/>
          <w:sz w:val="24"/>
          <w:szCs w:val="24"/>
        </w:rPr>
      </w:pPr>
    </w:p>
    <w:p w:rsidR="00012B7C" w:rsidRDefault="00012B7C">
      <w:pPr>
        <w:spacing w:line="360" w:lineRule="auto"/>
        <w:jc w:val="both"/>
        <w:rPr>
          <w:rFonts w:ascii="Times New Roman" w:hAnsi="Times New Roman" w:cs="Times New Roman"/>
          <w:b/>
          <w:bCs/>
          <w:color w:val="000000" w:themeColor="text1"/>
          <w:sz w:val="24"/>
          <w:szCs w:val="24"/>
        </w:rPr>
      </w:pPr>
    </w:p>
    <w:p w:rsidR="00012B7C" w:rsidRDefault="00012B7C">
      <w:pPr>
        <w:spacing w:line="360" w:lineRule="auto"/>
        <w:jc w:val="both"/>
        <w:rPr>
          <w:rFonts w:ascii="Times New Roman" w:hAnsi="Times New Roman" w:cs="Times New Roman"/>
          <w:b/>
          <w:bCs/>
          <w:color w:val="000000" w:themeColor="text1"/>
          <w:sz w:val="24"/>
          <w:szCs w:val="24"/>
        </w:rPr>
      </w:pPr>
    </w:p>
    <w:p w:rsidR="00012B7C" w:rsidRDefault="00602F4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3.1 Variables of the Study</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included two independent variables and one depen</w:t>
      </w:r>
      <w:r>
        <w:rPr>
          <w:rFonts w:ascii="Times New Roman" w:hAnsi="Times New Roman" w:cs="Times New Roman"/>
          <w:color w:val="000000" w:themeColor="text1"/>
          <w:sz w:val="24"/>
          <w:szCs w:val="24"/>
        </w:rPr>
        <w:t>dent variable. The independent variables were perceived trust and perceived security. Perceived trust refers to the respondent’s confidence in the reliability, honesty, and competence of a digital payment provider. Perceived security refers to the responde</w:t>
      </w:r>
      <w:r>
        <w:rPr>
          <w:rFonts w:ascii="Times New Roman" w:hAnsi="Times New Roman" w:cs="Times New Roman"/>
          <w:color w:val="000000" w:themeColor="text1"/>
          <w:sz w:val="24"/>
          <w:szCs w:val="24"/>
        </w:rPr>
        <w:t>nt’s belief that the payment system protects financial data, personal information, and transactions from fraud or unauthorized access. The dependent variable was preferred digital payment method, which refers to the payment option most commonly or most fav</w:t>
      </w:r>
      <w:r>
        <w:rPr>
          <w:rFonts w:ascii="Times New Roman" w:hAnsi="Times New Roman" w:cs="Times New Roman"/>
          <w:color w:val="000000" w:themeColor="text1"/>
          <w:sz w:val="24"/>
          <w:szCs w:val="24"/>
        </w:rPr>
        <w:t>orably selected by the respondent.</w:t>
      </w:r>
    </w:p>
    <w:p w:rsidR="00012B7C" w:rsidRDefault="00602F4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 Reliability of the Instrument</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strengthen the validity of the questionnaire, the internal consistency of the trust and security items should be tested using Cronbach’s Alpha. Cronbach’s Alpha is commonly used in soc</w:t>
      </w:r>
      <w:r>
        <w:rPr>
          <w:rFonts w:ascii="Times New Roman" w:hAnsi="Times New Roman" w:cs="Times New Roman"/>
          <w:color w:val="000000" w:themeColor="text1"/>
          <w:sz w:val="24"/>
          <w:szCs w:val="24"/>
        </w:rPr>
        <w:t>ial science research to assess whether multiple questionnaire items consistently measure the same construct. A value of 0.70 or above is generally considered acceptable. Therefore, Cronbach’s Alpha should be calculated separately for the perceived trust it</w:t>
      </w:r>
      <w:r>
        <w:rPr>
          <w:rFonts w:ascii="Times New Roman" w:hAnsi="Times New Roman" w:cs="Times New Roman"/>
          <w:color w:val="000000" w:themeColor="text1"/>
          <w:sz w:val="24"/>
          <w:szCs w:val="24"/>
        </w:rPr>
        <w:t>ems and perceived security items before final submission.</w:t>
      </w:r>
    </w:p>
    <w:p w:rsidR="00012B7C" w:rsidRDefault="00602F4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1 Cronbach’s Reliability Analysis</w:t>
      </w:r>
    </w:p>
    <w:tbl>
      <w:tblPr>
        <w:tblStyle w:val="TableGrid"/>
        <w:tblW w:w="0" w:type="auto"/>
        <w:tblLook w:val="04A0" w:firstRow="1" w:lastRow="0" w:firstColumn="1" w:lastColumn="0" w:noHBand="0" w:noVBand="1"/>
      </w:tblPr>
      <w:tblGrid>
        <w:gridCol w:w="2337"/>
        <w:gridCol w:w="2337"/>
        <w:gridCol w:w="2338"/>
        <w:gridCol w:w="2338"/>
      </w:tblGrid>
      <w:tr w:rsidR="00012B7C">
        <w:tc>
          <w:tcPr>
            <w:tcW w:w="2337"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Construct</w:t>
            </w:r>
          </w:p>
        </w:tc>
        <w:tc>
          <w:tcPr>
            <w:tcW w:w="2337"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Items</w:t>
            </w:r>
          </w:p>
        </w:tc>
        <w:tc>
          <w:tcPr>
            <w:tcW w:w="2338"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Cronbach’s Alpha</w:t>
            </w:r>
          </w:p>
        </w:tc>
        <w:tc>
          <w:tcPr>
            <w:tcW w:w="2338"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Interpretation</w:t>
            </w:r>
          </w:p>
        </w:tc>
      </w:tr>
      <w:tr w:rsidR="00012B7C">
        <w:tc>
          <w:tcPr>
            <w:tcW w:w="2337"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Perceived Trust</w:t>
            </w:r>
          </w:p>
        </w:tc>
        <w:tc>
          <w:tcPr>
            <w:tcW w:w="2337" w:type="dxa"/>
          </w:tcPr>
          <w:p w:rsidR="00012B7C" w:rsidRDefault="00602F41">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338"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0.778</w:t>
            </w:r>
          </w:p>
        </w:tc>
        <w:tc>
          <w:tcPr>
            <w:tcW w:w="2338"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Acceptable</w:t>
            </w:r>
          </w:p>
        </w:tc>
      </w:tr>
      <w:tr w:rsidR="00012B7C">
        <w:tc>
          <w:tcPr>
            <w:tcW w:w="2337"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Perceived Security</w:t>
            </w:r>
          </w:p>
        </w:tc>
        <w:tc>
          <w:tcPr>
            <w:tcW w:w="2337" w:type="dxa"/>
          </w:tcPr>
          <w:p w:rsidR="00012B7C" w:rsidRDefault="00602F41">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338"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0.723</w:t>
            </w:r>
          </w:p>
        </w:tc>
        <w:tc>
          <w:tcPr>
            <w:tcW w:w="2338" w:type="dxa"/>
          </w:tcPr>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Acceptable</w:t>
            </w:r>
          </w:p>
        </w:tc>
      </w:tr>
    </w:tbl>
    <w:p w:rsidR="00012B7C" w:rsidRDefault="00602F41">
      <w:pPr>
        <w:spacing w:after="0" w:line="36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Source: Computed data</w:t>
      </w:r>
      <w:r>
        <w:rPr>
          <w:rFonts w:ascii="Times New Roman" w:eastAsia="Times New Roman" w:hAnsi="Times New Roman" w:cs="Times New Roman"/>
          <w:color w:val="000000" w:themeColor="text1"/>
          <w:sz w:val="24"/>
          <w:szCs w:val="24"/>
        </w:rPr>
        <w:t> </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reliability analysis was conducted using Cronbach’s Alpha to examine the internal consistency of the measurement constructs. The results indicate that the construct Perceived Trust, consisting of six items, achieved a Cronbach’s Alpha value of 0.778, d</w:t>
      </w:r>
      <w:r>
        <w:rPr>
          <w:rFonts w:ascii="Times New Roman" w:hAnsi="Times New Roman" w:cs="Times New Roman"/>
          <w:color w:val="000000" w:themeColor="text1"/>
          <w:sz w:val="24"/>
          <w:szCs w:val="24"/>
        </w:rPr>
        <w:t>emonstrating an acceptable level of reliability. Similarly, the construct Perceived Security, also measured using six items, recorded a Cronbach’s Alpha value of 0.723, which is likewise considered acceptable.</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Although the study provides useful insights, i</w:t>
      </w:r>
      <w:r>
        <w:rPr>
          <w:rFonts w:ascii="Times New Roman" w:hAnsi="Times New Roman" w:cs="Times New Roman"/>
          <w:color w:val="000000" w:themeColor="text1"/>
          <w:sz w:val="24"/>
          <w:szCs w:val="24"/>
        </w:rPr>
        <w:t xml:space="preserve">t has several methodological limitations. First, the sample size of 128 respondents is relatively small. Second, the sample was not fully balanced, as female and young respondents were highly represented. Third, the use of convenience and </w:t>
      </w:r>
      <w:r>
        <w:rPr>
          <w:rFonts w:ascii="Times New Roman" w:hAnsi="Times New Roman" w:cs="Times New Roman"/>
          <w:color w:val="000000" w:themeColor="text1"/>
          <w:sz w:val="24"/>
          <w:szCs w:val="24"/>
        </w:rPr>
        <w:lastRenderedPageBreak/>
        <w:t>snowball sampling</w:t>
      </w:r>
      <w:r>
        <w:rPr>
          <w:rFonts w:ascii="Times New Roman" w:hAnsi="Times New Roman" w:cs="Times New Roman"/>
          <w:color w:val="000000" w:themeColor="text1"/>
          <w:sz w:val="24"/>
          <w:szCs w:val="24"/>
        </w:rPr>
        <w:t xml:space="preserve"> limits the generalizability of the findings. Fourth, the study examined only trust and security, while other important factors such as convenience, transaction speed, ease of use, rewards, merchant acceptance, service reliability, and customer satisfactio</w:t>
      </w:r>
      <w:r>
        <w:rPr>
          <w:rFonts w:ascii="Times New Roman" w:hAnsi="Times New Roman" w:cs="Times New Roman"/>
          <w:color w:val="000000" w:themeColor="text1"/>
          <w:sz w:val="24"/>
          <w:szCs w:val="24"/>
        </w:rPr>
        <w:t>n were not included. Finally, since the dependent variable is categorical, future studies should apply chi-square analysis, binary logistic regression, or multinomial logistic regression to obtain stronger and more statistically appropriate findings.</w:t>
      </w:r>
    </w:p>
    <w:p w:rsidR="00012B7C" w:rsidRDefault="00602F41">
      <w:pPr>
        <w:spacing w:after="0" w:line="360" w:lineRule="auto"/>
        <w:jc w:val="both"/>
        <w:textAlignment w:val="baseline"/>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4. </w:t>
      </w:r>
      <w:r>
        <w:rPr>
          <w:rFonts w:ascii="Times New Roman" w:eastAsia="Times New Roman" w:hAnsi="Times New Roman" w:cs="Times New Roman"/>
          <w:b/>
          <w:bCs/>
          <w:color w:val="000000" w:themeColor="text1"/>
          <w:sz w:val="28"/>
          <w:szCs w:val="28"/>
        </w:rPr>
        <w:t>Results</w:t>
      </w:r>
    </w:p>
    <w:p w:rsidR="00012B7C" w:rsidRDefault="00602F41">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2: Demographic Characteristics of the Respondents</w:t>
      </w:r>
    </w:p>
    <w:tbl>
      <w:tblPr>
        <w:tblStyle w:val="TableGrid"/>
        <w:tblW w:w="9348" w:type="dxa"/>
        <w:tblLook w:val="04A0" w:firstRow="1" w:lastRow="0" w:firstColumn="1" w:lastColumn="0" w:noHBand="0" w:noVBand="1"/>
      </w:tblPr>
      <w:tblGrid>
        <w:gridCol w:w="2337"/>
        <w:gridCol w:w="3058"/>
        <w:gridCol w:w="1980"/>
        <w:gridCol w:w="1973"/>
      </w:tblGrid>
      <w:tr w:rsidR="00012B7C">
        <w:tc>
          <w:tcPr>
            <w:tcW w:w="2337"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Variable</w:t>
            </w:r>
          </w:p>
        </w:tc>
        <w:tc>
          <w:tcPr>
            <w:tcW w:w="3058"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Category</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Frequency</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Percent</w:t>
            </w:r>
          </w:p>
        </w:tc>
      </w:tr>
      <w:tr w:rsidR="00012B7C">
        <w:tc>
          <w:tcPr>
            <w:tcW w:w="2337"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Gender</w:t>
            </w: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128</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r w:rsidR="00012B7C">
        <w:tc>
          <w:tcPr>
            <w:tcW w:w="2337"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Education</w:t>
            </w: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School Education</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Advance Diploma</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Bachelor’s </w:t>
            </w:r>
            <w:r>
              <w:rPr>
                <w:rFonts w:ascii="Times New Roman" w:eastAsia="Times New Roman" w:hAnsi="Times New Roman" w:cs="Times New Roman"/>
                <w:sz w:val="24"/>
                <w:szCs w:val="24"/>
              </w:rPr>
              <w:t>Degree</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Master’s Degree</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Degree</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128</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r w:rsidR="00012B7C">
        <w:tc>
          <w:tcPr>
            <w:tcW w:w="2337"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Occupation</w:t>
            </w: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Services</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Sector Companies</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 Companies</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 Employed</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46.9</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128</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r w:rsidR="00012B7C">
        <w:tc>
          <w:tcPr>
            <w:tcW w:w="2337"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Monthly </w:t>
            </w:r>
            <w:r>
              <w:rPr>
                <w:rFonts w:ascii="Times New Roman" w:eastAsia="Times New Roman" w:hAnsi="Times New Roman" w:cs="Times New Roman"/>
                <w:b/>
                <w:bCs/>
                <w:sz w:val="24"/>
                <w:szCs w:val="24"/>
              </w:rPr>
              <w:t>Income</w:t>
            </w: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RO 500</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 501 to RO 1,000</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 1,001 to RO 1,500</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 1,501 to RO 2,000</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 2,001 to RO 2,500</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 2,501 and above</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012B7C">
        <w:tc>
          <w:tcPr>
            <w:tcW w:w="2337" w:type="dxa"/>
            <w:vAlign w:val="center"/>
          </w:tcPr>
          <w:p w:rsidR="00012B7C" w:rsidRDefault="00012B7C">
            <w:pPr>
              <w:spacing w:before="100" w:beforeAutospacing="1" w:after="100" w:afterAutospacing="1" w:line="240" w:lineRule="auto"/>
              <w:jc w:val="center"/>
              <w:rPr>
                <w:rFonts w:ascii="Times New Roman" w:eastAsia="Times New Roman" w:hAnsi="Times New Roman" w:cs="Times New Roman"/>
                <w:sz w:val="24"/>
                <w:szCs w:val="24"/>
              </w:rPr>
            </w:pPr>
          </w:p>
        </w:tc>
        <w:tc>
          <w:tcPr>
            <w:tcW w:w="3058" w:type="dxa"/>
            <w:vAlign w:val="center"/>
          </w:tcPr>
          <w:p w:rsidR="00012B7C" w:rsidRDefault="00602F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1980"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128</w:t>
            </w:r>
          </w:p>
        </w:tc>
        <w:tc>
          <w:tcPr>
            <w:tcW w:w="1973" w:type="dxa"/>
            <w:vAlign w:val="center"/>
          </w:tcPr>
          <w:p w:rsidR="00012B7C" w:rsidRDefault="00602F4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rsidR="00012B7C" w:rsidRDefault="00602F41">
      <w:pPr>
        <w:spacing w:after="0" w:line="36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Source: Computed data</w:t>
      </w:r>
      <w:r>
        <w:rPr>
          <w:rFonts w:ascii="Times New Roman" w:eastAsia="Times New Roman" w:hAnsi="Times New Roman" w:cs="Times New Roman"/>
          <w:color w:val="000000" w:themeColor="text1"/>
          <w:sz w:val="24"/>
          <w:szCs w:val="24"/>
        </w:rPr>
        <w:t> </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 presents the demographic </w:t>
      </w:r>
      <w:r>
        <w:rPr>
          <w:rFonts w:ascii="Times New Roman" w:hAnsi="Times New Roman" w:cs="Times New Roman"/>
          <w:color w:val="000000" w:themeColor="text1"/>
          <w:sz w:val="24"/>
          <w:szCs w:val="24"/>
        </w:rPr>
        <w:t>characteristics of the respondents. With respect to gender, the majority of the respondents were female, accounting for 59.4% (76 respondents), while male respondents constituted only 40.6% (52 respondents). This indicates that the study sample was predomi</w:t>
      </w:r>
      <w:r>
        <w:rPr>
          <w:rFonts w:ascii="Times New Roman" w:hAnsi="Times New Roman" w:cs="Times New Roman"/>
          <w:color w:val="000000" w:themeColor="text1"/>
          <w:sz w:val="24"/>
          <w:szCs w:val="24"/>
        </w:rPr>
        <w:t>nantly represented by females.</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Regarding educational qualifications, most respondents possessed a Bachelor’s Degree, representing 70.3% of the total sample. Respondents with Diplomas and Advance Diplomas accounted for 12.5% and 10.9% respectively, while on</w:t>
      </w:r>
      <w:r>
        <w:rPr>
          <w:rFonts w:ascii="Times New Roman" w:hAnsi="Times New Roman" w:cs="Times New Roman"/>
          <w:color w:val="000000" w:themeColor="text1"/>
          <w:sz w:val="24"/>
          <w:szCs w:val="24"/>
        </w:rPr>
        <w:t>ly a small proportion held Master’s Degrees (3.1%) or Professional Degrees (0.8%). This suggests that the respondents were generally well educated, with the majority having undergraduate qualifications.</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terms of occupation, the highest proportion of res</w:t>
      </w:r>
      <w:r>
        <w:rPr>
          <w:rFonts w:ascii="Times New Roman" w:hAnsi="Times New Roman" w:cs="Times New Roman"/>
          <w:color w:val="000000" w:themeColor="text1"/>
          <w:sz w:val="24"/>
          <w:szCs w:val="24"/>
        </w:rPr>
        <w:t>pondents belonged to the “Others” category, accounting for 46.9%, followed by Government Services at 24.2% and Private Sector Companies at 18.0%. Respondents working in Public Sector Companies and those who were Self Employed each represented 5.5% of the s</w:t>
      </w:r>
      <w:r>
        <w:rPr>
          <w:rFonts w:ascii="Times New Roman" w:hAnsi="Times New Roman" w:cs="Times New Roman"/>
          <w:color w:val="000000" w:themeColor="text1"/>
          <w:sz w:val="24"/>
          <w:szCs w:val="24"/>
        </w:rPr>
        <w:t>ample. The findings indicate that the respondents came from diverse occupational backgrounds.</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regard to monthly income, a substantial majority of the respondents (69.5%) earned less than RO 500 per month, while 18.8% earned between RO 501 and RO 1,000</w:t>
      </w:r>
      <w:r>
        <w:rPr>
          <w:rFonts w:ascii="Times New Roman" w:hAnsi="Times New Roman" w:cs="Times New Roman"/>
          <w:color w:val="000000" w:themeColor="text1"/>
          <w:sz w:val="24"/>
          <w:szCs w:val="24"/>
        </w:rPr>
        <w:t>. Only a limited number of respondents reported higher income levels above RO 1,500. This indicates that most respondents in the study belonged to the lower-income category.</w:t>
      </w:r>
    </w:p>
    <w:p w:rsidR="00012B7C" w:rsidRDefault="00602F41">
      <w:pPr>
        <w:spacing w:after="0" w:line="360" w:lineRule="auto"/>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H1: There is significant association between trust provided by provider and choice</w:t>
      </w:r>
      <w:r>
        <w:rPr>
          <w:rFonts w:ascii="Times New Roman" w:eastAsia="Times New Roman" w:hAnsi="Times New Roman" w:cs="Times New Roman"/>
          <w:b/>
          <w:bCs/>
          <w:color w:val="000000" w:themeColor="text1"/>
          <w:sz w:val="24"/>
          <w:szCs w:val="24"/>
        </w:rPr>
        <w:t xml:space="preserve"> of digital payment method by </w:t>
      </w:r>
      <w:r>
        <w:rPr>
          <w:rFonts w:ascii="Times New Roman" w:eastAsia="Times New Roman" w:hAnsi="Times New Roman" w:cs="Times New Roman"/>
          <w:b/>
          <w:bCs/>
          <w:color w:val="000000" w:themeColor="text1"/>
          <w:sz w:val="24"/>
          <w:szCs w:val="24"/>
        </w:rPr>
        <w:t>customer.</w:t>
      </w:r>
    </w:p>
    <w:p w:rsidR="00012B7C" w:rsidRDefault="00602F41">
      <w:pPr>
        <w:spacing w:after="0" w:line="360" w:lineRule="auto"/>
        <w:jc w:val="center"/>
        <w:textAlignment w:val="baseline"/>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Table 3: </w:t>
      </w:r>
      <w:r>
        <w:rPr>
          <w:rFonts w:ascii="Times New Roman" w:eastAsia="Times New Roman" w:hAnsi="Times New Roman"/>
          <w:b/>
          <w:bCs/>
          <w:color w:val="0D0D0D"/>
          <w:sz w:val="24"/>
          <w:szCs w:val="24"/>
        </w:rPr>
        <w:t>Regression Analysis- Model 1and Summary</w:t>
      </w:r>
    </w:p>
    <w:tbl>
      <w:tblPr>
        <w:tblW w:w="6825" w:type="dxa"/>
        <w:tblInd w:w="12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1215"/>
        <w:gridCol w:w="1215"/>
        <w:gridCol w:w="1755"/>
        <w:gridCol w:w="1770"/>
      </w:tblGrid>
      <w:tr w:rsidR="00012B7C">
        <w:trPr>
          <w:trHeight w:val="300"/>
        </w:trPr>
        <w:tc>
          <w:tcPr>
            <w:tcW w:w="682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en-GB"/>
              </w:rPr>
              <w:t xml:space="preserve">Model 1 Summary </w:t>
            </w:r>
          </w:p>
        </w:tc>
      </w:tr>
      <w:tr w:rsidR="00012B7C">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Model</w:t>
            </w:r>
          </w:p>
        </w:tc>
        <w:tc>
          <w:tcPr>
            <w:tcW w:w="121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R</w:t>
            </w:r>
          </w:p>
        </w:tc>
        <w:tc>
          <w:tcPr>
            <w:tcW w:w="121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R Square</w:t>
            </w:r>
          </w:p>
        </w:tc>
        <w:tc>
          <w:tcPr>
            <w:tcW w:w="175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Adjusted R Square</w:t>
            </w:r>
          </w:p>
        </w:tc>
        <w:tc>
          <w:tcPr>
            <w:tcW w:w="1770"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Std. Error of the Estimate</w:t>
            </w:r>
          </w:p>
        </w:tc>
      </w:tr>
      <w:tr w:rsidR="00012B7C">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w:t>
            </w:r>
          </w:p>
        </w:tc>
        <w:tc>
          <w:tcPr>
            <w:tcW w:w="121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.105</w:t>
            </w:r>
            <w:r>
              <w:rPr>
                <w:rFonts w:ascii="Times New Roman" w:eastAsia="Times New Roman" w:hAnsi="Times New Roman" w:cs="Times New Roman"/>
                <w:color w:val="000000" w:themeColor="text1"/>
                <w:sz w:val="24"/>
                <w:szCs w:val="24"/>
                <w:vertAlign w:val="superscript"/>
                <w:lang w:val="en-GB"/>
              </w:rPr>
              <w:t>a</w:t>
            </w:r>
          </w:p>
        </w:tc>
        <w:tc>
          <w:tcPr>
            <w:tcW w:w="121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.011</w:t>
            </w:r>
          </w:p>
        </w:tc>
        <w:tc>
          <w:tcPr>
            <w:tcW w:w="175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.003</w:t>
            </w:r>
          </w:p>
        </w:tc>
        <w:tc>
          <w:tcPr>
            <w:tcW w:w="1770"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1.294</w:t>
            </w:r>
          </w:p>
        </w:tc>
      </w:tr>
      <w:tr w:rsidR="00012B7C">
        <w:trPr>
          <w:trHeight w:val="300"/>
        </w:trPr>
        <w:tc>
          <w:tcPr>
            <w:tcW w:w="6825" w:type="dxa"/>
            <w:gridSpan w:val="5"/>
            <w:tcBorders>
              <w:top w:val="single" w:sz="6" w:space="0" w:color="auto"/>
              <w:left w:val="single" w:sz="6" w:space="0" w:color="auto"/>
              <w:bottom w:val="single" w:sz="6" w:space="0" w:color="auto"/>
              <w:right w:val="single" w:sz="6" w:space="0" w:color="auto"/>
            </w:tcBorders>
            <w:shd w:val="clear" w:color="auto" w:fill="FFFFFF"/>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a. Predictors: (Constant), Trust</w:t>
            </w:r>
          </w:p>
        </w:tc>
      </w:tr>
      <w:tr w:rsidR="00012B7C">
        <w:trPr>
          <w:trHeight w:val="300"/>
        </w:trPr>
        <w:tc>
          <w:tcPr>
            <w:tcW w:w="6825" w:type="dxa"/>
            <w:gridSpan w:val="5"/>
            <w:tcBorders>
              <w:top w:val="single" w:sz="6" w:space="0" w:color="auto"/>
              <w:left w:val="single" w:sz="6" w:space="0" w:color="auto"/>
              <w:bottom w:val="single" w:sz="6" w:space="0" w:color="auto"/>
              <w:right w:val="single" w:sz="6" w:space="0" w:color="auto"/>
            </w:tcBorders>
            <w:shd w:val="clear" w:color="auto" w:fill="FFFFFF"/>
          </w:tcPr>
          <w:p w:rsidR="00012B7C" w:rsidRDefault="00012B7C">
            <w:pPr>
              <w:spacing w:after="0" w:line="360" w:lineRule="auto"/>
              <w:ind w:left="60" w:right="60"/>
              <w:jc w:val="center"/>
              <w:textAlignment w:val="baseline"/>
              <w:rPr>
                <w:rFonts w:ascii="Times New Roman" w:eastAsia="Times New Roman" w:hAnsi="Times New Roman" w:cs="Times New Roman"/>
                <w:color w:val="000000" w:themeColor="text1"/>
                <w:sz w:val="24"/>
                <w:szCs w:val="24"/>
                <w:lang w:val="en-GB"/>
              </w:rPr>
            </w:pPr>
          </w:p>
        </w:tc>
      </w:tr>
    </w:tbl>
    <w:p w:rsidR="00012B7C" w:rsidRDefault="00602F41" w:rsidP="004427DE">
      <w:pPr>
        <w:spacing w:before="100" w:beforeAutospacing="1" w:after="100" w:afterAutospacing="1" w:line="15" w:lineRule="auto"/>
        <w:ind w:firstLineChars="550" w:firstLine="1325"/>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Source: Computed data</w:t>
      </w:r>
    </w:p>
    <w:p w:rsidR="00012B7C" w:rsidRDefault="00012B7C">
      <w:pPr>
        <w:spacing w:after="0" w:line="360" w:lineRule="auto"/>
        <w:jc w:val="center"/>
        <w:textAlignment w:val="baseline"/>
        <w:rPr>
          <w:rFonts w:ascii="Times New Roman" w:eastAsia="Times New Roman" w:hAnsi="Times New Roman"/>
          <w:b/>
          <w:bCs/>
          <w:color w:val="0D0D0D"/>
          <w:sz w:val="24"/>
          <w:szCs w:val="24"/>
        </w:rPr>
      </w:pPr>
    </w:p>
    <w:p w:rsidR="00012B7C" w:rsidRDefault="00012B7C">
      <w:pPr>
        <w:spacing w:after="0" w:line="360" w:lineRule="auto"/>
        <w:jc w:val="center"/>
        <w:textAlignment w:val="baseline"/>
        <w:rPr>
          <w:rFonts w:ascii="Times New Roman" w:eastAsia="Times New Roman" w:hAnsi="Times New Roman"/>
          <w:b/>
          <w:bCs/>
          <w:color w:val="0D0D0D"/>
          <w:sz w:val="24"/>
          <w:szCs w:val="24"/>
        </w:rPr>
      </w:pPr>
    </w:p>
    <w:p w:rsidR="00012B7C" w:rsidRDefault="00012B7C">
      <w:pPr>
        <w:spacing w:after="0" w:line="360" w:lineRule="auto"/>
        <w:jc w:val="center"/>
        <w:textAlignment w:val="baseline"/>
        <w:rPr>
          <w:rFonts w:ascii="Times New Roman" w:eastAsia="Times New Roman" w:hAnsi="Times New Roman"/>
          <w:b/>
          <w:bCs/>
          <w:color w:val="0D0D0D"/>
          <w:sz w:val="24"/>
          <w:szCs w:val="24"/>
        </w:rPr>
      </w:pPr>
    </w:p>
    <w:p w:rsidR="00012B7C" w:rsidRDefault="00012B7C">
      <w:pPr>
        <w:spacing w:after="0" w:line="360" w:lineRule="auto"/>
        <w:jc w:val="center"/>
        <w:textAlignment w:val="baseline"/>
        <w:rPr>
          <w:rFonts w:ascii="Times New Roman" w:eastAsia="Times New Roman" w:hAnsi="Times New Roman"/>
          <w:b/>
          <w:bCs/>
          <w:color w:val="0D0D0D"/>
          <w:sz w:val="24"/>
          <w:szCs w:val="24"/>
        </w:rPr>
      </w:pPr>
    </w:p>
    <w:p w:rsidR="00012B7C" w:rsidRDefault="00012B7C">
      <w:pPr>
        <w:spacing w:after="0" w:line="360" w:lineRule="auto"/>
        <w:jc w:val="center"/>
        <w:textAlignment w:val="baseline"/>
        <w:rPr>
          <w:rFonts w:ascii="Times New Roman" w:eastAsia="Times New Roman" w:hAnsi="Times New Roman"/>
          <w:b/>
          <w:bCs/>
          <w:color w:val="0D0D0D"/>
          <w:sz w:val="24"/>
          <w:szCs w:val="24"/>
        </w:rPr>
      </w:pPr>
    </w:p>
    <w:p w:rsidR="00012B7C" w:rsidRDefault="00602F41">
      <w:pPr>
        <w:spacing w:after="0" w:line="360" w:lineRule="auto"/>
        <w:jc w:val="center"/>
        <w:textAlignment w:val="baseline"/>
        <w:rPr>
          <w:rFonts w:ascii="Times New Roman" w:eastAsia="Times New Roman" w:hAnsi="Times New Roman" w:cs="Times New Roman"/>
          <w:b/>
          <w:bCs/>
          <w:color w:val="000000" w:themeColor="text1"/>
          <w:sz w:val="24"/>
          <w:szCs w:val="24"/>
        </w:rPr>
      </w:pPr>
      <w:r>
        <w:rPr>
          <w:rFonts w:ascii="Times New Roman" w:eastAsia="Times New Roman" w:hAnsi="Times New Roman"/>
          <w:b/>
          <w:bCs/>
          <w:color w:val="0D0D0D"/>
          <w:sz w:val="24"/>
          <w:szCs w:val="24"/>
        </w:rPr>
        <w:lastRenderedPageBreak/>
        <w:t xml:space="preserve">Table 4: Results of Anova for Model 1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1350"/>
        <w:gridCol w:w="1695"/>
        <w:gridCol w:w="1185"/>
        <w:gridCol w:w="1545"/>
        <w:gridCol w:w="1185"/>
        <w:gridCol w:w="1200"/>
      </w:tblGrid>
      <w:tr w:rsidR="00012B7C">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b/>
                <w:bCs/>
                <w:color w:val="000000" w:themeColor="text1"/>
                <w:sz w:val="24"/>
                <w:szCs w:val="24"/>
                <w:lang w:val="en-GB"/>
              </w:rPr>
              <w:t>ANOVA</w:t>
            </w:r>
            <w:r>
              <w:rPr>
                <w:rFonts w:ascii="Times New Roman" w:eastAsia="Times New Roman" w:hAnsi="Times New Roman" w:cs="Times New Roman"/>
                <w:b/>
                <w:bCs/>
                <w:color w:val="000000" w:themeColor="text1"/>
                <w:sz w:val="24"/>
                <w:szCs w:val="24"/>
                <w:vertAlign w:val="superscript"/>
                <w:lang w:val="en-GB"/>
              </w:rPr>
              <w:t>a</w:t>
            </w:r>
            <w:r>
              <w:rPr>
                <w:rFonts w:ascii="Times New Roman" w:eastAsia="Times New Roman" w:hAnsi="Times New Roman" w:cs="Times New Roman"/>
                <w:color w:val="000000" w:themeColor="text1"/>
                <w:sz w:val="24"/>
                <w:szCs w:val="24"/>
              </w:rPr>
              <w:t> </w:t>
            </w:r>
          </w:p>
        </w:tc>
      </w:tr>
      <w:tr w:rsidR="00012B7C">
        <w:trPr>
          <w:trHeight w:val="300"/>
        </w:trPr>
        <w:tc>
          <w:tcPr>
            <w:tcW w:w="219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Model</w:t>
            </w:r>
            <w:r>
              <w:rPr>
                <w:rFonts w:ascii="Times New Roman" w:eastAsia="Times New Roman" w:hAnsi="Times New Roman" w:cs="Times New Roman"/>
                <w:color w:val="000000" w:themeColor="text1"/>
                <w:sz w:val="24"/>
                <w:szCs w:val="24"/>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Sum of Squares</w:t>
            </w:r>
            <w:r>
              <w:rPr>
                <w:rFonts w:ascii="Times New Roman" w:eastAsia="Times New Roman" w:hAnsi="Times New Roman" w:cs="Times New Roman"/>
                <w:color w:val="000000" w:themeColor="text1"/>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df</w:t>
            </w:r>
            <w:r>
              <w:rPr>
                <w:rFonts w:ascii="Times New Roman" w:eastAsia="Times New Roman" w:hAnsi="Times New Roman" w:cs="Times New Roman"/>
                <w:color w:val="000000" w:themeColor="text1"/>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Mean Square</w:t>
            </w:r>
            <w:r>
              <w:rPr>
                <w:rFonts w:ascii="Times New Roman" w:eastAsia="Times New Roman" w:hAnsi="Times New Roman" w:cs="Times New Roman"/>
                <w:color w:val="000000" w:themeColor="text1"/>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F</w:t>
            </w:r>
            <w:r>
              <w:rPr>
                <w:rFonts w:ascii="Times New Roman" w:eastAsia="Times New Roman" w:hAnsi="Times New Roman" w:cs="Times New Roman"/>
                <w:color w:val="000000" w:themeColor="text1"/>
                <w:sz w:val="24"/>
                <w:szCs w:val="24"/>
              </w:rPr>
              <w:t> </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Sig.</w:t>
            </w:r>
            <w:r>
              <w:rPr>
                <w:rFonts w:ascii="Times New Roman" w:eastAsia="Times New Roman" w:hAnsi="Times New Roman" w:cs="Times New Roman"/>
                <w:color w:val="000000" w:themeColor="text1"/>
                <w:sz w:val="24"/>
                <w:szCs w:val="24"/>
              </w:rPr>
              <w:t> </w:t>
            </w:r>
          </w:p>
        </w:tc>
      </w:tr>
      <w:tr w:rsidR="00012B7C">
        <w:trPr>
          <w:trHeight w:val="300"/>
        </w:trPr>
        <w:tc>
          <w:tcPr>
            <w:tcW w:w="840" w:type="dxa"/>
            <w:vMerge w:val="restart"/>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w:t>
            </w:r>
            <w:r>
              <w:rPr>
                <w:rFonts w:ascii="Times New Roman" w:eastAsia="Times New Roman" w:hAnsi="Times New Roman" w:cs="Times New Roman"/>
                <w:color w:val="000000" w:themeColor="text1"/>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Regression</w:t>
            </w:r>
            <w:r>
              <w:rPr>
                <w:rFonts w:ascii="Times New Roman" w:eastAsia="Times New Roman" w:hAnsi="Times New Roman" w:cs="Times New Roman"/>
                <w:color w:val="000000" w:themeColor="text1"/>
                <w:sz w:val="24"/>
                <w:szCs w:val="24"/>
              </w:rPr>
              <w:t> </w:t>
            </w:r>
          </w:p>
        </w:tc>
        <w:tc>
          <w:tcPr>
            <w:tcW w:w="169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2.355</w:t>
            </w:r>
            <w:r>
              <w:rPr>
                <w:rFonts w:ascii="Times New Roman" w:eastAsia="Times New Roman" w:hAnsi="Times New Roman" w:cs="Times New Roman"/>
                <w:color w:val="000000" w:themeColor="text1"/>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w:t>
            </w:r>
            <w:r>
              <w:rPr>
                <w:rFonts w:ascii="Times New Roman" w:eastAsia="Times New Roman" w:hAnsi="Times New Roman" w:cs="Times New Roman"/>
                <w:color w:val="000000" w:themeColor="text1"/>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2.355</w:t>
            </w:r>
            <w:r>
              <w:rPr>
                <w:rFonts w:ascii="Times New Roman" w:eastAsia="Times New Roman" w:hAnsi="Times New Roman" w:cs="Times New Roman"/>
                <w:color w:val="000000" w:themeColor="text1"/>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1.407</w:t>
            </w:r>
            <w:r>
              <w:rPr>
                <w:rFonts w:ascii="Times New Roman" w:eastAsia="Times New Roman" w:hAnsi="Times New Roman" w:cs="Times New Roman"/>
                <w:color w:val="000000" w:themeColor="text1"/>
                <w:sz w:val="24"/>
                <w:szCs w:val="24"/>
              </w:rPr>
              <w:t> </w:t>
            </w:r>
          </w:p>
        </w:tc>
        <w:tc>
          <w:tcPr>
            <w:tcW w:w="1200"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.238</w:t>
            </w:r>
            <w:r>
              <w:rPr>
                <w:rFonts w:ascii="Times New Roman" w:eastAsia="Times New Roman" w:hAnsi="Times New Roman" w:cs="Times New Roman"/>
                <w:color w:val="000000" w:themeColor="text1"/>
                <w:sz w:val="24"/>
                <w:szCs w:val="24"/>
                <w:vertAlign w:val="superscript"/>
                <w:lang w:val="en-GB"/>
              </w:rPr>
              <w:t>b</w:t>
            </w:r>
            <w:r>
              <w:rPr>
                <w:rFonts w:ascii="Times New Roman" w:eastAsia="Times New Roman" w:hAnsi="Times New Roman" w:cs="Times New Roman"/>
                <w:color w:val="000000" w:themeColor="text1"/>
                <w:sz w:val="24"/>
                <w:szCs w:val="24"/>
              </w:rPr>
              <w:t> </w:t>
            </w:r>
          </w:p>
        </w:tc>
      </w:tr>
      <w:tr w:rsidR="00012B7C">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rsidR="00012B7C" w:rsidRDefault="00012B7C">
            <w:pPr>
              <w:spacing w:after="0" w:line="360" w:lineRule="auto"/>
              <w:rPr>
                <w:rFonts w:ascii="Times New Roman" w:eastAsia="Times New Roman" w:hAnsi="Times New Roman" w:cs="Times New Roman"/>
                <w:color w:val="000000" w:themeColor="text1"/>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Residual</w:t>
            </w:r>
            <w:r>
              <w:rPr>
                <w:rFonts w:ascii="Times New Roman" w:eastAsia="Times New Roman" w:hAnsi="Times New Roman" w:cs="Times New Roman"/>
                <w:color w:val="000000" w:themeColor="text1"/>
                <w:sz w:val="24"/>
                <w:szCs w:val="24"/>
              </w:rPr>
              <w:t> </w:t>
            </w:r>
          </w:p>
        </w:tc>
        <w:tc>
          <w:tcPr>
            <w:tcW w:w="169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210.888</w:t>
            </w:r>
            <w:r>
              <w:rPr>
                <w:rFonts w:ascii="Times New Roman" w:eastAsia="Times New Roman" w:hAnsi="Times New Roman" w:cs="Times New Roman"/>
                <w:color w:val="000000" w:themeColor="text1"/>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126</w:t>
            </w:r>
            <w:r>
              <w:rPr>
                <w:rFonts w:ascii="Times New Roman" w:eastAsia="Times New Roman" w:hAnsi="Times New Roman" w:cs="Times New Roman"/>
                <w:color w:val="000000" w:themeColor="text1"/>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1.674</w:t>
            </w:r>
            <w:r>
              <w:rPr>
                <w:rFonts w:ascii="Times New Roman" w:eastAsia="Times New Roman" w:hAnsi="Times New Roman" w:cs="Times New Roman"/>
                <w:color w:val="000000" w:themeColor="text1"/>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200"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012B7C">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rsidR="00012B7C" w:rsidRDefault="00012B7C">
            <w:pPr>
              <w:spacing w:after="0" w:line="360" w:lineRule="auto"/>
              <w:rPr>
                <w:rFonts w:ascii="Times New Roman" w:eastAsia="Times New Roman" w:hAnsi="Times New Roman" w:cs="Times New Roman"/>
                <w:color w:val="000000" w:themeColor="text1"/>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Total</w:t>
            </w:r>
            <w:r>
              <w:rPr>
                <w:rFonts w:ascii="Times New Roman" w:eastAsia="Times New Roman" w:hAnsi="Times New Roman" w:cs="Times New Roman"/>
                <w:color w:val="000000" w:themeColor="text1"/>
                <w:sz w:val="24"/>
                <w:szCs w:val="24"/>
              </w:rPr>
              <w:t> </w:t>
            </w:r>
          </w:p>
        </w:tc>
        <w:tc>
          <w:tcPr>
            <w:tcW w:w="169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213.242</w:t>
            </w:r>
            <w:r>
              <w:rPr>
                <w:rFonts w:ascii="Times New Roman" w:eastAsia="Times New Roman" w:hAnsi="Times New Roman" w:cs="Times New Roman"/>
                <w:color w:val="000000" w:themeColor="text1"/>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127</w:t>
            </w:r>
            <w:r>
              <w:rPr>
                <w:rFonts w:ascii="Times New Roman" w:eastAsia="Times New Roman" w:hAnsi="Times New Roman" w:cs="Times New Roman"/>
                <w:color w:val="000000" w:themeColor="text1"/>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200"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012B7C">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FFFFF"/>
          </w:tcPr>
          <w:p w:rsidR="00012B7C" w:rsidRDefault="00602F41">
            <w:pPr>
              <w:spacing w:after="0" w:line="360" w:lineRule="auto"/>
              <w:ind w:left="60" w:right="6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 xml:space="preserve">a. Dependent Variable: Preferred Digital </w:t>
            </w:r>
            <w:r>
              <w:rPr>
                <w:rFonts w:ascii="Times New Roman" w:eastAsia="Times New Roman" w:hAnsi="Times New Roman" w:cs="Times New Roman"/>
                <w:color w:val="000000" w:themeColor="text1"/>
                <w:sz w:val="24"/>
                <w:szCs w:val="24"/>
                <w:lang w:val="en-GB"/>
              </w:rPr>
              <w:t>Payment</w:t>
            </w:r>
            <w:r>
              <w:rPr>
                <w:rFonts w:ascii="Times New Roman" w:eastAsia="Times New Roman" w:hAnsi="Times New Roman" w:cs="Times New Roman"/>
                <w:color w:val="000000" w:themeColor="text1"/>
                <w:sz w:val="24"/>
                <w:szCs w:val="24"/>
              </w:rPr>
              <w:t> </w:t>
            </w:r>
          </w:p>
        </w:tc>
      </w:tr>
      <w:tr w:rsidR="00012B7C">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FFFFF"/>
          </w:tcPr>
          <w:p w:rsidR="00012B7C" w:rsidRDefault="00602F41">
            <w:pPr>
              <w:spacing w:after="0" w:line="360" w:lineRule="auto"/>
              <w:ind w:left="60" w:right="6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b. Predictors: (Constant), Trust</w:t>
            </w:r>
            <w:r>
              <w:rPr>
                <w:rFonts w:ascii="Times New Roman" w:eastAsia="Times New Roman" w:hAnsi="Times New Roman" w:cs="Times New Roman"/>
                <w:color w:val="000000" w:themeColor="text1"/>
                <w:sz w:val="24"/>
                <w:szCs w:val="24"/>
              </w:rPr>
              <w:t> </w:t>
            </w:r>
          </w:p>
        </w:tc>
      </w:tr>
    </w:tbl>
    <w:p w:rsidR="00012B7C" w:rsidRDefault="00602F41">
      <w:pPr>
        <w:spacing w:after="0" w:line="36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Source: Computed data</w:t>
      </w:r>
      <w:r>
        <w:rPr>
          <w:rFonts w:ascii="Times New Roman" w:eastAsia="Times New Roman" w:hAnsi="Times New Roman" w:cs="Times New Roman"/>
          <w:color w:val="000000" w:themeColor="text1"/>
          <w:sz w:val="24"/>
          <w:szCs w:val="24"/>
        </w:rPr>
        <w:t> </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regression result for trust</w:t>
      </w:r>
      <w:r>
        <w:rPr>
          <w:rFonts w:ascii="Times New Roman" w:hAnsi="Times New Roman" w:cs="Times New Roman"/>
          <w:color w:val="000000" w:themeColor="text1"/>
          <w:sz w:val="24"/>
          <w:szCs w:val="24"/>
        </w:rPr>
        <w:t xml:space="preserve"> in table 3 and 4</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revealed</w:t>
      </w:r>
      <w:r>
        <w:rPr>
          <w:rFonts w:ascii="Times New Roman" w:hAnsi="Times New Roman" w:cs="Times New Roman"/>
          <w:color w:val="000000" w:themeColor="text1"/>
          <w:sz w:val="24"/>
          <w:szCs w:val="24"/>
        </w:rPr>
        <w:t xml:space="preserve"> a very weak relationship with preferred digital payment method. The R value was 0.105, which indicates a weak positive association between trust and payment preference. The R Square value was 0.011, meaning that trust explained only 1.1% of the variation </w:t>
      </w:r>
      <w:r>
        <w:rPr>
          <w:rFonts w:ascii="Times New Roman" w:hAnsi="Times New Roman" w:cs="Times New Roman"/>
          <w:color w:val="000000" w:themeColor="text1"/>
          <w:sz w:val="24"/>
          <w:szCs w:val="24"/>
        </w:rPr>
        <w:t>in respondents’ preferred digital payment method. This is extremely low and suggests that trust alone does not meaningfully explain why respondents prefer one digital payment method over another. The ANOVA result also showed that the model was not statisti</w:t>
      </w:r>
      <w:r>
        <w:rPr>
          <w:rFonts w:ascii="Times New Roman" w:hAnsi="Times New Roman" w:cs="Times New Roman"/>
          <w:color w:val="000000" w:themeColor="text1"/>
          <w:sz w:val="24"/>
          <w:szCs w:val="24"/>
        </w:rPr>
        <w:t xml:space="preserve">cally significant, with p = 0.238, which is greater than the accepted significance level of 0.05. Therefore, the hypothesis that perceived trust significantly influences digital payment preference was not supported. This finding suggests that, within this </w:t>
      </w:r>
      <w:r>
        <w:rPr>
          <w:rFonts w:ascii="Times New Roman" w:hAnsi="Times New Roman" w:cs="Times New Roman"/>
          <w:color w:val="000000" w:themeColor="text1"/>
          <w:sz w:val="24"/>
          <w:szCs w:val="24"/>
        </w:rPr>
        <w:t>sample, respondents may already assume that most digital payment providers are trustworthy. As a result, trust may not act as a strong deciding factor when choosing between payment methods. Instead, users may consider trust as a basic requirement that ever</w:t>
      </w:r>
      <w:r>
        <w:rPr>
          <w:rFonts w:ascii="Times New Roman" w:hAnsi="Times New Roman" w:cs="Times New Roman"/>
          <w:color w:val="000000" w:themeColor="text1"/>
          <w:sz w:val="24"/>
          <w:szCs w:val="24"/>
        </w:rPr>
        <w:t>y payment provider must already have.</w:t>
      </w:r>
    </w:p>
    <w:p w:rsidR="00012B7C" w:rsidRDefault="00602F41">
      <w:pPr>
        <w:spacing w:line="360" w:lineRule="auto"/>
        <w:jc w:val="both"/>
        <w:rPr>
          <w:rFonts w:ascii="Times New Roman" w:eastAsia="Times New Roman" w:hAnsi="Times New Roman" w:cs="Times New Roman"/>
          <w:b/>
          <w:bCs/>
          <w:color w:val="000000" w:themeColor="text1"/>
          <w:sz w:val="24"/>
          <w:szCs w:val="24"/>
        </w:rPr>
      </w:pPr>
      <w:r>
        <w:rPr>
          <w:rStyle w:val="Strong"/>
          <w:rFonts w:ascii="Times New Roman" w:hAnsi="Times New Roman" w:cs="Times New Roman"/>
          <w:color w:val="000000" w:themeColor="text1"/>
          <w:sz w:val="24"/>
          <w:szCs w:val="24"/>
        </w:rPr>
        <w:t>H2:</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There is a significant association between the security provided by a digital payment provider and the likelihood of customers choosing that provider over others.</w:t>
      </w:r>
    </w:p>
    <w:p w:rsidR="00012B7C" w:rsidRDefault="00012B7C">
      <w:pPr>
        <w:spacing w:after="0" w:line="360" w:lineRule="auto"/>
        <w:jc w:val="center"/>
        <w:textAlignment w:val="baseline"/>
        <w:rPr>
          <w:rFonts w:ascii="Times New Roman" w:eastAsia="Times New Roman" w:hAnsi="Times New Roman" w:cs="Times New Roman"/>
          <w:b/>
          <w:bCs/>
          <w:color w:val="000000" w:themeColor="text1"/>
          <w:sz w:val="24"/>
          <w:szCs w:val="24"/>
        </w:rPr>
      </w:pPr>
    </w:p>
    <w:p w:rsidR="00012B7C" w:rsidRDefault="00012B7C">
      <w:pPr>
        <w:spacing w:after="0" w:line="360" w:lineRule="auto"/>
        <w:jc w:val="center"/>
        <w:textAlignment w:val="baseline"/>
        <w:rPr>
          <w:rFonts w:ascii="Times New Roman" w:eastAsia="Times New Roman" w:hAnsi="Times New Roman" w:cs="Times New Roman"/>
          <w:b/>
          <w:bCs/>
          <w:color w:val="000000" w:themeColor="text1"/>
          <w:sz w:val="24"/>
          <w:szCs w:val="24"/>
        </w:rPr>
      </w:pPr>
    </w:p>
    <w:p w:rsidR="00012B7C" w:rsidRDefault="00012B7C">
      <w:pPr>
        <w:spacing w:after="0" w:line="360" w:lineRule="auto"/>
        <w:jc w:val="center"/>
        <w:textAlignment w:val="baseline"/>
        <w:rPr>
          <w:rFonts w:ascii="Times New Roman" w:eastAsia="Times New Roman" w:hAnsi="Times New Roman" w:cs="Times New Roman"/>
          <w:b/>
          <w:bCs/>
          <w:color w:val="000000" w:themeColor="text1"/>
          <w:sz w:val="24"/>
          <w:szCs w:val="24"/>
        </w:rPr>
      </w:pPr>
    </w:p>
    <w:p w:rsidR="00012B7C" w:rsidRDefault="00012B7C">
      <w:pPr>
        <w:spacing w:after="0" w:line="360" w:lineRule="auto"/>
        <w:jc w:val="center"/>
        <w:textAlignment w:val="baseline"/>
        <w:rPr>
          <w:rFonts w:ascii="Times New Roman" w:eastAsia="Times New Roman" w:hAnsi="Times New Roman" w:cs="Times New Roman"/>
          <w:b/>
          <w:bCs/>
          <w:color w:val="000000" w:themeColor="text1"/>
          <w:sz w:val="24"/>
          <w:szCs w:val="24"/>
        </w:rPr>
      </w:pPr>
    </w:p>
    <w:p w:rsidR="00012B7C" w:rsidRDefault="00012B7C">
      <w:pPr>
        <w:spacing w:after="0" w:line="360" w:lineRule="auto"/>
        <w:jc w:val="center"/>
        <w:textAlignment w:val="baseline"/>
        <w:rPr>
          <w:rFonts w:ascii="Times New Roman" w:eastAsia="Times New Roman" w:hAnsi="Times New Roman" w:cs="Times New Roman"/>
          <w:b/>
          <w:bCs/>
          <w:color w:val="000000" w:themeColor="text1"/>
          <w:sz w:val="24"/>
          <w:szCs w:val="24"/>
        </w:rPr>
      </w:pPr>
    </w:p>
    <w:p w:rsidR="00012B7C" w:rsidRDefault="00012B7C">
      <w:pPr>
        <w:spacing w:after="0" w:line="360" w:lineRule="auto"/>
        <w:jc w:val="center"/>
        <w:textAlignment w:val="baseline"/>
        <w:rPr>
          <w:rFonts w:ascii="Times New Roman" w:eastAsia="Times New Roman" w:hAnsi="Times New Roman" w:cs="Times New Roman"/>
          <w:b/>
          <w:bCs/>
          <w:color w:val="000000" w:themeColor="text1"/>
          <w:sz w:val="24"/>
          <w:szCs w:val="24"/>
        </w:rPr>
      </w:pPr>
    </w:p>
    <w:p w:rsidR="00012B7C" w:rsidRDefault="00602F41">
      <w:pPr>
        <w:spacing w:after="0" w:line="360" w:lineRule="auto"/>
        <w:jc w:val="center"/>
        <w:textAlignment w:val="baseline"/>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Table 5: </w:t>
      </w:r>
      <w:r>
        <w:rPr>
          <w:rFonts w:ascii="Times New Roman" w:eastAsia="Times New Roman" w:hAnsi="Times New Roman"/>
          <w:b/>
          <w:bCs/>
          <w:color w:val="0D0D0D"/>
          <w:sz w:val="24"/>
          <w:szCs w:val="24"/>
        </w:rPr>
        <w:t xml:space="preserve">Regression Analysis- Model 2and </w:t>
      </w:r>
      <w:r>
        <w:rPr>
          <w:rFonts w:ascii="Times New Roman" w:eastAsia="Times New Roman" w:hAnsi="Times New Roman"/>
          <w:b/>
          <w:bCs/>
          <w:color w:val="0D0D0D"/>
          <w:sz w:val="24"/>
          <w:szCs w:val="24"/>
        </w:rPr>
        <w:t>Summary</w:t>
      </w:r>
    </w:p>
    <w:tbl>
      <w:tblPr>
        <w:tblW w:w="6630" w:type="dxa"/>
        <w:tblInd w:w="13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1185"/>
        <w:gridCol w:w="1185"/>
        <w:gridCol w:w="1695"/>
        <w:gridCol w:w="1725"/>
      </w:tblGrid>
      <w:tr w:rsidR="00012B7C">
        <w:trPr>
          <w:trHeight w:val="300"/>
        </w:trPr>
        <w:tc>
          <w:tcPr>
            <w:tcW w:w="663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val="en-GB"/>
              </w:rPr>
              <w:t>Model 2 Summary</w:t>
            </w:r>
          </w:p>
        </w:tc>
      </w:tr>
      <w:tr w:rsidR="00012B7C">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Model</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R</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R Square</w:t>
            </w:r>
          </w:p>
        </w:tc>
        <w:tc>
          <w:tcPr>
            <w:tcW w:w="169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Adjusted R Square</w:t>
            </w:r>
          </w:p>
        </w:tc>
        <w:tc>
          <w:tcPr>
            <w:tcW w:w="172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Std. Error of the Estimate</w:t>
            </w:r>
          </w:p>
        </w:tc>
      </w:tr>
      <w:tr w:rsidR="00012B7C">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.031</w:t>
            </w:r>
            <w:r>
              <w:rPr>
                <w:rFonts w:ascii="Times New Roman" w:eastAsia="Times New Roman" w:hAnsi="Times New Roman" w:cs="Times New Roman"/>
                <w:color w:val="000000" w:themeColor="text1"/>
                <w:sz w:val="24"/>
                <w:szCs w:val="24"/>
                <w:vertAlign w:val="superscript"/>
                <w:lang w:val="en-GB"/>
              </w:rPr>
              <w:t>a</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.001</w:t>
            </w:r>
          </w:p>
        </w:tc>
        <w:tc>
          <w:tcPr>
            <w:tcW w:w="169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-.007</w:t>
            </w:r>
          </w:p>
        </w:tc>
        <w:tc>
          <w:tcPr>
            <w:tcW w:w="172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1.300</w:t>
            </w:r>
          </w:p>
        </w:tc>
      </w:tr>
      <w:tr w:rsidR="00012B7C">
        <w:trPr>
          <w:trHeight w:val="300"/>
        </w:trPr>
        <w:tc>
          <w:tcPr>
            <w:tcW w:w="6630" w:type="dxa"/>
            <w:gridSpan w:val="5"/>
            <w:tcBorders>
              <w:top w:val="single" w:sz="6" w:space="0" w:color="auto"/>
              <w:left w:val="single" w:sz="6" w:space="0" w:color="auto"/>
              <w:bottom w:val="single" w:sz="6" w:space="0" w:color="auto"/>
              <w:right w:val="single" w:sz="6" w:space="0" w:color="auto"/>
            </w:tcBorders>
            <w:shd w:val="clear" w:color="auto" w:fill="FFFFFF"/>
          </w:tcPr>
          <w:p w:rsidR="00012B7C" w:rsidRDefault="00602F41">
            <w:pPr>
              <w:spacing w:after="0" w:line="360" w:lineRule="auto"/>
              <w:ind w:left="60" w:right="6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a. Predictors: (Constant), Security</w:t>
            </w:r>
          </w:p>
        </w:tc>
      </w:tr>
    </w:tbl>
    <w:p w:rsidR="00012B7C" w:rsidRDefault="00602F41" w:rsidP="004427DE">
      <w:pPr>
        <w:spacing w:before="100" w:beforeAutospacing="1" w:after="100" w:afterAutospacing="1" w:line="15" w:lineRule="auto"/>
        <w:ind w:firstLineChars="550" w:firstLine="1325"/>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Source: Computed data</w:t>
      </w:r>
    </w:p>
    <w:p w:rsidR="00012B7C" w:rsidRDefault="00602F41">
      <w:pPr>
        <w:spacing w:before="100" w:beforeAutospacing="1" w:after="100" w:afterAutospacing="1" w:line="360" w:lineRule="auto"/>
        <w:jc w:val="center"/>
        <w:rPr>
          <w:rFonts w:ascii="Times New Roman" w:eastAsia="Times New Roman" w:hAnsi="Times New Roman"/>
          <w:b/>
          <w:bCs/>
          <w:color w:val="0D0D0D"/>
          <w:sz w:val="24"/>
          <w:szCs w:val="24"/>
        </w:rPr>
      </w:pPr>
      <w:r>
        <w:rPr>
          <w:rFonts w:ascii="Times New Roman" w:eastAsia="Times New Roman" w:hAnsi="Times New Roman"/>
          <w:b/>
          <w:bCs/>
          <w:color w:val="0D0D0D"/>
          <w:sz w:val="24"/>
          <w:szCs w:val="24"/>
        </w:rPr>
        <w:t xml:space="preserve">Table 6: Results of Anova for Model 2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1350"/>
        <w:gridCol w:w="1695"/>
        <w:gridCol w:w="1185"/>
        <w:gridCol w:w="1545"/>
        <w:gridCol w:w="1185"/>
        <w:gridCol w:w="1200"/>
      </w:tblGrid>
      <w:tr w:rsidR="00012B7C">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lang w:val="en-GB"/>
              </w:rPr>
              <w:t>ANOVA</w:t>
            </w:r>
            <w:r>
              <w:rPr>
                <w:rFonts w:ascii="Times New Roman" w:eastAsia="Times New Roman" w:hAnsi="Times New Roman" w:cs="Times New Roman"/>
                <w:b/>
                <w:bCs/>
                <w:color w:val="000000"/>
                <w:sz w:val="24"/>
                <w:szCs w:val="24"/>
                <w:vertAlign w:val="superscript"/>
                <w:lang w:val="en-GB"/>
              </w:rPr>
              <w:t>a</w:t>
            </w:r>
            <w:r>
              <w:rPr>
                <w:rFonts w:ascii="Times New Roman" w:eastAsia="Times New Roman" w:hAnsi="Times New Roman" w:cs="Times New Roman"/>
                <w:color w:val="000000"/>
                <w:sz w:val="24"/>
                <w:szCs w:val="24"/>
              </w:rPr>
              <w:t> </w:t>
            </w:r>
          </w:p>
        </w:tc>
      </w:tr>
      <w:tr w:rsidR="00012B7C">
        <w:trPr>
          <w:trHeight w:val="300"/>
        </w:trPr>
        <w:tc>
          <w:tcPr>
            <w:tcW w:w="219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Model</w:t>
            </w:r>
            <w:r>
              <w:rPr>
                <w:rFonts w:ascii="Times New Roman" w:eastAsia="Times New Roman" w:hAnsi="Times New Roman" w:cs="Times New Roman"/>
                <w:color w:val="000000"/>
                <w:sz w:val="24"/>
                <w:szCs w:val="24"/>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Sum of Squares</w:t>
            </w:r>
            <w:r>
              <w:rPr>
                <w:rFonts w:ascii="Times New Roman" w:eastAsia="Times New Roman" w:hAnsi="Times New Roman" w:cs="Times New Roman"/>
                <w:color w:val="000000"/>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df</w:t>
            </w:r>
          </w:p>
        </w:tc>
        <w:tc>
          <w:tcPr>
            <w:tcW w:w="154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 xml:space="preserve">Mean </w:t>
            </w:r>
            <w:r>
              <w:rPr>
                <w:rFonts w:ascii="Times New Roman" w:eastAsia="Times New Roman" w:hAnsi="Times New Roman" w:cs="Times New Roman"/>
                <w:color w:val="000000"/>
                <w:sz w:val="24"/>
                <w:szCs w:val="24"/>
                <w:lang w:val="en-GB"/>
              </w:rPr>
              <w:t>Square</w:t>
            </w:r>
            <w:r>
              <w:rPr>
                <w:rFonts w:ascii="Times New Roman" w:eastAsia="Times New Roman" w:hAnsi="Times New Roman" w:cs="Times New Roman"/>
                <w:color w:val="000000"/>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F</w:t>
            </w:r>
            <w:r>
              <w:rPr>
                <w:rFonts w:ascii="Times New Roman" w:eastAsia="Times New Roman" w:hAnsi="Times New Roman" w:cs="Times New Roman"/>
                <w:color w:val="000000"/>
                <w:sz w:val="24"/>
                <w:szCs w:val="24"/>
              </w:rPr>
              <w:t> </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bottom"/>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Sig.</w:t>
            </w:r>
            <w:r>
              <w:rPr>
                <w:rFonts w:ascii="Times New Roman" w:eastAsia="Times New Roman" w:hAnsi="Times New Roman" w:cs="Times New Roman"/>
                <w:color w:val="000000"/>
                <w:sz w:val="24"/>
                <w:szCs w:val="24"/>
              </w:rPr>
              <w:t> </w:t>
            </w:r>
          </w:p>
        </w:tc>
      </w:tr>
      <w:tr w:rsidR="00012B7C">
        <w:trPr>
          <w:trHeight w:val="300"/>
        </w:trPr>
        <w:tc>
          <w:tcPr>
            <w:tcW w:w="840" w:type="dxa"/>
            <w:vMerge w:val="restart"/>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50" w:type="dxa"/>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Regression</w:t>
            </w:r>
            <w:r>
              <w:rPr>
                <w:rFonts w:ascii="Times New Roman" w:eastAsia="Times New Roman" w:hAnsi="Times New Roman" w:cs="Times New Roman"/>
                <w:color w:val="000000"/>
                <w:sz w:val="24"/>
                <w:szCs w:val="24"/>
              </w:rPr>
              <w:t> </w:t>
            </w:r>
          </w:p>
        </w:tc>
        <w:tc>
          <w:tcPr>
            <w:tcW w:w="169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 </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1</w:t>
            </w:r>
            <w:r>
              <w:rPr>
                <w:rFonts w:ascii="Times New Roman" w:eastAsia="Times New Roman" w:hAnsi="Times New Roman" w:cs="Times New Roman"/>
                <w:color w:val="000000"/>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 </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 </w:t>
            </w:r>
          </w:p>
        </w:tc>
        <w:tc>
          <w:tcPr>
            <w:tcW w:w="1200"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.732</w:t>
            </w:r>
            <w:r>
              <w:rPr>
                <w:rFonts w:ascii="Times New Roman" w:eastAsia="Times New Roman" w:hAnsi="Times New Roman" w:cs="Times New Roman"/>
                <w:color w:val="000000"/>
                <w:sz w:val="24"/>
                <w:szCs w:val="24"/>
                <w:vertAlign w:val="superscript"/>
                <w:lang w:val="en-GB"/>
              </w:rPr>
              <w:t>b</w:t>
            </w:r>
            <w:r>
              <w:rPr>
                <w:rFonts w:ascii="Times New Roman" w:eastAsia="Times New Roman" w:hAnsi="Times New Roman" w:cs="Times New Roman"/>
                <w:color w:val="000000"/>
                <w:sz w:val="24"/>
                <w:szCs w:val="24"/>
              </w:rPr>
              <w:t> </w:t>
            </w:r>
          </w:p>
        </w:tc>
      </w:tr>
      <w:tr w:rsidR="00012B7C">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rsidR="00012B7C" w:rsidRDefault="00012B7C">
            <w:pPr>
              <w:spacing w:after="0" w:line="360" w:lineRule="auto"/>
              <w:rPr>
                <w:rFonts w:ascii="Times New Roman" w:eastAsia="Times New Roman" w:hAnsi="Times New Roman" w:cs="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Residual</w:t>
            </w:r>
            <w:r>
              <w:rPr>
                <w:rFonts w:ascii="Times New Roman" w:eastAsia="Times New Roman" w:hAnsi="Times New Roman" w:cs="Times New Roman"/>
                <w:color w:val="000000"/>
                <w:sz w:val="24"/>
                <w:szCs w:val="24"/>
              </w:rPr>
              <w:t> </w:t>
            </w:r>
          </w:p>
        </w:tc>
        <w:tc>
          <w:tcPr>
            <w:tcW w:w="169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213.043</w:t>
            </w:r>
            <w:r>
              <w:rPr>
                <w:rFonts w:ascii="Times New Roman" w:eastAsia="Times New Roman" w:hAnsi="Times New Roman" w:cs="Times New Roman"/>
                <w:color w:val="000000"/>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126</w:t>
            </w:r>
            <w:r>
              <w:rPr>
                <w:rFonts w:ascii="Times New Roman" w:eastAsia="Times New Roman" w:hAnsi="Times New Roman" w:cs="Times New Roman"/>
                <w:color w:val="000000"/>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1.691</w:t>
            </w:r>
          </w:p>
        </w:tc>
        <w:tc>
          <w:tcPr>
            <w:tcW w:w="1185"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00"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12B7C">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rsidR="00012B7C" w:rsidRDefault="00012B7C">
            <w:pPr>
              <w:spacing w:after="0" w:line="360" w:lineRule="auto"/>
              <w:rPr>
                <w:rFonts w:ascii="Times New Roman" w:eastAsia="Times New Roman" w:hAnsi="Times New Roman" w:cs="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E0E0E0"/>
          </w:tcPr>
          <w:p w:rsidR="00012B7C" w:rsidRDefault="00602F41">
            <w:pPr>
              <w:spacing w:after="0" w:line="360" w:lineRule="auto"/>
              <w:ind w:left="60" w:right="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Total</w:t>
            </w:r>
            <w:r>
              <w:rPr>
                <w:rFonts w:ascii="Times New Roman" w:eastAsia="Times New Roman" w:hAnsi="Times New Roman" w:cs="Times New Roman"/>
                <w:color w:val="000000"/>
                <w:sz w:val="24"/>
                <w:szCs w:val="24"/>
              </w:rPr>
              <w:t> </w:t>
            </w:r>
          </w:p>
        </w:tc>
        <w:tc>
          <w:tcPr>
            <w:tcW w:w="169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213.242</w:t>
            </w:r>
            <w:r>
              <w:rPr>
                <w:rFonts w:ascii="Times New Roman" w:eastAsia="Times New Roman" w:hAnsi="Times New Roman" w:cs="Times New Roman"/>
                <w:color w:val="000000"/>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9F9FB"/>
          </w:tcPr>
          <w:p w:rsidR="00012B7C" w:rsidRDefault="00602F41">
            <w:pPr>
              <w:spacing w:after="0" w:line="360" w:lineRule="auto"/>
              <w:ind w:left="60" w:right="6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127</w:t>
            </w:r>
            <w:r>
              <w:rPr>
                <w:rFonts w:ascii="Times New Roman" w:eastAsia="Times New Roman" w:hAnsi="Times New Roman" w:cs="Times New Roman"/>
                <w:color w:val="000000"/>
                <w:sz w:val="24"/>
                <w:szCs w:val="24"/>
              </w:rPr>
              <w:t> </w:t>
            </w:r>
          </w:p>
        </w:tc>
        <w:tc>
          <w:tcPr>
            <w:tcW w:w="1545"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5"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00" w:type="dxa"/>
            <w:tcBorders>
              <w:top w:val="single" w:sz="6" w:space="0" w:color="auto"/>
              <w:left w:val="single" w:sz="6" w:space="0" w:color="auto"/>
              <w:bottom w:val="single" w:sz="6" w:space="0" w:color="auto"/>
              <w:right w:val="single" w:sz="6" w:space="0" w:color="auto"/>
            </w:tcBorders>
            <w:shd w:val="clear" w:color="auto" w:fill="F9F9FB"/>
            <w:vAlign w:val="center"/>
          </w:tcPr>
          <w:p w:rsidR="00012B7C" w:rsidRDefault="00602F41">
            <w:pPr>
              <w:spacing w:after="0" w:line="36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12B7C">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FFFFF"/>
          </w:tcPr>
          <w:p w:rsidR="00012B7C" w:rsidRDefault="00602F41">
            <w:pPr>
              <w:spacing w:after="0" w:line="360" w:lineRule="auto"/>
              <w:ind w:left="60" w:right="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a. Dependent Variable: Preferred Digital Payment</w:t>
            </w:r>
            <w:r>
              <w:rPr>
                <w:rFonts w:ascii="Times New Roman" w:eastAsia="Times New Roman" w:hAnsi="Times New Roman" w:cs="Times New Roman"/>
                <w:color w:val="000000"/>
                <w:sz w:val="24"/>
                <w:szCs w:val="24"/>
              </w:rPr>
              <w:t> </w:t>
            </w:r>
          </w:p>
        </w:tc>
      </w:tr>
      <w:tr w:rsidR="00012B7C">
        <w:trPr>
          <w:trHeight w:val="300"/>
        </w:trPr>
        <w:tc>
          <w:tcPr>
            <w:tcW w:w="9000" w:type="dxa"/>
            <w:gridSpan w:val="7"/>
            <w:tcBorders>
              <w:top w:val="single" w:sz="6" w:space="0" w:color="auto"/>
              <w:left w:val="single" w:sz="6" w:space="0" w:color="auto"/>
              <w:bottom w:val="single" w:sz="6" w:space="0" w:color="auto"/>
              <w:right w:val="single" w:sz="6" w:space="0" w:color="auto"/>
            </w:tcBorders>
            <w:shd w:val="clear" w:color="auto" w:fill="FFFFFF"/>
          </w:tcPr>
          <w:p w:rsidR="00012B7C" w:rsidRDefault="00602F41">
            <w:pPr>
              <w:spacing w:after="0" w:line="360" w:lineRule="auto"/>
              <w:ind w:left="60" w:right="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GB"/>
              </w:rPr>
              <w:t>b. Predictors: (Constant), Security</w:t>
            </w:r>
          </w:p>
        </w:tc>
      </w:tr>
    </w:tbl>
    <w:p w:rsidR="00012B7C" w:rsidRDefault="00602F41">
      <w:pPr>
        <w:spacing w:after="0" w:line="36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Source: Computed data</w:t>
      </w:r>
      <w:r>
        <w:rPr>
          <w:rFonts w:ascii="Times New Roman" w:eastAsia="Times New Roman" w:hAnsi="Times New Roman" w:cs="Times New Roman"/>
          <w:color w:val="000000" w:themeColor="text1"/>
          <w:sz w:val="24"/>
          <w:szCs w:val="24"/>
        </w:rPr>
        <w:t> </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regression result for security </w:t>
      </w:r>
      <w:r>
        <w:rPr>
          <w:rFonts w:ascii="Times New Roman" w:hAnsi="Times New Roman" w:cs="Times New Roman"/>
          <w:color w:val="000000" w:themeColor="text1"/>
          <w:sz w:val="24"/>
          <w:szCs w:val="24"/>
        </w:rPr>
        <w:t xml:space="preserve">in table 5 and 6 </w:t>
      </w:r>
      <w:r>
        <w:rPr>
          <w:rFonts w:ascii="Times New Roman" w:hAnsi="Times New Roman" w:cs="Times New Roman"/>
          <w:color w:val="000000" w:themeColor="text1"/>
          <w:sz w:val="24"/>
          <w:szCs w:val="24"/>
        </w:rPr>
        <w:t>also show</w:t>
      </w:r>
      <w:r>
        <w:rPr>
          <w:rFonts w:ascii="Times New Roman" w:hAnsi="Times New Roman" w:cs="Times New Roman"/>
          <w:color w:val="000000" w:themeColor="text1"/>
          <w:sz w:val="24"/>
          <w:szCs w:val="24"/>
        </w:rPr>
        <w:t xml:space="preserve">ed </w:t>
      </w:r>
      <w:r>
        <w:rPr>
          <w:rFonts w:ascii="Times New Roman" w:hAnsi="Times New Roman" w:cs="Times New Roman"/>
          <w:color w:val="000000" w:themeColor="text1"/>
          <w:sz w:val="24"/>
          <w:szCs w:val="24"/>
        </w:rPr>
        <w:t>a very weak relationship with preferred digital payment method. The R value was 0.031, indicating an almost negligible association between perceived security and payment preference. The R Squa</w:t>
      </w:r>
      <w:r>
        <w:rPr>
          <w:rFonts w:ascii="Times New Roman" w:hAnsi="Times New Roman" w:cs="Times New Roman"/>
          <w:color w:val="000000" w:themeColor="text1"/>
          <w:sz w:val="24"/>
          <w:szCs w:val="24"/>
        </w:rPr>
        <w:t>re value was 0.001, meaning that security explained only 0.1% of the variation in digital payment preference. The model was statistically insignificant, with p = 0.732, which is greater than 0.05. Therefore, the hypothesis that perceived security significa</w:t>
      </w:r>
      <w:r>
        <w:rPr>
          <w:rFonts w:ascii="Times New Roman" w:hAnsi="Times New Roman" w:cs="Times New Roman"/>
          <w:color w:val="000000" w:themeColor="text1"/>
          <w:sz w:val="24"/>
          <w:szCs w:val="24"/>
        </w:rPr>
        <w:t>ntly influences digital payment preference was not supported. This means that perceived security did not significantly predict respondents’ choice of digital payment method in this study. However, this does not mean that security is unimportant. Rather, it</w:t>
      </w:r>
      <w:r>
        <w:rPr>
          <w:rFonts w:ascii="Times New Roman" w:hAnsi="Times New Roman" w:cs="Times New Roman"/>
          <w:color w:val="000000" w:themeColor="text1"/>
          <w:sz w:val="24"/>
          <w:szCs w:val="24"/>
        </w:rPr>
        <w:t xml:space="preserve"> may indicate that respondents expect all major payment methods to provide a minimum level of security. Therefore, security may be viewed as a standard feature instead of a factor that influences preference.</w:t>
      </w:r>
    </w:p>
    <w:p w:rsidR="00012B7C" w:rsidRDefault="00602F41">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 Discussion</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findings of this study differ from much of the previous literature, where trust and security are often identified as important factors influencing digital payment adoption. Prior studies suggest that users are more likely to adopt digital payment syste</w:t>
      </w:r>
      <w:r>
        <w:rPr>
          <w:rFonts w:ascii="Times New Roman" w:hAnsi="Times New Roman" w:cs="Times New Roman"/>
          <w:color w:val="000000" w:themeColor="text1"/>
          <w:sz w:val="24"/>
          <w:szCs w:val="24"/>
        </w:rPr>
        <w:t xml:space="preserve">ms when they trust the provider and perceive the system as secure (Kim et al., 2010; Oliveira et al., 2016). However, the present study found that neither trust nor security had a statistically significant influence on payment preference among the sampled </w:t>
      </w:r>
      <w:r>
        <w:rPr>
          <w:rFonts w:ascii="Times New Roman" w:hAnsi="Times New Roman" w:cs="Times New Roman"/>
          <w:color w:val="000000" w:themeColor="text1"/>
          <w:sz w:val="24"/>
          <w:szCs w:val="24"/>
        </w:rPr>
        <w:t>users in Muscat. One possible explanation is that this study focuses on payment preference among existing digital payment users rather than initial adoption intention. For first-time users, trust and security may reduce fear and uncertainty, but among exis</w:t>
      </w:r>
      <w:r>
        <w:rPr>
          <w:rFonts w:ascii="Times New Roman" w:hAnsi="Times New Roman" w:cs="Times New Roman"/>
          <w:color w:val="000000" w:themeColor="text1"/>
          <w:sz w:val="24"/>
          <w:szCs w:val="24"/>
        </w:rPr>
        <w:t xml:space="preserve">ting users, these factors may become baseline expectations. </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Another possible explanation is that Oman’s banking and payment environment is relatively regulated. Users may believe that banks, card networks, and payment service providers already follow mini</w:t>
      </w:r>
      <w:r>
        <w:rPr>
          <w:rFonts w:ascii="Times New Roman" w:hAnsi="Times New Roman" w:cs="Times New Roman"/>
          <w:color w:val="000000" w:themeColor="text1"/>
          <w:sz w:val="24"/>
          <w:szCs w:val="24"/>
        </w:rPr>
        <w:t>mum security standards. This reflects the idea of institution-based trust, where confidence is placed in the wider system rather than only in an individual provider (McKnight et al., 2002). As digital payment use becomes more routine, users may rely more o</w:t>
      </w:r>
      <w:r>
        <w:rPr>
          <w:rFonts w:ascii="Times New Roman" w:hAnsi="Times New Roman" w:cs="Times New Roman"/>
          <w:color w:val="000000" w:themeColor="text1"/>
          <w:sz w:val="24"/>
          <w:szCs w:val="24"/>
        </w:rPr>
        <w:t>n habit, convenience, usability, and service value when choosing payment methods (Venkatesh et al., 2012; Oliveira et al., 2016).</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demographic profile of the sample may also have influenced the findings. Most respondents were young adults, especially th</w:t>
      </w:r>
      <w:r>
        <w:rPr>
          <w:rFonts w:ascii="Times New Roman" w:hAnsi="Times New Roman" w:cs="Times New Roman"/>
          <w:color w:val="000000" w:themeColor="text1"/>
          <w:sz w:val="24"/>
          <w:szCs w:val="24"/>
        </w:rPr>
        <w:t>ose aged 21–30, and the sample was highly female-dominated. Younger users are often more familiar with digital technologies and may feel more confident using online and mobile payment systems. As a result, they may be less sensitive to trust and security c</w:t>
      </w:r>
      <w:r>
        <w:rPr>
          <w:rFonts w:ascii="Times New Roman" w:hAnsi="Times New Roman" w:cs="Times New Roman"/>
          <w:color w:val="000000" w:themeColor="text1"/>
          <w:sz w:val="24"/>
          <w:szCs w:val="24"/>
        </w:rPr>
        <w:t>oncerns compared to older or less digitally experienced users. Therefore, the findings should be interpreted carefully and should not be generalized to the entire Omani population.</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low R Square values also indicate that the model has weak explanatory p</w:t>
      </w:r>
      <w:r>
        <w:rPr>
          <w:rFonts w:ascii="Times New Roman" w:hAnsi="Times New Roman" w:cs="Times New Roman"/>
          <w:color w:val="000000" w:themeColor="text1"/>
          <w:sz w:val="24"/>
          <w:szCs w:val="24"/>
        </w:rPr>
        <w:t xml:space="preserve">ower. Trust and security explained only a very small portion of the variation in payment preference. This suggests that other variables not included in the study may be more important in explaining digital payment preference. Future studies should include </w:t>
      </w:r>
      <w:r>
        <w:rPr>
          <w:rFonts w:ascii="Times New Roman" w:hAnsi="Times New Roman" w:cs="Times New Roman"/>
          <w:color w:val="000000" w:themeColor="text1"/>
          <w:sz w:val="24"/>
          <w:szCs w:val="24"/>
        </w:rPr>
        <w:t>factors such as perceived usefulness, perceived ease of use, transaction speed, service reliability, promotional offers, social influence, merchant acceptance, and user satisfaction. Overall, the results suggest that trust and security remain important fou</w:t>
      </w:r>
      <w:r>
        <w:rPr>
          <w:rFonts w:ascii="Times New Roman" w:hAnsi="Times New Roman" w:cs="Times New Roman"/>
          <w:color w:val="000000" w:themeColor="text1"/>
          <w:sz w:val="24"/>
          <w:szCs w:val="24"/>
        </w:rPr>
        <w:t xml:space="preserve">ndations of digital payment systems, but they may not be the strongest factors influencing payment preference among users who already use digital payments. For </w:t>
      </w:r>
      <w:r>
        <w:rPr>
          <w:rFonts w:ascii="Times New Roman" w:hAnsi="Times New Roman" w:cs="Times New Roman"/>
          <w:color w:val="000000" w:themeColor="text1"/>
          <w:sz w:val="24"/>
          <w:szCs w:val="24"/>
        </w:rPr>
        <w:lastRenderedPageBreak/>
        <w:t>payment providers, this means that maintaining trust and security is still essential, but compet</w:t>
      </w:r>
      <w:r>
        <w:rPr>
          <w:rFonts w:ascii="Times New Roman" w:hAnsi="Times New Roman" w:cs="Times New Roman"/>
          <w:color w:val="000000" w:themeColor="text1"/>
          <w:sz w:val="24"/>
          <w:szCs w:val="24"/>
        </w:rPr>
        <w:t>itive advantage may depend more on improving user experience, transaction convenience, platform reliability, and value-added services. The regression analysis showed that both hypotheses were rejected. Trust did not significantly influence preferred digita</w:t>
      </w:r>
      <w:r>
        <w:rPr>
          <w:rFonts w:ascii="Times New Roman" w:hAnsi="Times New Roman" w:cs="Times New Roman"/>
          <w:color w:val="000000" w:themeColor="text1"/>
          <w:sz w:val="24"/>
          <w:szCs w:val="24"/>
        </w:rPr>
        <w:t>l payment method, as the relationship was weak and statistically insignificant. Similarly, security did not significantly influence preferred digital payment method. These findings suggest that trust and security may be considered basic expectations by res</w:t>
      </w:r>
      <w:r>
        <w:rPr>
          <w:rFonts w:ascii="Times New Roman" w:hAnsi="Times New Roman" w:cs="Times New Roman"/>
          <w:color w:val="000000" w:themeColor="text1"/>
          <w:sz w:val="24"/>
          <w:szCs w:val="24"/>
        </w:rPr>
        <w:t>pondents rather than direct predictors of payment preference. The results also indicate that other factors beyond trust and security are likely to have stronger influence on users’ choice of digital payment method.</w:t>
      </w:r>
    </w:p>
    <w:p w:rsidR="00012B7C" w:rsidRDefault="00602F41">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 Conclusion</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study investigated the</w:t>
      </w:r>
      <w:r>
        <w:rPr>
          <w:rFonts w:ascii="Times New Roman" w:hAnsi="Times New Roman" w:cs="Times New Roman"/>
          <w:color w:val="000000" w:themeColor="text1"/>
          <w:sz w:val="24"/>
          <w:szCs w:val="24"/>
        </w:rPr>
        <w:t xml:space="preserve"> impact of perceived trust and perceived security on digital payment preference among users in Muscat, Oman. Based on the regression analysis, both hypotheses were not supported. Perceived trust showed a very weak and statistically insignificant relationsh</w:t>
      </w:r>
      <w:r>
        <w:rPr>
          <w:rFonts w:ascii="Times New Roman" w:hAnsi="Times New Roman" w:cs="Times New Roman"/>
          <w:color w:val="000000" w:themeColor="text1"/>
          <w:sz w:val="24"/>
          <w:szCs w:val="24"/>
        </w:rPr>
        <w:t>ip with digital payment preference, with an R Square value of 0.011 and a p-value of 0.238. Similarly, perceived security showed an almost negligible and statistically insignificant relationship, with an R Square value of 0.001 and a p-value of 0.732. Ther</w:t>
      </w:r>
      <w:r>
        <w:rPr>
          <w:rFonts w:ascii="Times New Roman" w:hAnsi="Times New Roman" w:cs="Times New Roman"/>
          <w:color w:val="000000" w:themeColor="text1"/>
          <w:sz w:val="24"/>
          <w:szCs w:val="24"/>
        </w:rPr>
        <w:t>efore, the findings indicate that trust and security did not significantly predict respondents’ preferred digital payment method in this sample. The results do not mean that trust and security are unimportant in digital payment systems. Rather, they sugges</w:t>
      </w:r>
      <w:r>
        <w:rPr>
          <w:rFonts w:ascii="Times New Roman" w:hAnsi="Times New Roman" w:cs="Times New Roman"/>
          <w:color w:val="000000" w:themeColor="text1"/>
          <w:sz w:val="24"/>
          <w:szCs w:val="24"/>
        </w:rPr>
        <w:t>t that users may already consider these factors as basic requirements that all major payment providers should satisfy. Since digital payment systems in Oman operate within a regulated financial environment, respondents may assume that formal payment platfo</w:t>
      </w:r>
      <w:r>
        <w:rPr>
          <w:rFonts w:ascii="Times New Roman" w:hAnsi="Times New Roman" w:cs="Times New Roman"/>
          <w:color w:val="000000" w:themeColor="text1"/>
          <w:sz w:val="24"/>
          <w:szCs w:val="24"/>
        </w:rPr>
        <w:t xml:space="preserve">rms already provide an acceptable level of reliability and protection. As a result, users may give greater attention to other practical factors such as convenience, speed, ease of use, availability, rewards, cashback, and merchant acceptance when choosing </w:t>
      </w:r>
      <w:r>
        <w:rPr>
          <w:rFonts w:ascii="Times New Roman" w:hAnsi="Times New Roman" w:cs="Times New Roman"/>
          <w:color w:val="000000" w:themeColor="text1"/>
          <w:sz w:val="24"/>
          <w:szCs w:val="24"/>
        </w:rPr>
        <w:t>their preferred payment method.</w:t>
      </w:r>
    </w:p>
    <w:p w:rsidR="00012B7C" w:rsidRDefault="00602F4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contributes to the literature by shifting attention from general digital payment adoption to payment preference among existing users. While previous studies often found trust and security to be important adoption f</w:t>
      </w:r>
      <w:r>
        <w:rPr>
          <w:rFonts w:ascii="Times New Roman" w:hAnsi="Times New Roman" w:cs="Times New Roman"/>
          <w:color w:val="000000" w:themeColor="text1"/>
          <w:sz w:val="24"/>
          <w:szCs w:val="24"/>
        </w:rPr>
        <w:t xml:space="preserve">actors, this research suggests that their influence may become weaker once users are already familiar with digital payment systems. This finding is useful for banks, payment service providers, and policymakers because it indicates that maintaining trust </w:t>
      </w:r>
      <w:r>
        <w:rPr>
          <w:rFonts w:ascii="Times New Roman" w:hAnsi="Times New Roman" w:cs="Times New Roman"/>
          <w:color w:val="000000" w:themeColor="text1"/>
          <w:sz w:val="24"/>
          <w:szCs w:val="24"/>
        </w:rPr>
        <w:lastRenderedPageBreak/>
        <w:t>an</w:t>
      </w:r>
      <w:r>
        <w:rPr>
          <w:rFonts w:ascii="Times New Roman" w:hAnsi="Times New Roman" w:cs="Times New Roman"/>
          <w:color w:val="000000" w:themeColor="text1"/>
          <w:sz w:val="24"/>
          <w:szCs w:val="24"/>
        </w:rPr>
        <w:t xml:space="preserve">d security remains essential, but competitive advantage may depend more on improving user experience and service value. However, the study has some limitations. The sample size was limited to 128 respondents, and the sample was not fully balanced in terms </w:t>
      </w:r>
      <w:r>
        <w:rPr>
          <w:rFonts w:ascii="Times New Roman" w:hAnsi="Times New Roman" w:cs="Times New Roman"/>
          <w:color w:val="000000" w:themeColor="text1"/>
          <w:sz w:val="24"/>
          <w:szCs w:val="24"/>
        </w:rPr>
        <w:t>of gender and age. The use of convenience and snowball sampling also limits the generalizability of the findings. In addition, the study examined only two independent variables, while digital payment preference may be affected by several other factors. Fut</w:t>
      </w:r>
      <w:r>
        <w:rPr>
          <w:rFonts w:ascii="Times New Roman" w:hAnsi="Times New Roman" w:cs="Times New Roman"/>
          <w:color w:val="000000" w:themeColor="text1"/>
          <w:sz w:val="24"/>
          <w:szCs w:val="24"/>
        </w:rPr>
        <w:t>ure studies should use a larger and more representative sample and include variables such as perceived usefulness, perceived ease of use, transaction speed, service reliability, promotional offers, social influence, merchant acceptance, and customer satisf</w:t>
      </w:r>
      <w:r>
        <w:rPr>
          <w:rFonts w:ascii="Times New Roman" w:hAnsi="Times New Roman" w:cs="Times New Roman"/>
          <w:color w:val="000000" w:themeColor="text1"/>
          <w:sz w:val="24"/>
          <w:szCs w:val="24"/>
        </w:rPr>
        <w:t>action. Future research may also apply chi-square analysis, logistic regression, or multinomial regression if the dependent variable is categorical.</w:t>
      </w:r>
    </w:p>
    <w:p w:rsidR="00012B7C" w:rsidRDefault="00012B7C">
      <w:pPr>
        <w:pStyle w:val="ListParagraph"/>
        <w:spacing w:line="360" w:lineRule="auto"/>
        <w:rPr>
          <w:rFonts w:ascii="Times New Roman" w:hAnsi="Times New Roman" w:cs="Times New Roman"/>
          <w:color w:val="000000" w:themeColor="text1"/>
          <w:sz w:val="24"/>
          <w:szCs w:val="24"/>
        </w:rPr>
      </w:pPr>
    </w:p>
    <w:p w:rsidR="00012B7C" w:rsidRDefault="00012B7C">
      <w:pPr>
        <w:pStyle w:val="ListParagraph"/>
        <w:spacing w:line="360" w:lineRule="auto"/>
        <w:rPr>
          <w:rFonts w:ascii="Times New Roman" w:hAnsi="Times New Roman" w:cs="Times New Roman"/>
          <w:color w:val="000000" w:themeColor="text1"/>
          <w:sz w:val="24"/>
          <w:szCs w:val="24"/>
        </w:rPr>
      </w:pPr>
    </w:p>
    <w:p w:rsidR="00012B7C" w:rsidRDefault="00012B7C">
      <w:pPr>
        <w:pStyle w:val="ListParagraph"/>
        <w:spacing w:line="360" w:lineRule="auto"/>
        <w:rPr>
          <w:rFonts w:ascii="Times New Roman" w:hAnsi="Times New Roman" w:cs="Times New Roman"/>
          <w:color w:val="000000" w:themeColor="text1"/>
          <w:sz w:val="24"/>
          <w:szCs w:val="24"/>
        </w:rPr>
      </w:pPr>
    </w:p>
    <w:p w:rsidR="00012B7C" w:rsidRDefault="00012B7C">
      <w:pPr>
        <w:pStyle w:val="ListParagraph"/>
        <w:spacing w:line="360" w:lineRule="auto"/>
        <w:rPr>
          <w:rFonts w:ascii="Times New Roman" w:hAnsi="Times New Roman" w:cs="Times New Roman"/>
          <w:color w:val="000000" w:themeColor="text1"/>
          <w:sz w:val="24"/>
          <w:szCs w:val="24"/>
        </w:rPr>
      </w:pPr>
    </w:p>
    <w:p w:rsidR="00012B7C" w:rsidRDefault="00012B7C">
      <w:pPr>
        <w:pStyle w:val="ListParagraph"/>
        <w:spacing w:line="360" w:lineRule="auto"/>
        <w:rPr>
          <w:rFonts w:ascii="Times New Roman" w:hAnsi="Times New Roman" w:cs="Times New Roman"/>
          <w:color w:val="000000" w:themeColor="text1"/>
          <w:sz w:val="24"/>
          <w:szCs w:val="24"/>
        </w:rPr>
      </w:pPr>
    </w:p>
    <w:p w:rsidR="00012B7C" w:rsidRDefault="00012B7C">
      <w:pPr>
        <w:pStyle w:val="ListParagraph"/>
        <w:spacing w:line="360" w:lineRule="auto"/>
        <w:rPr>
          <w:rFonts w:ascii="Times New Roman" w:hAnsi="Times New Roman" w:cs="Times New Roman"/>
          <w:color w:val="000000" w:themeColor="text1"/>
          <w:sz w:val="24"/>
          <w:szCs w:val="24"/>
        </w:rPr>
      </w:pPr>
    </w:p>
    <w:p w:rsidR="00012B7C" w:rsidRDefault="00012B7C">
      <w:pPr>
        <w:pStyle w:val="ListParagraph"/>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012B7C">
      <w:pPr>
        <w:spacing w:line="360" w:lineRule="auto"/>
        <w:rPr>
          <w:rFonts w:ascii="Times New Roman" w:hAnsi="Times New Roman" w:cs="Times New Roman"/>
          <w:color w:val="000000" w:themeColor="text1"/>
          <w:sz w:val="24"/>
          <w:szCs w:val="24"/>
        </w:rPr>
      </w:pPr>
    </w:p>
    <w:p w:rsidR="00012B7C" w:rsidRDefault="00602F41">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References </w:t>
      </w: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Almaiah, M. A., Al-Rahmi, A., Alturise, F., Hassan, L., Lutfi, A., Alrawad, </w:t>
      </w:r>
      <w:r>
        <w:rPr>
          <w:rFonts w:ascii="Times New Roman" w:hAnsi="Times New Roman" w:cs="Times New Roman"/>
          <w:color w:val="000000" w:themeColor="text1"/>
          <w:sz w:val="24"/>
          <w:szCs w:val="24"/>
        </w:rPr>
        <w:t>M., Alkhalaf, S., Al-Rahmi, W. M., Al-Sharaieh, S., &amp; Aldhyani, T. H. H. (2022). Investigating the effect of perceived security, perceived trust, and information quality on mobile payment usage through near-field communication (NFC) in Saudi Arabia. Electr</w:t>
      </w:r>
      <w:r>
        <w:rPr>
          <w:rFonts w:ascii="Times New Roman" w:hAnsi="Times New Roman" w:cs="Times New Roman"/>
          <w:color w:val="000000" w:themeColor="text1"/>
          <w:sz w:val="24"/>
          <w:szCs w:val="24"/>
        </w:rPr>
        <w:t>onics, 11(23), 3926. doi:10.3390/electronics11233926.</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Barkhordari, M., Nourollah, Z., Mashayekhi, H., Mashayekhi, Y., &amp; Ahangar, M. S. (2017). Factors influencing adoption of e-payment systems: An empirical study on Iranian customers. Information Systems </w:t>
      </w:r>
      <w:r>
        <w:rPr>
          <w:rFonts w:ascii="Times New Roman" w:hAnsi="Times New Roman" w:cs="Times New Roman"/>
          <w:color w:val="000000" w:themeColor="text1"/>
          <w:sz w:val="24"/>
          <w:szCs w:val="24"/>
        </w:rPr>
        <w:t>and e-Business Management, 15, 89–116. doi:10.1007/s10257-016-0311-1.</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Central Bank of Oman. (2024). National Payment Systems Annual Report 2024. Central Bank of Oman.</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Davis, F. D. (1989). Perceived usefulness, perceived ease of use, and user acceptance o</w:t>
      </w:r>
      <w:r>
        <w:rPr>
          <w:rFonts w:ascii="Times New Roman" w:hAnsi="Times New Roman" w:cs="Times New Roman"/>
          <w:color w:val="000000" w:themeColor="text1"/>
          <w:sz w:val="24"/>
          <w:szCs w:val="24"/>
        </w:rPr>
        <w:t>f information technology. MIS Quarterly, 13(3), 319–340. doi:10.2307/249008.</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Demirgüç-Kunt, A., Klapper, L., Singer, D., &amp; Ansar, S. (2022). The Global Findex Database 2021: Financial inclusion, digital payments, and resilience in the age of COVID-19. Wor</w:t>
      </w:r>
      <w:r>
        <w:rPr>
          <w:rFonts w:ascii="Times New Roman" w:hAnsi="Times New Roman" w:cs="Times New Roman"/>
          <w:color w:val="000000" w:themeColor="text1"/>
          <w:sz w:val="24"/>
          <w:szCs w:val="24"/>
        </w:rPr>
        <w:t>ld Bank. doi:10.1596/978-1-4648-1897-4.</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Featherman, M. S., &amp; Pavlou, P. A. (2003). Predicting e-services adoption: A perceived risk facets perspective. International Journal of Human-Computer Studies, 59(4), 451–474. doi:10.1016/S1071-5819(03)00111-3.</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Flavián, C., &amp; Guinalíu, M. (2006). Consumer trust, perceived security and privacy policy: Three basic elements of loyalty to a website. Industrial Management &amp; Data Systems, 106(5), 601–620. doi:10.1108/02635570610666403.</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Gefen, D., Karahanna, E., &amp; Stra</w:t>
      </w:r>
      <w:r>
        <w:rPr>
          <w:rFonts w:ascii="Times New Roman" w:hAnsi="Times New Roman" w:cs="Times New Roman"/>
          <w:color w:val="000000" w:themeColor="text1"/>
          <w:sz w:val="24"/>
          <w:szCs w:val="24"/>
        </w:rPr>
        <w:t>ub, D. W. (2003). Trust and TAM in online shopping: An integrated model. MIS Quarterly, 27(1), 51–90. doi:10.2307/30036519.</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Government of Oman. (n.d.). Government Digital Transformation Program 2021–2025. Oman Government Portal.</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Ghouse, S. M., Shekhar, R</w:t>
      </w:r>
      <w:r>
        <w:rPr>
          <w:rFonts w:ascii="Times New Roman" w:hAnsi="Times New Roman" w:cs="Times New Roman"/>
          <w:color w:val="000000" w:themeColor="text1"/>
          <w:sz w:val="24"/>
          <w:szCs w:val="24"/>
        </w:rPr>
        <w:t>., &amp; Chaudhary, M. (2025). Driving financial inclusion: Exploring mobile wallet adoption among rural Omani millennials. Journal of Islamic Marketing, 16(4), 1229–1257.</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Kim, C., Tao, W., Shin, N., &amp; Kim, K. S. (2010). An empirical study of customers’ perce</w:t>
      </w:r>
      <w:r>
        <w:rPr>
          <w:rFonts w:ascii="Times New Roman" w:hAnsi="Times New Roman" w:cs="Times New Roman"/>
          <w:color w:val="000000" w:themeColor="text1"/>
          <w:sz w:val="24"/>
          <w:szCs w:val="24"/>
        </w:rPr>
        <w:t>ptions of security and trust in e-payment systems. Electronic Commerce Research and Applications, 9(1), 84–95. doi:10.1016/j.elerap.2009.04.014.</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Kim, D. J., Ferrin, D. L., &amp; Rao, H. R. (2009). Trust and satisfaction, two stepping stones for successful e-c</w:t>
      </w:r>
      <w:r>
        <w:rPr>
          <w:rFonts w:ascii="Times New Roman" w:hAnsi="Times New Roman" w:cs="Times New Roman"/>
          <w:color w:val="000000" w:themeColor="text1"/>
          <w:sz w:val="24"/>
          <w:szCs w:val="24"/>
        </w:rPr>
        <w:t>ommerce relationships: A longitudinal exploration. Information Systems Research, 20(2), 237–257. doi:10.1287/isre.1080.0188.</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Liébana-Cabanillas, F., Marinković, V., Ramos de Luna, I., &amp; Kalinić, Z. (2018). Predicting the determinants of mobile payment acc</w:t>
      </w:r>
      <w:r>
        <w:rPr>
          <w:rFonts w:ascii="Times New Roman" w:hAnsi="Times New Roman" w:cs="Times New Roman"/>
          <w:color w:val="000000" w:themeColor="text1"/>
          <w:sz w:val="24"/>
          <w:szCs w:val="24"/>
        </w:rPr>
        <w:t>eptance: A hybrid SEM-neural network approach. Technological Forecasting and Social Change, 129, 117–130. doi:10.1016/j.techfore.2017.12.015.</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McKnight, D. H., Choudhury, V., &amp; Kacmar, C. (2002). Developing and validating trust measures for e-commerce: An </w:t>
      </w:r>
      <w:r>
        <w:rPr>
          <w:rFonts w:ascii="Times New Roman" w:hAnsi="Times New Roman" w:cs="Times New Roman"/>
          <w:color w:val="000000" w:themeColor="text1"/>
          <w:sz w:val="24"/>
          <w:szCs w:val="24"/>
        </w:rPr>
        <w:t>integrative typology. Information Systems Research, 13(3), 334–359. doi:10.1287/isre.13.3.334.81.</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Oliveira, T., Thomas, M. A., Baptista, G., &amp; Campos, F. (2016). Mobile payment: Understanding the determinants of customer adoption and intention to recommen</w:t>
      </w:r>
      <w:r>
        <w:rPr>
          <w:rFonts w:ascii="Times New Roman" w:hAnsi="Times New Roman" w:cs="Times New Roman"/>
          <w:color w:val="000000" w:themeColor="text1"/>
          <w:sz w:val="24"/>
          <w:szCs w:val="24"/>
        </w:rPr>
        <w:t>d the technology. Computers in Human Behavior, 61, 404–414. doi:10.1016/j.chb.2016.03.030.</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Oman Vision 2040. (n.d.). Oman Vision 2040. Sultanate of Oman.</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Shin, D. H. (2009). Towards an understanding of the consumer acceptance of mobile wallet. Computers </w:t>
      </w:r>
      <w:r>
        <w:rPr>
          <w:rFonts w:ascii="Times New Roman" w:hAnsi="Times New Roman" w:cs="Times New Roman"/>
          <w:color w:val="000000" w:themeColor="text1"/>
          <w:sz w:val="24"/>
          <w:szCs w:val="24"/>
        </w:rPr>
        <w:t>in Human Behavior, 25(6), 1343–1354. doi:10.1016/j.chb.2009.06.001.</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Slade, E. L., Williams, M. D., Dwivedi, Y. K., &amp; Piercy, N. C. (2015). Exploring consumer adoption of proximity mobile payments. Journal of Strategic Marketing, 23(3), 209–223. doi:10.108</w:t>
      </w:r>
      <w:r>
        <w:rPr>
          <w:rFonts w:ascii="Times New Roman" w:hAnsi="Times New Roman" w:cs="Times New Roman"/>
          <w:color w:val="000000" w:themeColor="text1"/>
          <w:sz w:val="24"/>
          <w:szCs w:val="24"/>
        </w:rPr>
        <w:t>0/0965254X.2014.914075.</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Szumski, O. (2020). Digital payment methods within Polish students: Leading decision characteristics. Procedia Computer Science, 176, 3456–3465. doi:10.1016/j.procs.2020.09.051.</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Venkatesh, V., Morris, M. G., Davis, G. B., &amp; Davis,</w:t>
      </w:r>
      <w:r>
        <w:rPr>
          <w:rFonts w:ascii="Times New Roman" w:hAnsi="Times New Roman" w:cs="Times New Roman"/>
          <w:color w:val="000000" w:themeColor="text1"/>
          <w:sz w:val="24"/>
          <w:szCs w:val="24"/>
        </w:rPr>
        <w:t xml:space="preserve"> F. D. (2003). User acceptance of information technology: Toward a unified view. MIS Quarterly, 27(3), 425–478. doi:10.2307/30036540.</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Venkatesh, V., Thong, J. Y. L., &amp; Xu, X. (2012). Consumer acceptance and use of information technology: Extending the </w:t>
      </w:r>
      <w:r>
        <w:rPr>
          <w:rFonts w:ascii="Times New Roman" w:hAnsi="Times New Roman" w:cs="Times New Roman"/>
          <w:color w:val="000000" w:themeColor="text1"/>
          <w:sz w:val="24"/>
          <w:szCs w:val="24"/>
        </w:rPr>
        <w:t>unified theory of acceptance and use of technology. MIS Quarterly, 36(1), 157–178. doi:10.2307/41410412.</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 (2025). Visa Stay Secure study: Consumer payment security awareness in Oman. Visa Middle East.</w:t>
      </w:r>
    </w:p>
    <w:p w:rsidR="00012B7C" w:rsidRDefault="00012B7C">
      <w:pPr>
        <w:spacing w:after="0" w:line="240" w:lineRule="auto"/>
        <w:jc w:val="both"/>
        <w:rPr>
          <w:rFonts w:ascii="Times New Roman" w:hAnsi="Times New Roman" w:cs="Times New Roman"/>
          <w:color w:val="000000" w:themeColor="text1"/>
          <w:sz w:val="24"/>
          <w:szCs w:val="24"/>
        </w:rPr>
      </w:pPr>
    </w:p>
    <w:p w:rsidR="00012B7C" w:rsidRDefault="00602F4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Zhou, T. (2013). An empirical examination of con</w:t>
      </w:r>
      <w:r>
        <w:rPr>
          <w:rFonts w:ascii="Times New Roman" w:hAnsi="Times New Roman" w:cs="Times New Roman"/>
          <w:color w:val="000000" w:themeColor="text1"/>
          <w:sz w:val="24"/>
          <w:szCs w:val="24"/>
        </w:rPr>
        <w:t>tinuance intention of mobile payment services. Decision Support Systems, 54(2), 1085–1091. doi:10.1016/j.dss.2012.10.034.</w:t>
      </w:r>
    </w:p>
    <w:sectPr w:rsidR="00012B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F41" w:rsidRDefault="00602F41">
      <w:pPr>
        <w:spacing w:line="240" w:lineRule="auto"/>
      </w:pPr>
      <w:r>
        <w:separator/>
      </w:r>
    </w:p>
  </w:endnote>
  <w:endnote w:type="continuationSeparator" w:id="0">
    <w:p w:rsidR="00602F41" w:rsidRDefault="00602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7C" w:rsidRDefault="00012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7C" w:rsidRDefault="00602F41">
    <w:pPr>
      <w:pStyle w:val="Footer"/>
      <w:tabs>
        <w:tab w:val="clear" w:pos="4153"/>
        <w:tab w:val="clear" w:pos="8306"/>
        <w:tab w:val="left" w:pos="7515"/>
      </w:tabs>
    </w:pP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2B7C" w:rsidRDefault="00602F41">
                          <w:pPr>
                            <w:pStyle w:val="Footer"/>
                          </w:pPr>
                          <w:r>
                            <w:fldChar w:fldCharType="begin"/>
                          </w:r>
                          <w:r>
                            <w:instrText xml:space="preserve"> PAGE  \* MERGEFORMAT </w:instrText>
                          </w:r>
                          <w:r>
                            <w:fldChar w:fldCharType="separate"/>
                          </w:r>
                          <w:r w:rsidR="004427D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012B7C" w:rsidRDefault="00602F41">
                    <w:pPr>
                      <w:pStyle w:val="Footer"/>
                    </w:pPr>
                    <w:r>
                      <w:fldChar w:fldCharType="begin"/>
                    </w:r>
                    <w:r>
                      <w:instrText xml:space="preserve"> PAGE  \* MERGEFORMAT </w:instrText>
                    </w:r>
                    <w:r>
                      <w:fldChar w:fldCharType="separate"/>
                    </w:r>
                    <w:r w:rsidR="004427DE">
                      <w:rPr>
                        <w:noProof/>
                      </w:rPr>
                      <w:t>1</w:t>
                    </w:r>
                    <w:r>
                      <w:fldChar w:fldCharType="end"/>
                    </w:r>
                  </w:p>
                </w:txbxContent>
              </v:textbox>
              <w10:wrap anchorx="margin"/>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7C" w:rsidRDefault="00012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F41" w:rsidRDefault="00602F41">
      <w:pPr>
        <w:spacing w:after="0"/>
      </w:pPr>
      <w:r>
        <w:separator/>
      </w:r>
    </w:p>
  </w:footnote>
  <w:footnote w:type="continuationSeparator" w:id="0">
    <w:p w:rsidR="00602F41" w:rsidRDefault="00602F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7C" w:rsidRDefault="00012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7C" w:rsidRDefault="00012B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7C" w:rsidRDefault="00012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B7C"/>
    <w:rsid w:val="00013987"/>
    <w:rsid w:val="00017F3C"/>
    <w:rsid w:val="00020589"/>
    <w:rsid w:val="00035429"/>
    <w:rsid w:val="00064A92"/>
    <w:rsid w:val="00092C58"/>
    <w:rsid w:val="000947EE"/>
    <w:rsid w:val="000D29C8"/>
    <w:rsid w:val="001006ED"/>
    <w:rsid w:val="001462F2"/>
    <w:rsid w:val="0014689B"/>
    <w:rsid w:val="001556ED"/>
    <w:rsid w:val="00172A27"/>
    <w:rsid w:val="001D6927"/>
    <w:rsid w:val="002325DC"/>
    <w:rsid w:val="00266DD6"/>
    <w:rsid w:val="0027197A"/>
    <w:rsid w:val="002B0585"/>
    <w:rsid w:val="002B7EE7"/>
    <w:rsid w:val="002F7868"/>
    <w:rsid w:val="00320969"/>
    <w:rsid w:val="00347129"/>
    <w:rsid w:val="0036370B"/>
    <w:rsid w:val="003726E2"/>
    <w:rsid w:val="003C534D"/>
    <w:rsid w:val="00426FD5"/>
    <w:rsid w:val="004427DE"/>
    <w:rsid w:val="00493EB2"/>
    <w:rsid w:val="004E3D0E"/>
    <w:rsid w:val="004E55F3"/>
    <w:rsid w:val="00515FD0"/>
    <w:rsid w:val="00556F53"/>
    <w:rsid w:val="00595F20"/>
    <w:rsid w:val="005A73F5"/>
    <w:rsid w:val="00602F41"/>
    <w:rsid w:val="006311DC"/>
    <w:rsid w:val="00667C2F"/>
    <w:rsid w:val="00683CDE"/>
    <w:rsid w:val="006B0360"/>
    <w:rsid w:val="006C4CDC"/>
    <w:rsid w:val="007152C4"/>
    <w:rsid w:val="007303F3"/>
    <w:rsid w:val="0074135D"/>
    <w:rsid w:val="007461C7"/>
    <w:rsid w:val="00772FC5"/>
    <w:rsid w:val="007A70E5"/>
    <w:rsid w:val="007D52A2"/>
    <w:rsid w:val="007F27AB"/>
    <w:rsid w:val="008063B6"/>
    <w:rsid w:val="008554A6"/>
    <w:rsid w:val="008A7795"/>
    <w:rsid w:val="008B3701"/>
    <w:rsid w:val="008E74F5"/>
    <w:rsid w:val="00904C41"/>
    <w:rsid w:val="00957F00"/>
    <w:rsid w:val="00960A49"/>
    <w:rsid w:val="00961E21"/>
    <w:rsid w:val="00963198"/>
    <w:rsid w:val="00985D51"/>
    <w:rsid w:val="00993146"/>
    <w:rsid w:val="009B0A89"/>
    <w:rsid w:val="009C486B"/>
    <w:rsid w:val="009D12F3"/>
    <w:rsid w:val="009E3F3A"/>
    <w:rsid w:val="009F686B"/>
    <w:rsid w:val="00A262E6"/>
    <w:rsid w:val="00A43431"/>
    <w:rsid w:val="00A72665"/>
    <w:rsid w:val="00A92F81"/>
    <w:rsid w:val="00AB0421"/>
    <w:rsid w:val="00AB0DCE"/>
    <w:rsid w:val="00B012D0"/>
    <w:rsid w:val="00B45935"/>
    <w:rsid w:val="00B72377"/>
    <w:rsid w:val="00B82A6A"/>
    <w:rsid w:val="00BB5556"/>
    <w:rsid w:val="00BF3E93"/>
    <w:rsid w:val="00C23042"/>
    <w:rsid w:val="00C83244"/>
    <w:rsid w:val="00CB7AC9"/>
    <w:rsid w:val="00CB7C95"/>
    <w:rsid w:val="00CC0866"/>
    <w:rsid w:val="00CC42AB"/>
    <w:rsid w:val="00CC47D5"/>
    <w:rsid w:val="00CF13C3"/>
    <w:rsid w:val="00CF295C"/>
    <w:rsid w:val="00D11C78"/>
    <w:rsid w:val="00D2206B"/>
    <w:rsid w:val="00D46E7C"/>
    <w:rsid w:val="00D9656D"/>
    <w:rsid w:val="00DA0ADE"/>
    <w:rsid w:val="00DA6D8D"/>
    <w:rsid w:val="00DB15F6"/>
    <w:rsid w:val="00DB3317"/>
    <w:rsid w:val="00DD5664"/>
    <w:rsid w:val="00DF6744"/>
    <w:rsid w:val="00E22D42"/>
    <w:rsid w:val="00E81027"/>
    <w:rsid w:val="00E855BF"/>
    <w:rsid w:val="00EB22E4"/>
    <w:rsid w:val="00EB37D5"/>
    <w:rsid w:val="00EC1B53"/>
    <w:rsid w:val="00EC34DB"/>
    <w:rsid w:val="00EE6D52"/>
    <w:rsid w:val="00F0110D"/>
    <w:rsid w:val="00F1066F"/>
    <w:rsid w:val="00F17514"/>
    <w:rsid w:val="00F341FA"/>
    <w:rsid w:val="00F53DF9"/>
    <w:rsid w:val="00F92196"/>
    <w:rsid w:val="00FA638C"/>
    <w:rsid w:val="00FC2CC6"/>
    <w:rsid w:val="00FD634B"/>
    <w:rsid w:val="00FE5026"/>
    <w:rsid w:val="145F3CDC"/>
    <w:rsid w:val="1FCC7BEC"/>
    <w:rsid w:val="3A3C2C8C"/>
    <w:rsid w:val="41FD1023"/>
    <w:rsid w:val="4CCA65DD"/>
    <w:rsid w:val="560A11E0"/>
    <w:rsid w:val="5A133E7B"/>
    <w:rsid w:val="62217973"/>
    <w:rsid w:val="72BB5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03CFA-E113-4C6B-B619-1945D4AD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5672</Words>
  <Characters>32331</Characters>
  <Application>Microsoft Office Word</Application>
  <DocSecurity>0</DocSecurity>
  <Lines>269</Lines>
  <Paragraphs>75</Paragraphs>
  <ScaleCrop>false</ScaleCrop>
  <Company/>
  <LinksUpToDate>false</LinksUpToDate>
  <CharactersWithSpaces>37928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George</dc:creator>
  <cp:lastModifiedBy>qwert</cp:lastModifiedBy>
  <cp:revision>3</cp:revision>
  <dcterms:created xsi:type="dcterms:W3CDTF">2026-05-06T17:30:00Z</dcterms:created>
  <dcterms:modified xsi:type="dcterms:W3CDTF">2026-05-08T06:45:00Z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27D951534F6D42EBA62F2262DD3A89CE_13</vt:lpwstr>
  </property>
  <property fmtid="{D5CDD505-2E9C-101B-9397-08002B2CF9AE}" pid="4" name="MSIP_Label_defa4170-0d19-0005-0004-bc88714345d2_Enabled">
    <vt:lpwstr>true</vt:lpwstr>
  </property>
  <property fmtid="{D5CDD505-2E9C-101B-9397-08002B2CF9AE}" pid="5" name="MSIP_Label_defa4170-0d19-0005-0004-bc88714345d2_SetDate">
    <vt:lpwstr>2026-05-02T03:11:47Z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dc2b733b-a224-4576-9839-d0ca720b0032</vt:lpwstr>
  </property>
  <property fmtid="{D5CDD505-2E9C-101B-9397-08002B2CF9AE}" pid="9" name="MSIP_Label_defa4170-0d19-0005-0004-bc88714345d2_ActionId">
    <vt:lpwstr>df13f93b-d34b-4888-ad07-ae1318f744bd</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