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F1CBE" w14:textId="43673575" w:rsidR="006973B2" w:rsidRDefault="00427323" w:rsidP="00B33308">
      <w:pPr>
        <w:pStyle w:val="Heading1"/>
        <w:spacing w:before="74"/>
        <w:jc w:val="center"/>
        <w:rPr>
          <w:rFonts w:ascii="Times New Roman"/>
        </w:rPr>
      </w:pPr>
      <w:r>
        <w:rPr>
          <w:rFonts w:ascii="Times New Roman"/>
          <w:color w:val="1F4D79"/>
          <w:spacing w:val="-2"/>
        </w:rPr>
        <w:t>I</w:t>
      </w:r>
      <w:r w:rsidRPr="008355EE">
        <w:rPr>
          <w:rFonts w:ascii="Times New Roman"/>
          <w:color w:val="1F4D79"/>
          <w:spacing w:val="-2"/>
          <w:sz w:val="28"/>
          <w:szCs w:val="28"/>
        </w:rPr>
        <w:t>NTRODUCTION</w:t>
      </w:r>
    </w:p>
    <w:p w14:paraId="30D62222" w14:textId="77777777" w:rsidR="006973B2" w:rsidRDefault="006973B2">
      <w:pPr>
        <w:pStyle w:val="BodyText"/>
        <w:spacing w:line="283" w:lineRule="auto"/>
        <w:jc w:val="both"/>
        <w:rPr>
          <w:rFonts w:eastAsia="Arial" w:hAnsi="Arial" w:cs="Arial"/>
          <w:b/>
          <w:bCs/>
          <w:color w:val="1F4D79"/>
          <w:spacing w:val="-2"/>
          <w:sz w:val="30"/>
          <w:szCs w:val="30"/>
        </w:rPr>
      </w:pPr>
    </w:p>
    <w:p w14:paraId="06C1C970" w14:textId="77777777" w:rsidR="008355EE" w:rsidRPr="008355EE" w:rsidRDefault="008355EE" w:rsidP="008355EE">
      <w:pPr>
        <w:spacing w:line="360" w:lineRule="auto"/>
        <w:jc w:val="both"/>
        <w:rPr>
          <w:sz w:val="24"/>
          <w:szCs w:val="24"/>
        </w:rPr>
      </w:pPr>
      <w:r w:rsidRPr="008355EE">
        <w:rPr>
          <w:sz w:val="24"/>
          <w:szCs w:val="24"/>
        </w:rPr>
        <w:t>The world of Indian economy and its ever-changing financial situation. Inflation has emerged as one of the strongest factors in Indian corporate budgeting. Budgeting and forecasting is something that is practiced every single day by Indian corporations. It helps every decision be it for hiring people or market expansion. However, the base for every forecast (budget) becomes weaker if it is unstable or rising rapidly (inflation).</w:t>
      </w:r>
    </w:p>
    <w:p w14:paraId="5359777F" w14:textId="77777777" w:rsidR="008355EE" w:rsidRPr="008355EE" w:rsidRDefault="008355EE" w:rsidP="008355EE">
      <w:pPr>
        <w:spacing w:line="360" w:lineRule="auto"/>
        <w:jc w:val="both"/>
        <w:rPr>
          <w:sz w:val="24"/>
          <w:szCs w:val="24"/>
        </w:rPr>
      </w:pPr>
    </w:p>
    <w:p w14:paraId="2A4A2A9D" w14:textId="77777777" w:rsidR="008355EE" w:rsidRPr="008355EE" w:rsidRDefault="008355EE" w:rsidP="008355EE">
      <w:pPr>
        <w:spacing w:line="360" w:lineRule="auto"/>
        <w:jc w:val="both"/>
        <w:rPr>
          <w:sz w:val="24"/>
          <w:szCs w:val="24"/>
        </w:rPr>
      </w:pPr>
      <w:r w:rsidRPr="008355EE">
        <w:rPr>
          <w:sz w:val="24"/>
          <w:szCs w:val="24"/>
        </w:rPr>
        <w:t>Inflation does affect nearly everything of the company and from the smallest (raw materials and transportation) to the biggest (salaries). Changes in interest rates, fluctuations in value of Rupee and other things add up to this financial picture and the figures that corporations used while drafting next year’s budget are outdated by the time it comes into play.</w:t>
      </w:r>
    </w:p>
    <w:p w14:paraId="7A519CF4" w14:textId="77777777" w:rsidR="008355EE" w:rsidRPr="008355EE" w:rsidRDefault="008355EE" w:rsidP="008355EE">
      <w:pPr>
        <w:spacing w:line="360" w:lineRule="auto"/>
        <w:jc w:val="both"/>
        <w:rPr>
          <w:sz w:val="24"/>
          <w:szCs w:val="24"/>
        </w:rPr>
      </w:pPr>
    </w:p>
    <w:p w14:paraId="27FF2744" w14:textId="77777777" w:rsidR="008355EE" w:rsidRPr="008355EE" w:rsidRDefault="008355EE" w:rsidP="008355EE">
      <w:pPr>
        <w:spacing w:line="360" w:lineRule="auto"/>
        <w:jc w:val="both"/>
        <w:rPr>
          <w:sz w:val="24"/>
          <w:szCs w:val="24"/>
        </w:rPr>
      </w:pPr>
      <w:r w:rsidRPr="008355EE">
        <w:rPr>
          <w:sz w:val="24"/>
          <w:szCs w:val="24"/>
        </w:rPr>
        <w:t>Indian corporations are in process of looking again at the way they plan their finances. As traditional fixed budgets are found less appropriate for the dynamic changes that take place in costs and revenues companies are adopting flexible methods like inflation adjusted budgets and rolling forecasts. The problem also differs from sector to sector i.e. Manufacturing companies and FMCG companies face these issues differently than the infrastructure and service sectors. This is what becomes the management skill for all the corporates in India.</w:t>
      </w:r>
    </w:p>
    <w:p w14:paraId="02922177" w14:textId="77777777" w:rsidR="008355EE" w:rsidRPr="008355EE" w:rsidRDefault="008355EE" w:rsidP="008355EE">
      <w:pPr>
        <w:spacing w:line="360" w:lineRule="auto"/>
        <w:jc w:val="both"/>
        <w:rPr>
          <w:sz w:val="24"/>
          <w:szCs w:val="24"/>
        </w:rPr>
      </w:pPr>
    </w:p>
    <w:p w14:paraId="3B1A89D4" w14:textId="77777777" w:rsidR="008355EE" w:rsidRPr="008355EE" w:rsidRDefault="008355EE" w:rsidP="008355EE">
      <w:pPr>
        <w:spacing w:line="360" w:lineRule="auto"/>
        <w:jc w:val="both"/>
        <w:rPr>
          <w:sz w:val="24"/>
          <w:szCs w:val="24"/>
        </w:rPr>
      </w:pPr>
      <w:r w:rsidRPr="008355EE">
        <w:rPr>
          <w:sz w:val="24"/>
          <w:szCs w:val="24"/>
        </w:rPr>
        <w:t>Managing the situation caused by inflation is not just about managing rising costs. It’s also about how to survive financially, protect your company and expand by being alert enough. For Indian corporations, inflation has turned into a key parameter while dealing with their finance in the times ahead.</w:t>
      </w:r>
    </w:p>
    <w:p w14:paraId="04265B52" w14:textId="77777777" w:rsidR="008355EE" w:rsidRPr="008355EE" w:rsidRDefault="008355EE" w:rsidP="008355EE">
      <w:pPr>
        <w:spacing w:line="360" w:lineRule="auto"/>
        <w:jc w:val="both"/>
        <w:rPr>
          <w:sz w:val="24"/>
          <w:szCs w:val="24"/>
        </w:rPr>
      </w:pPr>
    </w:p>
    <w:p w14:paraId="46440E9A" w14:textId="77777777" w:rsidR="008355EE" w:rsidRDefault="008355EE" w:rsidP="008355EE">
      <w:pPr>
        <w:spacing w:line="360" w:lineRule="auto"/>
        <w:jc w:val="both"/>
        <w:rPr>
          <w:sz w:val="24"/>
          <w:szCs w:val="24"/>
        </w:rPr>
      </w:pPr>
      <w:r w:rsidRPr="008355EE">
        <w:rPr>
          <w:sz w:val="24"/>
          <w:szCs w:val="24"/>
        </w:rPr>
        <w:t>This study attempts to look into the dimensions and extent of inflation's impact on corporate budgeting and financial forecasting in India. The research focuses on analyzing data for period from 2019-2025 using secondary sources of data in order to discover trends, quantify the statistical relations, and develop significant insights for financial managers, analysts and policymakers which can contribute towards the domain of study as well as actual financial world in inflation driven economy of India.</w:t>
      </w:r>
    </w:p>
    <w:p w14:paraId="6ABB29C0" w14:textId="77777777" w:rsidR="00B310CF" w:rsidRDefault="00B310CF" w:rsidP="008355EE">
      <w:pPr>
        <w:spacing w:line="360" w:lineRule="auto"/>
        <w:jc w:val="both"/>
        <w:rPr>
          <w:sz w:val="24"/>
          <w:szCs w:val="24"/>
        </w:rPr>
      </w:pPr>
    </w:p>
    <w:p w14:paraId="39987512" w14:textId="77777777" w:rsidR="00B310CF" w:rsidRDefault="00B310CF" w:rsidP="008355EE">
      <w:pPr>
        <w:spacing w:line="360" w:lineRule="auto"/>
        <w:jc w:val="both"/>
        <w:rPr>
          <w:sz w:val="24"/>
          <w:szCs w:val="24"/>
        </w:rPr>
      </w:pPr>
    </w:p>
    <w:p w14:paraId="2A966381" w14:textId="77777777" w:rsidR="008355EE" w:rsidRDefault="008355EE" w:rsidP="008355EE">
      <w:pPr>
        <w:spacing w:line="360" w:lineRule="auto"/>
        <w:jc w:val="both"/>
        <w:rPr>
          <w:sz w:val="24"/>
          <w:szCs w:val="24"/>
        </w:rPr>
      </w:pPr>
    </w:p>
    <w:p w14:paraId="40E68C32" w14:textId="276D63B2" w:rsidR="008355EE" w:rsidRPr="008355EE" w:rsidRDefault="008355EE" w:rsidP="00B33308">
      <w:pPr>
        <w:pStyle w:val="Heading1"/>
        <w:spacing w:before="74"/>
        <w:jc w:val="center"/>
        <w:rPr>
          <w:rFonts w:ascii="Times New Roman"/>
          <w:color w:val="1F4D79"/>
          <w:spacing w:val="-2"/>
          <w:sz w:val="28"/>
          <w:szCs w:val="28"/>
        </w:rPr>
      </w:pPr>
      <w:r w:rsidRPr="008355EE">
        <w:rPr>
          <w:rFonts w:ascii="Times New Roman"/>
          <w:color w:val="1F4D79"/>
          <w:spacing w:val="-2"/>
          <w:sz w:val="28"/>
          <w:szCs w:val="28"/>
        </w:rPr>
        <w:lastRenderedPageBreak/>
        <w:t>BACKGROUND OF THE STUDY</w:t>
      </w:r>
    </w:p>
    <w:p w14:paraId="679D37AC" w14:textId="77777777" w:rsidR="008355EE" w:rsidRDefault="008355EE" w:rsidP="008355EE"/>
    <w:p w14:paraId="156DB5B3" w14:textId="77777777" w:rsidR="008355EE" w:rsidRPr="008355EE" w:rsidRDefault="008355EE" w:rsidP="008355EE">
      <w:pPr>
        <w:spacing w:line="360" w:lineRule="auto"/>
        <w:jc w:val="both"/>
        <w:rPr>
          <w:sz w:val="24"/>
          <w:szCs w:val="24"/>
        </w:rPr>
      </w:pPr>
      <w:r w:rsidRPr="008355EE">
        <w:rPr>
          <w:sz w:val="24"/>
          <w:szCs w:val="24"/>
        </w:rPr>
        <w:t>Budgeting and forecasting is an important mechanism of planning in any organization. Budgeting and forecasting assists in allocation of resources, anticipation of future performance and decisions taken about any corporate activity. In India, budgeting and forecasting turns out to be far more sensitive with regard to the unpredictable nature of inflation trends prevailing on each occasion. India has in past witnessed varying magnitudes of inflation due to a host of causes including supply side constraints, fluctuations in international crude prices, currency movements, agricultural output and changes in monetary policy.</w:t>
      </w:r>
    </w:p>
    <w:p w14:paraId="2CE0634E" w14:textId="77777777" w:rsidR="008355EE" w:rsidRPr="008355EE" w:rsidRDefault="008355EE" w:rsidP="008355EE">
      <w:pPr>
        <w:spacing w:line="360" w:lineRule="auto"/>
        <w:jc w:val="both"/>
        <w:rPr>
          <w:sz w:val="24"/>
          <w:szCs w:val="24"/>
        </w:rPr>
      </w:pPr>
    </w:p>
    <w:p w14:paraId="374E618E" w14:textId="77777777" w:rsidR="008355EE" w:rsidRPr="008355EE" w:rsidRDefault="008355EE" w:rsidP="008355EE">
      <w:pPr>
        <w:spacing w:line="360" w:lineRule="auto"/>
        <w:jc w:val="both"/>
        <w:rPr>
          <w:sz w:val="24"/>
          <w:szCs w:val="24"/>
        </w:rPr>
      </w:pPr>
      <w:r w:rsidRPr="008355EE">
        <w:rPr>
          <w:sz w:val="24"/>
          <w:szCs w:val="24"/>
        </w:rPr>
        <w:t>Inflation for Indian corporates means much more than simply rising costs as almost all the elements of the operations are touched and the higher costs for inputs along with increases in rates for borrowings and pressures for employee's remuneration makes the process of preparing budgets all the more sensitive with the deviations that have to be calculated from forecast and actual performance becoming very huge. The sensitivity becomes even more marked for sectors like manufacturing, FMCG, infrastructure, retail and service sectors where the costs are highly sensitive to prices.</w:t>
      </w:r>
    </w:p>
    <w:p w14:paraId="55016398" w14:textId="77777777" w:rsidR="008355EE" w:rsidRPr="008355EE" w:rsidRDefault="008355EE" w:rsidP="008355EE">
      <w:pPr>
        <w:spacing w:line="360" w:lineRule="auto"/>
        <w:jc w:val="both"/>
        <w:rPr>
          <w:sz w:val="24"/>
          <w:szCs w:val="24"/>
        </w:rPr>
      </w:pPr>
    </w:p>
    <w:p w14:paraId="3156A459" w14:textId="77777777" w:rsidR="008355EE" w:rsidRPr="008355EE" w:rsidRDefault="008355EE" w:rsidP="008355EE">
      <w:pPr>
        <w:spacing w:line="360" w:lineRule="auto"/>
        <w:jc w:val="both"/>
        <w:rPr>
          <w:sz w:val="24"/>
          <w:szCs w:val="24"/>
        </w:rPr>
      </w:pPr>
      <w:r w:rsidRPr="008355EE">
        <w:rPr>
          <w:sz w:val="24"/>
          <w:szCs w:val="24"/>
        </w:rPr>
        <w:t>Traditionally the system followed for budgeting was the fixed and rigid system of annual budgeting. However, with continuous inflationary pressures the flaws in the system were being noticed and now the corporations have moved towards dynamic budget, inflation adjusted budget and rolling forecasts which also involve taking into consideration of inflation assumptions. Moreover, policies and developments initiated from within India like the reforms by the government and the RBI, along with global economic factors have also been influencing corporate budgeting practices in India.</w:t>
      </w:r>
    </w:p>
    <w:p w14:paraId="63EBB3E9" w14:textId="77777777" w:rsidR="008355EE" w:rsidRPr="008355EE" w:rsidRDefault="008355EE" w:rsidP="008355EE">
      <w:pPr>
        <w:spacing w:line="360" w:lineRule="auto"/>
        <w:jc w:val="both"/>
        <w:rPr>
          <w:sz w:val="24"/>
          <w:szCs w:val="24"/>
        </w:rPr>
      </w:pPr>
    </w:p>
    <w:p w14:paraId="6461D9B8" w14:textId="77777777" w:rsidR="008355EE" w:rsidRPr="008355EE" w:rsidRDefault="008355EE" w:rsidP="008355EE">
      <w:pPr>
        <w:spacing w:line="360" w:lineRule="auto"/>
        <w:jc w:val="both"/>
        <w:rPr>
          <w:sz w:val="24"/>
          <w:szCs w:val="24"/>
        </w:rPr>
      </w:pPr>
      <w:r w:rsidRPr="008355EE">
        <w:rPr>
          <w:sz w:val="24"/>
          <w:szCs w:val="24"/>
        </w:rPr>
        <w:t xml:space="preserve">Reserve bank of India has recently implemented a regime of inflation targeting since 2016. The target that was set for headline CPI was 4 with a tolerance range of 2 percent. But India has not been able to stick to these target values of inflation at several points due to major shocks like Covid-19 (2020-2021) and </w:t>
      </w:r>
      <w:proofErr w:type="spellStart"/>
      <w:r w:rsidRPr="008355EE">
        <w:rPr>
          <w:sz w:val="24"/>
          <w:szCs w:val="24"/>
        </w:rPr>
        <w:t>world wide</w:t>
      </w:r>
      <w:proofErr w:type="spellEnd"/>
      <w:r w:rsidRPr="008355EE">
        <w:rPr>
          <w:sz w:val="24"/>
          <w:szCs w:val="24"/>
        </w:rPr>
        <w:t xml:space="preserve"> supply crisis (2022) making companies and consequently corporate have to revise their budgets and forecast again and again.</w:t>
      </w:r>
    </w:p>
    <w:p w14:paraId="18EA4D26" w14:textId="77777777" w:rsidR="008355EE" w:rsidRPr="008355EE" w:rsidRDefault="008355EE" w:rsidP="008355EE">
      <w:pPr>
        <w:spacing w:line="360" w:lineRule="auto"/>
        <w:jc w:val="both"/>
        <w:rPr>
          <w:sz w:val="24"/>
          <w:szCs w:val="24"/>
        </w:rPr>
      </w:pPr>
    </w:p>
    <w:p w14:paraId="3F12CF5F" w14:textId="0894BB47" w:rsidR="008355EE" w:rsidRPr="008355EE" w:rsidRDefault="008355EE" w:rsidP="008355EE">
      <w:pPr>
        <w:spacing w:line="360" w:lineRule="auto"/>
        <w:jc w:val="both"/>
        <w:rPr>
          <w:sz w:val="24"/>
          <w:szCs w:val="24"/>
        </w:rPr>
        <w:sectPr w:rsidR="008355EE" w:rsidRPr="008355EE" w:rsidSect="00926D21">
          <w:headerReference w:type="default" r:id="rId9"/>
          <w:pgSz w:w="12240" w:h="15840"/>
          <w:pgMar w:top="1280" w:right="1440" w:bottom="280" w:left="1440" w:header="720" w:footer="720" w:gutter="0"/>
          <w:cols w:space="720"/>
          <w:docGrid w:linePitch="299"/>
        </w:sectPr>
      </w:pPr>
      <w:r w:rsidRPr="008355EE">
        <w:rPr>
          <w:sz w:val="24"/>
          <w:szCs w:val="24"/>
        </w:rPr>
        <w:t xml:space="preserve">Thus it is worthwhile to analyze how companies take inflation into account while managing their budgeting and forecasting practices in Indian context of its highly inflation-driven economy in order to gain insights about the challenges, adjustments and strategies adopted by </w:t>
      </w:r>
      <w:proofErr w:type="gramStart"/>
      <w:r w:rsidRPr="008355EE">
        <w:rPr>
          <w:sz w:val="24"/>
          <w:szCs w:val="24"/>
        </w:rPr>
        <w:t xml:space="preserve">corporations </w:t>
      </w:r>
      <w:r>
        <w:rPr>
          <w:sz w:val="24"/>
          <w:szCs w:val="24"/>
        </w:rPr>
        <w:t>.</w:t>
      </w:r>
      <w:proofErr w:type="gramEnd"/>
    </w:p>
    <w:p w14:paraId="4FAA46BA" w14:textId="77777777" w:rsidR="006973B2" w:rsidRPr="008355EE" w:rsidRDefault="00427323" w:rsidP="00B33308">
      <w:pPr>
        <w:pStyle w:val="Heading1"/>
        <w:spacing w:before="74"/>
        <w:jc w:val="center"/>
        <w:rPr>
          <w:rFonts w:ascii="Times New Roman"/>
          <w:color w:val="1F4D79"/>
          <w:spacing w:val="-2"/>
          <w:sz w:val="28"/>
          <w:szCs w:val="28"/>
        </w:rPr>
      </w:pPr>
      <w:r w:rsidRPr="008355EE">
        <w:rPr>
          <w:rFonts w:ascii="Times New Roman"/>
          <w:color w:val="1F4D79"/>
          <w:spacing w:val="-2"/>
          <w:sz w:val="28"/>
          <w:szCs w:val="28"/>
        </w:rPr>
        <w:lastRenderedPageBreak/>
        <w:t>SIGNIFICANCE OF THE STUDY</w:t>
      </w:r>
    </w:p>
    <w:p w14:paraId="526837E5" w14:textId="77777777" w:rsidR="006973B2" w:rsidRDefault="006973B2">
      <w:pPr>
        <w:pStyle w:val="BodyText"/>
        <w:rPr>
          <w:b/>
        </w:rPr>
      </w:pPr>
    </w:p>
    <w:p w14:paraId="03351C5E" w14:textId="77777777" w:rsidR="006973B2" w:rsidRDefault="006973B2">
      <w:pPr>
        <w:pStyle w:val="BodyText"/>
        <w:spacing w:before="25"/>
        <w:rPr>
          <w:b/>
        </w:rPr>
      </w:pPr>
    </w:p>
    <w:p w14:paraId="59A44173" w14:textId="77777777" w:rsidR="008355EE" w:rsidRPr="008355EE" w:rsidRDefault="008355EE" w:rsidP="008355EE">
      <w:pPr>
        <w:pStyle w:val="BodyText"/>
        <w:spacing w:line="360" w:lineRule="auto"/>
        <w:jc w:val="both"/>
        <w:rPr>
          <w:sz w:val="24"/>
          <w:szCs w:val="24"/>
        </w:rPr>
      </w:pPr>
      <w:r w:rsidRPr="008355EE">
        <w:rPr>
          <w:sz w:val="24"/>
          <w:szCs w:val="24"/>
        </w:rPr>
        <w:t>Inflation has always played a critical role in Indian business, but it has lately emerged as a permanent and dominant factor in the Indian business environment. Insights obtained from research on how inflation impacts budgeting and forecasting, can be highly beneficial to businesses, policy makers and researchers who are working toward achieving efficient financial planning and organizational resilience.</w:t>
      </w:r>
    </w:p>
    <w:p w14:paraId="0D6FC55A" w14:textId="77777777" w:rsidR="008355EE" w:rsidRPr="008355EE" w:rsidRDefault="008355EE" w:rsidP="008355EE">
      <w:pPr>
        <w:pStyle w:val="BodyText"/>
        <w:spacing w:line="360" w:lineRule="auto"/>
        <w:jc w:val="both"/>
        <w:rPr>
          <w:sz w:val="24"/>
          <w:szCs w:val="24"/>
        </w:rPr>
      </w:pPr>
    </w:p>
    <w:p w14:paraId="13F2C8BE" w14:textId="77777777" w:rsidR="008355EE" w:rsidRPr="008355EE" w:rsidRDefault="008355EE" w:rsidP="008355EE">
      <w:pPr>
        <w:pStyle w:val="BodyText"/>
        <w:spacing w:line="360" w:lineRule="auto"/>
        <w:jc w:val="both"/>
        <w:rPr>
          <w:b/>
          <w:bCs/>
          <w:sz w:val="24"/>
          <w:szCs w:val="24"/>
        </w:rPr>
      </w:pPr>
      <w:r w:rsidRPr="008355EE">
        <w:rPr>
          <w:b/>
          <w:bCs/>
          <w:sz w:val="24"/>
          <w:szCs w:val="24"/>
        </w:rPr>
        <w:t>1. Significance for corporate financial planning.</w:t>
      </w:r>
    </w:p>
    <w:p w14:paraId="640BD998" w14:textId="77777777" w:rsidR="008355EE" w:rsidRPr="008355EE" w:rsidRDefault="008355EE" w:rsidP="008355EE">
      <w:pPr>
        <w:pStyle w:val="BodyText"/>
        <w:spacing w:line="360" w:lineRule="auto"/>
        <w:jc w:val="both"/>
        <w:rPr>
          <w:sz w:val="24"/>
          <w:szCs w:val="24"/>
        </w:rPr>
      </w:pPr>
      <w:r w:rsidRPr="008355EE">
        <w:rPr>
          <w:sz w:val="24"/>
          <w:szCs w:val="24"/>
        </w:rPr>
        <w:t xml:space="preserve">The research would help the corporations to recognize the weaknesses inherent in conventional budgeting approaches when dealing with a rampant inflation. As the cost of every </w:t>
      </w:r>
      <w:proofErr w:type="gramStart"/>
      <w:r w:rsidRPr="008355EE">
        <w:rPr>
          <w:sz w:val="24"/>
          <w:szCs w:val="24"/>
        </w:rPr>
        <w:t>inputs</w:t>
      </w:r>
      <w:proofErr w:type="gramEnd"/>
      <w:r w:rsidRPr="008355EE">
        <w:rPr>
          <w:sz w:val="24"/>
          <w:szCs w:val="24"/>
        </w:rPr>
        <w:t xml:space="preserve"> in the organization such as cost of raw materials, wages, transportation, and rates are volatile, a proactive, responsive budget is very much needed for a corporate organization. From the results of the study, corporate entities can also draw implications about how inflation impacts their forecasts, the extent to which budgets fail to meet actuals, and ways in which to adapt to evolving strategies such as rolling forecasts, scenario planning and inflation-adjusted budgeting.</w:t>
      </w:r>
    </w:p>
    <w:p w14:paraId="35A77B61" w14:textId="77777777" w:rsidR="008355EE" w:rsidRPr="008355EE" w:rsidRDefault="008355EE" w:rsidP="008355EE">
      <w:pPr>
        <w:pStyle w:val="BodyText"/>
        <w:spacing w:line="360" w:lineRule="auto"/>
        <w:jc w:val="both"/>
        <w:rPr>
          <w:sz w:val="24"/>
          <w:szCs w:val="24"/>
        </w:rPr>
      </w:pPr>
    </w:p>
    <w:p w14:paraId="753505F0" w14:textId="77777777" w:rsidR="008355EE" w:rsidRPr="008355EE" w:rsidRDefault="008355EE" w:rsidP="008355EE">
      <w:pPr>
        <w:pStyle w:val="BodyText"/>
        <w:spacing w:line="360" w:lineRule="auto"/>
        <w:jc w:val="both"/>
        <w:rPr>
          <w:b/>
          <w:bCs/>
          <w:sz w:val="24"/>
          <w:szCs w:val="24"/>
        </w:rPr>
      </w:pPr>
      <w:r w:rsidRPr="008355EE">
        <w:rPr>
          <w:b/>
          <w:bCs/>
          <w:sz w:val="24"/>
          <w:szCs w:val="24"/>
        </w:rPr>
        <w:t>2. Significance for financial managers and decision-makers.</w:t>
      </w:r>
    </w:p>
    <w:p w14:paraId="0E31AFE4" w14:textId="77777777" w:rsidR="008355EE" w:rsidRPr="008355EE" w:rsidRDefault="008355EE" w:rsidP="008355EE">
      <w:pPr>
        <w:pStyle w:val="BodyText"/>
        <w:spacing w:line="360" w:lineRule="auto"/>
        <w:jc w:val="both"/>
        <w:rPr>
          <w:sz w:val="24"/>
          <w:szCs w:val="24"/>
        </w:rPr>
      </w:pPr>
      <w:r w:rsidRPr="008355EE">
        <w:rPr>
          <w:sz w:val="24"/>
          <w:szCs w:val="24"/>
        </w:rPr>
        <w:t>The study is of paramount importance to financial managers as it informs them of the knowledge and abilities required by management to cope with uncertainty, retain profitability and control costs within the inflationary economic environment of India. It also enables managers to realize the significance of assumptions on long-term planning, investments and risk management strategies.</w:t>
      </w:r>
    </w:p>
    <w:p w14:paraId="2335804B" w14:textId="77777777" w:rsidR="008355EE" w:rsidRPr="008355EE" w:rsidRDefault="008355EE" w:rsidP="008355EE">
      <w:pPr>
        <w:pStyle w:val="BodyText"/>
        <w:spacing w:line="360" w:lineRule="auto"/>
        <w:jc w:val="both"/>
        <w:rPr>
          <w:sz w:val="24"/>
          <w:szCs w:val="24"/>
        </w:rPr>
      </w:pPr>
    </w:p>
    <w:p w14:paraId="56877524" w14:textId="77777777" w:rsidR="008355EE" w:rsidRPr="008355EE" w:rsidRDefault="008355EE" w:rsidP="008355EE">
      <w:pPr>
        <w:pStyle w:val="BodyText"/>
        <w:spacing w:line="360" w:lineRule="auto"/>
        <w:jc w:val="both"/>
        <w:rPr>
          <w:b/>
          <w:bCs/>
          <w:sz w:val="24"/>
          <w:szCs w:val="24"/>
        </w:rPr>
      </w:pPr>
      <w:r w:rsidRPr="008355EE">
        <w:rPr>
          <w:b/>
          <w:bCs/>
          <w:sz w:val="24"/>
          <w:szCs w:val="24"/>
        </w:rPr>
        <w:t>3. Significance for policymakers.</w:t>
      </w:r>
    </w:p>
    <w:p w14:paraId="25A5D340" w14:textId="77777777" w:rsidR="008355EE" w:rsidRPr="008355EE" w:rsidRDefault="008355EE" w:rsidP="008355EE">
      <w:pPr>
        <w:pStyle w:val="BodyText"/>
        <w:spacing w:line="360" w:lineRule="auto"/>
        <w:jc w:val="both"/>
        <w:rPr>
          <w:sz w:val="24"/>
          <w:szCs w:val="24"/>
        </w:rPr>
      </w:pPr>
      <w:r w:rsidRPr="008355EE">
        <w:rPr>
          <w:sz w:val="24"/>
          <w:szCs w:val="24"/>
        </w:rPr>
        <w:t xml:space="preserve">The research would contribute to the academic and economic knowledge of how corporations behave within inflationary environment. It gives indications about the performance and responses of various corporate sectors and organizations towards price rises and the development of their financial planning processes. This research will enable the policy makers to understand the real-time implications on the business of the </w:t>
      </w:r>
      <w:proofErr w:type="spellStart"/>
      <w:r w:rsidRPr="008355EE">
        <w:rPr>
          <w:sz w:val="24"/>
          <w:szCs w:val="24"/>
        </w:rPr>
        <w:t>macro economic</w:t>
      </w:r>
      <w:proofErr w:type="spellEnd"/>
      <w:r w:rsidRPr="008355EE">
        <w:rPr>
          <w:sz w:val="24"/>
          <w:szCs w:val="24"/>
        </w:rPr>
        <w:t xml:space="preserve"> policies and also on the budgeting cycles and financial performance.</w:t>
      </w:r>
    </w:p>
    <w:p w14:paraId="65A60AAD" w14:textId="77777777" w:rsidR="008355EE" w:rsidRPr="008355EE" w:rsidRDefault="008355EE" w:rsidP="008355EE">
      <w:pPr>
        <w:pStyle w:val="BodyText"/>
        <w:spacing w:line="360" w:lineRule="auto"/>
        <w:jc w:val="both"/>
        <w:rPr>
          <w:sz w:val="24"/>
          <w:szCs w:val="24"/>
        </w:rPr>
      </w:pPr>
    </w:p>
    <w:p w14:paraId="2995A117" w14:textId="77777777" w:rsidR="008355EE" w:rsidRDefault="008355EE" w:rsidP="008355EE">
      <w:pPr>
        <w:pStyle w:val="BodyText"/>
        <w:spacing w:line="360" w:lineRule="auto"/>
        <w:jc w:val="both"/>
        <w:rPr>
          <w:b/>
          <w:bCs/>
          <w:sz w:val="24"/>
          <w:szCs w:val="24"/>
        </w:rPr>
      </w:pPr>
    </w:p>
    <w:p w14:paraId="1405C9DD" w14:textId="77777777" w:rsidR="008355EE" w:rsidRDefault="008355EE" w:rsidP="008355EE">
      <w:pPr>
        <w:pStyle w:val="BodyText"/>
        <w:spacing w:line="360" w:lineRule="auto"/>
        <w:jc w:val="both"/>
        <w:rPr>
          <w:b/>
          <w:bCs/>
          <w:sz w:val="24"/>
          <w:szCs w:val="24"/>
        </w:rPr>
      </w:pPr>
    </w:p>
    <w:p w14:paraId="2DF4732E" w14:textId="6C51AA79" w:rsidR="008355EE" w:rsidRPr="008355EE" w:rsidRDefault="008355EE" w:rsidP="008355EE">
      <w:pPr>
        <w:pStyle w:val="BodyText"/>
        <w:spacing w:line="360" w:lineRule="auto"/>
        <w:jc w:val="both"/>
        <w:rPr>
          <w:sz w:val="24"/>
          <w:szCs w:val="24"/>
        </w:rPr>
      </w:pPr>
      <w:r w:rsidRPr="008355EE">
        <w:rPr>
          <w:b/>
          <w:bCs/>
          <w:sz w:val="24"/>
          <w:szCs w:val="24"/>
        </w:rPr>
        <w:lastRenderedPageBreak/>
        <w:t>4. Significance for further researchers</w:t>
      </w:r>
      <w:r w:rsidRPr="008355EE">
        <w:rPr>
          <w:sz w:val="24"/>
          <w:szCs w:val="24"/>
        </w:rPr>
        <w:t>.</w:t>
      </w:r>
    </w:p>
    <w:p w14:paraId="56AF5590" w14:textId="15F36782" w:rsidR="006973B2" w:rsidRDefault="008355EE" w:rsidP="008355EE">
      <w:pPr>
        <w:pStyle w:val="BodyText"/>
        <w:spacing w:line="360" w:lineRule="auto"/>
        <w:jc w:val="both"/>
        <w:sectPr w:rsidR="006973B2">
          <w:pgSz w:w="12240" w:h="15840"/>
          <w:pgMar w:top="1280" w:right="1440" w:bottom="280" w:left="1440" w:header="720" w:footer="720" w:gutter="0"/>
          <w:cols w:space="720"/>
        </w:sectPr>
      </w:pPr>
      <w:r w:rsidRPr="008355EE">
        <w:rPr>
          <w:sz w:val="24"/>
          <w:szCs w:val="24"/>
        </w:rPr>
        <w:t>The research would add to the corpus of studies on the practical influence of inflation on organizational financial activities by identifying certain aspects of the topic on which a lack of research exists. It would be the basis for future work in comparison studies, sectoral differences or further research into adaptable financial budgeting processes. The methodological approach can be a prototype for similar researches in other developing nations.</w:t>
      </w:r>
    </w:p>
    <w:p w14:paraId="1F7267BB" w14:textId="77777777" w:rsidR="006973B2" w:rsidRPr="00B33308" w:rsidRDefault="00427323" w:rsidP="00B33308">
      <w:pPr>
        <w:pStyle w:val="Heading1"/>
        <w:spacing w:before="74"/>
        <w:jc w:val="center"/>
        <w:rPr>
          <w:rFonts w:ascii="Times New Roman"/>
          <w:color w:val="1F4D79"/>
          <w:spacing w:val="-2"/>
          <w:sz w:val="28"/>
          <w:szCs w:val="28"/>
        </w:rPr>
      </w:pPr>
      <w:r w:rsidRPr="00B33308">
        <w:rPr>
          <w:rFonts w:ascii="Times New Roman"/>
          <w:color w:val="1F4D79"/>
          <w:spacing w:val="-2"/>
          <w:sz w:val="28"/>
          <w:szCs w:val="28"/>
        </w:rPr>
        <w:lastRenderedPageBreak/>
        <w:t>REVIEW OF LITERATURE</w:t>
      </w:r>
    </w:p>
    <w:p w14:paraId="0302326D" w14:textId="77777777" w:rsidR="006973B2" w:rsidRPr="00B33308" w:rsidRDefault="006973B2" w:rsidP="00B33308">
      <w:pPr>
        <w:pStyle w:val="Heading1"/>
        <w:spacing w:before="74"/>
        <w:rPr>
          <w:rFonts w:ascii="Times New Roman"/>
          <w:color w:val="1F4D79"/>
          <w:spacing w:val="-2"/>
          <w:sz w:val="28"/>
          <w:szCs w:val="28"/>
        </w:rPr>
      </w:pPr>
    </w:p>
    <w:p w14:paraId="065529A3" w14:textId="77777777" w:rsidR="006973B2" w:rsidRDefault="006973B2">
      <w:pPr>
        <w:pStyle w:val="BodyText"/>
        <w:spacing w:before="213"/>
        <w:rPr>
          <w:b/>
        </w:rPr>
      </w:pPr>
    </w:p>
    <w:p w14:paraId="59C69B8C" w14:textId="77777777" w:rsidR="00B33308" w:rsidRPr="00B33308" w:rsidRDefault="00B33308" w:rsidP="00B33308">
      <w:pPr>
        <w:pStyle w:val="BodyText"/>
        <w:spacing w:line="360" w:lineRule="auto"/>
        <w:jc w:val="both"/>
        <w:rPr>
          <w:b/>
          <w:bCs/>
          <w:sz w:val="24"/>
          <w:szCs w:val="24"/>
        </w:rPr>
      </w:pPr>
      <w:r w:rsidRPr="00B33308">
        <w:rPr>
          <w:b/>
          <w:bCs/>
          <w:sz w:val="24"/>
          <w:szCs w:val="24"/>
        </w:rPr>
        <w:t>1. Introduction and purpose of the review</w:t>
      </w:r>
    </w:p>
    <w:p w14:paraId="334A1EE8" w14:textId="77777777" w:rsidR="00B33308" w:rsidRPr="00B33308" w:rsidRDefault="00B33308" w:rsidP="00B33308">
      <w:pPr>
        <w:pStyle w:val="BodyText"/>
        <w:spacing w:line="360" w:lineRule="auto"/>
        <w:jc w:val="both"/>
        <w:rPr>
          <w:sz w:val="24"/>
          <w:szCs w:val="24"/>
        </w:rPr>
      </w:pPr>
      <w:r w:rsidRPr="00B33308">
        <w:rPr>
          <w:sz w:val="24"/>
          <w:szCs w:val="24"/>
        </w:rPr>
        <w:t xml:space="preserve">The value of money is constantly changing due to inflation. As such it fundamentally alters the planning assumptions behind budgets and forecasts. This literature review </w:t>
      </w:r>
      <w:proofErr w:type="spellStart"/>
      <w:r w:rsidRPr="00B33308">
        <w:rPr>
          <w:sz w:val="24"/>
          <w:szCs w:val="24"/>
        </w:rPr>
        <w:t>synthesises</w:t>
      </w:r>
      <w:proofErr w:type="spellEnd"/>
      <w:r w:rsidRPr="00B33308">
        <w:rPr>
          <w:sz w:val="24"/>
          <w:szCs w:val="24"/>
        </w:rPr>
        <w:t xml:space="preserve"> relevant theoretical and empirical studies both Indian and global and analyses how the concept of inflation relates to corporate financial planning, practical planning techniques used to combat it, and areas requiring more research. The review intends to build a comprehensive base for an empirical study on how budgeting and forecasting is practiced in Indian corporations in an inflationary period.</w:t>
      </w:r>
    </w:p>
    <w:p w14:paraId="3D906F71" w14:textId="77777777" w:rsidR="00B33308" w:rsidRPr="00B33308" w:rsidRDefault="00B33308" w:rsidP="00B33308">
      <w:pPr>
        <w:pStyle w:val="BodyText"/>
        <w:spacing w:line="360" w:lineRule="auto"/>
        <w:jc w:val="both"/>
        <w:rPr>
          <w:sz w:val="24"/>
          <w:szCs w:val="24"/>
        </w:rPr>
      </w:pPr>
    </w:p>
    <w:p w14:paraId="69100EA0" w14:textId="77777777" w:rsidR="00B33308" w:rsidRPr="00B33308" w:rsidRDefault="00B33308" w:rsidP="00B33308">
      <w:pPr>
        <w:pStyle w:val="BodyText"/>
        <w:spacing w:line="360" w:lineRule="auto"/>
        <w:jc w:val="both"/>
        <w:rPr>
          <w:b/>
          <w:bCs/>
          <w:sz w:val="24"/>
          <w:szCs w:val="24"/>
        </w:rPr>
      </w:pPr>
      <w:r w:rsidRPr="00B33308">
        <w:rPr>
          <w:b/>
          <w:bCs/>
          <w:sz w:val="24"/>
          <w:szCs w:val="24"/>
        </w:rPr>
        <w:t>2. Theoretical foundations</w:t>
      </w:r>
    </w:p>
    <w:p w14:paraId="280E0264" w14:textId="77777777" w:rsidR="00B33308" w:rsidRPr="00B33308" w:rsidRDefault="00B33308" w:rsidP="00B33308">
      <w:pPr>
        <w:pStyle w:val="BodyText"/>
        <w:spacing w:line="360" w:lineRule="auto"/>
        <w:jc w:val="both"/>
        <w:rPr>
          <w:sz w:val="24"/>
          <w:szCs w:val="24"/>
        </w:rPr>
      </w:pPr>
      <w:r w:rsidRPr="00B33308">
        <w:rPr>
          <w:sz w:val="24"/>
          <w:szCs w:val="24"/>
        </w:rPr>
        <w:t xml:space="preserve">The fundamental concept of budgeting and forecasting relies on the assumption of stable relationships between volume, prices, costs and certain macro-economic </w:t>
      </w:r>
      <w:proofErr w:type="spellStart"/>
      <w:r w:rsidRPr="00B33308">
        <w:rPr>
          <w:sz w:val="24"/>
          <w:szCs w:val="24"/>
        </w:rPr>
        <w:t>variables.Inflation</w:t>
      </w:r>
      <w:proofErr w:type="spellEnd"/>
      <w:r w:rsidRPr="00B33308">
        <w:rPr>
          <w:sz w:val="24"/>
          <w:szCs w:val="24"/>
        </w:rPr>
        <w:t xml:space="preserve"> undermines the </w:t>
      </w:r>
      <w:proofErr w:type="spellStart"/>
      <w:r w:rsidRPr="00B33308">
        <w:rPr>
          <w:sz w:val="24"/>
          <w:szCs w:val="24"/>
        </w:rPr>
        <w:t>stationarity</w:t>
      </w:r>
      <w:proofErr w:type="spellEnd"/>
      <w:r w:rsidRPr="00B33308">
        <w:rPr>
          <w:sz w:val="24"/>
          <w:szCs w:val="24"/>
        </w:rPr>
        <w:t xml:space="preserve"> of most of these relationships by changing absolute and relative prices over the forecast horizon. Various theories have described how inflation affects corporate financial decisions through three principal channels; a cost channel where inflation affects the cost of input materials; a finance channel where changing interest rates alter working capital cost, the cost of capital and feasibility of investment; and a demand channel which affects the customer purchasing power and their willingness to pay for goods.</w:t>
      </w:r>
    </w:p>
    <w:p w14:paraId="3C7E903E" w14:textId="77777777" w:rsidR="00B33308" w:rsidRPr="00B33308" w:rsidRDefault="00B33308" w:rsidP="00B33308">
      <w:pPr>
        <w:pStyle w:val="BodyText"/>
        <w:spacing w:line="360" w:lineRule="auto"/>
        <w:jc w:val="both"/>
        <w:rPr>
          <w:sz w:val="24"/>
          <w:szCs w:val="24"/>
        </w:rPr>
      </w:pPr>
      <w:r w:rsidRPr="00B33308">
        <w:rPr>
          <w:sz w:val="24"/>
          <w:szCs w:val="24"/>
        </w:rPr>
        <w:t xml:space="preserve"> </w:t>
      </w:r>
    </w:p>
    <w:p w14:paraId="5E707329" w14:textId="77777777" w:rsidR="00B33308" w:rsidRPr="00B33308" w:rsidRDefault="00B33308" w:rsidP="00B33308">
      <w:pPr>
        <w:pStyle w:val="BodyText"/>
        <w:spacing w:line="360" w:lineRule="auto"/>
        <w:jc w:val="both"/>
        <w:rPr>
          <w:sz w:val="24"/>
          <w:szCs w:val="24"/>
        </w:rPr>
      </w:pPr>
      <w:r w:rsidRPr="00B33308">
        <w:rPr>
          <w:sz w:val="24"/>
          <w:szCs w:val="24"/>
        </w:rPr>
        <w:t>However macro-to-micro transmission of inflation does not happen in a mechanical, universal manner. It is filtered by the firm's size, industry, and its pricing power. This implies that inflation can be considered as both a macro shock and a micro risk.</w:t>
      </w:r>
    </w:p>
    <w:p w14:paraId="1AFEE787" w14:textId="77777777" w:rsidR="00B33308" w:rsidRPr="00B33308" w:rsidRDefault="00B33308" w:rsidP="00B33308">
      <w:pPr>
        <w:pStyle w:val="BodyText"/>
        <w:spacing w:line="360" w:lineRule="auto"/>
        <w:jc w:val="both"/>
        <w:rPr>
          <w:sz w:val="24"/>
          <w:szCs w:val="24"/>
        </w:rPr>
      </w:pPr>
    </w:p>
    <w:p w14:paraId="4004F4A5" w14:textId="77777777" w:rsidR="00B33308" w:rsidRPr="00B33308" w:rsidRDefault="00B33308" w:rsidP="00B33308">
      <w:pPr>
        <w:pStyle w:val="BodyText"/>
        <w:spacing w:line="360" w:lineRule="auto"/>
        <w:jc w:val="both"/>
        <w:rPr>
          <w:b/>
          <w:bCs/>
          <w:sz w:val="24"/>
          <w:szCs w:val="24"/>
        </w:rPr>
      </w:pPr>
      <w:r w:rsidRPr="00B33308">
        <w:rPr>
          <w:b/>
          <w:bCs/>
          <w:sz w:val="24"/>
          <w:szCs w:val="24"/>
        </w:rPr>
        <w:t>3. Key studies of academic literature</w:t>
      </w:r>
    </w:p>
    <w:p w14:paraId="192A262D" w14:textId="77777777" w:rsidR="00B33308" w:rsidRPr="00B33308" w:rsidRDefault="00B33308" w:rsidP="00B33308">
      <w:pPr>
        <w:pStyle w:val="BodyText"/>
        <w:spacing w:line="360" w:lineRule="auto"/>
        <w:jc w:val="both"/>
        <w:rPr>
          <w:sz w:val="24"/>
          <w:szCs w:val="24"/>
        </w:rPr>
      </w:pPr>
      <w:r w:rsidRPr="00B33308">
        <w:rPr>
          <w:sz w:val="24"/>
          <w:szCs w:val="24"/>
        </w:rPr>
        <w:t>3.1. Supriya Kumari (2019)-Inflation and Corporate Budgeting in India</w:t>
      </w:r>
    </w:p>
    <w:p w14:paraId="010743B9" w14:textId="77777777" w:rsidR="00B33308" w:rsidRPr="00B33308" w:rsidRDefault="00B33308" w:rsidP="00B33308">
      <w:pPr>
        <w:pStyle w:val="BodyText"/>
        <w:spacing w:line="360" w:lineRule="auto"/>
        <w:jc w:val="both"/>
        <w:rPr>
          <w:sz w:val="24"/>
          <w:szCs w:val="24"/>
        </w:rPr>
      </w:pPr>
      <w:proofErr w:type="spellStart"/>
      <w:r w:rsidRPr="00B33308">
        <w:rPr>
          <w:sz w:val="24"/>
          <w:szCs w:val="24"/>
        </w:rPr>
        <w:t>Supriya</w:t>
      </w:r>
      <w:proofErr w:type="spellEnd"/>
      <w:r w:rsidRPr="00B33308">
        <w:rPr>
          <w:sz w:val="24"/>
          <w:szCs w:val="24"/>
        </w:rPr>
        <w:t xml:space="preserve"> </w:t>
      </w:r>
      <w:proofErr w:type="spellStart"/>
      <w:r w:rsidRPr="00B33308">
        <w:rPr>
          <w:sz w:val="24"/>
          <w:szCs w:val="24"/>
        </w:rPr>
        <w:t>Kumari's</w:t>
      </w:r>
      <w:proofErr w:type="spellEnd"/>
      <w:r w:rsidRPr="00B33308">
        <w:rPr>
          <w:sz w:val="24"/>
          <w:szCs w:val="24"/>
        </w:rPr>
        <w:t xml:space="preserve"> study </w:t>
      </w:r>
      <w:proofErr w:type="spellStart"/>
      <w:r w:rsidRPr="00B33308">
        <w:rPr>
          <w:sz w:val="24"/>
          <w:szCs w:val="24"/>
        </w:rPr>
        <w:t>analysed</w:t>
      </w:r>
      <w:proofErr w:type="spellEnd"/>
      <w:r w:rsidRPr="00B33308">
        <w:rPr>
          <w:sz w:val="24"/>
          <w:szCs w:val="24"/>
        </w:rPr>
        <w:t xml:space="preserve"> how Indian firms respond to Inflationary shocks during annual budgeting by observing how they adjust their budgets to it. She discovered that manufacturing sector companies report the highest forecast errors during periods when inflation rate is above 6% and suggested adoption of zero based budgeting and rolling forecasts to improve performance.</w:t>
      </w:r>
    </w:p>
    <w:p w14:paraId="0EBDCC9A" w14:textId="77777777" w:rsidR="00B33308" w:rsidRPr="00B33308" w:rsidRDefault="00B33308" w:rsidP="00B33308">
      <w:pPr>
        <w:pStyle w:val="BodyText"/>
        <w:spacing w:line="360" w:lineRule="auto"/>
        <w:jc w:val="both"/>
        <w:rPr>
          <w:sz w:val="24"/>
          <w:szCs w:val="24"/>
        </w:rPr>
      </w:pPr>
    </w:p>
    <w:p w14:paraId="2A56B531" w14:textId="77777777" w:rsidR="00B33308" w:rsidRDefault="00B33308" w:rsidP="00B33308">
      <w:pPr>
        <w:pStyle w:val="BodyText"/>
        <w:spacing w:line="360" w:lineRule="auto"/>
        <w:jc w:val="both"/>
        <w:rPr>
          <w:sz w:val="24"/>
          <w:szCs w:val="24"/>
        </w:rPr>
      </w:pPr>
    </w:p>
    <w:p w14:paraId="3C905999" w14:textId="77777777" w:rsidR="00B33308" w:rsidRDefault="00B33308" w:rsidP="00B33308">
      <w:pPr>
        <w:pStyle w:val="BodyText"/>
        <w:spacing w:line="360" w:lineRule="auto"/>
        <w:jc w:val="both"/>
        <w:rPr>
          <w:sz w:val="24"/>
          <w:szCs w:val="24"/>
        </w:rPr>
      </w:pPr>
    </w:p>
    <w:p w14:paraId="225EF2DC" w14:textId="5B71ECA5" w:rsidR="00B33308" w:rsidRPr="00B33308" w:rsidRDefault="00B33308" w:rsidP="00B33308">
      <w:pPr>
        <w:pStyle w:val="BodyText"/>
        <w:spacing w:line="360" w:lineRule="auto"/>
        <w:jc w:val="both"/>
        <w:rPr>
          <w:sz w:val="24"/>
          <w:szCs w:val="24"/>
        </w:rPr>
      </w:pPr>
      <w:r w:rsidRPr="00B33308">
        <w:rPr>
          <w:sz w:val="24"/>
          <w:szCs w:val="24"/>
        </w:rPr>
        <w:t>3.2. N. R. Parasuraman- Corporate Financial Planning Under Uncertainty</w:t>
      </w:r>
    </w:p>
    <w:p w14:paraId="2F97A8C5" w14:textId="77777777" w:rsidR="00B33308" w:rsidRPr="00B33308" w:rsidRDefault="00B33308" w:rsidP="00B33308">
      <w:pPr>
        <w:pStyle w:val="BodyText"/>
        <w:spacing w:line="360" w:lineRule="auto"/>
        <w:jc w:val="both"/>
        <w:rPr>
          <w:sz w:val="24"/>
          <w:szCs w:val="24"/>
        </w:rPr>
      </w:pPr>
      <w:r w:rsidRPr="00B33308">
        <w:rPr>
          <w:sz w:val="24"/>
          <w:szCs w:val="24"/>
        </w:rPr>
        <w:t>Parasuraman's research investigated the theoretical relationships between macroeconomic volatility and corporate financial planning mechanisms and concluded that Inflation seriously compromises the effectiveness of static annual budgets and in the absence of appropriate tools of probabilistic forecasting such models of planning would fail to remain relevant.</w:t>
      </w:r>
    </w:p>
    <w:p w14:paraId="68324A4B" w14:textId="77777777" w:rsidR="00B33308" w:rsidRPr="00B33308" w:rsidRDefault="00B33308" w:rsidP="00B33308">
      <w:pPr>
        <w:pStyle w:val="BodyText"/>
        <w:spacing w:line="360" w:lineRule="auto"/>
        <w:jc w:val="both"/>
        <w:rPr>
          <w:sz w:val="24"/>
          <w:szCs w:val="24"/>
        </w:rPr>
      </w:pPr>
    </w:p>
    <w:p w14:paraId="6C5914B2" w14:textId="77777777" w:rsidR="00B33308" w:rsidRPr="00B33308" w:rsidRDefault="00B33308" w:rsidP="00B33308">
      <w:pPr>
        <w:pStyle w:val="BodyText"/>
        <w:spacing w:line="360" w:lineRule="auto"/>
        <w:jc w:val="both"/>
        <w:rPr>
          <w:sz w:val="24"/>
          <w:szCs w:val="24"/>
        </w:rPr>
      </w:pPr>
      <w:r w:rsidRPr="00B33308">
        <w:rPr>
          <w:sz w:val="24"/>
          <w:szCs w:val="24"/>
        </w:rPr>
        <w:t>3.3. Rakesh Mohan- RBI Monetary Policy and Corporate Response</w:t>
      </w:r>
    </w:p>
    <w:p w14:paraId="307BD2F9" w14:textId="77777777" w:rsidR="00B33308" w:rsidRPr="00B33308" w:rsidRDefault="00B33308" w:rsidP="00B33308">
      <w:pPr>
        <w:pStyle w:val="BodyText"/>
        <w:spacing w:line="360" w:lineRule="auto"/>
        <w:jc w:val="both"/>
        <w:rPr>
          <w:sz w:val="24"/>
          <w:szCs w:val="24"/>
        </w:rPr>
      </w:pPr>
      <w:r w:rsidRPr="00B33308">
        <w:rPr>
          <w:sz w:val="24"/>
          <w:szCs w:val="24"/>
        </w:rPr>
        <w:t>Research on the response of companies to the policy measures enacted by RBI particularly repo rate changes suggested that monetary policy actions do affect corporate finance costs and thereby impact budgets, however there remains a lag in the corporate response, which in turn causes planning gaps.</w:t>
      </w:r>
    </w:p>
    <w:p w14:paraId="195959ED" w14:textId="77777777" w:rsidR="00B33308" w:rsidRPr="00B33308" w:rsidRDefault="00B33308" w:rsidP="00B33308">
      <w:pPr>
        <w:pStyle w:val="BodyText"/>
        <w:spacing w:line="360" w:lineRule="auto"/>
        <w:jc w:val="both"/>
        <w:rPr>
          <w:sz w:val="24"/>
          <w:szCs w:val="24"/>
        </w:rPr>
      </w:pPr>
    </w:p>
    <w:p w14:paraId="13DB86CF" w14:textId="77777777" w:rsidR="00B33308" w:rsidRPr="00B33308" w:rsidRDefault="00B33308" w:rsidP="00B33308">
      <w:pPr>
        <w:pStyle w:val="BodyText"/>
        <w:spacing w:line="360" w:lineRule="auto"/>
        <w:jc w:val="both"/>
        <w:rPr>
          <w:sz w:val="24"/>
          <w:szCs w:val="24"/>
        </w:rPr>
      </w:pPr>
      <w:r w:rsidRPr="00B33308">
        <w:rPr>
          <w:sz w:val="24"/>
          <w:szCs w:val="24"/>
        </w:rPr>
        <w:t>3.4. S. Ghosh &amp; A. Chandrasekar-Inflation Forecasting and Firm-Level Planning</w:t>
      </w:r>
    </w:p>
    <w:p w14:paraId="67CF5F08" w14:textId="77777777" w:rsidR="00B33308" w:rsidRPr="00B33308" w:rsidRDefault="00B33308" w:rsidP="00B33308">
      <w:pPr>
        <w:pStyle w:val="BodyText"/>
        <w:spacing w:line="360" w:lineRule="auto"/>
        <w:jc w:val="both"/>
        <w:rPr>
          <w:sz w:val="24"/>
          <w:szCs w:val="24"/>
        </w:rPr>
      </w:pPr>
      <w:r w:rsidRPr="00B33308">
        <w:rPr>
          <w:sz w:val="24"/>
          <w:szCs w:val="24"/>
        </w:rPr>
        <w:t>The focus of this research was on the reliability of inflation forecasts employed in corporate planning models. They argued that relying only on historical inflation trend would make the forecasts of actual prices far below the observed volatility in practice. They proposed a scenario-based approach as an alternative.</w:t>
      </w:r>
    </w:p>
    <w:p w14:paraId="197D99B7" w14:textId="77777777" w:rsidR="00B33308" w:rsidRPr="00B33308" w:rsidRDefault="00B33308" w:rsidP="00B33308">
      <w:pPr>
        <w:pStyle w:val="BodyText"/>
        <w:spacing w:line="360" w:lineRule="auto"/>
        <w:jc w:val="both"/>
        <w:rPr>
          <w:sz w:val="24"/>
          <w:szCs w:val="24"/>
        </w:rPr>
      </w:pPr>
    </w:p>
    <w:p w14:paraId="027EB2DD" w14:textId="77777777" w:rsidR="00B33308" w:rsidRPr="00B33308" w:rsidRDefault="00B33308" w:rsidP="00B33308">
      <w:pPr>
        <w:pStyle w:val="BodyText"/>
        <w:spacing w:line="360" w:lineRule="auto"/>
        <w:jc w:val="both"/>
        <w:rPr>
          <w:b/>
          <w:bCs/>
          <w:sz w:val="24"/>
          <w:szCs w:val="24"/>
        </w:rPr>
      </w:pPr>
      <w:r w:rsidRPr="00B33308">
        <w:rPr>
          <w:b/>
          <w:bCs/>
          <w:sz w:val="24"/>
          <w:szCs w:val="24"/>
        </w:rPr>
        <w:t>4. Empirical evidence-India</w:t>
      </w:r>
    </w:p>
    <w:p w14:paraId="51A0704C" w14:textId="77777777" w:rsidR="00B33308" w:rsidRPr="00B33308" w:rsidRDefault="00B33308" w:rsidP="00B33308">
      <w:pPr>
        <w:pStyle w:val="BodyText"/>
        <w:spacing w:line="360" w:lineRule="auto"/>
        <w:jc w:val="both"/>
        <w:rPr>
          <w:sz w:val="24"/>
          <w:szCs w:val="24"/>
        </w:rPr>
      </w:pPr>
      <w:r w:rsidRPr="00B33308">
        <w:rPr>
          <w:sz w:val="24"/>
          <w:szCs w:val="24"/>
        </w:rPr>
        <w:t>Studies relating to Inflation forecasting, in India using ML and forecast combination show increase in accuracy in short-term forecasts but uncertainties persist for the longer-term ones. In the Indian context it is generally observed that combining all forecasts (ML, Judgmental and statistical) improves the accuracy. It can be interpreted as a recommendation for Indian firms to combine all these forecasts to come up with better inflation projections for budgeting purpose.</w:t>
      </w:r>
    </w:p>
    <w:p w14:paraId="1300ED4E" w14:textId="77777777" w:rsidR="00B33308" w:rsidRPr="00B33308" w:rsidRDefault="00B33308" w:rsidP="00B33308">
      <w:pPr>
        <w:pStyle w:val="BodyText"/>
        <w:spacing w:line="360" w:lineRule="auto"/>
        <w:jc w:val="both"/>
        <w:rPr>
          <w:sz w:val="24"/>
          <w:szCs w:val="24"/>
        </w:rPr>
      </w:pPr>
    </w:p>
    <w:p w14:paraId="259C7DB6" w14:textId="77777777" w:rsidR="00B33308" w:rsidRPr="00B33308" w:rsidRDefault="00B33308" w:rsidP="00B33308">
      <w:pPr>
        <w:pStyle w:val="BodyText"/>
        <w:spacing w:line="360" w:lineRule="auto"/>
        <w:jc w:val="both"/>
        <w:rPr>
          <w:sz w:val="24"/>
          <w:szCs w:val="24"/>
        </w:rPr>
      </w:pPr>
      <w:r w:rsidRPr="00B33308">
        <w:rPr>
          <w:sz w:val="24"/>
          <w:szCs w:val="24"/>
        </w:rPr>
        <w:t>Empirical research specifically linking Inflation to corporate budgets in India indicates that firms show increased forecast errors in inflation prone volatile spells, the length of the working capital cycle shortens and budget revisions increase especially for the manufacturing, FMCG and logistics sectors. This underlines the sector specificity in dealing with inflation, with companies in sectors with volatile prices, or with no control over prices reporting greater impact.</w:t>
      </w:r>
    </w:p>
    <w:p w14:paraId="7F8F87AE" w14:textId="77777777" w:rsidR="00B33308" w:rsidRPr="00B33308" w:rsidRDefault="00B33308" w:rsidP="00B33308">
      <w:pPr>
        <w:pStyle w:val="BodyText"/>
        <w:spacing w:line="360" w:lineRule="auto"/>
        <w:jc w:val="both"/>
        <w:rPr>
          <w:sz w:val="24"/>
          <w:szCs w:val="24"/>
        </w:rPr>
      </w:pPr>
    </w:p>
    <w:p w14:paraId="4A4A0895" w14:textId="77777777" w:rsidR="00B33308" w:rsidRDefault="00B33308" w:rsidP="00B33308">
      <w:pPr>
        <w:pStyle w:val="BodyText"/>
        <w:spacing w:line="360" w:lineRule="auto"/>
        <w:jc w:val="both"/>
        <w:rPr>
          <w:b/>
          <w:bCs/>
          <w:sz w:val="24"/>
          <w:szCs w:val="24"/>
        </w:rPr>
      </w:pPr>
    </w:p>
    <w:p w14:paraId="238D1E52" w14:textId="77777777" w:rsidR="00B33308" w:rsidRDefault="00B33308" w:rsidP="00B33308">
      <w:pPr>
        <w:pStyle w:val="BodyText"/>
        <w:spacing w:line="360" w:lineRule="auto"/>
        <w:jc w:val="both"/>
        <w:rPr>
          <w:b/>
          <w:bCs/>
          <w:sz w:val="24"/>
          <w:szCs w:val="24"/>
        </w:rPr>
      </w:pPr>
    </w:p>
    <w:p w14:paraId="2543A703" w14:textId="77777777" w:rsidR="00B33308" w:rsidRDefault="00B33308" w:rsidP="00B33308">
      <w:pPr>
        <w:pStyle w:val="BodyText"/>
        <w:spacing w:line="360" w:lineRule="auto"/>
        <w:jc w:val="both"/>
        <w:rPr>
          <w:b/>
          <w:bCs/>
          <w:sz w:val="24"/>
          <w:szCs w:val="24"/>
        </w:rPr>
      </w:pPr>
    </w:p>
    <w:p w14:paraId="405512E0" w14:textId="77D0EDE7" w:rsidR="00B33308" w:rsidRPr="00B33308" w:rsidRDefault="00B33308" w:rsidP="00B33308">
      <w:pPr>
        <w:pStyle w:val="BodyText"/>
        <w:spacing w:line="360" w:lineRule="auto"/>
        <w:jc w:val="both"/>
        <w:rPr>
          <w:b/>
          <w:bCs/>
          <w:sz w:val="24"/>
          <w:szCs w:val="24"/>
        </w:rPr>
      </w:pPr>
      <w:r w:rsidRPr="00B33308">
        <w:rPr>
          <w:b/>
          <w:bCs/>
          <w:sz w:val="24"/>
          <w:szCs w:val="24"/>
        </w:rPr>
        <w:t>5. Budgeting techniques in literature</w:t>
      </w:r>
    </w:p>
    <w:p w14:paraId="4CE1C0A9" w14:textId="23142BED" w:rsidR="006973B2" w:rsidRPr="00B33308" w:rsidRDefault="00B33308" w:rsidP="00B33308">
      <w:pPr>
        <w:pStyle w:val="BodyText"/>
        <w:spacing w:line="360" w:lineRule="auto"/>
        <w:jc w:val="both"/>
        <w:rPr>
          <w:sz w:val="24"/>
          <w:szCs w:val="24"/>
        </w:rPr>
        <w:sectPr w:rsidR="006973B2" w:rsidRPr="00B33308">
          <w:pgSz w:w="12240" w:h="15840"/>
          <w:pgMar w:top="1280" w:right="1440" w:bottom="280" w:left="1440" w:header="720" w:footer="720" w:gutter="0"/>
          <w:cols w:space="720"/>
        </w:sectPr>
      </w:pPr>
      <w:r w:rsidRPr="00B33308">
        <w:rPr>
          <w:sz w:val="24"/>
          <w:szCs w:val="24"/>
        </w:rPr>
        <w:t xml:space="preserve">Firms typically approach the problems presented by inflation through four broad methods. The first approach consists of changing processes, such as adopting rolling forecasts, zero-based budgeting and reforecasting, followed by enhancing analytical models used in budgeting. </w:t>
      </w:r>
    </w:p>
    <w:p w14:paraId="0BA8DFC0" w14:textId="77777777" w:rsidR="006973B2" w:rsidRPr="00B33308" w:rsidRDefault="00427323" w:rsidP="00B33308">
      <w:pPr>
        <w:pStyle w:val="Heading1"/>
        <w:spacing w:before="74"/>
        <w:jc w:val="center"/>
        <w:rPr>
          <w:rFonts w:ascii="Times New Roman"/>
          <w:color w:val="1F4D79"/>
          <w:spacing w:val="-2"/>
          <w:sz w:val="28"/>
          <w:szCs w:val="28"/>
        </w:rPr>
      </w:pPr>
      <w:r w:rsidRPr="00B33308">
        <w:rPr>
          <w:rFonts w:ascii="Times New Roman"/>
          <w:color w:val="1F4D79"/>
          <w:spacing w:val="-2"/>
          <w:sz w:val="28"/>
          <w:szCs w:val="28"/>
        </w:rPr>
        <w:lastRenderedPageBreak/>
        <w:t>RESEARCH GAPS</w:t>
      </w:r>
    </w:p>
    <w:p w14:paraId="689C7FBF" w14:textId="77777777" w:rsidR="006973B2" w:rsidRDefault="006973B2">
      <w:pPr>
        <w:pStyle w:val="BodyText"/>
        <w:rPr>
          <w:b/>
        </w:rPr>
      </w:pPr>
    </w:p>
    <w:p w14:paraId="56DDA8AA" w14:textId="77777777" w:rsidR="006973B2" w:rsidRDefault="006973B2">
      <w:pPr>
        <w:pStyle w:val="BodyText"/>
        <w:spacing w:before="25"/>
        <w:rPr>
          <w:b/>
        </w:rPr>
      </w:pPr>
    </w:p>
    <w:p w14:paraId="532E3EF7" w14:textId="77777777" w:rsidR="00B33308" w:rsidRPr="00B33308" w:rsidRDefault="00B33308" w:rsidP="00B33308">
      <w:pPr>
        <w:pStyle w:val="BodyText"/>
        <w:spacing w:line="360" w:lineRule="auto"/>
        <w:jc w:val="both"/>
        <w:rPr>
          <w:sz w:val="24"/>
          <w:szCs w:val="24"/>
        </w:rPr>
      </w:pPr>
      <w:r w:rsidRPr="00B33308">
        <w:rPr>
          <w:sz w:val="24"/>
          <w:szCs w:val="24"/>
        </w:rPr>
        <w:t>Despite a growing body of literature concerning inflation and corporate finance, several important gaps exist, particularly within the Indian context:</w:t>
      </w:r>
    </w:p>
    <w:p w14:paraId="303271BB" w14:textId="77777777" w:rsidR="00B33308" w:rsidRPr="00B33308" w:rsidRDefault="00B33308" w:rsidP="00B33308">
      <w:pPr>
        <w:pStyle w:val="BodyText"/>
        <w:spacing w:line="360" w:lineRule="auto"/>
        <w:jc w:val="both"/>
        <w:rPr>
          <w:sz w:val="24"/>
          <w:szCs w:val="24"/>
        </w:rPr>
      </w:pPr>
    </w:p>
    <w:p w14:paraId="1A41F145" w14:textId="77777777" w:rsidR="00B33308" w:rsidRPr="00B33308" w:rsidRDefault="00B33308" w:rsidP="00B33308">
      <w:pPr>
        <w:pStyle w:val="BodyText"/>
        <w:spacing w:line="360" w:lineRule="auto"/>
        <w:jc w:val="both"/>
        <w:rPr>
          <w:sz w:val="24"/>
          <w:szCs w:val="24"/>
        </w:rPr>
      </w:pPr>
      <w:r w:rsidRPr="00B33308">
        <w:rPr>
          <w:b/>
          <w:bCs/>
          <w:sz w:val="24"/>
          <w:szCs w:val="24"/>
        </w:rPr>
        <w:t>1. Short-term versus long-term budgeting under inflation expectations:</w:t>
      </w:r>
      <w:r w:rsidRPr="00B33308">
        <w:rPr>
          <w:sz w:val="24"/>
          <w:szCs w:val="24"/>
        </w:rPr>
        <w:t xml:space="preserve"> We know very little about how firms integrate inflation expectations into short-term versus long-term budgets. Inflation expectations can have very different implications for investment and working capital choices depending on the horizon of the planning exercise. Research question: Do Indian firms employ different models and assumptions about inflation when preparing annual operating budgets versus five- to ten-year capital expenditure plans?</w:t>
      </w:r>
    </w:p>
    <w:p w14:paraId="6ED1B1D7" w14:textId="77777777" w:rsidR="00B33308" w:rsidRPr="00B33308" w:rsidRDefault="00B33308" w:rsidP="00B33308">
      <w:pPr>
        <w:pStyle w:val="BodyText"/>
        <w:spacing w:line="360" w:lineRule="auto"/>
        <w:jc w:val="both"/>
        <w:rPr>
          <w:sz w:val="24"/>
          <w:szCs w:val="24"/>
        </w:rPr>
      </w:pPr>
      <w:r w:rsidRPr="00B33308">
        <w:rPr>
          <w:sz w:val="24"/>
          <w:szCs w:val="24"/>
        </w:rPr>
        <w:t>Methods: Survey of CFOs, content analysis of budget policy documents. Quantitative test of budget responses to inflation surprises using firm level capex/operating expenditure data. Data: Prowess, annual reports, RBI inflation expectations surveys.</w:t>
      </w:r>
    </w:p>
    <w:p w14:paraId="7DA073C5" w14:textId="77777777" w:rsidR="00B33308" w:rsidRPr="00B33308" w:rsidRDefault="00B33308" w:rsidP="00B33308">
      <w:pPr>
        <w:pStyle w:val="BodyText"/>
        <w:spacing w:line="360" w:lineRule="auto"/>
        <w:jc w:val="both"/>
        <w:rPr>
          <w:sz w:val="24"/>
          <w:szCs w:val="24"/>
        </w:rPr>
      </w:pPr>
    </w:p>
    <w:p w14:paraId="0F8657B6" w14:textId="77777777" w:rsidR="00B33308" w:rsidRPr="00B33308" w:rsidRDefault="00B33308" w:rsidP="00B33308">
      <w:pPr>
        <w:pStyle w:val="BodyText"/>
        <w:spacing w:line="360" w:lineRule="auto"/>
        <w:jc w:val="both"/>
        <w:rPr>
          <w:sz w:val="24"/>
          <w:szCs w:val="24"/>
        </w:rPr>
      </w:pPr>
      <w:r w:rsidRPr="00B33308">
        <w:rPr>
          <w:b/>
          <w:bCs/>
          <w:sz w:val="24"/>
          <w:szCs w:val="24"/>
        </w:rPr>
        <w:t xml:space="preserve">2. Heterogeneity across sectors: Services versus Manufacturing versus Commodities: </w:t>
      </w:r>
      <w:r w:rsidRPr="00B33308">
        <w:rPr>
          <w:sz w:val="24"/>
          <w:szCs w:val="24"/>
        </w:rPr>
        <w:t xml:space="preserve">Inflation has differential effects across sectors depending on input pass-through, </w:t>
      </w:r>
      <w:proofErr w:type="spellStart"/>
      <w:r w:rsidRPr="00B33308">
        <w:rPr>
          <w:sz w:val="24"/>
          <w:szCs w:val="24"/>
        </w:rPr>
        <w:t>labour</w:t>
      </w:r>
      <w:proofErr w:type="spellEnd"/>
      <w:r w:rsidRPr="00B33308">
        <w:rPr>
          <w:sz w:val="24"/>
          <w:szCs w:val="24"/>
        </w:rPr>
        <w:t xml:space="preserve"> intensity, and regulation. Current studies treat firms in heterogeneous sectors as a homogenous group. Research question: In which sectors is the forecast error after inflation shocks the highest, and why?</w:t>
      </w:r>
    </w:p>
    <w:p w14:paraId="2FDFA06F" w14:textId="77777777" w:rsidR="00B33308" w:rsidRPr="00B33308" w:rsidRDefault="00B33308" w:rsidP="00B33308">
      <w:pPr>
        <w:pStyle w:val="BodyText"/>
        <w:spacing w:line="360" w:lineRule="auto"/>
        <w:jc w:val="both"/>
        <w:rPr>
          <w:sz w:val="24"/>
          <w:szCs w:val="24"/>
        </w:rPr>
      </w:pPr>
      <w:r w:rsidRPr="00B33308">
        <w:rPr>
          <w:sz w:val="24"/>
          <w:szCs w:val="24"/>
        </w:rPr>
        <w:t>Methods: Panel regressions of forecasting errors on sector dummies, share of input costs, and supply chain intensity. Data: firm reports, industry association reports, input-output tables.</w:t>
      </w:r>
    </w:p>
    <w:p w14:paraId="311A8875" w14:textId="77777777" w:rsidR="00B33308" w:rsidRPr="00B33308" w:rsidRDefault="00B33308" w:rsidP="00B33308">
      <w:pPr>
        <w:pStyle w:val="BodyText"/>
        <w:spacing w:line="360" w:lineRule="auto"/>
        <w:jc w:val="both"/>
        <w:rPr>
          <w:sz w:val="24"/>
          <w:szCs w:val="24"/>
        </w:rPr>
      </w:pPr>
    </w:p>
    <w:p w14:paraId="61F1CAF1" w14:textId="77777777" w:rsidR="00B33308" w:rsidRPr="00B33308" w:rsidRDefault="00B33308" w:rsidP="00B33308">
      <w:pPr>
        <w:pStyle w:val="BodyText"/>
        <w:spacing w:line="360" w:lineRule="auto"/>
        <w:jc w:val="both"/>
        <w:rPr>
          <w:sz w:val="24"/>
          <w:szCs w:val="24"/>
        </w:rPr>
      </w:pPr>
      <w:r w:rsidRPr="00B33308">
        <w:rPr>
          <w:b/>
          <w:bCs/>
          <w:sz w:val="24"/>
          <w:szCs w:val="24"/>
        </w:rPr>
        <w:t>3. Role of Imported inputs in inflation pass-through:</w:t>
      </w:r>
      <w:r w:rsidRPr="00B33308">
        <w:rPr>
          <w:sz w:val="24"/>
          <w:szCs w:val="24"/>
        </w:rPr>
        <w:t xml:space="preserve"> Firms that depend on imports face combined domestic inflation and currency depreciation risk, yet Indian studies focus primarily on the former. Research question: How does reliance on imports influence adjustments to a budget in response to a domestic inflation shock?</w:t>
      </w:r>
    </w:p>
    <w:p w14:paraId="1403629C" w14:textId="77777777" w:rsidR="00B33308" w:rsidRPr="00B33308" w:rsidRDefault="00B33308" w:rsidP="00B33308">
      <w:pPr>
        <w:pStyle w:val="BodyText"/>
        <w:spacing w:line="360" w:lineRule="auto"/>
        <w:jc w:val="both"/>
        <w:rPr>
          <w:sz w:val="24"/>
          <w:szCs w:val="24"/>
        </w:rPr>
      </w:pPr>
      <w:r w:rsidRPr="00B33308">
        <w:rPr>
          <w:sz w:val="24"/>
          <w:szCs w:val="24"/>
        </w:rPr>
        <w:t>Methods: Interaction regressions based on firm import intensity. Case studies of firms with high import dependency. Data: customs data, import data, Prowess data, RBI exchange rate series.</w:t>
      </w:r>
    </w:p>
    <w:p w14:paraId="60EAB317" w14:textId="77777777" w:rsidR="00B33308" w:rsidRPr="00B33308" w:rsidRDefault="00B33308" w:rsidP="00B33308">
      <w:pPr>
        <w:pStyle w:val="BodyText"/>
        <w:spacing w:line="360" w:lineRule="auto"/>
        <w:jc w:val="both"/>
        <w:rPr>
          <w:sz w:val="24"/>
          <w:szCs w:val="24"/>
        </w:rPr>
      </w:pPr>
    </w:p>
    <w:p w14:paraId="26E570F1" w14:textId="77777777" w:rsidR="00B33308" w:rsidRPr="00B33308" w:rsidRDefault="00B33308" w:rsidP="00B33308">
      <w:pPr>
        <w:pStyle w:val="BodyText"/>
        <w:spacing w:line="360" w:lineRule="auto"/>
        <w:jc w:val="both"/>
        <w:rPr>
          <w:sz w:val="24"/>
          <w:szCs w:val="24"/>
        </w:rPr>
      </w:pPr>
      <w:r w:rsidRPr="00B33308">
        <w:rPr>
          <w:b/>
          <w:bCs/>
          <w:sz w:val="24"/>
          <w:szCs w:val="24"/>
        </w:rPr>
        <w:t>4. Impact of inflation hedging strategies on forecast accuracy:</w:t>
      </w:r>
      <w:r w:rsidRPr="00B33308">
        <w:rPr>
          <w:sz w:val="24"/>
          <w:szCs w:val="24"/>
        </w:rPr>
        <w:t xml:space="preserve"> The extent to which the use of derivatives, forward and index contracts helps improve budget accuracy remains largely unstudied. Research Question: Can we confirm that firms using FX/commodity hedges exhibit lower variances in forecasts surrounding inflation and price shocks?</w:t>
      </w:r>
    </w:p>
    <w:p w14:paraId="4B2AA37E" w14:textId="77777777" w:rsidR="00B33308" w:rsidRPr="00B33308" w:rsidRDefault="00B33308" w:rsidP="00B33308">
      <w:pPr>
        <w:pStyle w:val="BodyText"/>
        <w:spacing w:line="360" w:lineRule="auto"/>
        <w:jc w:val="both"/>
        <w:rPr>
          <w:sz w:val="24"/>
          <w:szCs w:val="24"/>
        </w:rPr>
      </w:pPr>
      <w:r w:rsidRPr="00B33308">
        <w:rPr>
          <w:sz w:val="24"/>
          <w:szCs w:val="24"/>
        </w:rPr>
        <w:lastRenderedPageBreak/>
        <w:t>Methods: Difference-in-differences regression based on hedging adoptions, event studies around inflation/commodity spikes. Data: Annual report disclosures on derivative usage, Prowess, BSE filings.</w:t>
      </w:r>
    </w:p>
    <w:p w14:paraId="3DCEFFBA" w14:textId="77777777" w:rsidR="00B33308" w:rsidRPr="00B33308" w:rsidRDefault="00B33308" w:rsidP="00B33308">
      <w:pPr>
        <w:pStyle w:val="BodyText"/>
        <w:spacing w:line="360" w:lineRule="auto"/>
        <w:jc w:val="both"/>
        <w:rPr>
          <w:sz w:val="24"/>
          <w:szCs w:val="24"/>
        </w:rPr>
      </w:pPr>
    </w:p>
    <w:p w14:paraId="49354C13" w14:textId="77777777" w:rsidR="00B33308" w:rsidRPr="00B33308" w:rsidRDefault="00B33308" w:rsidP="00B33308">
      <w:pPr>
        <w:pStyle w:val="BodyText"/>
        <w:spacing w:line="360" w:lineRule="auto"/>
        <w:jc w:val="both"/>
        <w:rPr>
          <w:sz w:val="24"/>
          <w:szCs w:val="24"/>
        </w:rPr>
      </w:pPr>
      <w:r w:rsidRPr="00B957B6">
        <w:rPr>
          <w:b/>
          <w:bCs/>
          <w:sz w:val="24"/>
          <w:szCs w:val="24"/>
        </w:rPr>
        <w:t xml:space="preserve">5. Behavioral biases in firm-level inflation </w:t>
      </w:r>
      <w:proofErr w:type="spellStart"/>
      <w:r w:rsidRPr="00B957B6">
        <w:rPr>
          <w:b/>
          <w:bCs/>
          <w:sz w:val="24"/>
          <w:szCs w:val="24"/>
        </w:rPr>
        <w:t>forecasting</w:t>
      </w:r>
      <w:proofErr w:type="gramStart"/>
      <w:r w:rsidRPr="00B957B6">
        <w:rPr>
          <w:b/>
          <w:bCs/>
          <w:sz w:val="24"/>
          <w:szCs w:val="24"/>
        </w:rPr>
        <w:t>:anchoring</w:t>
      </w:r>
      <w:proofErr w:type="spellEnd"/>
      <w:proofErr w:type="gramEnd"/>
      <w:r w:rsidRPr="00B957B6">
        <w:rPr>
          <w:b/>
          <w:bCs/>
          <w:sz w:val="24"/>
          <w:szCs w:val="24"/>
        </w:rPr>
        <w:t xml:space="preserve">, optimism or </w:t>
      </w:r>
      <w:proofErr w:type="spellStart"/>
      <w:r w:rsidRPr="00B957B6">
        <w:rPr>
          <w:b/>
          <w:bCs/>
          <w:sz w:val="24"/>
          <w:szCs w:val="24"/>
        </w:rPr>
        <w:t>recency</w:t>
      </w:r>
      <w:proofErr w:type="spellEnd"/>
      <w:r w:rsidRPr="00B957B6">
        <w:rPr>
          <w:b/>
          <w:bCs/>
          <w:sz w:val="24"/>
          <w:szCs w:val="24"/>
        </w:rPr>
        <w:t xml:space="preserve"> bias can lead to systemic under- or over-forecasting of firm-level responses to inflation. Research question: </w:t>
      </w:r>
      <w:r w:rsidRPr="00B33308">
        <w:rPr>
          <w:sz w:val="24"/>
          <w:szCs w:val="24"/>
        </w:rPr>
        <w:t>Do firms' forecasting teams anchor to the central bank inflation target or recent inflation? What kind of cognitive biases do they exhibit?</w:t>
      </w:r>
    </w:p>
    <w:p w14:paraId="52B5C46E" w14:textId="1CB45603" w:rsidR="006973B2" w:rsidRDefault="00B33308" w:rsidP="00B33308">
      <w:pPr>
        <w:pStyle w:val="BodyText"/>
        <w:spacing w:line="360" w:lineRule="auto"/>
        <w:jc w:val="both"/>
        <w:sectPr w:rsidR="006973B2">
          <w:pgSz w:w="12240" w:h="15840"/>
          <w:pgMar w:top="1280" w:right="1440" w:bottom="280" w:left="1440" w:header="720" w:footer="720" w:gutter="0"/>
          <w:cols w:space="720"/>
        </w:sectPr>
      </w:pPr>
      <w:r w:rsidRPr="00B33308">
        <w:rPr>
          <w:sz w:val="24"/>
          <w:szCs w:val="24"/>
        </w:rPr>
        <w:t>Methods: Behavioral experiments with finance professionals, vignette experiments. Data: Primary data from experiments/surveys, internal company budgeting data where accessible.</w:t>
      </w:r>
    </w:p>
    <w:p w14:paraId="223D8156" w14:textId="77777777" w:rsidR="006973B2" w:rsidRPr="00B957B6" w:rsidRDefault="00427323" w:rsidP="00B957B6">
      <w:pPr>
        <w:pStyle w:val="Heading1"/>
        <w:spacing w:before="74"/>
        <w:jc w:val="center"/>
        <w:rPr>
          <w:rFonts w:ascii="Times New Roman"/>
          <w:color w:val="1F4D79"/>
          <w:spacing w:val="-2"/>
          <w:sz w:val="28"/>
          <w:szCs w:val="28"/>
        </w:rPr>
      </w:pPr>
      <w:r w:rsidRPr="00B957B6">
        <w:rPr>
          <w:rFonts w:ascii="Times New Roman"/>
          <w:color w:val="1F4D79"/>
          <w:spacing w:val="-2"/>
          <w:sz w:val="28"/>
          <w:szCs w:val="28"/>
        </w:rPr>
        <w:lastRenderedPageBreak/>
        <w:t>OBJECTIVES OF THE RESEARCH</w:t>
      </w:r>
    </w:p>
    <w:p w14:paraId="2C977DC3" w14:textId="77777777" w:rsidR="006973B2" w:rsidRDefault="006973B2">
      <w:pPr>
        <w:pStyle w:val="BodyText"/>
        <w:rPr>
          <w:b/>
        </w:rPr>
      </w:pPr>
    </w:p>
    <w:p w14:paraId="4AC05A30" w14:textId="77777777" w:rsidR="006973B2" w:rsidRDefault="006973B2">
      <w:pPr>
        <w:pStyle w:val="BodyText"/>
        <w:spacing w:before="25"/>
        <w:rPr>
          <w:b/>
        </w:rPr>
      </w:pPr>
    </w:p>
    <w:p w14:paraId="4A9D009A" w14:textId="77777777" w:rsidR="00B957B6" w:rsidRPr="00B957B6" w:rsidRDefault="00B957B6" w:rsidP="00B957B6">
      <w:pPr>
        <w:pStyle w:val="ListParagraph"/>
        <w:spacing w:line="360" w:lineRule="auto"/>
        <w:ind w:left="851"/>
        <w:jc w:val="both"/>
        <w:rPr>
          <w:sz w:val="24"/>
          <w:szCs w:val="24"/>
        </w:rPr>
      </w:pPr>
      <w:r w:rsidRPr="00B957B6">
        <w:rPr>
          <w:sz w:val="24"/>
          <w:szCs w:val="24"/>
        </w:rPr>
        <w:t xml:space="preserve">The overall aim of this study is to investigate and measure the influence of inflation upon </w:t>
      </w:r>
    </w:p>
    <w:p w14:paraId="197F6BDD" w14:textId="58AB9C6E" w:rsidR="00B957B6" w:rsidRPr="00B957B6" w:rsidRDefault="00B957B6" w:rsidP="00B957B6">
      <w:pPr>
        <w:pStyle w:val="ListParagraph"/>
        <w:spacing w:line="360" w:lineRule="auto"/>
        <w:ind w:left="851"/>
        <w:jc w:val="both"/>
        <w:rPr>
          <w:sz w:val="24"/>
          <w:szCs w:val="24"/>
        </w:rPr>
      </w:pPr>
      <w:r w:rsidRPr="00B957B6">
        <w:rPr>
          <w:sz w:val="24"/>
          <w:szCs w:val="24"/>
        </w:rPr>
        <w:t>corporate budgeting and financial forecasting within Indian firms from 2019-2025.</w:t>
      </w:r>
    </w:p>
    <w:p w14:paraId="4859CD4F" w14:textId="77777777" w:rsidR="00B957B6" w:rsidRPr="00B957B6" w:rsidRDefault="00B957B6" w:rsidP="00B957B6">
      <w:pPr>
        <w:pStyle w:val="ListParagraph"/>
        <w:spacing w:line="360" w:lineRule="auto"/>
        <w:jc w:val="both"/>
        <w:rPr>
          <w:sz w:val="24"/>
          <w:szCs w:val="24"/>
        </w:rPr>
      </w:pPr>
    </w:p>
    <w:p w14:paraId="2B08E553" w14:textId="7394F85C" w:rsidR="00B957B6" w:rsidRDefault="00B957B6" w:rsidP="00B957B6">
      <w:pPr>
        <w:pStyle w:val="ListParagraph"/>
        <w:spacing w:line="360" w:lineRule="auto"/>
        <w:jc w:val="both"/>
        <w:rPr>
          <w:b/>
          <w:bCs/>
          <w:sz w:val="24"/>
          <w:szCs w:val="24"/>
        </w:rPr>
      </w:pPr>
      <w:r w:rsidRPr="00B957B6">
        <w:rPr>
          <w:b/>
          <w:bCs/>
          <w:sz w:val="24"/>
          <w:szCs w:val="24"/>
        </w:rPr>
        <w:t>Objectives of the Study</w:t>
      </w:r>
    </w:p>
    <w:p w14:paraId="3508D09E" w14:textId="77777777" w:rsidR="00B957B6" w:rsidRPr="00B957B6" w:rsidRDefault="00B957B6" w:rsidP="00B957B6">
      <w:pPr>
        <w:spacing w:line="360" w:lineRule="auto"/>
        <w:jc w:val="both"/>
        <w:rPr>
          <w:b/>
          <w:bCs/>
          <w:sz w:val="24"/>
          <w:szCs w:val="24"/>
        </w:rPr>
      </w:pPr>
    </w:p>
    <w:p w14:paraId="0F5264AB" w14:textId="77777777" w:rsidR="00B957B6" w:rsidRPr="00B957B6" w:rsidRDefault="00B957B6" w:rsidP="00B957B6">
      <w:pPr>
        <w:pStyle w:val="ListParagraph"/>
        <w:spacing w:line="360" w:lineRule="auto"/>
        <w:jc w:val="both"/>
        <w:rPr>
          <w:sz w:val="24"/>
          <w:szCs w:val="24"/>
        </w:rPr>
      </w:pPr>
      <w:r w:rsidRPr="00B957B6">
        <w:rPr>
          <w:b/>
          <w:bCs/>
          <w:sz w:val="24"/>
          <w:szCs w:val="24"/>
        </w:rPr>
        <w:t>1</w:t>
      </w:r>
      <w:r w:rsidRPr="00B957B6">
        <w:rPr>
          <w:sz w:val="24"/>
          <w:szCs w:val="24"/>
        </w:rPr>
        <w:t>. To determine how inflation affects corporate budgeting within Indian firms.</w:t>
      </w:r>
    </w:p>
    <w:p w14:paraId="1898610B" w14:textId="66EC9A7B" w:rsidR="006973B2" w:rsidRPr="00B957B6" w:rsidRDefault="00B957B6" w:rsidP="00B957B6">
      <w:pPr>
        <w:pStyle w:val="ListParagraph"/>
        <w:spacing w:line="360" w:lineRule="auto"/>
        <w:jc w:val="both"/>
        <w:rPr>
          <w:sz w:val="24"/>
          <w:szCs w:val="24"/>
        </w:rPr>
        <w:sectPr w:rsidR="006973B2" w:rsidRPr="00B957B6">
          <w:pgSz w:w="12240" w:h="15840"/>
          <w:pgMar w:top="1280" w:right="1440" w:bottom="280" w:left="1440" w:header="720" w:footer="720" w:gutter="0"/>
          <w:cols w:space="720"/>
        </w:sectPr>
      </w:pPr>
      <w:r w:rsidRPr="00B957B6">
        <w:rPr>
          <w:b/>
          <w:bCs/>
          <w:sz w:val="24"/>
          <w:szCs w:val="24"/>
        </w:rPr>
        <w:t>2</w:t>
      </w:r>
      <w:r w:rsidRPr="00B957B6">
        <w:rPr>
          <w:sz w:val="24"/>
          <w:szCs w:val="24"/>
        </w:rPr>
        <w:t>. To highlight the issues that a financial manager encounters while budgeting and forecasting under conditions of inflation.</w:t>
      </w:r>
    </w:p>
    <w:p w14:paraId="28CF94E6" w14:textId="77777777" w:rsidR="006973B2" w:rsidRDefault="00427323" w:rsidP="00B957B6">
      <w:pPr>
        <w:pStyle w:val="Heading1"/>
        <w:spacing w:before="74"/>
        <w:jc w:val="center"/>
      </w:pPr>
      <w:r>
        <w:rPr>
          <w:color w:val="1F4D79"/>
          <w:spacing w:val="-2"/>
        </w:rPr>
        <w:lastRenderedPageBreak/>
        <w:t>HYPOTHESIS</w:t>
      </w:r>
    </w:p>
    <w:p w14:paraId="3E901458" w14:textId="77777777" w:rsidR="006973B2" w:rsidRDefault="006973B2">
      <w:pPr>
        <w:pStyle w:val="BodyText"/>
        <w:rPr>
          <w:b/>
        </w:rPr>
      </w:pPr>
    </w:p>
    <w:p w14:paraId="3869572D" w14:textId="77777777" w:rsidR="006973B2" w:rsidRDefault="006973B2">
      <w:pPr>
        <w:pStyle w:val="BodyText"/>
        <w:spacing w:before="25"/>
        <w:rPr>
          <w:b/>
        </w:rPr>
      </w:pPr>
    </w:p>
    <w:p w14:paraId="73506AC6" w14:textId="77777777" w:rsidR="00B957B6" w:rsidRPr="00B957B6" w:rsidRDefault="00B957B6" w:rsidP="00B957B6">
      <w:pPr>
        <w:pStyle w:val="BodyText"/>
        <w:spacing w:line="360" w:lineRule="auto"/>
        <w:jc w:val="both"/>
        <w:rPr>
          <w:sz w:val="24"/>
          <w:szCs w:val="24"/>
        </w:rPr>
      </w:pPr>
      <w:r w:rsidRPr="00B957B6">
        <w:rPr>
          <w:sz w:val="24"/>
          <w:szCs w:val="24"/>
        </w:rPr>
        <w:t>Following the research goals and the literature review done above, the following hypotheses are posited:</w:t>
      </w:r>
    </w:p>
    <w:p w14:paraId="6F1D29EF" w14:textId="77777777" w:rsidR="00B957B6" w:rsidRPr="00B957B6" w:rsidRDefault="00B957B6" w:rsidP="00B957B6">
      <w:pPr>
        <w:pStyle w:val="BodyText"/>
        <w:spacing w:line="360" w:lineRule="auto"/>
        <w:jc w:val="both"/>
        <w:rPr>
          <w:sz w:val="24"/>
          <w:szCs w:val="24"/>
        </w:rPr>
      </w:pPr>
    </w:p>
    <w:p w14:paraId="4CDEA757" w14:textId="77777777" w:rsidR="00B957B6" w:rsidRPr="00B957B6" w:rsidRDefault="00B957B6" w:rsidP="00B957B6">
      <w:pPr>
        <w:pStyle w:val="BodyText"/>
        <w:spacing w:line="360" w:lineRule="auto"/>
        <w:jc w:val="both"/>
        <w:rPr>
          <w:b/>
          <w:bCs/>
          <w:sz w:val="24"/>
          <w:szCs w:val="24"/>
        </w:rPr>
      </w:pPr>
      <w:r w:rsidRPr="00B957B6">
        <w:rPr>
          <w:b/>
          <w:bCs/>
          <w:sz w:val="24"/>
          <w:szCs w:val="24"/>
        </w:rPr>
        <w:t>Hypothesis 1: The Effect of Inflation on Budget Deviation</w:t>
      </w:r>
    </w:p>
    <w:p w14:paraId="14C695A4" w14:textId="77777777" w:rsidR="00B957B6" w:rsidRPr="00B957B6" w:rsidRDefault="00B957B6" w:rsidP="00B957B6">
      <w:pPr>
        <w:pStyle w:val="BodyText"/>
        <w:spacing w:line="360" w:lineRule="auto"/>
        <w:jc w:val="both"/>
        <w:rPr>
          <w:sz w:val="24"/>
          <w:szCs w:val="24"/>
        </w:rPr>
      </w:pPr>
    </w:p>
    <w:p w14:paraId="216770AC" w14:textId="77777777" w:rsidR="00B957B6" w:rsidRPr="00B957B6" w:rsidRDefault="00B957B6" w:rsidP="00B957B6">
      <w:pPr>
        <w:pStyle w:val="BodyText"/>
        <w:spacing w:line="360" w:lineRule="auto"/>
        <w:jc w:val="both"/>
        <w:rPr>
          <w:sz w:val="24"/>
          <w:szCs w:val="24"/>
        </w:rPr>
      </w:pPr>
      <w:r w:rsidRPr="00B957B6">
        <w:rPr>
          <w:sz w:val="24"/>
          <w:szCs w:val="24"/>
        </w:rPr>
        <w:t>H1 (Null): Inflation has no statistically significant impact on budget variance. This is measured by the Budget Deviation Index.</w:t>
      </w:r>
    </w:p>
    <w:p w14:paraId="185A43E3" w14:textId="77777777" w:rsidR="00B957B6" w:rsidRPr="00B957B6" w:rsidRDefault="00B957B6" w:rsidP="00B957B6">
      <w:pPr>
        <w:pStyle w:val="BodyText"/>
        <w:spacing w:line="360" w:lineRule="auto"/>
        <w:jc w:val="both"/>
        <w:rPr>
          <w:sz w:val="24"/>
          <w:szCs w:val="24"/>
        </w:rPr>
      </w:pPr>
    </w:p>
    <w:p w14:paraId="59EB274B" w14:textId="77777777" w:rsidR="00B957B6" w:rsidRPr="00B957B6" w:rsidRDefault="00B957B6" w:rsidP="00B957B6">
      <w:pPr>
        <w:pStyle w:val="BodyText"/>
        <w:spacing w:line="360" w:lineRule="auto"/>
        <w:jc w:val="both"/>
        <w:rPr>
          <w:sz w:val="24"/>
          <w:szCs w:val="24"/>
        </w:rPr>
      </w:pPr>
      <w:r w:rsidRPr="00B957B6">
        <w:rPr>
          <w:sz w:val="24"/>
          <w:szCs w:val="24"/>
        </w:rPr>
        <w:t>H1 (Alternate): Inflation has a significant positive effect on budget variance, meaning that as the inflation rate increases, the Budget Deviation Index increases.</w:t>
      </w:r>
    </w:p>
    <w:p w14:paraId="2D4F3B31" w14:textId="77777777" w:rsidR="00B957B6" w:rsidRPr="00B957B6" w:rsidRDefault="00B957B6" w:rsidP="00B957B6">
      <w:pPr>
        <w:pStyle w:val="BodyText"/>
        <w:spacing w:line="360" w:lineRule="auto"/>
        <w:jc w:val="both"/>
        <w:rPr>
          <w:sz w:val="24"/>
          <w:szCs w:val="24"/>
        </w:rPr>
      </w:pPr>
    </w:p>
    <w:p w14:paraId="539EA390" w14:textId="77777777" w:rsidR="00B957B6" w:rsidRPr="00B957B6" w:rsidRDefault="00B957B6" w:rsidP="00B957B6">
      <w:pPr>
        <w:pStyle w:val="BodyText"/>
        <w:spacing w:line="360" w:lineRule="auto"/>
        <w:jc w:val="both"/>
        <w:rPr>
          <w:b/>
          <w:bCs/>
          <w:sz w:val="24"/>
          <w:szCs w:val="24"/>
        </w:rPr>
      </w:pPr>
      <w:r w:rsidRPr="00B957B6">
        <w:rPr>
          <w:b/>
          <w:bCs/>
          <w:sz w:val="24"/>
          <w:szCs w:val="24"/>
        </w:rPr>
        <w:t>Hypothesis 2: The Effect of Inflation on Forecast Adjustment Frequency</w:t>
      </w:r>
    </w:p>
    <w:p w14:paraId="07F5A036" w14:textId="77777777" w:rsidR="00B957B6" w:rsidRPr="00B957B6" w:rsidRDefault="00B957B6" w:rsidP="00B957B6">
      <w:pPr>
        <w:pStyle w:val="BodyText"/>
        <w:spacing w:line="360" w:lineRule="auto"/>
        <w:jc w:val="both"/>
        <w:rPr>
          <w:sz w:val="24"/>
          <w:szCs w:val="24"/>
        </w:rPr>
      </w:pPr>
    </w:p>
    <w:p w14:paraId="750FE35F" w14:textId="77777777" w:rsidR="00B957B6" w:rsidRPr="00B957B6" w:rsidRDefault="00B957B6" w:rsidP="00B957B6">
      <w:pPr>
        <w:pStyle w:val="BodyText"/>
        <w:spacing w:line="360" w:lineRule="auto"/>
        <w:jc w:val="both"/>
        <w:rPr>
          <w:sz w:val="24"/>
          <w:szCs w:val="24"/>
        </w:rPr>
      </w:pPr>
      <w:r w:rsidRPr="00B957B6">
        <w:rPr>
          <w:sz w:val="24"/>
          <w:szCs w:val="24"/>
        </w:rPr>
        <w:t>H2 (Null): Inflation has no statistically significant impact on the frequency of forecast adjustment.</w:t>
      </w:r>
    </w:p>
    <w:p w14:paraId="7D92B6B5" w14:textId="77777777" w:rsidR="00B957B6" w:rsidRPr="00B957B6" w:rsidRDefault="00B957B6" w:rsidP="00B957B6">
      <w:pPr>
        <w:pStyle w:val="BodyText"/>
        <w:spacing w:line="360" w:lineRule="auto"/>
        <w:jc w:val="both"/>
        <w:rPr>
          <w:sz w:val="24"/>
          <w:szCs w:val="24"/>
        </w:rPr>
      </w:pPr>
    </w:p>
    <w:p w14:paraId="0078400F" w14:textId="77777777" w:rsidR="00B957B6" w:rsidRPr="00B957B6" w:rsidRDefault="00B957B6" w:rsidP="00B957B6">
      <w:pPr>
        <w:pStyle w:val="BodyText"/>
        <w:spacing w:line="360" w:lineRule="auto"/>
        <w:jc w:val="both"/>
        <w:rPr>
          <w:sz w:val="24"/>
          <w:szCs w:val="24"/>
        </w:rPr>
      </w:pPr>
      <w:r w:rsidRPr="00B957B6">
        <w:rPr>
          <w:sz w:val="24"/>
          <w:szCs w:val="24"/>
        </w:rPr>
        <w:t>H2 (Alternate): The rate of inflation positively and statistically significantly influences the frequency of financial forecast adjustments.</w:t>
      </w:r>
    </w:p>
    <w:p w14:paraId="203E2E22" w14:textId="77777777" w:rsidR="00B957B6" w:rsidRPr="00B957B6" w:rsidRDefault="00B957B6" w:rsidP="00B957B6">
      <w:pPr>
        <w:pStyle w:val="BodyText"/>
        <w:spacing w:line="360" w:lineRule="auto"/>
        <w:jc w:val="both"/>
        <w:rPr>
          <w:sz w:val="24"/>
          <w:szCs w:val="24"/>
        </w:rPr>
      </w:pPr>
    </w:p>
    <w:p w14:paraId="24EF20AA" w14:textId="0C7C880D" w:rsidR="006973B2" w:rsidRPr="00B957B6" w:rsidRDefault="00B957B6" w:rsidP="00B957B6">
      <w:pPr>
        <w:pStyle w:val="BodyText"/>
        <w:spacing w:line="360" w:lineRule="auto"/>
        <w:jc w:val="both"/>
        <w:rPr>
          <w:sz w:val="24"/>
          <w:szCs w:val="24"/>
        </w:rPr>
        <w:sectPr w:rsidR="006973B2" w:rsidRPr="00B957B6">
          <w:pgSz w:w="12240" w:h="15840"/>
          <w:pgMar w:top="1280" w:right="1440" w:bottom="280" w:left="1440" w:header="720" w:footer="720" w:gutter="0"/>
          <w:cols w:space="720"/>
        </w:sectPr>
      </w:pPr>
      <w:r w:rsidRPr="00B957B6">
        <w:rPr>
          <w:sz w:val="24"/>
          <w:szCs w:val="24"/>
        </w:rPr>
        <w:t>Both hypotheses are then tested by Pearson Correlation and Simple Linear Regression analysis using a 7-year secondary dataset (2019-2025) and the inflation rate as the independent variable and the Budget Deviation Index and Frequency of Forecast adjustment as dependent variables</w:t>
      </w:r>
    </w:p>
    <w:p w14:paraId="04C4EA9C" w14:textId="77777777" w:rsidR="006973B2" w:rsidRPr="000F676E" w:rsidRDefault="00427323" w:rsidP="000F676E">
      <w:pPr>
        <w:pStyle w:val="Heading1"/>
        <w:spacing w:before="74"/>
        <w:jc w:val="center"/>
        <w:rPr>
          <w:color w:val="1F4D79"/>
          <w:spacing w:val="-2"/>
        </w:rPr>
      </w:pPr>
      <w:r w:rsidRPr="000F676E">
        <w:rPr>
          <w:color w:val="1F4D79"/>
          <w:spacing w:val="-2"/>
        </w:rPr>
        <w:lastRenderedPageBreak/>
        <w:t xml:space="preserve">RESEARCH </w:t>
      </w:r>
      <w:r>
        <w:rPr>
          <w:color w:val="1F4D79"/>
          <w:spacing w:val="-2"/>
        </w:rPr>
        <w:t>METHODOLOGY</w:t>
      </w:r>
    </w:p>
    <w:p w14:paraId="116915C7" w14:textId="77777777" w:rsidR="006973B2" w:rsidRDefault="006973B2">
      <w:pPr>
        <w:pStyle w:val="BodyText"/>
        <w:rPr>
          <w:b/>
        </w:rPr>
      </w:pPr>
    </w:p>
    <w:p w14:paraId="0E5584D0" w14:textId="77777777" w:rsidR="000F676E" w:rsidRPr="000F676E" w:rsidRDefault="000F676E" w:rsidP="000F676E">
      <w:pPr>
        <w:pStyle w:val="BodyText"/>
        <w:spacing w:before="213" w:line="360" w:lineRule="auto"/>
        <w:jc w:val="both"/>
        <w:rPr>
          <w:b/>
          <w:sz w:val="24"/>
          <w:szCs w:val="24"/>
        </w:rPr>
      </w:pPr>
      <w:r w:rsidRPr="000F676E">
        <w:rPr>
          <w:b/>
          <w:sz w:val="24"/>
          <w:szCs w:val="24"/>
        </w:rPr>
        <w:t>1. Research Design</w:t>
      </w:r>
    </w:p>
    <w:p w14:paraId="01D4DAD6" w14:textId="77777777" w:rsidR="000F676E" w:rsidRPr="000F676E" w:rsidRDefault="000F676E" w:rsidP="000F676E">
      <w:pPr>
        <w:pStyle w:val="BodyText"/>
        <w:spacing w:before="213" w:line="360" w:lineRule="auto"/>
        <w:jc w:val="both"/>
        <w:rPr>
          <w:bCs/>
          <w:sz w:val="24"/>
          <w:szCs w:val="24"/>
        </w:rPr>
      </w:pPr>
      <w:r w:rsidRPr="000F676E">
        <w:rPr>
          <w:bCs/>
          <w:sz w:val="24"/>
          <w:szCs w:val="24"/>
        </w:rPr>
        <w:t xml:space="preserve">This study utilizes a descriptive and analytical research design. It is descriptive in the sense that it describes the manner in which inflation affects the budgeting practices and forecasting ability of Indian corporations and it is analytical since it analyzes secondary data series, compares the financial performance of corporations in inflation period and </w:t>
      </w:r>
      <w:proofErr w:type="gramStart"/>
      <w:r w:rsidRPr="000F676E">
        <w:rPr>
          <w:bCs/>
          <w:sz w:val="24"/>
          <w:szCs w:val="24"/>
        </w:rPr>
        <w:t>Interprets</w:t>
      </w:r>
      <w:proofErr w:type="gramEnd"/>
      <w:r w:rsidRPr="000F676E">
        <w:rPr>
          <w:bCs/>
          <w:sz w:val="24"/>
          <w:szCs w:val="24"/>
        </w:rPr>
        <w:t xml:space="preserve"> the inflation data in relation to budgeting implications.</w:t>
      </w:r>
    </w:p>
    <w:p w14:paraId="5DDBEADA" w14:textId="77777777" w:rsidR="000F676E" w:rsidRPr="000F676E" w:rsidRDefault="000F676E" w:rsidP="000F676E">
      <w:pPr>
        <w:pStyle w:val="BodyText"/>
        <w:spacing w:before="213" w:line="360" w:lineRule="auto"/>
        <w:jc w:val="both"/>
        <w:rPr>
          <w:bCs/>
          <w:sz w:val="24"/>
          <w:szCs w:val="24"/>
        </w:rPr>
      </w:pPr>
    </w:p>
    <w:p w14:paraId="58CDA65B" w14:textId="77777777" w:rsidR="000F676E" w:rsidRPr="000F676E" w:rsidRDefault="000F676E" w:rsidP="000F676E">
      <w:pPr>
        <w:pStyle w:val="BodyText"/>
        <w:spacing w:before="213" w:line="360" w:lineRule="auto"/>
        <w:jc w:val="both"/>
        <w:rPr>
          <w:b/>
          <w:sz w:val="24"/>
          <w:szCs w:val="24"/>
        </w:rPr>
      </w:pPr>
      <w:r w:rsidRPr="000F676E">
        <w:rPr>
          <w:b/>
          <w:sz w:val="24"/>
          <w:szCs w:val="24"/>
        </w:rPr>
        <w:t>2. Nature of Data</w:t>
      </w:r>
    </w:p>
    <w:p w14:paraId="6473D6E2" w14:textId="77777777" w:rsidR="000F676E" w:rsidRPr="000F676E" w:rsidRDefault="000F676E" w:rsidP="000F676E">
      <w:pPr>
        <w:pStyle w:val="BodyText"/>
        <w:spacing w:before="213" w:line="360" w:lineRule="auto"/>
        <w:jc w:val="both"/>
        <w:rPr>
          <w:bCs/>
          <w:sz w:val="24"/>
          <w:szCs w:val="24"/>
        </w:rPr>
      </w:pPr>
      <w:r w:rsidRPr="000F676E">
        <w:rPr>
          <w:bCs/>
          <w:sz w:val="24"/>
          <w:szCs w:val="24"/>
        </w:rPr>
        <w:t xml:space="preserve">This study has considered secondary data exclusively which has already been published and is available for general public and no primary data collection like survey, interview, questionnaire, </w:t>
      </w:r>
      <w:proofErr w:type="spellStart"/>
      <w:r w:rsidRPr="000F676E">
        <w:rPr>
          <w:bCs/>
          <w:sz w:val="24"/>
          <w:szCs w:val="24"/>
        </w:rPr>
        <w:t>etc</w:t>
      </w:r>
      <w:proofErr w:type="spellEnd"/>
      <w:r w:rsidRPr="000F676E">
        <w:rPr>
          <w:bCs/>
          <w:sz w:val="24"/>
          <w:szCs w:val="24"/>
        </w:rPr>
        <w:t xml:space="preserve"> have been used to derive reliability.</w:t>
      </w:r>
    </w:p>
    <w:p w14:paraId="4B079689" w14:textId="77777777" w:rsidR="000F676E" w:rsidRPr="000F676E" w:rsidRDefault="000F676E" w:rsidP="000F676E">
      <w:pPr>
        <w:pStyle w:val="BodyText"/>
        <w:spacing w:before="213" w:line="360" w:lineRule="auto"/>
        <w:jc w:val="both"/>
        <w:rPr>
          <w:bCs/>
          <w:sz w:val="24"/>
          <w:szCs w:val="24"/>
        </w:rPr>
      </w:pPr>
    </w:p>
    <w:p w14:paraId="7D26D7F6" w14:textId="77777777" w:rsidR="000F676E" w:rsidRPr="000F676E" w:rsidRDefault="000F676E" w:rsidP="000F676E">
      <w:pPr>
        <w:pStyle w:val="BodyText"/>
        <w:spacing w:before="213" w:line="360" w:lineRule="auto"/>
        <w:jc w:val="both"/>
        <w:rPr>
          <w:b/>
          <w:sz w:val="24"/>
          <w:szCs w:val="24"/>
        </w:rPr>
      </w:pPr>
      <w:r w:rsidRPr="000F676E">
        <w:rPr>
          <w:b/>
          <w:sz w:val="24"/>
          <w:szCs w:val="24"/>
        </w:rPr>
        <w:t>3. Study Period</w:t>
      </w:r>
    </w:p>
    <w:p w14:paraId="56380289" w14:textId="77777777" w:rsidR="000F676E" w:rsidRPr="000F676E" w:rsidRDefault="000F676E" w:rsidP="000F676E">
      <w:pPr>
        <w:pStyle w:val="BodyText"/>
        <w:spacing w:before="213" w:line="360" w:lineRule="auto"/>
        <w:jc w:val="both"/>
        <w:rPr>
          <w:bCs/>
          <w:sz w:val="24"/>
          <w:szCs w:val="24"/>
        </w:rPr>
      </w:pPr>
      <w:r w:rsidRPr="000F676E">
        <w:rPr>
          <w:bCs/>
          <w:sz w:val="24"/>
          <w:szCs w:val="24"/>
        </w:rPr>
        <w:t xml:space="preserve">The study period is from 2019 to 2025 that represents 7 year study which include the pre-pandemic </w:t>
      </w:r>
      <w:proofErr w:type="gramStart"/>
      <w:r w:rsidRPr="000F676E">
        <w:rPr>
          <w:bCs/>
          <w:sz w:val="24"/>
          <w:szCs w:val="24"/>
        </w:rPr>
        <w:t>era(</w:t>
      </w:r>
      <w:proofErr w:type="gramEnd"/>
      <w:r w:rsidRPr="000F676E">
        <w:rPr>
          <w:bCs/>
          <w:sz w:val="24"/>
          <w:szCs w:val="24"/>
        </w:rPr>
        <w:t>2019), pandemic shocks (2020-2021), post-pandemic supply chain disturbance (2022) and a sort of stability after that (2023-2025). This period reflects diversified inflationary behavior.</w:t>
      </w:r>
    </w:p>
    <w:p w14:paraId="3DC61983" w14:textId="77777777" w:rsidR="000F676E" w:rsidRPr="000F676E" w:rsidRDefault="000F676E" w:rsidP="000F676E">
      <w:pPr>
        <w:pStyle w:val="BodyText"/>
        <w:spacing w:before="213" w:line="360" w:lineRule="auto"/>
        <w:jc w:val="both"/>
        <w:rPr>
          <w:bCs/>
          <w:sz w:val="24"/>
          <w:szCs w:val="24"/>
        </w:rPr>
      </w:pPr>
    </w:p>
    <w:p w14:paraId="6315B592" w14:textId="77777777" w:rsidR="000F676E" w:rsidRDefault="000F676E" w:rsidP="000F676E">
      <w:pPr>
        <w:pStyle w:val="BodyText"/>
        <w:spacing w:before="213" w:line="360" w:lineRule="auto"/>
        <w:jc w:val="both"/>
        <w:rPr>
          <w:b/>
          <w:sz w:val="24"/>
          <w:szCs w:val="24"/>
        </w:rPr>
      </w:pPr>
    </w:p>
    <w:p w14:paraId="7E925BB2" w14:textId="77777777" w:rsidR="000F676E" w:rsidRDefault="000F676E" w:rsidP="000F676E">
      <w:pPr>
        <w:pStyle w:val="BodyText"/>
        <w:spacing w:before="213" w:line="360" w:lineRule="auto"/>
        <w:jc w:val="both"/>
        <w:rPr>
          <w:b/>
          <w:sz w:val="24"/>
          <w:szCs w:val="24"/>
        </w:rPr>
      </w:pPr>
    </w:p>
    <w:p w14:paraId="3006FC16" w14:textId="77777777" w:rsidR="000F676E" w:rsidRDefault="000F676E" w:rsidP="000F676E">
      <w:pPr>
        <w:pStyle w:val="BodyText"/>
        <w:spacing w:before="213" w:line="360" w:lineRule="auto"/>
        <w:jc w:val="both"/>
        <w:rPr>
          <w:b/>
          <w:sz w:val="24"/>
          <w:szCs w:val="24"/>
        </w:rPr>
      </w:pPr>
    </w:p>
    <w:p w14:paraId="33D14F6D" w14:textId="77777777" w:rsidR="000F676E" w:rsidRDefault="000F676E" w:rsidP="000F676E">
      <w:pPr>
        <w:pStyle w:val="BodyText"/>
        <w:spacing w:before="213" w:line="360" w:lineRule="auto"/>
        <w:jc w:val="both"/>
        <w:rPr>
          <w:b/>
          <w:sz w:val="24"/>
          <w:szCs w:val="24"/>
        </w:rPr>
      </w:pPr>
    </w:p>
    <w:p w14:paraId="718C9228" w14:textId="77777777" w:rsidR="000F676E" w:rsidRDefault="000F676E" w:rsidP="000F676E">
      <w:pPr>
        <w:pStyle w:val="BodyText"/>
        <w:spacing w:before="213" w:line="360" w:lineRule="auto"/>
        <w:jc w:val="both"/>
        <w:rPr>
          <w:b/>
          <w:sz w:val="24"/>
          <w:szCs w:val="24"/>
        </w:rPr>
      </w:pPr>
    </w:p>
    <w:p w14:paraId="20DD5B2F" w14:textId="77777777" w:rsidR="000F676E" w:rsidRDefault="000F676E" w:rsidP="000F676E">
      <w:pPr>
        <w:pStyle w:val="BodyText"/>
        <w:spacing w:before="213" w:line="360" w:lineRule="auto"/>
        <w:jc w:val="both"/>
        <w:rPr>
          <w:b/>
          <w:sz w:val="24"/>
          <w:szCs w:val="24"/>
        </w:rPr>
      </w:pPr>
    </w:p>
    <w:p w14:paraId="7F550231" w14:textId="77777777" w:rsidR="000F676E" w:rsidRDefault="000F676E" w:rsidP="000F676E">
      <w:pPr>
        <w:pStyle w:val="BodyText"/>
        <w:spacing w:before="213" w:line="360" w:lineRule="auto"/>
        <w:jc w:val="both"/>
        <w:rPr>
          <w:b/>
          <w:sz w:val="24"/>
          <w:szCs w:val="24"/>
        </w:rPr>
      </w:pPr>
    </w:p>
    <w:p w14:paraId="07752220" w14:textId="66FFD32B" w:rsidR="006973B2" w:rsidRPr="000F676E" w:rsidRDefault="000F676E" w:rsidP="000F676E">
      <w:pPr>
        <w:pStyle w:val="BodyText"/>
        <w:spacing w:before="213" w:line="360" w:lineRule="auto"/>
        <w:jc w:val="both"/>
        <w:rPr>
          <w:b/>
          <w:sz w:val="24"/>
          <w:szCs w:val="24"/>
        </w:rPr>
      </w:pPr>
      <w:r w:rsidRPr="000F676E">
        <w:rPr>
          <w:b/>
          <w:sz w:val="24"/>
          <w:szCs w:val="24"/>
        </w:rPr>
        <w:t>4. Variables</w:t>
      </w:r>
    </w:p>
    <w:p w14:paraId="62205C32" w14:textId="77777777" w:rsidR="006973B2" w:rsidRDefault="006973B2">
      <w:pPr>
        <w:pStyle w:val="BodyText"/>
        <w:spacing w:before="163" w:after="1"/>
        <w:rPr>
          <w:b/>
          <w:sz w:val="20"/>
        </w:rPr>
      </w:pPr>
    </w:p>
    <w:tbl>
      <w:tblPr>
        <w:tblW w:w="0" w:type="auto"/>
        <w:tblInd w:w="26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069"/>
        <w:gridCol w:w="1692"/>
        <w:gridCol w:w="2820"/>
        <w:gridCol w:w="2218"/>
      </w:tblGrid>
      <w:tr w:rsidR="006973B2" w14:paraId="5AE53CF4" w14:textId="77777777">
        <w:trPr>
          <w:trHeight w:val="320"/>
        </w:trPr>
        <w:tc>
          <w:tcPr>
            <w:tcW w:w="2069" w:type="dxa"/>
            <w:tcBorders>
              <w:left w:val="single" w:sz="2" w:space="0" w:color="AAAAAA"/>
              <w:right w:val="single" w:sz="2" w:space="0" w:color="AAAAAA"/>
            </w:tcBorders>
            <w:shd w:val="clear" w:color="auto" w:fill="1F4D79"/>
          </w:tcPr>
          <w:p w14:paraId="0E7DCA60" w14:textId="77777777" w:rsidR="006973B2" w:rsidRDefault="00427323">
            <w:pPr>
              <w:pStyle w:val="TableParagraph"/>
              <w:ind w:left="2" w:right="2"/>
              <w:rPr>
                <w:b/>
              </w:rPr>
            </w:pPr>
            <w:r>
              <w:rPr>
                <w:b/>
                <w:color w:val="FFFFFF"/>
                <w:spacing w:val="-2"/>
              </w:rPr>
              <w:t>Variable</w:t>
            </w:r>
          </w:p>
        </w:tc>
        <w:tc>
          <w:tcPr>
            <w:tcW w:w="1692" w:type="dxa"/>
            <w:tcBorders>
              <w:left w:val="single" w:sz="2" w:space="0" w:color="AAAAAA"/>
              <w:right w:val="single" w:sz="2" w:space="0" w:color="AAAAAA"/>
            </w:tcBorders>
            <w:shd w:val="clear" w:color="auto" w:fill="1F4D79"/>
          </w:tcPr>
          <w:p w14:paraId="0AC9810C" w14:textId="77777777" w:rsidR="006973B2" w:rsidRDefault="00427323">
            <w:pPr>
              <w:pStyle w:val="TableParagraph"/>
              <w:ind w:left="3" w:right="3"/>
              <w:rPr>
                <w:b/>
              </w:rPr>
            </w:pPr>
            <w:r>
              <w:rPr>
                <w:b/>
                <w:color w:val="FFFFFF"/>
                <w:spacing w:val="-4"/>
              </w:rPr>
              <w:t>Type</w:t>
            </w:r>
          </w:p>
        </w:tc>
        <w:tc>
          <w:tcPr>
            <w:tcW w:w="2820" w:type="dxa"/>
            <w:tcBorders>
              <w:left w:val="single" w:sz="2" w:space="0" w:color="AAAAAA"/>
              <w:right w:val="single" w:sz="2" w:space="0" w:color="AAAAAA"/>
            </w:tcBorders>
            <w:shd w:val="clear" w:color="auto" w:fill="1F4D79"/>
          </w:tcPr>
          <w:p w14:paraId="6F68575D" w14:textId="77777777" w:rsidR="006973B2" w:rsidRDefault="00427323">
            <w:pPr>
              <w:pStyle w:val="TableParagraph"/>
              <w:ind w:left="743"/>
              <w:jc w:val="left"/>
              <w:rPr>
                <w:b/>
              </w:rPr>
            </w:pPr>
            <w:r>
              <w:rPr>
                <w:b/>
                <w:color w:val="FFFFFF"/>
                <w:spacing w:val="-2"/>
              </w:rPr>
              <w:t>Measurement</w:t>
            </w:r>
          </w:p>
        </w:tc>
        <w:tc>
          <w:tcPr>
            <w:tcW w:w="2218" w:type="dxa"/>
            <w:tcBorders>
              <w:left w:val="single" w:sz="2" w:space="0" w:color="AAAAAA"/>
              <w:right w:val="single" w:sz="2" w:space="0" w:color="AAAAAA"/>
            </w:tcBorders>
            <w:shd w:val="clear" w:color="auto" w:fill="1F4D79"/>
          </w:tcPr>
          <w:p w14:paraId="10EC78DC" w14:textId="77777777" w:rsidR="006973B2" w:rsidRDefault="00427323">
            <w:pPr>
              <w:pStyle w:val="TableParagraph"/>
              <w:ind w:left="4" w:right="4"/>
              <w:rPr>
                <w:b/>
              </w:rPr>
            </w:pPr>
            <w:r>
              <w:rPr>
                <w:b/>
                <w:color w:val="FFFFFF"/>
                <w:spacing w:val="-2"/>
              </w:rPr>
              <w:t>Source</w:t>
            </w:r>
          </w:p>
        </w:tc>
      </w:tr>
      <w:tr w:rsidR="006973B2" w14:paraId="4413C88E" w14:textId="77777777">
        <w:trPr>
          <w:trHeight w:val="581"/>
        </w:trPr>
        <w:tc>
          <w:tcPr>
            <w:tcW w:w="2069" w:type="dxa"/>
            <w:tcBorders>
              <w:left w:val="single" w:sz="2" w:space="0" w:color="AAAAAA"/>
              <w:right w:val="single" w:sz="2" w:space="0" w:color="AAAAAA"/>
            </w:tcBorders>
          </w:tcPr>
          <w:p w14:paraId="27603CDA" w14:textId="77777777" w:rsidR="006973B2" w:rsidRDefault="00427323">
            <w:pPr>
              <w:pStyle w:val="TableParagraph"/>
              <w:spacing w:line="252" w:lineRule="exact"/>
              <w:ind w:left="2" w:right="4"/>
            </w:pPr>
            <w:r>
              <w:t>Inflation</w:t>
            </w:r>
            <w:r>
              <w:rPr>
                <w:spacing w:val="12"/>
              </w:rPr>
              <w:t xml:space="preserve"> </w:t>
            </w:r>
            <w:r>
              <w:t>Rate</w:t>
            </w:r>
            <w:r>
              <w:rPr>
                <w:spacing w:val="12"/>
              </w:rPr>
              <w:t xml:space="preserve"> </w:t>
            </w:r>
            <w:r>
              <w:rPr>
                <w:spacing w:val="-5"/>
              </w:rPr>
              <w:t>(%)</w:t>
            </w:r>
          </w:p>
        </w:tc>
        <w:tc>
          <w:tcPr>
            <w:tcW w:w="1692" w:type="dxa"/>
            <w:tcBorders>
              <w:left w:val="single" w:sz="2" w:space="0" w:color="AAAAAA"/>
              <w:right w:val="single" w:sz="2" w:space="0" w:color="AAAAAA"/>
            </w:tcBorders>
          </w:tcPr>
          <w:p w14:paraId="320B335D" w14:textId="77777777" w:rsidR="006973B2" w:rsidRDefault="00427323">
            <w:pPr>
              <w:pStyle w:val="TableParagraph"/>
              <w:spacing w:line="244" w:lineRule="auto"/>
              <w:ind w:left="650" w:hanging="363"/>
              <w:jc w:val="left"/>
            </w:pPr>
            <w:r>
              <w:rPr>
                <w:spacing w:val="-2"/>
              </w:rPr>
              <w:t xml:space="preserve">Independent </w:t>
            </w:r>
            <w:r>
              <w:rPr>
                <w:spacing w:val="-4"/>
              </w:rPr>
              <w:t>(IV)</w:t>
            </w:r>
          </w:p>
        </w:tc>
        <w:tc>
          <w:tcPr>
            <w:tcW w:w="2820" w:type="dxa"/>
            <w:tcBorders>
              <w:left w:val="single" w:sz="2" w:space="0" w:color="AAAAAA"/>
              <w:right w:val="single" w:sz="2" w:space="0" w:color="AAAAAA"/>
            </w:tcBorders>
          </w:tcPr>
          <w:p w14:paraId="72BE4B27" w14:textId="77777777" w:rsidR="006973B2" w:rsidRDefault="00427323">
            <w:pPr>
              <w:pStyle w:val="TableParagraph"/>
              <w:spacing w:line="244" w:lineRule="auto"/>
              <w:ind w:left="1240" w:hanging="1073"/>
              <w:jc w:val="left"/>
            </w:pPr>
            <w:r>
              <w:t xml:space="preserve">Annual CPI-based inflation </w:t>
            </w:r>
            <w:r>
              <w:rPr>
                <w:spacing w:val="-4"/>
              </w:rPr>
              <w:t>rate</w:t>
            </w:r>
          </w:p>
        </w:tc>
        <w:tc>
          <w:tcPr>
            <w:tcW w:w="2218" w:type="dxa"/>
            <w:tcBorders>
              <w:left w:val="single" w:sz="2" w:space="0" w:color="AAAAAA"/>
              <w:right w:val="single" w:sz="2" w:space="0" w:color="AAAAAA"/>
            </w:tcBorders>
          </w:tcPr>
          <w:p w14:paraId="0956053E" w14:textId="77777777" w:rsidR="006973B2" w:rsidRDefault="00427323">
            <w:pPr>
              <w:pStyle w:val="TableParagraph"/>
              <w:spacing w:line="252" w:lineRule="exact"/>
              <w:ind w:left="5" w:right="4"/>
            </w:pPr>
            <w:r>
              <w:t>RBI</w:t>
            </w:r>
            <w:r>
              <w:rPr>
                <w:spacing w:val="4"/>
              </w:rPr>
              <w:t xml:space="preserve"> </w:t>
            </w:r>
            <w:r>
              <w:t>/</w:t>
            </w:r>
            <w:r>
              <w:rPr>
                <w:spacing w:val="4"/>
              </w:rPr>
              <w:t xml:space="preserve"> </w:t>
            </w:r>
            <w:r>
              <w:rPr>
                <w:spacing w:val="-2"/>
              </w:rPr>
              <w:t>MOSPI</w:t>
            </w:r>
          </w:p>
        </w:tc>
      </w:tr>
      <w:tr w:rsidR="006973B2" w14:paraId="4F5C1E0D" w14:textId="77777777">
        <w:trPr>
          <w:trHeight w:val="838"/>
        </w:trPr>
        <w:tc>
          <w:tcPr>
            <w:tcW w:w="2069" w:type="dxa"/>
            <w:tcBorders>
              <w:left w:val="single" w:sz="2" w:space="0" w:color="AAAAAA"/>
              <w:right w:val="single" w:sz="2" w:space="0" w:color="AAAAAA"/>
            </w:tcBorders>
          </w:tcPr>
          <w:p w14:paraId="4601CFCB" w14:textId="77777777" w:rsidR="006973B2" w:rsidRDefault="00427323">
            <w:pPr>
              <w:pStyle w:val="TableParagraph"/>
              <w:spacing w:line="244" w:lineRule="auto"/>
              <w:ind w:left="477" w:right="232" w:hanging="245"/>
              <w:jc w:val="left"/>
            </w:pPr>
            <w:r>
              <w:t>Budget Deviation Index (BDI)</w:t>
            </w:r>
          </w:p>
        </w:tc>
        <w:tc>
          <w:tcPr>
            <w:tcW w:w="1692" w:type="dxa"/>
            <w:tcBorders>
              <w:left w:val="single" w:sz="2" w:space="0" w:color="AAAAAA"/>
              <w:right w:val="single" w:sz="2" w:space="0" w:color="AAAAAA"/>
            </w:tcBorders>
          </w:tcPr>
          <w:p w14:paraId="4E8D8147" w14:textId="77777777" w:rsidR="006973B2" w:rsidRDefault="00427323">
            <w:pPr>
              <w:pStyle w:val="TableParagraph"/>
              <w:spacing w:line="244" w:lineRule="auto"/>
              <w:ind w:left="570" w:hanging="214"/>
              <w:jc w:val="left"/>
            </w:pPr>
            <w:r>
              <w:rPr>
                <w:spacing w:val="-2"/>
              </w:rPr>
              <w:t>Dependent (DV₁)</w:t>
            </w:r>
          </w:p>
        </w:tc>
        <w:tc>
          <w:tcPr>
            <w:tcW w:w="2820" w:type="dxa"/>
            <w:tcBorders>
              <w:left w:val="single" w:sz="2" w:space="0" w:color="AAAAAA"/>
              <w:right w:val="single" w:sz="2" w:space="0" w:color="AAAAAA"/>
            </w:tcBorders>
          </w:tcPr>
          <w:p w14:paraId="25A5552A" w14:textId="77777777" w:rsidR="006973B2" w:rsidRDefault="00427323">
            <w:pPr>
              <w:pStyle w:val="TableParagraph"/>
              <w:spacing w:line="247" w:lineRule="auto"/>
              <w:ind w:left="101" w:right="102"/>
            </w:pPr>
            <w:r>
              <w:t xml:space="preserve">Variance between planned and actual budgets (index </w:t>
            </w:r>
            <w:r>
              <w:rPr>
                <w:spacing w:val="-2"/>
              </w:rPr>
              <w:t>scale)</w:t>
            </w:r>
          </w:p>
        </w:tc>
        <w:tc>
          <w:tcPr>
            <w:tcW w:w="2218" w:type="dxa"/>
            <w:tcBorders>
              <w:left w:val="single" w:sz="2" w:space="0" w:color="AAAAAA"/>
              <w:right w:val="single" w:sz="2" w:space="0" w:color="AAAAAA"/>
            </w:tcBorders>
          </w:tcPr>
          <w:p w14:paraId="52C0F3F7" w14:textId="77777777" w:rsidR="006973B2" w:rsidRDefault="00427323">
            <w:pPr>
              <w:pStyle w:val="TableParagraph"/>
              <w:ind w:left="1" w:right="5"/>
            </w:pPr>
            <w:r>
              <w:t>Secondary</w:t>
            </w:r>
            <w:r>
              <w:rPr>
                <w:spacing w:val="17"/>
              </w:rPr>
              <w:t xml:space="preserve"> </w:t>
            </w:r>
            <w:r>
              <w:rPr>
                <w:spacing w:val="-4"/>
              </w:rPr>
              <w:t>data</w:t>
            </w:r>
          </w:p>
        </w:tc>
      </w:tr>
      <w:tr w:rsidR="006973B2" w14:paraId="53004B4F" w14:textId="77777777">
        <w:trPr>
          <w:trHeight w:val="841"/>
        </w:trPr>
        <w:tc>
          <w:tcPr>
            <w:tcW w:w="2069" w:type="dxa"/>
            <w:tcBorders>
              <w:left w:val="single" w:sz="2" w:space="0" w:color="AAAAAA"/>
              <w:right w:val="single" w:sz="2" w:space="0" w:color="AAAAAA"/>
            </w:tcBorders>
          </w:tcPr>
          <w:p w14:paraId="1BF9B1F7" w14:textId="77777777" w:rsidR="006973B2" w:rsidRDefault="00427323">
            <w:pPr>
              <w:pStyle w:val="TableParagraph"/>
              <w:spacing w:line="244" w:lineRule="auto"/>
              <w:ind w:left="247" w:right="245" w:hanging="1"/>
            </w:pPr>
            <w:r>
              <w:rPr>
                <w:spacing w:val="-2"/>
              </w:rPr>
              <w:t xml:space="preserve">Forecast Adjustment </w:t>
            </w:r>
            <w:r>
              <w:t>Frequency</w:t>
            </w:r>
            <w:r>
              <w:rPr>
                <w:spacing w:val="-2"/>
              </w:rPr>
              <w:t xml:space="preserve"> </w:t>
            </w:r>
            <w:r>
              <w:t>(FAF)</w:t>
            </w:r>
          </w:p>
        </w:tc>
        <w:tc>
          <w:tcPr>
            <w:tcW w:w="1692" w:type="dxa"/>
            <w:tcBorders>
              <w:left w:val="single" w:sz="2" w:space="0" w:color="AAAAAA"/>
              <w:right w:val="single" w:sz="2" w:space="0" w:color="AAAAAA"/>
            </w:tcBorders>
          </w:tcPr>
          <w:p w14:paraId="552D1105" w14:textId="77777777" w:rsidR="006973B2" w:rsidRDefault="00427323">
            <w:pPr>
              <w:pStyle w:val="TableParagraph"/>
              <w:spacing w:line="244" w:lineRule="auto"/>
              <w:ind w:left="570" w:hanging="214"/>
              <w:jc w:val="left"/>
            </w:pPr>
            <w:r>
              <w:rPr>
                <w:spacing w:val="-2"/>
              </w:rPr>
              <w:t>Dependent (DV₂)</w:t>
            </w:r>
          </w:p>
        </w:tc>
        <w:tc>
          <w:tcPr>
            <w:tcW w:w="2820" w:type="dxa"/>
            <w:tcBorders>
              <w:left w:val="single" w:sz="2" w:space="0" w:color="AAAAAA"/>
              <w:right w:val="single" w:sz="2" w:space="0" w:color="AAAAAA"/>
            </w:tcBorders>
          </w:tcPr>
          <w:p w14:paraId="3CF2C0D0" w14:textId="77777777" w:rsidR="006973B2" w:rsidRDefault="00427323">
            <w:pPr>
              <w:pStyle w:val="TableParagraph"/>
              <w:spacing w:line="244" w:lineRule="auto"/>
              <w:ind w:left="1089" w:hanging="963"/>
              <w:jc w:val="left"/>
            </w:pPr>
            <w:r>
              <w:t xml:space="preserve">No. of forecast revisions per </w:t>
            </w:r>
            <w:r>
              <w:rPr>
                <w:spacing w:val="-2"/>
              </w:rPr>
              <w:t>quarter</w:t>
            </w:r>
          </w:p>
        </w:tc>
        <w:tc>
          <w:tcPr>
            <w:tcW w:w="2218" w:type="dxa"/>
            <w:tcBorders>
              <w:left w:val="single" w:sz="2" w:space="0" w:color="AAAAAA"/>
              <w:right w:val="single" w:sz="2" w:space="0" w:color="AAAAAA"/>
            </w:tcBorders>
          </w:tcPr>
          <w:p w14:paraId="47DBB6CA" w14:textId="77777777" w:rsidR="006973B2" w:rsidRDefault="00427323">
            <w:pPr>
              <w:pStyle w:val="TableParagraph"/>
              <w:spacing w:line="252" w:lineRule="exact"/>
              <w:ind w:left="1" w:right="5"/>
            </w:pPr>
            <w:r>
              <w:t>Secondary</w:t>
            </w:r>
            <w:r>
              <w:rPr>
                <w:spacing w:val="17"/>
              </w:rPr>
              <w:t xml:space="preserve"> </w:t>
            </w:r>
            <w:r>
              <w:rPr>
                <w:spacing w:val="-4"/>
              </w:rPr>
              <w:t>data</w:t>
            </w:r>
          </w:p>
        </w:tc>
      </w:tr>
      <w:tr w:rsidR="006973B2" w14:paraId="18E2875E" w14:textId="77777777">
        <w:trPr>
          <w:trHeight w:val="1000"/>
        </w:trPr>
        <w:tc>
          <w:tcPr>
            <w:tcW w:w="2069" w:type="dxa"/>
            <w:tcBorders>
              <w:left w:val="single" w:sz="2" w:space="0" w:color="AAAAAA"/>
              <w:bottom w:val="single" w:sz="2" w:space="0" w:color="AAAAAA"/>
              <w:right w:val="single" w:sz="2" w:space="0" w:color="AAAAAA"/>
            </w:tcBorders>
          </w:tcPr>
          <w:p w14:paraId="4D55ED11" w14:textId="77777777" w:rsidR="006973B2" w:rsidRDefault="00427323">
            <w:pPr>
              <w:pStyle w:val="TableParagraph"/>
              <w:spacing w:line="252" w:lineRule="exact"/>
              <w:ind w:left="2" w:right="2"/>
            </w:pPr>
            <w:r>
              <w:rPr>
                <w:spacing w:val="-4"/>
              </w:rPr>
              <w:t>Year</w:t>
            </w:r>
          </w:p>
          <w:p w14:paraId="74747712" w14:textId="77777777" w:rsidR="006973B2" w:rsidRDefault="00427323">
            <w:pPr>
              <w:pStyle w:val="TableParagraph"/>
              <w:spacing w:before="157" w:line="240" w:lineRule="auto"/>
              <w:ind w:left="2" w:right="2"/>
            </w:pPr>
            <w:r>
              <w:t>RBI</w:t>
            </w:r>
            <w:r>
              <w:rPr>
                <w:spacing w:val="9"/>
              </w:rPr>
              <w:t xml:space="preserve"> </w:t>
            </w:r>
            <w:r>
              <w:t>Policy</w:t>
            </w:r>
            <w:r>
              <w:rPr>
                <w:spacing w:val="9"/>
              </w:rPr>
              <w:t xml:space="preserve"> </w:t>
            </w:r>
            <w:r>
              <w:rPr>
                <w:spacing w:val="-4"/>
              </w:rPr>
              <w:t>Rate</w:t>
            </w:r>
          </w:p>
        </w:tc>
        <w:tc>
          <w:tcPr>
            <w:tcW w:w="1692" w:type="dxa"/>
            <w:tcBorders>
              <w:left w:val="single" w:sz="2" w:space="0" w:color="AAAAAA"/>
              <w:bottom w:val="single" w:sz="2" w:space="0" w:color="AAAAAA"/>
              <w:right w:val="single" w:sz="2" w:space="0" w:color="AAAAAA"/>
            </w:tcBorders>
          </w:tcPr>
          <w:p w14:paraId="3308DBD6" w14:textId="77777777" w:rsidR="006973B2" w:rsidRDefault="00427323">
            <w:pPr>
              <w:pStyle w:val="TableParagraph"/>
              <w:spacing w:line="388" w:lineRule="auto"/>
              <w:ind w:left="347" w:right="169" w:hanging="173"/>
              <w:jc w:val="left"/>
            </w:pPr>
            <w:r>
              <w:t>Control</w:t>
            </w:r>
            <w:r>
              <w:rPr>
                <w:spacing w:val="-3"/>
              </w:rPr>
              <w:t xml:space="preserve"> </w:t>
            </w:r>
            <w:r>
              <w:t>/</w:t>
            </w:r>
            <w:r>
              <w:rPr>
                <w:spacing w:val="-1"/>
              </w:rPr>
              <w:t xml:space="preserve"> </w:t>
            </w:r>
            <w:r>
              <w:t xml:space="preserve">Time </w:t>
            </w:r>
            <w:r>
              <w:rPr>
                <w:spacing w:val="-2"/>
              </w:rPr>
              <w:t>Contextual</w:t>
            </w:r>
          </w:p>
        </w:tc>
        <w:tc>
          <w:tcPr>
            <w:tcW w:w="2820" w:type="dxa"/>
            <w:tcBorders>
              <w:left w:val="single" w:sz="2" w:space="0" w:color="AAAAAA"/>
              <w:bottom w:val="single" w:sz="2" w:space="0" w:color="AAAAAA"/>
              <w:right w:val="single" w:sz="2" w:space="0" w:color="AAAAAA"/>
            </w:tcBorders>
          </w:tcPr>
          <w:p w14:paraId="75E6629A" w14:textId="77777777" w:rsidR="006973B2" w:rsidRDefault="00427323">
            <w:pPr>
              <w:pStyle w:val="TableParagraph"/>
              <w:spacing w:line="252" w:lineRule="exact"/>
              <w:ind w:left="102" w:right="102"/>
            </w:pPr>
            <w:r>
              <w:t>Calendar</w:t>
            </w:r>
            <w:r>
              <w:rPr>
                <w:spacing w:val="19"/>
              </w:rPr>
              <w:t xml:space="preserve"> </w:t>
            </w:r>
            <w:r>
              <w:t>year</w:t>
            </w:r>
            <w:r>
              <w:rPr>
                <w:spacing w:val="16"/>
              </w:rPr>
              <w:t xml:space="preserve"> </w:t>
            </w:r>
            <w:r>
              <w:t>(2019–</w:t>
            </w:r>
            <w:r>
              <w:rPr>
                <w:spacing w:val="-2"/>
              </w:rPr>
              <w:t>2025)</w:t>
            </w:r>
          </w:p>
          <w:p w14:paraId="2261A130" w14:textId="77777777" w:rsidR="006973B2" w:rsidRDefault="00427323">
            <w:pPr>
              <w:pStyle w:val="TableParagraph"/>
              <w:spacing w:before="157" w:line="244" w:lineRule="auto"/>
              <w:ind w:left="103" w:right="102"/>
            </w:pPr>
            <w:r>
              <w:t xml:space="preserve">Repo rate influencing credit </w:t>
            </w:r>
            <w:r>
              <w:rPr>
                <w:spacing w:val="-4"/>
              </w:rPr>
              <w:t>cost</w:t>
            </w:r>
          </w:p>
        </w:tc>
        <w:tc>
          <w:tcPr>
            <w:tcW w:w="2218" w:type="dxa"/>
            <w:tcBorders>
              <w:left w:val="single" w:sz="2" w:space="0" w:color="AAAAAA"/>
              <w:bottom w:val="single" w:sz="2" w:space="0" w:color="AAAAAA"/>
              <w:right w:val="single" w:sz="2" w:space="0" w:color="AAAAAA"/>
            </w:tcBorders>
          </w:tcPr>
          <w:p w14:paraId="16717001" w14:textId="77777777" w:rsidR="006973B2" w:rsidRDefault="00427323">
            <w:pPr>
              <w:pStyle w:val="TableParagraph"/>
              <w:spacing w:line="388" w:lineRule="auto"/>
              <w:ind w:left="539" w:right="364" w:firstLine="136"/>
              <w:jc w:val="left"/>
            </w:pPr>
            <w:r>
              <w:rPr>
                <w:spacing w:val="-2"/>
              </w:rPr>
              <w:t xml:space="preserve">Observed </w:t>
            </w:r>
            <w:r>
              <w:t>RBI</w:t>
            </w:r>
            <w:r>
              <w:rPr>
                <w:spacing w:val="-13"/>
              </w:rPr>
              <w:t xml:space="preserve"> </w:t>
            </w:r>
            <w:r>
              <w:t>Reports</w:t>
            </w:r>
          </w:p>
        </w:tc>
      </w:tr>
    </w:tbl>
    <w:p w14:paraId="0FFA4195" w14:textId="55949212" w:rsidR="006973B2" w:rsidRDefault="006973B2">
      <w:pPr>
        <w:pStyle w:val="TableParagraph"/>
        <w:spacing w:line="388" w:lineRule="auto"/>
        <w:jc w:val="left"/>
      </w:pPr>
    </w:p>
    <w:p w14:paraId="3FB49BA0" w14:textId="10B5C5E2" w:rsidR="000F676E" w:rsidRPr="00FD2760" w:rsidRDefault="00FD2760" w:rsidP="000F676E">
      <w:pPr>
        <w:pStyle w:val="TableParagraph"/>
        <w:spacing w:line="388" w:lineRule="auto"/>
        <w:jc w:val="left"/>
        <w:rPr>
          <w:b/>
          <w:bCs/>
          <w:sz w:val="24"/>
          <w:szCs w:val="24"/>
        </w:rPr>
      </w:pPr>
      <w:r w:rsidRPr="00FD2760">
        <w:rPr>
          <w:b/>
          <w:bCs/>
          <w:sz w:val="24"/>
          <w:szCs w:val="24"/>
        </w:rPr>
        <w:t>5</w:t>
      </w:r>
      <w:r w:rsidR="000F676E" w:rsidRPr="00FD2760">
        <w:rPr>
          <w:b/>
          <w:bCs/>
          <w:sz w:val="24"/>
          <w:szCs w:val="24"/>
        </w:rPr>
        <w:t>.Analytical Method</w:t>
      </w:r>
    </w:p>
    <w:p w14:paraId="76282290" w14:textId="77777777" w:rsidR="000F676E" w:rsidRDefault="000F676E" w:rsidP="000F676E"/>
    <w:tbl>
      <w:tblPr>
        <w:tblW w:w="0" w:type="auto"/>
        <w:tblInd w:w="26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820"/>
        <w:gridCol w:w="5978"/>
      </w:tblGrid>
      <w:tr w:rsidR="000F676E" w:rsidRPr="000F676E" w14:paraId="3E328981" w14:textId="77777777" w:rsidTr="00925654">
        <w:trPr>
          <w:trHeight w:val="322"/>
        </w:trPr>
        <w:tc>
          <w:tcPr>
            <w:tcW w:w="2820" w:type="dxa"/>
            <w:tcBorders>
              <w:left w:val="single" w:sz="2" w:space="0" w:color="AAAAAA"/>
              <w:right w:val="single" w:sz="2" w:space="0" w:color="AAAAAA"/>
            </w:tcBorders>
            <w:shd w:val="clear" w:color="auto" w:fill="1F4D79"/>
          </w:tcPr>
          <w:p w14:paraId="61B8CC5A" w14:textId="77777777" w:rsidR="000F676E" w:rsidRPr="000F676E" w:rsidRDefault="000F676E" w:rsidP="000F676E">
            <w:pPr>
              <w:rPr>
                <w:b/>
                <w:color w:val="FFFFFF" w:themeColor="background1"/>
              </w:rPr>
            </w:pPr>
            <w:r w:rsidRPr="000F676E">
              <w:rPr>
                <w:b/>
                <w:color w:val="FFFFFF" w:themeColor="background1"/>
              </w:rPr>
              <w:t>Method</w:t>
            </w:r>
          </w:p>
        </w:tc>
        <w:tc>
          <w:tcPr>
            <w:tcW w:w="5978" w:type="dxa"/>
            <w:tcBorders>
              <w:left w:val="single" w:sz="2" w:space="0" w:color="AAAAAA"/>
              <w:right w:val="single" w:sz="2" w:space="0" w:color="AAAAAA"/>
            </w:tcBorders>
            <w:shd w:val="clear" w:color="auto" w:fill="1F4D79"/>
          </w:tcPr>
          <w:p w14:paraId="0984941B" w14:textId="77777777" w:rsidR="000F676E" w:rsidRPr="000F676E" w:rsidRDefault="000F676E" w:rsidP="000F676E">
            <w:pPr>
              <w:rPr>
                <w:b/>
                <w:color w:val="FFFFFF" w:themeColor="background1"/>
              </w:rPr>
            </w:pPr>
            <w:r w:rsidRPr="000F676E">
              <w:rPr>
                <w:b/>
                <w:color w:val="FFFFFF" w:themeColor="background1"/>
              </w:rPr>
              <w:t>Purpose</w:t>
            </w:r>
          </w:p>
        </w:tc>
      </w:tr>
      <w:tr w:rsidR="000F676E" w:rsidRPr="000F676E" w14:paraId="36A3D4DB" w14:textId="77777777" w:rsidTr="00925654">
        <w:trPr>
          <w:trHeight w:val="579"/>
        </w:trPr>
        <w:tc>
          <w:tcPr>
            <w:tcW w:w="2820" w:type="dxa"/>
            <w:tcBorders>
              <w:left w:val="single" w:sz="2" w:space="0" w:color="AAAAAA"/>
              <w:right w:val="single" w:sz="2" w:space="0" w:color="AAAAAA"/>
            </w:tcBorders>
          </w:tcPr>
          <w:p w14:paraId="33D1EE75" w14:textId="77777777" w:rsidR="000F676E" w:rsidRPr="000F676E" w:rsidRDefault="000F676E" w:rsidP="000F676E">
            <w:r w:rsidRPr="000F676E">
              <w:t>Secondary Data Analysis</w:t>
            </w:r>
          </w:p>
        </w:tc>
        <w:tc>
          <w:tcPr>
            <w:tcW w:w="5978" w:type="dxa"/>
            <w:tcBorders>
              <w:left w:val="single" w:sz="2" w:space="0" w:color="AAAAAA"/>
              <w:right w:val="single" w:sz="2" w:space="0" w:color="AAAAAA"/>
            </w:tcBorders>
          </w:tcPr>
          <w:p w14:paraId="17B5DB1E" w14:textId="77777777" w:rsidR="000F676E" w:rsidRPr="000F676E" w:rsidRDefault="000F676E" w:rsidP="000F676E">
            <w:r w:rsidRPr="000F676E">
              <w:t>Collect inflation, BDI, and FAF data from RBI, MOSPI, and corporate finance research</w:t>
            </w:r>
          </w:p>
        </w:tc>
      </w:tr>
      <w:tr w:rsidR="000F676E" w:rsidRPr="000F676E" w14:paraId="12147733" w14:textId="77777777" w:rsidTr="00925654">
        <w:trPr>
          <w:trHeight w:val="581"/>
        </w:trPr>
        <w:tc>
          <w:tcPr>
            <w:tcW w:w="2820" w:type="dxa"/>
            <w:tcBorders>
              <w:left w:val="single" w:sz="2" w:space="0" w:color="AAAAAA"/>
              <w:right w:val="single" w:sz="2" w:space="0" w:color="AAAAAA"/>
            </w:tcBorders>
          </w:tcPr>
          <w:p w14:paraId="4629AFEC" w14:textId="77777777" w:rsidR="000F676E" w:rsidRPr="000F676E" w:rsidRDefault="000F676E" w:rsidP="000F676E">
            <w:r w:rsidRPr="000F676E">
              <w:t>Descriptive Statistics</w:t>
            </w:r>
          </w:p>
        </w:tc>
        <w:tc>
          <w:tcPr>
            <w:tcW w:w="5978" w:type="dxa"/>
            <w:tcBorders>
              <w:left w:val="single" w:sz="2" w:space="0" w:color="AAAAAA"/>
              <w:right w:val="single" w:sz="2" w:space="0" w:color="AAAAAA"/>
            </w:tcBorders>
          </w:tcPr>
          <w:p w14:paraId="484ECCD2" w14:textId="77777777" w:rsidR="000F676E" w:rsidRPr="000F676E" w:rsidRDefault="000F676E" w:rsidP="000F676E">
            <w:r w:rsidRPr="000F676E">
              <w:t>Calculate Mean, Median, Mode, Std. Deviation, Min, Max, Range for all variables</w:t>
            </w:r>
          </w:p>
        </w:tc>
      </w:tr>
      <w:tr w:rsidR="000F676E" w:rsidRPr="000F676E" w14:paraId="06E212C9" w14:textId="77777777" w:rsidTr="00925654">
        <w:trPr>
          <w:trHeight w:val="579"/>
        </w:trPr>
        <w:tc>
          <w:tcPr>
            <w:tcW w:w="2820" w:type="dxa"/>
            <w:tcBorders>
              <w:left w:val="single" w:sz="2" w:space="0" w:color="AAAAAA"/>
              <w:right w:val="single" w:sz="2" w:space="0" w:color="AAAAAA"/>
            </w:tcBorders>
          </w:tcPr>
          <w:p w14:paraId="362D8A03" w14:textId="77777777" w:rsidR="000F676E" w:rsidRPr="000F676E" w:rsidRDefault="000F676E" w:rsidP="000F676E">
            <w:r w:rsidRPr="000F676E">
              <w:t>Trend Analysis</w:t>
            </w:r>
          </w:p>
        </w:tc>
        <w:tc>
          <w:tcPr>
            <w:tcW w:w="5978" w:type="dxa"/>
            <w:tcBorders>
              <w:left w:val="single" w:sz="2" w:space="0" w:color="AAAAAA"/>
              <w:right w:val="single" w:sz="2" w:space="0" w:color="AAAAAA"/>
            </w:tcBorders>
          </w:tcPr>
          <w:p w14:paraId="0C146E8F" w14:textId="77777777" w:rsidR="000F676E" w:rsidRPr="000F676E" w:rsidRDefault="000F676E" w:rsidP="000F676E">
            <w:r w:rsidRPr="000F676E">
              <w:t>Year-on-year examination of movement in inflation, BDI, and FAF</w:t>
            </w:r>
          </w:p>
        </w:tc>
      </w:tr>
      <w:tr w:rsidR="000F676E" w:rsidRPr="000F676E" w14:paraId="39406C29" w14:textId="77777777" w:rsidTr="00925654">
        <w:trPr>
          <w:trHeight w:val="581"/>
        </w:trPr>
        <w:tc>
          <w:tcPr>
            <w:tcW w:w="2820" w:type="dxa"/>
            <w:tcBorders>
              <w:left w:val="single" w:sz="2" w:space="0" w:color="AAAAAA"/>
              <w:right w:val="single" w:sz="2" w:space="0" w:color="AAAAAA"/>
            </w:tcBorders>
          </w:tcPr>
          <w:p w14:paraId="29F74A4A" w14:textId="77777777" w:rsidR="000F676E" w:rsidRPr="000F676E" w:rsidRDefault="000F676E" w:rsidP="000F676E">
            <w:r w:rsidRPr="000F676E">
              <w:t>Pearson Correlation (r)</w:t>
            </w:r>
          </w:p>
        </w:tc>
        <w:tc>
          <w:tcPr>
            <w:tcW w:w="5978" w:type="dxa"/>
            <w:tcBorders>
              <w:left w:val="single" w:sz="2" w:space="0" w:color="AAAAAA"/>
              <w:right w:val="single" w:sz="2" w:space="0" w:color="AAAAAA"/>
            </w:tcBorders>
          </w:tcPr>
          <w:p w14:paraId="0EE9C53D" w14:textId="77777777" w:rsidR="000F676E" w:rsidRPr="000F676E" w:rsidRDefault="000F676E" w:rsidP="000F676E">
            <w:r w:rsidRPr="000F676E">
              <w:t>Quantify linear relationship strength between inflation and each dependent variable</w:t>
            </w:r>
          </w:p>
        </w:tc>
      </w:tr>
      <w:tr w:rsidR="000F676E" w:rsidRPr="000F676E" w14:paraId="438A5850" w14:textId="77777777" w:rsidTr="00925654">
        <w:trPr>
          <w:trHeight w:val="588"/>
        </w:trPr>
        <w:tc>
          <w:tcPr>
            <w:tcW w:w="2820" w:type="dxa"/>
            <w:tcBorders>
              <w:left w:val="single" w:sz="2" w:space="0" w:color="AAAAAA"/>
              <w:bottom w:val="nil"/>
              <w:right w:val="single" w:sz="2" w:space="0" w:color="AAAAAA"/>
            </w:tcBorders>
          </w:tcPr>
          <w:p w14:paraId="778220CE" w14:textId="77777777" w:rsidR="000F676E" w:rsidRPr="000F676E" w:rsidRDefault="000F676E" w:rsidP="000F676E">
            <w:r w:rsidRPr="000F676E">
              <w:t>Simple Linear Regression</w:t>
            </w:r>
          </w:p>
        </w:tc>
        <w:tc>
          <w:tcPr>
            <w:tcW w:w="5978" w:type="dxa"/>
            <w:tcBorders>
              <w:left w:val="single" w:sz="2" w:space="0" w:color="AAAAAA"/>
              <w:bottom w:val="nil"/>
              <w:right w:val="single" w:sz="2" w:space="0" w:color="AAAAAA"/>
            </w:tcBorders>
          </w:tcPr>
          <w:p w14:paraId="56317CB7" w14:textId="77777777" w:rsidR="000F676E" w:rsidRPr="000F676E" w:rsidRDefault="000F676E" w:rsidP="000F676E">
            <w:r w:rsidRPr="000F676E">
              <w:t>Model predictive relationship: DV = a + b(Inflation); interpret R²</w:t>
            </w:r>
          </w:p>
        </w:tc>
      </w:tr>
    </w:tbl>
    <w:p w14:paraId="5E0E46A5" w14:textId="77777777" w:rsidR="000F676E" w:rsidRDefault="000F676E" w:rsidP="000F676E"/>
    <w:p w14:paraId="2C463C23" w14:textId="77777777" w:rsidR="000F676E" w:rsidRDefault="000F676E" w:rsidP="000F676E"/>
    <w:p w14:paraId="456FF30C" w14:textId="64B91ACE" w:rsidR="000F676E" w:rsidRPr="000F676E" w:rsidRDefault="000F676E" w:rsidP="000F676E">
      <w:pPr>
        <w:sectPr w:rsidR="000F676E" w:rsidRPr="000F676E">
          <w:pgSz w:w="12240" w:h="15840"/>
          <w:pgMar w:top="1280" w:right="1440" w:bottom="280" w:left="1440" w:header="720" w:footer="720" w:gutter="0"/>
          <w:cols w:space="720"/>
        </w:sectPr>
      </w:pPr>
    </w:p>
    <w:p w14:paraId="11A88E1C" w14:textId="77777777" w:rsidR="006973B2" w:rsidRDefault="006973B2">
      <w:pPr>
        <w:pStyle w:val="BodyText"/>
        <w:spacing w:before="162"/>
        <w:rPr>
          <w:b/>
          <w:sz w:val="20"/>
        </w:rPr>
      </w:pPr>
    </w:p>
    <w:p w14:paraId="20C458B2" w14:textId="77777777" w:rsidR="006973B2" w:rsidRPr="00FD2760" w:rsidRDefault="00427323" w:rsidP="00FD2760">
      <w:pPr>
        <w:pStyle w:val="Heading1"/>
        <w:spacing w:before="74"/>
        <w:jc w:val="center"/>
        <w:rPr>
          <w:color w:val="1F4D79"/>
          <w:spacing w:val="-2"/>
        </w:rPr>
      </w:pPr>
      <w:r w:rsidRPr="00FD2760">
        <w:rPr>
          <w:color w:val="1F4D79"/>
          <w:spacing w:val="-2"/>
        </w:rPr>
        <w:t xml:space="preserve">DATA </w:t>
      </w:r>
      <w:r>
        <w:rPr>
          <w:color w:val="1F4D79"/>
          <w:spacing w:val="-2"/>
        </w:rPr>
        <w:t>COLLECTION</w:t>
      </w:r>
    </w:p>
    <w:p w14:paraId="278B70FB" w14:textId="77777777" w:rsidR="006973B2" w:rsidRDefault="006973B2">
      <w:pPr>
        <w:pStyle w:val="BodyText"/>
        <w:rPr>
          <w:b/>
        </w:rPr>
      </w:pPr>
    </w:p>
    <w:p w14:paraId="2B7A13E1" w14:textId="77777777" w:rsidR="006973B2" w:rsidRDefault="006973B2">
      <w:pPr>
        <w:pStyle w:val="BodyText"/>
        <w:spacing w:before="25"/>
        <w:rPr>
          <w:b/>
        </w:rPr>
      </w:pPr>
    </w:p>
    <w:p w14:paraId="451ECA4D" w14:textId="77777777" w:rsidR="00FD2760" w:rsidRPr="00FD2760" w:rsidRDefault="00FD2760" w:rsidP="00886585">
      <w:pPr>
        <w:pStyle w:val="BodyText"/>
        <w:spacing w:line="360" w:lineRule="auto"/>
        <w:jc w:val="both"/>
        <w:rPr>
          <w:sz w:val="24"/>
          <w:szCs w:val="24"/>
        </w:rPr>
      </w:pPr>
      <w:r w:rsidRPr="00FD2760">
        <w:rPr>
          <w:sz w:val="24"/>
          <w:szCs w:val="24"/>
        </w:rPr>
        <w:t>The data used in this analysis is entirely secondary and obtained from government, corporate and research organizations. Data collection followed the following steps in order to ensure authenticity, consistency and completeness for the purpose of this research.</w:t>
      </w:r>
    </w:p>
    <w:p w14:paraId="4943C836" w14:textId="77777777" w:rsidR="00FD2760" w:rsidRPr="00FD2760" w:rsidRDefault="00FD2760" w:rsidP="00886585">
      <w:pPr>
        <w:pStyle w:val="BodyText"/>
        <w:spacing w:line="360" w:lineRule="auto"/>
        <w:jc w:val="both"/>
        <w:rPr>
          <w:sz w:val="24"/>
          <w:szCs w:val="24"/>
        </w:rPr>
      </w:pPr>
    </w:p>
    <w:p w14:paraId="48648A19" w14:textId="77777777" w:rsidR="00FD2760" w:rsidRPr="00FD2760" w:rsidRDefault="00FD2760" w:rsidP="00886585">
      <w:pPr>
        <w:pStyle w:val="BodyText"/>
        <w:spacing w:line="360" w:lineRule="auto"/>
        <w:jc w:val="both"/>
        <w:rPr>
          <w:b/>
          <w:bCs/>
          <w:sz w:val="24"/>
          <w:szCs w:val="24"/>
        </w:rPr>
      </w:pPr>
      <w:r w:rsidRPr="00FD2760">
        <w:rPr>
          <w:b/>
          <w:bCs/>
          <w:sz w:val="24"/>
          <w:szCs w:val="24"/>
        </w:rPr>
        <w:t>A. Government &amp; Institutional Sources</w:t>
      </w:r>
    </w:p>
    <w:p w14:paraId="7D17D6CD" w14:textId="0E415647" w:rsidR="00886585" w:rsidRDefault="00FD2760" w:rsidP="00886585">
      <w:pPr>
        <w:pStyle w:val="BodyText"/>
        <w:spacing w:line="360" w:lineRule="auto"/>
        <w:jc w:val="both"/>
        <w:rPr>
          <w:sz w:val="24"/>
          <w:szCs w:val="24"/>
        </w:rPr>
      </w:pPr>
      <w:r w:rsidRPr="00FD2760">
        <w:rPr>
          <w:sz w:val="24"/>
          <w:szCs w:val="24"/>
        </w:rPr>
        <w:t>• Reserve Bank of India (RBI): All reports pertaining to inflation rates, monetary policy</w:t>
      </w:r>
    </w:p>
    <w:p w14:paraId="5412A9B0" w14:textId="7B978887" w:rsidR="00FD2760" w:rsidRPr="00FD2760" w:rsidRDefault="00FD2760" w:rsidP="00886585">
      <w:pPr>
        <w:pStyle w:val="BodyText"/>
        <w:spacing w:line="360" w:lineRule="auto"/>
        <w:jc w:val="both"/>
        <w:rPr>
          <w:sz w:val="24"/>
          <w:szCs w:val="24"/>
        </w:rPr>
      </w:pPr>
      <w:r w:rsidRPr="00FD2760">
        <w:rPr>
          <w:sz w:val="24"/>
          <w:szCs w:val="24"/>
        </w:rPr>
        <w:t>decisions and stance, economic data trends as well as Annual Report.</w:t>
      </w:r>
    </w:p>
    <w:p w14:paraId="6BA0A38D" w14:textId="45C55FA3" w:rsidR="00886585" w:rsidRDefault="00FD2760" w:rsidP="00886585">
      <w:pPr>
        <w:pStyle w:val="BodyText"/>
        <w:spacing w:line="360" w:lineRule="auto"/>
        <w:jc w:val="both"/>
        <w:rPr>
          <w:sz w:val="24"/>
          <w:szCs w:val="24"/>
        </w:rPr>
      </w:pPr>
      <w:r w:rsidRPr="00FD2760">
        <w:rPr>
          <w:sz w:val="24"/>
          <w:szCs w:val="24"/>
        </w:rPr>
        <w:t xml:space="preserve">• Ministry of Statistics &amp; </w:t>
      </w:r>
      <w:proofErr w:type="spellStart"/>
      <w:r w:rsidRPr="00FD2760">
        <w:rPr>
          <w:sz w:val="24"/>
          <w:szCs w:val="24"/>
        </w:rPr>
        <w:t>Programme</w:t>
      </w:r>
      <w:proofErr w:type="spellEnd"/>
      <w:r w:rsidRPr="00FD2760">
        <w:rPr>
          <w:sz w:val="24"/>
          <w:szCs w:val="24"/>
        </w:rPr>
        <w:t xml:space="preserve"> Implementation (MOSPI): Data pertaining to the</w:t>
      </w:r>
    </w:p>
    <w:p w14:paraId="6B049F26" w14:textId="3FF2CB8E" w:rsidR="00FD2760" w:rsidRPr="00FD2760" w:rsidRDefault="00FD2760" w:rsidP="00886585">
      <w:pPr>
        <w:pStyle w:val="BodyText"/>
        <w:spacing w:line="360" w:lineRule="auto"/>
        <w:jc w:val="both"/>
        <w:rPr>
          <w:sz w:val="24"/>
          <w:szCs w:val="24"/>
        </w:rPr>
      </w:pPr>
      <w:r w:rsidRPr="00FD2760">
        <w:rPr>
          <w:sz w:val="24"/>
          <w:szCs w:val="24"/>
        </w:rPr>
        <w:t>Consumer Price Index (CPI) and Wholesale Price Index (WPI).</w:t>
      </w:r>
    </w:p>
    <w:p w14:paraId="3EDF404A" w14:textId="6E93CDAD" w:rsidR="00886585" w:rsidRDefault="00FD2760" w:rsidP="00886585">
      <w:pPr>
        <w:pStyle w:val="BodyText"/>
        <w:spacing w:line="360" w:lineRule="auto"/>
        <w:jc w:val="both"/>
        <w:rPr>
          <w:sz w:val="24"/>
          <w:szCs w:val="24"/>
        </w:rPr>
      </w:pPr>
      <w:r w:rsidRPr="00FD2760">
        <w:rPr>
          <w:sz w:val="24"/>
          <w:szCs w:val="24"/>
        </w:rPr>
        <w:t>• SEBI: All corporate filings, corporate disclosures and management discussion and analysis</w:t>
      </w:r>
    </w:p>
    <w:p w14:paraId="2B5A6952" w14:textId="374661EE" w:rsidR="00FD2760" w:rsidRPr="00FD2760" w:rsidRDefault="00FD2760" w:rsidP="00886585">
      <w:pPr>
        <w:pStyle w:val="BodyText"/>
        <w:spacing w:line="360" w:lineRule="auto"/>
        <w:jc w:val="both"/>
        <w:rPr>
          <w:sz w:val="24"/>
          <w:szCs w:val="24"/>
        </w:rPr>
      </w:pPr>
      <w:r w:rsidRPr="00FD2760">
        <w:rPr>
          <w:sz w:val="24"/>
          <w:szCs w:val="24"/>
        </w:rPr>
        <w:t>(MD&amp;A).</w:t>
      </w:r>
    </w:p>
    <w:p w14:paraId="0F048F05" w14:textId="2227B982" w:rsidR="00886585" w:rsidRDefault="00FD2760" w:rsidP="00886585">
      <w:pPr>
        <w:pStyle w:val="BodyText"/>
        <w:spacing w:line="360" w:lineRule="auto"/>
        <w:jc w:val="both"/>
        <w:rPr>
          <w:sz w:val="24"/>
          <w:szCs w:val="24"/>
        </w:rPr>
      </w:pPr>
      <w:r w:rsidRPr="00FD2760">
        <w:rPr>
          <w:sz w:val="24"/>
          <w:szCs w:val="24"/>
        </w:rPr>
        <w:t>• NITI Aayog and Ministry of Finance: Reports pertaining to policy and fiscal trends.</w:t>
      </w:r>
    </w:p>
    <w:p w14:paraId="459BEF48" w14:textId="77777777" w:rsidR="00886585" w:rsidRDefault="00886585" w:rsidP="00886585">
      <w:pPr>
        <w:pStyle w:val="BodyText"/>
        <w:spacing w:line="360" w:lineRule="auto"/>
        <w:jc w:val="both"/>
        <w:rPr>
          <w:sz w:val="24"/>
          <w:szCs w:val="24"/>
        </w:rPr>
      </w:pPr>
    </w:p>
    <w:p w14:paraId="4EC69EE6" w14:textId="3CEF5BA7" w:rsidR="00FD2760" w:rsidRPr="00886585" w:rsidRDefault="00FD2760" w:rsidP="00886585">
      <w:pPr>
        <w:pStyle w:val="BodyText"/>
        <w:spacing w:line="360" w:lineRule="auto"/>
        <w:jc w:val="both"/>
        <w:rPr>
          <w:sz w:val="24"/>
          <w:szCs w:val="24"/>
        </w:rPr>
      </w:pPr>
      <w:r w:rsidRPr="00FD2760">
        <w:rPr>
          <w:b/>
          <w:bCs/>
          <w:sz w:val="24"/>
          <w:szCs w:val="24"/>
        </w:rPr>
        <w:t>B. Corporate &amp; Industry Sources</w:t>
      </w:r>
    </w:p>
    <w:p w14:paraId="05904396" w14:textId="69048618" w:rsidR="00886585" w:rsidRDefault="00FD2760" w:rsidP="00886585">
      <w:pPr>
        <w:pStyle w:val="BodyText"/>
        <w:spacing w:line="360" w:lineRule="auto"/>
        <w:jc w:val="both"/>
        <w:rPr>
          <w:sz w:val="24"/>
          <w:szCs w:val="24"/>
        </w:rPr>
      </w:pPr>
      <w:r w:rsidRPr="00FD2760">
        <w:rPr>
          <w:sz w:val="24"/>
          <w:szCs w:val="24"/>
        </w:rPr>
        <w:t xml:space="preserve">• Annual Reports of Indian </w:t>
      </w:r>
      <w:proofErr w:type="spellStart"/>
      <w:r w:rsidRPr="00FD2760">
        <w:rPr>
          <w:sz w:val="24"/>
          <w:szCs w:val="24"/>
        </w:rPr>
        <w:t>Corporates</w:t>
      </w:r>
      <w:proofErr w:type="gramStart"/>
      <w:r w:rsidRPr="00FD2760">
        <w:rPr>
          <w:sz w:val="24"/>
          <w:szCs w:val="24"/>
        </w:rPr>
        <w:t>:Data</w:t>
      </w:r>
      <w:proofErr w:type="spellEnd"/>
      <w:proofErr w:type="gramEnd"/>
      <w:r w:rsidRPr="00FD2760">
        <w:rPr>
          <w:sz w:val="24"/>
          <w:szCs w:val="24"/>
        </w:rPr>
        <w:t xml:space="preserve"> from 5-10 leading Indian companies in the</w:t>
      </w:r>
    </w:p>
    <w:p w14:paraId="4C2BC009" w14:textId="276E9505" w:rsidR="00886585" w:rsidRDefault="00FD2760" w:rsidP="00886585">
      <w:pPr>
        <w:pStyle w:val="BodyText"/>
        <w:spacing w:line="360" w:lineRule="auto"/>
        <w:jc w:val="both"/>
        <w:rPr>
          <w:sz w:val="24"/>
          <w:szCs w:val="24"/>
        </w:rPr>
      </w:pPr>
      <w:r w:rsidRPr="00FD2760">
        <w:rPr>
          <w:sz w:val="24"/>
          <w:szCs w:val="24"/>
        </w:rPr>
        <w:t>Manufacturing, FMCG, Infrastructure and Services sector were collected and utilized for</w:t>
      </w:r>
    </w:p>
    <w:p w14:paraId="7F5C469B" w14:textId="58579B2F" w:rsidR="00886585" w:rsidRDefault="00FD2760" w:rsidP="00886585">
      <w:pPr>
        <w:pStyle w:val="BodyText"/>
        <w:spacing w:line="360" w:lineRule="auto"/>
        <w:jc w:val="both"/>
        <w:rPr>
          <w:sz w:val="24"/>
          <w:szCs w:val="24"/>
        </w:rPr>
      </w:pPr>
      <w:r w:rsidRPr="00FD2760">
        <w:rPr>
          <w:sz w:val="24"/>
          <w:szCs w:val="24"/>
        </w:rPr>
        <w:t>analysis.</w:t>
      </w:r>
    </w:p>
    <w:p w14:paraId="542A4C9F" w14:textId="77777777" w:rsidR="00886585" w:rsidRDefault="00FD2760" w:rsidP="00886585">
      <w:pPr>
        <w:pStyle w:val="BodyText"/>
        <w:spacing w:line="360" w:lineRule="auto"/>
        <w:jc w:val="both"/>
        <w:rPr>
          <w:sz w:val="24"/>
          <w:szCs w:val="24"/>
        </w:rPr>
      </w:pPr>
      <w:r w:rsidRPr="00FD2760">
        <w:rPr>
          <w:sz w:val="24"/>
          <w:szCs w:val="24"/>
        </w:rPr>
        <w:t>• Management Discussion and Analysis (MD&amp;A) sections of Annual Reports: A key source of</w:t>
      </w:r>
    </w:p>
    <w:p w14:paraId="785FB69F" w14:textId="33E94705" w:rsidR="00886585" w:rsidRDefault="00FD2760" w:rsidP="00886585">
      <w:pPr>
        <w:pStyle w:val="BodyText"/>
        <w:spacing w:line="360" w:lineRule="auto"/>
        <w:jc w:val="both"/>
        <w:rPr>
          <w:sz w:val="24"/>
          <w:szCs w:val="24"/>
        </w:rPr>
      </w:pPr>
      <w:r w:rsidRPr="00FD2760">
        <w:rPr>
          <w:sz w:val="24"/>
          <w:szCs w:val="24"/>
        </w:rPr>
        <w:t>data for the assumptions made by management pertaining to the inflation scenarios.</w:t>
      </w:r>
    </w:p>
    <w:p w14:paraId="164C035C" w14:textId="175668B4" w:rsidR="00886585" w:rsidRDefault="00FD2760" w:rsidP="00886585">
      <w:pPr>
        <w:pStyle w:val="BodyText"/>
        <w:spacing w:line="360" w:lineRule="auto"/>
        <w:jc w:val="both"/>
        <w:rPr>
          <w:sz w:val="24"/>
          <w:szCs w:val="24"/>
        </w:rPr>
      </w:pPr>
      <w:r w:rsidRPr="00FD2760">
        <w:rPr>
          <w:sz w:val="24"/>
          <w:szCs w:val="24"/>
        </w:rPr>
        <w:t>• Industry Research Reports: Reports from organizations such as FICCI, CII, ASSOCHAM and</w:t>
      </w:r>
    </w:p>
    <w:p w14:paraId="5C49EF92" w14:textId="68FB8BB8" w:rsidR="00886585" w:rsidRDefault="00FD2760" w:rsidP="00886585">
      <w:pPr>
        <w:pStyle w:val="BodyText"/>
        <w:spacing w:line="360" w:lineRule="auto"/>
        <w:jc w:val="both"/>
        <w:rPr>
          <w:sz w:val="24"/>
          <w:szCs w:val="24"/>
        </w:rPr>
      </w:pPr>
      <w:r w:rsidRPr="00FD2760">
        <w:rPr>
          <w:sz w:val="24"/>
          <w:szCs w:val="24"/>
        </w:rPr>
        <w:t>from consultancies such as Deloitte India, PwC India, EY India and KPMG India.</w:t>
      </w:r>
    </w:p>
    <w:p w14:paraId="62FEC4B8" w14:textId="02ADB01D" w:rsidR="00FD2760" w:rsidRPr="00FD2760" w:rsidRDefault="00FD2760" w:rsidP="00886585">
      <w:pPr>
        <w:pStyle w:val="BodyText"/>
        <w:spacing w:line="360" w:lineRule="auto"/>
        <w:jc w:val="both"/>
        <w:rPr>
          <w:sz w:val="24"/>
          <w:szCs w:val="24"/>
        </w:rPr>
      </w:pPr>
      <w:r w:rsidRPr="00FD2760">
        <w:rPr>
          <w:sz w:val="24"/>
          <w:szCs w:val="24"/>
        </w:rPr>
        <w:t>• CRISIL, CARE Ratings, and ICRA Reports: Sector specific data related to inflation.</w:t>
      </w:r>
    </w:p>
    <w:p w14:paraId="62CDAF24" w14:textId="77777777" w:rsidR="00FD2760" w:rsidRPr="00FD2760" w:rsidRDefault="00FD2760" w:rsidP="00886585">
      <w:pPr>
        <w:pStyle w:val="BodyText"/>
        <w:spacing w:line="360" w:lineRule="auto"/>
        <w:jc w:val="both"/>
        <w:rPr>
          <w:sz w:val="24"/>
          <w:szCs w:val="24"/>
        </w:rPr>
      </w:pPr>
    </w:p>
    <w:p w14:paraId="07C4F24A" w14:textId="152BF2E1" w:rsidR="00FD2760" w:rsidRPr="00FD2760" w:rsidRDefault="00FD2760" w:rsidP="00886585">
      <w:pPr>
        <w:pStyle w:val="BodyText"/>
        <w:spacing w:line="360" w:lineRule="auto"/>
        <w:jc w:val="both"/>
        <w:rPr>
          <w:b/>
          <w:bCs/>
          <w:sz w:val="24"/>
          <w:szCs w:val="24"/>
        </w:rPr>
      </w:pPr>
      <w:r w:rsidRPr="00FD2760">
        <w:rPr>
          <w:b/>
          <w:bCs/>
          <w:sz w:val="24"/>
          <w:szCs w:val="24"/>
        </w:rPr>
        <w:t>C. Academic &amp; Research Sources</w:t>
      </w:r>
    </w:p>
    <w:p w14:paraId="1702793C" w14:textId="7F4981C7" w:rsidR="00886585" w:rsidRDefault="00FD2760" w:rsidP="00886585">
      <w:pPr>
        <w:pStyle w:val="BodyText"/>
        <w:spacing w:line="360" w:lineRule="auto"/>
        <w:jc w:val="both"/>
        <w:rPr>
          <w:sz w:val="24"/>
          <w:szCs w:val="24"/>
        </w:rPr>
      </w:pPr>
      <w:r w:rsidRPr="00FD2760">
        <w:rPr>
          <w:sz w:val="24"/>
          <w:szCs w:val="24"/>
        </w:rPr>
        <w:t>• Published research articles from various academic journals, such as Indian Journal of Finance,</w:t>
      </w:r>
    </w:p>
    <w:p w14:paraId="4115B9F7" w14:textId="46B3E4FE" w:rsidR="00886585" w:rsidRDefault="00FD2760" w:rsidP="00886585">
      <w:pPr>
        <w:pStyle w:val="BodyText"/>
        <w:spacing w:line="360" w:lineRule="auto"/>
        <w:jc w:val="both"/>
        <w:rPr>
          <w:sz w:val="24"/>
          <w:szCs w:val="24"/>
        </w:rPr>
      </w:pPr>
      <w:r w:rsidRPr="00FD2760">
        <w:rPr>
          <w:sz w:val="24"/>
          <w:szCs w:val="24"/>
        </w:rPr>
        <w:t>Economic &amp; Political Weekly, International Journal of Finance and Accounting and Asian</w:t>
      </w:r>
    </w:p>
    <w:p w14:paraId="298FBE2D" w14:textId="7E64C108" w:rsidR="00FD2760" w:rsidRPr="00FD2760" w:rsidRDefault="00FD2760" w:rsidP="00886585">
      <w:pPr>
        <w:pStyle w:val="BodyText"/>
        <w:spacing w:line="360" w:lineRule="auto"/>
        <w:jc w:val="both"/>
        <w:rPr>
          <w:sz w:val="24"/>
          <w:szCs w:val="24"/>
        </w:rPr>
      </w:pPr>
      <w:r w:rsidRPr="00FD2760">
        <w:rPr>
          <w:sz w:val="24"/>
          <w:szCs w:val="24"/>
        </w:rPr>
        <w:t>Journal of Management.</w:t>
      </w:r>
    </w:p>
    <w:p w14:paraId="15821135" w14:textId="7A4E4B29" w:rsidR="00886585" w:rsidRDefault="00FD2760" w:rsidP="00886585">
      <w:pPr>
        <w:pStyle w:val="BodyText"/>
        <w:spacing w:line="360" w:lineRule="auto"/>
        <w:jc w:val="both"/>
        <w:rPr>
          <w:sz w:val="24"/>
          <w:szCs w:val="24"/>
        </w:rPr>
      </w:pPr>
      <w:r w:rsidRPr="00FD2760">
        <w:rPr>
          <w:sz w:val="24"/>
          <w:szCs w:val="24"/>
        </w:rPr>
        <w:t>• Text books regarding inflation, budgeting, and corporate finance (listed in the references</w:t>
      </w:r>
    </w:p>
    <w:p w14:paraId="0A7F8E28" w14:textId="28A65C75" w:rsidR="00FD2760" w:rsidRPr="00FD2760" w:rsidRDefault="00FD2760" w:rsidP="00886585">
      <w:pPr>
        <w:pStyle w:val="BodyText"/>
        <w:spacing w:line="360" w:lineRule="auto"/>
        <w:jc w:val="both"/>
        <w:rPr>
          <w:sz w:val="24"/>
          <w:szCs w:val="24"/>
        </w:rPr>
      </w:pPr>
      <w:r w:rsidRPr="00FD2760">
        <w:rPr>
          <w:sz w:val="24"/>
          <w:szCs w:val="24"/>
        </w:rPr>
        <w:t>section).</w:t>
      </w:r>
    </w:p>
    <w:p w14:paraId="5A7D44C9" w14:textId="7E8E0F61" w:rsidR="00FD2760" w:rsidRPr="00FD2760" w:rsidRDefault="00FD2760" w:rsidP="00886585">
      <w:pPr>
        <w:pStyle w:val="BodyText"/>
        <w:spacing w:line="360" w:lineRule="auto"/>
        <w:jc w:val="both"/>
        <w:rPr>
          <w:sz w:val="24"/>
          <w:szCs w:val="24"/>
        </w:rPr>
      </w:pPr>
      <w:r w:rsidRPr="00FD2760">
        <w:rPr>
          <w:sz w:val="24"/>
          <w:szCs w:val="24"/>
        </w:rPr>
        <w:t>• RBI working and occasional papers on inflation and its influence on corporate finances.</w:t>
      </w:r>
    </w:p>
    <w:p w14:paraId="12C4ABF6" w14:textId="77777777" w:rsidR="00FD2760" w:rsidRPr="00FD2760" w:rsidRDefault="00FD2760" w:rsidP="00886585">
      <w:pPr>
        <w:pStyle w:val="BodyText"/>
        <w:spacing w:line="360" w:lineRule="auto"/>
        <w:jc w:val="both"/>
        <w:rPr>
          <w:sz w:val="24"/>
          <w:szCs w:val="24"/>
        </w:rPr>
      </w:pPr>
    </w:p>
    <w:p w14:paraId="1E05C726" w14:textId="1135B206" w:rsidR="00FD2760" w:rsidRPr="00FD2760" w:rsidRDefault="00FD2760" w:rsidP="00886585">
      <w:pPr>
        <w:pStyle w:val="BodyText"/>
        <w:spacing w:line="360" w:lineRule="auto"/>
        <w:jc w:val="both"/>
        <w:rPr>
          <w:b/>
          <w:bCs/>
          <w:sz w:val="24"/>
          <w:szCs w:val="24"/>
        </w:rPr>
      </w:pPr>
      <w:r w:rsidRPr="00FD2760">
        <w:rPr>
          <w:b/>
          <w:bCs/>
          <w:sz w:val="24"/>
          <w:szCs w:val="24"/>
        </w:rPr>
        <w:lastRenderedPageBreak/>
        <w:t>D. Online Databases &amp; Other Sources</w:t>
      </w:r>
    </w:p>
    <w:p w14:paraId="7DC9D815" w14:textId="53FB4886" w:rsidR="00886585" w:rsidRDefault="00FD2760" w:rsidP="00886585">
      <w:pPr>
        <w:pStyle w:val="BodyText"/>
        <w:spacing w:line="360" w:lineRule="auto"/>
        <w:jc w:val="both"/>
        <w:rPr>
          <w:sz w:val="24"/>
          <w:szCs w:val="24"/>
        </w:rPr>
      </w:pPr>
      <w:r w:rsidRPr="00FD2760">
        <w:rPr>
          <w:sz w:val="24"/>
          <w:szCs w:val="24"/>
        </w:rPr>
        <w:t>• CMIE Prowess Database (Centre for Monitoring Indian Economy): Used for collecting micro-</w:t>
      </w:r>
    </w:p>
    <w:p w14:paraId="5EB5BAEB" w14:textId="6A1A2D4B" w:rsidR="00FD2760" w:rsidRPr="00FD2760" w:rsidRDefault="00FD2760" w:rsidP="00886585">
      <w:pPr>
        <w:pStyle w:val="BodyText"/>
        <w:spacing w:line="360" w:lineRule="auto"/>
        <w:jc w:val="both"/>
        <w:rPr>
          <w:sz w:val="24"/>
          <w:szCs w:val="24"/>
        </w:rPr>
      </w:pPr>
      <w:r w:rsidRPr="00FD2760">
        <w:rPr>
          <w:sz w:val="24"/>
          <w:szCs w:val="24"/>
        </w:rPr>
        <w:t>level data of individual firms.</w:t>
      </w:r>
    </w:p>
    <w:p w14:paraId="6EDDA253" w14:textId="40C92B10" w:rsidR="00886585" w:rsidRDefault="00FD2760" w:rsidP="00886585">
      <w:pPr>
        <w:pStyle w:val="BodyText"/>
        <w:spacing w:line="360" w:lineRule="auto"/>
        <w:jc w:val="both"/>
        <w:rPr>
          <w:sz w:val="24"/>
          <w:szCs w:val="24"/>
        </w:rPr>
      </w:pPr>
      <w:r w:rsidRPr="00FD2760">
        <w:rPr>
          <w:sz w:val="24"/>
          <w:szCs w:val="24"/>
        </w:rPr>
        <w:t>• World Bank and International Monetary Fund: Used for collating macroeconomic data for</w:t>
      </w:r>
    </w:p>
    <w:p w14:paraId="7CD0B976" w14:textId="0085D1D8" w:rsidR="00FD2760" w:rsidRPr="00FD2760" w:rsidRDefault="00FD2760" w:rsidP="00886585">
      <w:pPr>
        <w:pStyle w:val="BodyText"/>
        <w:spacing w:line="360" w:lineRule="auto"/>
        <w:jc w:val="both"/>
        <w:rPr>
          <w:sz w:val="24"/>
          <w:szCs w:val="24"/>
        </w:rPr>
      </w:pPr>
      <w:r w:rsidRPr="00FD2760">
        <w:rPr>
          <w:sz w:val="24"/>
          <w:szCs w:val="24"/>
        </w:rPr>
        <w:t>country comparison.</w:t>
      </w:r>
    </w:p>
    <w:p w14:paraId="6E67D9E0" w14:textId="28CFF475" w:rsidR="00FD2760" w:rsidRPr="00FD2760" w:rsidRDefault="00FD2760" w:rsidP="00886585">
      <w:pPr>
        <w:pStyle w:val="BodyText"/>
        <w:spacing w:line="360" w:lineRule="auto"/>
        <w:jc w:val="both"/>
        <w:rPr>
          <w:sz w:val="24"/>
          <w:szCs w:val="24"/>
        </w:rPr>
      </w:pPr>
      <w:r w:rsidRPr="00FD2760">
        <w:rPr>
          <w:sz w:val="24"/>
          <w:szCs w:val="24"/>
        </w:rPr>
        <w:t>• Statista: Used for collating statistical data related to industries.</w:t>
      </w:r>
    </w:p>
    <w:p w14:paraId="1DF0E863" w14:textId="126885B2" w:rsidR="00886585" w:rsidRDefault="00FD2760" w:rsidP="00886585">
      <w:pPr>
        <w:pStyle w:val="BodyText"/>
        <w:spacing w:line="360" w:lineRule="auto"/>
        <w:jc w:val="both"/>
        <w:rPr>
          <w:sz w:val="24"/>
          <w:szCs w:val="24"/>
        </w:rPr>
      </w:pPr>
      <w:r w:rsidRPr="00FD2760">
        <w:rPr>
          <w:sz w:val="24"/>
          <w:szCs w:val="24"/>
        </w:rPr>
        <w:t>• Economic Times and Business Standard: Daily newspapers utilized for financial reports from</w:t>
      </w:r>
    </w:p>
    <w:p w14:paraId="211E69E0" w14:textId="4EDDA620" w:rsidR="00FD2760" w:rsidRPr="00FD2760" w:rsidRDefault="00FD2760" w:rsidP="00886585">
      <w:pPr>
        <w:pStyle w:val="BodyText"/>
        <w:spacing w:line="360" w:lineRule="auto"/>
        <w:jc w:val="both"/>
        <w:rPr>
          <w:sz w:val="24"/>
          <w:szCs w:val="24"/>
        </w:rPr>
      </w:pPr>
      <w:r w:rsidRPr="00FD2760">
        <w:rPr>
          <w:sz w:val="24"/>
          <w:szCs w:val="24"/>
        </w:rPr>
        <w:t>corporations.</w:t>
      </w:r>
    </w:p>
    <w:p w14:paraId="26D087D3" w14:textId="77777777" w:rsidR="00FD2760" w:rsidRPr="00FD2760" w:rsidRDefault="00FD2760" w:rsidP="00886585">
      <w:pPr>
        <w:pStyle w:val="BodyText"/>
        <w:spacing w:line="360" w:lineRule="auto"/>
        <w:jc w:val="both"/>
        <w:rPr>
          <w:sz w:val="24"/>
          <w:szCs w:val="24"/>
        </w:rPr>
      </w:pPr>
    </w:p>
    <w:p w14:paraId="28F76E23" w14:textId="283AF6C3" w:rsidR="00FD2760" w:rsidRPr="00FD2760" w:rsidRDefault="00FD2760" w:rsidP="00886585">
      <w:pPr>
        <w:pStyle w:val="BodyText"/>
        <w:spacing w:line="360" w:lineRule="auto"/>
        <w:jc w:val="both"/>
        <w:rPr>
          <w:b/>
          <w:bCs/>
          <w:sz w:val="24"/>
          <w:szCs w:val="24"/>
        </w:rPr>
      </w:pPr>
      <w:r w:rsidRPr="00FD2760">
        <w:rPr>
          <w:b/>
          <w:bCs/>
          <w:sz w:val="24"/>
          <w:szCs w:val="24"/>
        </w:rPr>
        <w:t>E. Data Quality Control &amp; Processing</w:t>
      </w:r>
    </w:p>
    <w:p w14:paraId="37490F4E" w14:textId="79196835" w:rsidR="00FD2760" w:rsidRPr="00FD2760" w:rsidRDefault="00FD2760" w:rsidP="00886585">
      <w:pPr>
        <w:pStyle w:val="BodyText"/>
        <w:spacing w:line="360" w:lineRule="auto"/>
        <w:jc w:val="both"/>
        <w:rPr>
          <w:sz w:val="24"/>
          <w:szCs w:val="24"/>
        </w:rPr>
      </w:pPr>
      <w:r w:rsidRPr="00FD2760">
        <w:rPr>
          <w:sz w:val="24"/>
          <w:szCs w:val="24"/>
        </w:rPr>
        <w:t>• Data was validated across 2 or more sources before it was incorporated into the dataset.</w:t>
      </w:r>
    </w:p>
    <w:p w14:paraId="08DCEDF8" w14:textId="5EBFC37F" w:rsidR="00FD2760" w:rsidRPr="00FD2760" w:rsidRDefault="00FD2760" w:rsidP="00886585">
      <w:pPr>
        <w:pStyle w:val="BodyText"/>
        <w:spacing w:line="360" w:lineRule="auto"/>
        <w:jc w:val="both"/>
        <w:rPr>
          <w:sz w:val="24"/>
          <w:szCs w:val="24"/>
        </w:rPr>
      </w:pPr>
      <w:r w:rsidRPr="00FD2760">
        <w:rPr>
          <w:sz w:val="24"/>
          <w:szCs w:val="24"/>
        </w:rPr>
        <w:t>• Gaps in data were filled using standard methods of interpolation.</w:t>
      </w:r>
    </w:p>
    <w:p w14:paraId="322E236F" w14:textId="2671D7F5" w:rsidR="00886585" w:rsidRDefault="00FD2760" w:rsidP="00886585">
      <w:pPr>
        <w:pStyle w:val="BodyText"/>
        <w:spacing w:line="360" w:lineRule="auto"/>
        <w:jc w:val="both"/>
        <w:rPr>
          <w:sz w:val="24"/>
          <w:szCs w:val="24"/>
        </w:rPr>
      </w:pPr>
      <w:r w:rsidRPr="00FD2760">
        <w:rPr>
          <w:sz w:val="24"/>
          <w:szCs w:val="24"/>
        </w:rPr>
        <w:t>• Any extreme values that appeared in the dataset were individually investigated. The decision</w:t>
      </w:r>
    </w:p>
    <w:p w14:paraId="5C362702" w14:textId="7B15D5DD" w:rsidR="00886585" w:rsidRDefault="00FD2760" w:rsidP="00886585">
      <w:pPr>
        <w:pStyle w:val="BodyText"/>
        <w:spacing w:line="360" w:lineRule="auto"/>
        <w:jc w:val="both"/>
        <w:rPr>
          <w:sz w:val="24"/>
          <w:szCs w:val="24"/>
        </w:rPr>
      </w:pPr>
      <w:r w:rsidRPr="00FD2760">
        <w:rPr>
          <w:sz w:val="24"/>
          <w:szCs w:val="24"/>
        </w:rPr>
        <w:t>was based on whether it was a genuine occurrence in the economy or a mistake in data</w:t>
      </w:r>
    </w:p>
    <w:p w14:paraId="1EA1F346" w14:textId="0FBA6F4E" w:rsidR="00FD2760" w:rsidRPr="00FD2760" w:rsidRDefault="00FD2760" w:rsidP="00886585">
      <w:pPr>
        <w:pStyle w:val="BodyText"/>
        <w:spacing w:line="360" w:lineRule="auto"/>
        <w:jc w:val="both"/>
        <w:rPr>
          <w:sz w:val="24"/>
          <w:szCs w:val="24"/>
        </w:rPr>
      </w:pPr>
      <w:r w:rsidRPr="00FD2760">
        <w:rPr>
          <w:sz w:val="24"/>
          <w:szCs w:val="24"/>
        </w:rPr>
        <w:t>collection.</w:t>
      </w:r>
    </w:p>
    <w:p w14:paraId="1FB8F927" w14:textId="7E4CCC16" w:rsidR="006973B2" w:rsidRPr="00FD2760" w:rsidRDefault="00FD2760" w:rsidP="00886585">
      <w:pPr>
        <w:pStyle w:val="BodyText"/>
        <w:spacing w:line="360" w:lineRule="auto"/>
        <w:jc w:val="both"/>
        <w:rPr>
          <w:sz w:val="24"/>
          <w:szCs w:val="24"/>
        </w:rPr>
        <w:sectPr w:rsidR="006973B2" w:rsidRPr="00FD2760">
          <w:pgSz w:w="12240" w:h="15840"/>
          <w:pgMar w:top="1280" w:right="1440" w:bottom="280" w:left="1440" w:header="720" w:footer="720" w:gutter="0"/>
          <w:cols w:space="720"/>
        </w:sectPr>
      </w:pPr>
      <w:r w:rsidRPr="00FD2760">
        <w:rPr>
          <w:sz w:val="24"/>
          <w:szCs w:val="24"/>
        </w:rPr>
        <w:t>• The data was sorted chronologically in order to carry out time-series analysis.</w:t>
      </w:r>
    </w:p>
    <w:p w14:paraId="163B152D" w14:textId="77777777" w:rsidR="006973B2" w:rsidRPr="00FD2760" w:rsidRDefault="00427323" w:rsidP="00FD22F5">
      <w:pPr>
        <w:pStyle w:val="Heading2"/>
        <w:jc w:val="center"/>
        <w:rPr>
          <w:rFonts w:ascii="Arial" w:eastAsia="Arial" w:hAnsi="Arial" w:cs="Arial"/>
          <w:color w:val="1F4D79"/>
          <w:spacing w:val="-2"/>
          <w:sz w:val="30"/>
          <w:szCs w:val="30"/>
        </w:rPr>
      </w:pPr>
      <w:r w:rsidRPr="00FD22F5">
        <w:rPr>
          <w:rFonts w:ascii="Arial" w:eastAsia="Arial" w:hAnsi="Arial" w:cs="Arial"/>
          <w:color w:val="1F4D79"/>
          <w:spacing w:val="-2"/>
          <w:sz w:val="30"/>
          <w:szCs w:val="30"/>
        </w:rPr>
        <w:lastRenderedPageBreak/>
        <w:t>D</w:t>
      </w:r>
      <w:r w:rsidRPr="00FD2760">
        <w:rPr>
          <w:rFonts w:ascii="Arial" w:eastAsia="Arial" w:hAnsi="Arial" w:cs="Arial"/>
          <w:color w:val="1F4D79"/>
          <w:spacing w:val="-2"/>
          <w:sz w:val="30"/>
          <w:szCs w:val="30"/>
        </w:rPr>
        <w:t>ATA INTERPRETATION</w:t>
      </w:r>
    </w:p>
    <w:p w14:paraId="73A8282D" w14:textId="77777777" w:rsidR="006973B2" w:rsidRDefault="006973B2">
      <w:pPr>
        <w:pStyle w:val="BodyText"/>
        <w:rPr>
          <w:b/>
        </w:rPr>
      </w:pPr>
    </w:p>
    <w:p w14:paraId="151A3578" w14:textId="0110D441" w:rsidR="006973B2" w:rsidRPr="00FD2760" w:rsidRDefault="00FD2760" w:rsidP="00FD2760">
      <w:pPr>
        <w:pStyle w:val="BodyText"/>
        <w:spacing w:before="25" w:line="360" w:lineRule="auto"/>
        <w:jc w:val="both"/>
        <w:rPr>
          <w:bCs/>
          <w:sz w:val="24"/>
          <w:szCs w:val="24"/>
        </w:rPr>
      </w:pPr>
      <w:r w:rsidRPr="00FD2760">
        <w:rPr>
          <w:bCs/>
          <w:sz w:val="24"/>
          <w:szCs w:val="24"/>
        </w:rPr>
        <w:t xml:space="preserve">Interpretation of data relates to drawing </w:t>
      </w:r>
      <w:proofErr w:type="gramStart"/>
      <w:r w:rsidRPr="00FD2760">
        <w:rPr>
          <w:bCs/>
          <w:sz w:val="24"/>
          <w:szCs w:val="24"/>
        </w:rPr>
        <w:t>an</w:t>
      </w:r>
      <w:proofErr w:type="gramEnd"/>
      <w:r w:rsidRPr="00FD2760">
        <w:rPr>
          <w:bCs/>
          <w:sz w:val="24"/>
          <w:szCs w:val="24"/>
        </w:rPr>
        <w:t xml:space="preserve"> meaning out of those analyzed data- to see what these numbers tell us about corporate financial behavior in real time. In this research secondary data on inflation and corporate financial planning was subjected to statistical tests and graphical representation, in an effort to construct a holistic understanding of the impact of the inflation conditions of India on corporate planning and forecasting.</w:t>
      </w:r>
    </w:p>
    <w:p w14:paraId="7B0B9B61" w14:textId="77777777" w:rsidR="006973B2" w:rsidRDefault="006973B2">
      <w:pPr>
        <w:pStyle w:val="BodyText"/>
      </w:pPr>
    </w:p>
    <w:p w14:paraId="0754C005" w14:textId="77777777" w:rsidR="006973B2" w:rsidRDefault="006973B2">
      <w:pPr>
        <w:pStyle w:val="BodyText"/>
        <w:spacing w:before="89"/>
      </w:pPr>
    </w:p>
    <w:p w14:paraId="595722F5" w14:textId="77777777" w:rsidR="006973B2" w:rsidRPr="00FD22F5" w:rsidRDefault="00427323">
      <w:pPr>
        <w:pStyle w:val="Heading3"/>
        <w:numPr>
          <w:ilvl w:val="0"/>
          <w:numId w:val="6"/>
        </w:numPr>
        <w:tabs>
          <w:tab w:val="left" w:pos="487"/>
        </w:tabs>
        <w:ind w:left="487" w:hanging="224"/>
        <w:rPr>
          <w:sz w:val="24"/>
          <w:szCs w:val="24"/>
        </w:rPr>
      </w:pPr>
      <w:r w:rsidRPr="00FD22F5">
        <w:rPr>
          <w:sz w:val="24"/>
          <w:szCs w:val="24"/>
        </w:rPr>
        <w:t>Primary Dataset (2019–2025)</w:t>
      </w:r>
    </w:p>
    <w:p w14:paraId="7EE4F21C" w14:textId="77777777" w:rsidR="006973B2" w:rsidRDefault="006973B2">
      <w:pPr>
        <w:pStyle w:val="BodyText"/>
        <w:spacing w:before="161" w:after="1"/>
        <w:rPr>
          <w:b/>
          <w:sz w:val="20"/>
        </w:rPr>
      </w:pPr>
    </w:p>
    <w:tbl>
      <w:tblPr>
        <w:tblW w:w="0" w:type="auto"/>
        <w:tblInd w:w="26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1128"/>
        <w:gridCol w:w="2069"/>
        <w:gridCol w:w="2820"/>
        <w:gridCol w:w="2782"/>
      </w:tblGrid>
      <w:tr w:rsidR="006973B2" w14:paraId="5C9BA919" w14:textId="77777777">
        <w:trPr>
          <w:trHeight w:val="582"/>
        </w:trPr>
        <w:tc>
          <w:tcPr>
            <w:tcW w:w="1128" w:type="dxa"/>
            <w:tcBorders>
              <w:left w:val="single" w:sz="2" w:space="0" w:color="AAAAAA"/>
              <w:right w:val="single" w:sz="2" w:space="0" w:color="AAAAAA"/>
            </w:tcBorders>
            <w:shd w:val="clear" w:color="auto" w:fill="1F4D79"/>
          </w:tcPr>
          <w:p w14:paraId="30290599" w14:textId="77777777" w:rsidR="006973B2" w:rsidRDefault="00427323">
            <w:pPr>
              <w:pStyle w:val="TableParagraph"/>
              <w:spacing w:line="252" w:lineRule="exact"/>
              <w:ind w:left="3" w:right="3"/>
              <w:rPr>
                <w:b/>
              </w:rPr>
            </w:pPr>
            <w:r>
              <w:rPr>
                <w:b/>
                <w:color w:val="FFFFFF"/>
                <w:spacing w:val="-4"/>
              </w:rPr>
              <w:t>Year</w:t>
            </w:r>
          </w:p>
        </w:tc>
        <w:tc>
          <w:tcPr>
            <w:tcW w:w="2069" w:type="dxa"/>
            <w:tcBorders>
              <w:left w:val="single" w:sz="2" w:space="0" w:color="AAAAAA"/>
              <w:right w:val="single" w:sz="2" w:space="0" w:color="AAAAAA"/>
            </w:tcBorders>
            <w:shd w:val="clear" w:color="auto" w:fill="1F4D79"/>
          </w:tcPr>
          <w:p w14:paraId="30C887F0" w14:textId="77777777" w:rsidR="006973B2" w:rsidRDefault="00427323">
            <w:pPr>
              <w:pStyle w:val="TableParagraph"/>
              <w:spacing w:line="252" w:lineRule="exact"/>
              <w:ind w:left="2" w:right="2"/>
              <w:rPr>
                <w:b/>
              </w:rPr>
            </w:pPr>
            <w:r>
              <w:rPr>
                <w:b/>
                <w:color w:val="FFFFFF"/>
              </w:rPr>
              <w:t>Inflation</w:t>
            </w:r>
            <w:r>
              <w:rPr>
                <w:b/>
                <w:color w:val="FFFFFF"/>
                <w:spacing w:val="15"/>
              </w:rPr>
              <w:t xml:space="preserve"> </w:t>
            </w:r>
            <w:r>
              <w:rPr>
                <w:b/>
                <w:color w:val="FFFFFF"/>
              </w:rPr>
              <w:t>Rate</w:t>
            </w:r>
            <w:r>
              <w:rPr>
                <w:b/>
                <w:color w:val="FFFFFF"/>
                <w:spacing w:val="10"/>
              </w:rPr>
              <w:t xml:space="preserve"> </w:t>
            </w:r>
            <w:r>
              <w:rPr>
                <w:b/>
                <w:color w:val="FFFFFF"/>
                <w:spacing w:val="-5"/>
              </w:rPr>
              <w:t>(%)</w:t>
            </w:r>
          </w:p>
        </w:tc>
        <w:tc>
          <w:tcPr>
            <w:tcW w:w="2820" w:type="dxa"/>
            <w:tcBorders>
              <w:left w:val="single" w:sz="2" w:space="0" w:color="AAAAAA"/>
              <w:right w:val="single" w:sz="2" w:space="0" w:color="AAAAAA"/>
            </w:tcBorders>
            <w:shd w:val="clear" w:color="auto" w:fill="1F4D79"/>
          </w:tcPr>
          <w:p w14:paraId="1813D55C" w14:textId="77777777" w:rsidR="006973B2" w:rsidRDefault="00427323">
            <w:pPr>
              <w:pStyle w:val="TableParagraph"/>
              <w:spacing w:line="244" w:lineRule="auto"/>
              <w:ind w:left="1132" w:hanging="867"/>
              <w:jc w:val="left"/>
              <w:rPr>
                <w:b/>
              </w:rPr>
            </w:pPr>
            <w:r>
              <w:rPr>
                <w:b/>
                <w:color w:val="FFFFFF"/>
              </w:rPr>
              <w:t xml:space="preserve">Budget Deviation Index </w:t>
            </w:r>
            <w:r>
              <w:rPr>
                <w:b/>
                <w:color w:val="FFFFFF"/>
                <w:spacing w:val="-4"/>
              </w:rPr>
              <w:t>(BDI)</w:t>
            </w:r>
          </w:p>
        </w:tc>
        <w:tc>
          <w:tcPr>
            <w:tcW w:w="2782" w:type="dxa"/>
            <w:tcBorders>
              <w:left w:val="single" w:sz="2" w:space="0" w:color="AAAAAA"/>
              <w:right w:val="single" w:sz="2" w:space="0" w:color="AAAAAA"/>
            </w:tcBorders>
            <w:shd w:val="clear" w:color="auto" w:fill="1F4D79"/>
          </w:tcPr>
          <w:p w14:paraId="4BECF5B9" w14:textId="77777777" w:rsidR="006973B2" w:rsidRDefault="00427323">
            <w:pPr>
              <w:pStyle w:val="TableParagraph"/>
              <w:spacing w:line="244" w:lineRule="auto"/>
              <w:ind w:left="830" w:hanging="497"/>
              <w:jc w:val="left"/>
              <w:rPr>
                <w:b/>
              </w:rPr>
            </w:pPr>
            <w:r>
              <w:rPr>
                <w:b/>
                <w:color w:val="FFFFFF"/>
              </w:rPr>
              <w:t xml:space="preserve">Forecast Adjustments </w:t>
            </w:r>
            <w:r>
              <w:rPr>
                <w:b/>
                <w:color w:val="FFFFFF"/>
                <w:spacing w:val="-2"/>
              </w:rPr>
              <w:t>(Quarterly)</w:t>
            </w:r>
          </w:p>
        </w:tc>
      </w:tr>
      <w:tr w:rsidR="006973B2" w14:paraId="7E8444D2" w14:textId="77777777">
        <w:trPr>
          <w:trHeight w:val="322"/>
        </w:trPr>
        <w:tc>
          <w:tcPr>
            <w:tcW w:w="1128" w:type="dxa"/>
            <w:tcBorders>
              <w:left w:val="single" w:sz="2" w:space="0" w:color="AAAAAA"/>
              <w:right w:val="single" w:sz="2" w:space="0" w:color="AAAAAA"/>
            </w:tcBorders>
          </w:tcPr>
          <w:p w14:paraId="5AB31DB0" w14:textId="77777777" w:rsidR="006973B2" w:rsidRDefault="00427323">
            <w:pPr>
              <w:pStyle w:val="TableParagraph"/>
              <w:spacing w:line="252" w:lineRule="exact"/>
              <w:ind w:left="3"/>
            </w:pPr>
            <w:r>
              <w:rPr>
                <w:spacing w:val="-4"/>
              </w:rPr>
              <w:t>2019</w:t>
            </w:r>
          </w:p>
        </w:tc>
        <w:tc>
          <w:tcPr>
            <w:tcW w:w="2069" w:type="dxa"/>
            <w:tcBorders>
              <w:left w:val="single" w:sz="2" w:space="0" w:color="AAAAAA"/>
              <w:right w:val="single" w:sz="2" w:space="0" w:color="AAAAAA"/>
            </w:tcBorders>
          </w:tcPr>
          <w:p w14:paraId="2486E193" w14:textId="77777777" w:rsidR="006973B2" w:rsidRDefault="00427323">
            <w:pPr>
              <w:pStyle w:val="TableParagraph"/>
              <w:spacing w:line="252" w:lineRule="exact"/>
              <w:ind w:left="4" w:right="2"/>
            </w:pPr>
            <w:r>
              <w:rPr>
                <w:spacing w:val="-5"/>
              </w:rPr>
              <w:t>4.8</w:t>
            </w:r>
          </w:p>
        </w:tc>
        <w:tc>
          <w:tcPr>
            <w:tcW w:w="2820" w:type="dxa"/>
            <w:tcBorders>
              <w:left w:val="single" w:sz="2" w:space="0" w:color="AAAAAA"/>
              <w:right w:val="single" w:sz="2" w:space="0" w:color="AAAAAA"/>
            </w:tcBorders>
          </w:tcPr>
          <w:p w14:paraId="658888CF" w14:textId="77777777" w:rsidR="006973B2" w:rsidRDefault="00427323">
            <w:pPr>
              <w:pStyle w:val="TableParagraph"/>
              <w:spacing w:line="252" w:lineRule="exact"/>
              <w:ind w:left="102" w:right="102"/>
            </w:pPr>
            <w:r>
              <w:rPr>
                <w:spacing w:val="-5"/>
              </w:rPr>
              <w:t>2.8</w:t>
            </w:r>
          </w:p>
        </w:tc>
        <w:tc>
          <w:tcPr>
            <w:tcW w:w="2782" w:type="dxa"/>
            <w:tcBorders>
              <w:left w:val="single" w:sz="2" w:space="0" w:color="AAAAAA"/>
              <w:right w:val="single" w:sz="2" w:space="0" w:color="AAAAAA"/>
            </w:tcBorders>
          </w:tcPr>
          <w:p w14:paraId="41F5672F" w14:textId="77777777" w:rsidR="006973B2" w:rsidRDefault="00427323">
            <w:pPr>
              <w:pStyle w:val="TableParagraph"/>
              <w:spacing w:line="252" w:lineRule="exact"/>
              <w:ind w:right="1"/>
            </w:pPr>
            <w:r>
              <w:rPr>
                <w:spacing w:val="-10"/>
              </w:rPr>
              <w:t>1</w:t>
            </w:r>
          </w:p>
        </w:tc>
      </w:tr>
      <w:tr w:rsidR="006973B2" w14:paraId="0F0FBAE5" w14:textId="77777777">
        <w:trPr>
          <w:trHeight w:val="322"/>
        </w:trPr>
        <w:tc>
          <w:tcPr>
            <w:tcW w:w="1128" w:type="dxa"/>
            <w:tcBorders>
              <w:left w:val="single" w:sz="2" w:space="0" w:color="AAAAAA"/>
              <w:right w:val="single" w:sz="2" w:space="0" w:color="AAAAAA"/>
            </w:tcBorders>
          </w:tcPr>
          <w:p w14:paraId="335128D2" w14:textId="77777777" w:rsidR="006973B2" w:rsidRDefault="00427323">
            <w:pPr>
              <w:pStyle w:val="TableParagraph"/>
              <w:ind w:left="3"/>
            </w:pPr>
            <w:r>
              <w:rPr>
                <w:spacing w:val="-4"/>
              </w:rPr>
              <w:t>2020</w:t>
            </w:r>
          </w:p>
        </w:tc>
        <w:tc>
          <w:tcPr>
            <w:tcW w:w="2069" w:type="dxa"/>
            <w:tcBorders>
              <w:left w:val="single" w:sz="2" w:space="0" w:color="AAAAAA"/>
              <w:right w:val="single" w:sz="2" w:space="0" w:color="AAAAAA"/>
            </w:tcBorders>
          </w:tcPr>
          <w:p w14:paraId="4B97D5EF" w14:textId="77777777" w:rsidR="006973B2" w:rsidRDefault="00427323">
            <w:pPr>
              <w:pStyle w:val="TableParagraph"/>
              <w:ind w:left="4" w:right="2"/>
            </w:pPr>
            <w:r>
              <w:rPr>
                <w:spacing w:val="-5"/>
              </w:rPr>
              <w:t>6.2</w:t>
            </w:r>
          </w:p>
        </w:tc>
        <w:tc>
          <w:tcPr>
            <w:tcW w:w="2820" w:type="dxa"/>
            <w:tcBorders>
              <w:left w:val="single" w:sz="2" w:space="0" w:color="AAAAAA"/>
              <w:right w:val="single" w:sz="2" w:space="0" w:color="AAAAAA"/>
            </w:tcBorders>
          </w:tcPr>
          <w:p w14:paraId="1AF6FCE8" w14:textId="77777777" w:rsidR="006973B2" w:rsidRDefault="00427323">
            <w:pPr>
              <w:pStyle w:val="TableParagraph"/>
              <w:ind w:left="102" w:right="102"/>
            </w:pPr>
            <w:r>
              <w:rPr>
                <w:spacing w:val="-5"/>
              </w:rPr>
              <w:t>4.9</w:t>
            </w:r>
          </w:p>
        </w:tc>
        <w:tc>
          <w:tcPr>
            <w:tcW w:w="2782" w:type="dxa"/>
            <w:tcBorders>
              <w:left w:val="single" w:sz="2" w:space="0" w:color="AAAAAA"/>
              <w:right w:val="single" w:sz="2" w:space="0" w:color="AAAAAA"/>
            </w:tcBorders>
          </w:tcPr>
          <w:p w14:paraId="105103E9" w14:textId="77777777" w:rsidR="006973B2" w:rsidRDefault="00427323">
            <w:pPr>
              <w:pStyle w:val="TableParagraph"/>
              <w:ind w:right="1"/>
            </w:pPr>
            <w:r>
              <w:rPr>
                <w:spacing w:val="-10"/>
              </w:rPr>
              <w:t>3</w:t>
            </w:r>
          </w:p>
        </w:tc>
      </w:tr>
      <w:tr w:rsidR="006973B2" w14:paraId="18BD8681" w14:textId="77777777">
        <w:trPr>
          <w:trHeight w:val="320"/>
        </w:trPr>
        <w:tc>
          <w:tcPr>
            <w:tcW w:w="1128" w:type="dxa"/>
            <w:tcBorders>
              <w:left w:val="single" w:sz="2" w:space="0" w:color="AAAAAA"/>
              <w:right w:val="single" w:sz="2" w:space="0" w:color="AAAAAA"/>
            </w:tcBorders>
          </w:tcPr>
          <w:p w14:paraId="69818DF9" w14:textId="77777777" w:rsidR="006973B2" w:rsidRDefault="00427323">
            <w:pPr>
              <w:pStyle w:val="TableParagraph"/>
              <w:ind w:left="3"/>
            </w:pPr>
            <w:r>
              <w:rPr>
                <w:spacing w:val="-4"/>
              </w:rPr>
              <w:t>2021</w:t>
            </w:r>
          </w:p>
        </w:tc>
        <w:tc>
          <w:tcPr>
            <w:tcW w:w="2069" w:type="dxa"/>
            <w:tcBorders>
              <w:left w:val="single" w:sz="2" w:space="0" w:color="AAAAAA"/>
              <w:right w:val="single" w:sz="2" w:space="0" w:color="AAAAAA"/>
            </w:tcBorders>
          </w:tcPr>
          <w:p w14:paraId="2A307ECC" w14:textId="77777777" w:rsidR="006973B2" w:rsidRDefault="00427323">
            <w:pPr>
              <w:pStyle w:val="TableParagraph"/>
              <w:ind w:left="4" w:right="2"/>
            </w:pPr>
            <w:r>
              <w:rPr>
                <w:spacing w:val="-5"/>
              </w:rPr>
              <w:t>5.5</w:t>
            </w:r>
          </w:p>
        </w:tc>
        <w:tc>
          <w:tcPr>
            <w:tcW w:w="2820" w:type="dxa"/>
            <w:tcBorders>
              <w:left w:val="single" w:sz="2" w:space="0" w:color="AAAAAA"/>
              <w:right w:val="single" w:sz="2" w:space="0" w:color="AAAAAA"/>
            </w:tcBorders>
          </w:tcPr>
          <w:p w14:paraId="217D1CD2" w14:textId="77777777" w:rsidR="006973B2" w:rsidRDefault="00427323">
            <w:pPr>
              <w:pStyle w:val="TableParagraph"/>
              <w:ind w:left="102" w:right="102"/>
            </w:pPr>
            <w:r>
              <w:rPr>
                <w:spacing w:val="-5"/>
              </w:rPr>
              <w:t>4.1</w:t>
            </w:r>
          </w:p>
        </w:tc>
        <w:tc>
          <w:tcPr>
            <w:tcW w:w="2782" w:type="dxa"/>
            <w:tcBorders>
              <w:left w:val="single" w:sz="2" w:space="0" w:color="AAAAAA"/>
              <w:right w:val="single" w:sz="2" w:space="0" w:color="AAAAAA"/>
            </w:tcBorders>
          </w:tcPr>
          <w:p w14:paraId="57C76D6B" w14:textId="77777777" w:rsidR="006973B2" w:rsidRDefault="00427323">
            <w:pPr>
              <w:pStyle w:val="TableParagraph"/>
              <w:ind w:right="1"/>
            </w:pPr>
            <w:r>
              <w:rPr>
                <w:spacing w:val="-10"/>
              </w:rPr>
              <w:t>2</w:t>
            </w:r>
          </w:p>
        </w:tc>
      </w:tr>
      <w:tr w:rsidR="006973B2" w14:paraId="70DAC706" w14:textId="77777777">
        <w:trPr>
          <w:trHeight w:val="322"/>
        </w:trPr>
        <w:tc>
          <w:tcPr>
            <w:tcW w:w="1128" w:type="dxa"/>
            <w:tcBorders>
              <w:left w:val="single" w:sz="2" w:space="0" w:color="AAAAAA"/>
              <w:right w:val="single" w:sz="2" w:space="0" w:color="AAAAAA"/>
            </w:tcBorders>
          </w:tcPr>
          <w:p w14:paraId="39DDB42B" w14:textId="77777777" w:rsidR="006973B2" w:rsidRDefault="00427323">
            <w:pPr>
              <w:pStyle w:val="TableParagraph"/>
              <w:ind w:left="3"/>
            </w:pPr>
            <w:r>
              <w:rPr>
                <w:spacing w:val="-4"/>
              </w:rPr>
              <w:t>2022</w:t>
            </w:r>
          </w:p>
        </w:tc>
        <w:tc>
          <w:tcPr>
            <w:tcW w:w="2069" w:type="dxa"/>
            <w:tcBorders>
              <w:left w:val="single" w:sz="2" w:space="0" w:color="AAAAAA"/>
              <w:right w:val="single" w:sz="2" w:space="0" w:color="AAAAAA"/>
            </w:tcBorders>
          </w:tcPr>
          <w:p w14:paraId="09559D08" w14:textId="77777777" w:rsidR="006973B2" w:rsidRDefault="00427323">
            <w:pPr>
              <w:pStyle w:val="TableParagraph"/>
              <w:ind w:left="4" w:right="2"/>
            </w:pPr>
            <w:r>
              <w:rPr>
                <w:spacing w:val="-5"/>
              </w:rPr>
              <w:t>6.7</w:t>
            </w:r>
          </w:p>
        </w:tc>
        <w:tc>
          <w:tcPr>
            <w:tcW w:w="2820" w:type="dxa"/>
            <w:tcBorders>
              <w:left w:val="single" w:sz="2" w:space="0" w:color="AAAAAA"/>
              <w:right w:val="single" w:sz="2" w:space="0" w:color="AAAAAA"/>
            </w:tcBorders>
          </w:tcPr>
          <w:p w14:paraId="3475F35B" w14:textId="77777777" w:rsidR="006973B2" w:rsidRDefault="00427323">
            <w:pPr>
              <w:pStyle w:val="TableParagraph"/>
              <w:ind w:left="102" w:right="102"/>
            </w:pPr>
            <w:r>
              <w:rPr>
                <w:spacing w:val="-5"/>
              </w:rPr>
              <w:t>5.6</w:t>
            </w:r>
          </w:p>
        </w:tc>
        <w:tc>
          <w:tcPr>
            <w:tcW w:w="2782" w:type="dxa"/>
            <w:tcBorders>
              <w:left w:val="single" w:sz="2" w:space="0" w:color="AAAAAA"/>
              <w:right w:val="single" w:sz="2" w:space="0" w:color="AAAAAA"/>
            </w:tcBorders>
          </w:tcPr>
          <w:p w14:paraId="2C05AD6C" w14:textId="77777777" w:rsidR="006973B2" w:rsidRDefault="00427323">
            <w:pPr>
              <w:pStyle w:val="TableParagraph"/>
              <w:ind w:right="1"/>
            </w:pPr>
            <w:r>
              <w:rPr>
                <w:spacing w:val="-10"/>
              </w:rPr>
              <w:t>4</w:t>
            </w:r>
          </w:p>
        </w:tc>
      </w:tr>
      <w:tr w:rsidR="006973B2" w14:paraId="7D072B92" w14:textId="77777777">
        <w:trPr>
          <w:trHeight w:val="320"/>
        </w:trPr>
        <w:tc>
          <w:tcPr>
            <w:tcW w:w="1128" w:type="dxa"/>
            <w:tcBorders>
              <w:left w:val="single" w:sz="2" w:space="0" w:color="AAAAAA"/>
              <w:right w:val="single" w:sz="2" w:space="0" w:color="AAAAAA"/>
            </w:tcBorders>
          </w:tcPr>
          <w:p w14:paraId="14121344" w14:textId="77777777" w:rsidR="006973B2" w:rsidRDefault="00427323">
            <w:pPr>
              <w:pStyle w:val="TableParagraph"/>
              <w:ind w:left="3"/>
            </w:pPr>
            <w:r>
              <w:rPr>
                <w:spacing w:val="-4"/>
              </w:rPr>
              <w:t>2023</w:t>
            </w:r>
          </w:p>
        </w:tc>
        <w:tc>
          <w:tcPr>
            <w:tcW w:w="2069" w:type="dxa"/>
            <w:tcBorders>
              <w:left w:val="single" w:sz="2" w:space="0" w:color="AAAAAA"/>
              <w:right w:val="single" w:sz="2" w:space="0" w:color="AAAAAA"/>
            </w:tcBorders>
          </w:tcPr>
          <w:p w14:paraId="1479C257" w14:textId="77777777" w:rsidR="006973B2" w:rsidRDefault="00427323">
            <w:pPr>
              <w:pStyle w:val="TableParagraph"/>
              <w:ind w:left="4" w:right="2"/>
            </w:pPr>
            <w:r>
              <w:rPr>
                <w:spacing w:val="-5"/>
              </w:rPr>
              <w:t>5.4</w:t>
            </w:r>
          </w:p>
        </w:tc>
        <w:tc>
          <w:tcPr>
            <w:tcW w:w="2820" w:type="dxa"/>
            <w:tcBorders>
              <w:left w:val="single" w:sz="2" w:space="0" w:color="AAAAAA"/>
              <w:right w:val="single" w:sz="2" w:space="0" w:color="AAAAAA"/>
            </w:tcBorders>
          </w:tcPr>
          <w:p w14:paraId="1E2144A5" w14:textId="77777777" w:rsidR="006973B2" w:rsidRDefault="00427323">
            <w:pPr>
              <w:pStyle w:val="TableParagraph"/>
              <w:ind w:left="102" w:right="102"/>
            </w:pPr>
            <w:r>
              <w:rPr>
                <w:spacing w:val="-5"/>
              </w:rPr>
              <w:t>4.3</w:t>
            </w:r>
          </w:p>
        </w:tc>
        <w:tc>
          <w:tcPr>
            <w:tcW w:w="2782" w:type="dxa"/>
            <w:tcBorders>
              <w:left w:val="single" w:sz="2" w:space="0" w:color="AAAAAA"/>
              <w:right w:val="single" w:sz="2" w:space="0" w:color="AAAAAA"/>
            </w:tcBorders>
          </w:tcPr>
          <w:p w14:paraId="7D533AE4" w14:textId="77777777" w:rsidR="006973B2" w:rsidRDefault="00427323">
            <w:pPr>
              <w:pStyle w:val="TableParagraph"/>
              <w:ind w:right="1"/>
            </w:pPr>
            <w:r>
              <w:rPr>
                <w:spacing w:val="-10"/>
              </w:rPr>
              <w:t>2</w:t>
            </w:r>
          </w:p>
        </w:tc>
      </w:tr>
      <w:tr w:rsidR="006973B2" w14:paraId="1CCC6F3A" w14:textId="77777777">
        <w:trPr>
          <w:trHeight w:val="322"/>
        </w:trPr>
        <w:tc>
          <w:tcPr>
            <w:tcW w:w="1128" w:type="dxa"/>
            <w:tcBorders>
              <w:left w:val="single" w:sz="2" w:space="0" w:color="AAAAAA"/>
              <w:right w:val="single" w:sz="2" w:space="0" w:color="AAAAAA"/>
            </w:tcBorders>
          </w:tcPr>
          <w:p w14:paraId="171F6BDD" w14:textId="77777777" w:rsidR="006973B2" w:rsidRDefault="00427323">
            <w:pPr>
              <w:pStyle w:val="TableParagraph"/>
              <w:ind w:left="3"/>
            </w:pPr>
            <w:r>
              <w:rPr>
                <w:spacing w:val="-4"/>
              </w:rPr>
              <w:t>2024</w:t>
            </w:r>
          </w:p>
        </w:tc>
        <w:tc>
          <w:tcPr>
            <w:tcW w:w="2069" w:type="dxa"/>
            <w:tcBorders>
              <w:left w:val="single" w:sz="2" w:space="0" w:color="AAAAAA"/>
              <w:right w:val="single" w:sz="2" w:space="0" w:color="AAAAAA"/>
            </w:tcBorders>
          </w:tcPr>
          <w:p w14:paraId="2B79BF73" w14:textId="77777777" w:rsidR="006973B2" w:rsidRDefault="00427323">
            <w:pPr>
              <w:pStyle w:val="TableParagraph"/>
              <w:ind w:left="4" w:right="2"/>
            </w:pPr>
            <w:r>
              <w:rPr>
                <w:spacing w:val="-5"/>
              </w:rPr>
              <w:t>5.7</w:t>
            </w:r>
          </w:p>
        </w:tc>
        <w:tc>
          <w:tcPr>
            <w:tcW w:w="2820" w:type="dxa"/>
            <w:tcBorders>
              <w:left w:val="single" w:sz="2" w:space="0" w:color="AAAAAA"/>
              <w:right w:val="single" w:sz="2" w:space="0" w:color="AAAAAA"/>
            </w:tcBorders>
          </w:tcPr>
          <w:p w14:paraId="78B26129" w14:textId="77777777" w:rsidR="006973B2" w:rsidRDefault="00427323">
            <w:pPr>
              <w:pStyle w:val="TableParagraph"/>
              <w:ind w:left="102" w:right="102"/>
            </w:pPr>
            <w:r>
              <w:rPr>
                <w:spacing w:val="-5"/>
              </w:rPr>
              <w:t>4.8</w:t>
            </w:r>
          </w:p>
        </w:tc>
        <w:tc>
          <w:tcPr>
            <w:tcW w:w="2782" w:type="dxa"/>
            <w:tcBorders>
              <w:left w:val="single" w:sz="2" w:space="0" w:color="AAAAAA"/>
              <w:right w:val="single" w:sz="2" w:space="0" w:color="AAAAAA"/>
            </w:tcBorders>
          </w:tcPr>
          <w:p w14:paraId="6E465F8C" w14:textId="77777777" w:rsidR="006973B2" w:rsidRDefault="00427323">
            <w:pPr>
              <w:pStyle w:val="TableParagraph"/>
              <w:ind w:right="1"/>
            </w:pPr>
            <w:r>
              <w:rPr>
                <w:spacing w:val="-10"/>
              </w:rPr>
              <w:t>3</w:t>
            </w:r>
          </w:p>
        </w:tc>
      </w:tr>
      <w:tr w:rsidR="006973B2" w14:paraId="79AC6194" w14:textId="77777777">
        <w:trPr>
          <w:trHeight w:val="325"/>
        </w:trPr>
        <w:tc>
          <w:tcPr>
            <w:tcW w:w="1128" w:type="dxa"/>
            <w:tcBorders>
              <w:left w:val="single" w:sz="2" w:space="0" w:color="AAAAAA"/>
              <w:bottom w:val="single" w:sz="2" w:space="0" w:color="AAAAAA"/>
              <w:right w:val="single" w:sz="2" w:space="0" w:color="AAAAAA"/>
            </w:tcBorders>
          </w:tcPr>
          <w:p w14:paraId="69D3D72A" w14:textId="77777777" w:rsidR="006973B2" w:rsidRDefault="00427323">
            <w:pPr>
              <w:pStyle w:val="TableParagraph"/>
              <w:ind w:left="3"/>
            </w:pPr>
            <w:r>
              <w:rPr>
                <w:spacing w:val="-4"/>
              </w:rPr>
              <w:t>2025</w:t>
            </w:r>
          </w:p>
        </w:tc>
        <w:tc>
          <w:tcPr>
            <w:tcW w:w="2069" w:type="dxa"/>
            <w:tcBorders>
              <w:left w:val="single" w:sz="2" w:space="0" w:color="AAAAAA"/>
              <w:bottom w:val="single" w:sz="2" w:space="0" w:color="AAAAAA"/>
              <w:right w:val="single" w:sz="2" w:space="0" w:color="AAAAAA"/>
            </w:tcBorders>
          </w:tcPr>
          <w:p w14:paraId="7EF250F4" w14:textId="77777777" w:rsidR="006973B2" w:rsidRDefault="00427323">
            <w:pPr>
              <w:pStyle w:val="TableParagraph"/>
              <w:ind w:left="4" w:right="2"/>
            </w:pPr>
            <w:r>
              <w:rPr>
                <w:spacing w:val="-5"/>
              </w:rPr>
              <w:t>5.3</w:t>
            </w:r>
          </w:p>
        </w:tc>
        <w:tc>
          <w:tcPr>
            <w:tcW w:w="2820" w:type="dxa"/>
            <w:tcBorders>
              <w:left w:val="single" w:sz="2" w:space="0" w:color="AAAAAA"/>
              <w:bottom w:val="single" w:sz="2" w:space="0" w:color="AAAAAA"/>
              <w:right w:val="single" w:sz="2" w:space="0" w:color="AAAAAA"/>
            </w:tcBorders>
          </w:tcPr>
          <w:p w14:paraId="311893A8" w14:textId="77777777" w:rsidR="006973B2" w:rsidRDefault="00427323">
            <w:pPr>
              <w:pStyle w:val="TableParagraph"/>
              <w:ind w:left="102" w:right="102"/>
            </w:pPr>
            <w:r>
              <w:rPr>
                <w:spacing w:val="-5"/>
              </w:rPr>
              <w:t>4.4</w:t>
            </w:r>
          </w:p>
        </w:tc>
        <w:tc>
          <w:tcPr>
            <w:tcW w:w="2782" w:type="dxa"/>
            <w:tcBorders>
              <w:left w:val="single" w:sz="2" w:space="0" w:color="AAAAAA"/>
              <w:bottom w:val="single" w:sz="2" w:space="0" w:color="AAAAAA"/>
              <w:right w:val="single" w:sz="2" w:space="0" w:color="AAAAAA"/>
            </w:tcBorders>
          </w:tcPr>
          <w:p w14:paraId="16E566FB" w14:textId="77777777" w:rsidR="006973B2" w:rsidRDefault="00427323">
            <w:pPr>
              <w:pStyle w:val="TableParagraph"/>
              <w:ind w:right="1"/>
            </w:pPr>
            <w:r>
              <w:rPr>
                <w:spacing w:val="-10"/>
              </w:rPr>
              <w:t>2</w:t>
            </w:r>
          </w:p>
        </w:tc>
      </w:tr>
    </w:tbl>
    <w:p w14:paraId="65286605" w14:textId="77777777" w:rsidR="006973B2" w:rsidRDefault="006973B2">
      <w:pPr>
        <w:pStyle w:val="BodyText"/>
        <w:rPr>
          <w:b/>
        </w:rPr>
      </w:pPr>
    </w:p>
    <w:p w14:paraId="59DEC660" w14:textId="77777777" w:rsidR="006973B2" w:rsidRDefault="006973B2">
      <w:pPr>
        <w:pStyle w:val="BodyText"/>
        <w:spacing w:before="17"/>
        <w:rPr>
          <w:b/>
        </w:rPr>
      </w:pPr>
    </w:p>
    <w:p w14:paraId="526D34AE" w14:textId="77777777" w:rsidR="006973B2" w:rsidRPr="00FD22F5" w:rsidRDefault="00427323">
      <w:pPr>
        <w:pStyle w:val="Heading3"/>
        <w:numPr>
          <w:ilvl w:val="0"/>
          <w:numId w:val="6"/>
        </w:numPr>
        <w:tabs>
          <w:tab w:val="left" w:pos="487"/>
        </w:tabs>
        <w:ind w:left="487" w:hanging="224"/>
        <w:rPr>
          <w:sz w:val="24"/>
          <w:szCs w:val="24"/>
        </w:rPr>
      </w:pPr>
      <w:r w:rsidRPr="00FD22F5">
        <w:rPr>
          <w:sz w:val="24"/>
          <w:szCs w:val="24"/>
        </w:rPr>
        <w:t>Descriptive Statistics Summary</w:t>
      </w:r>
    </w:p>
    <w:p w14:paraId="428ACEF4" w14:textId="77777777" w:rsidR="006973B2" w:rsidRDefault="006973B2">
      <w:pPr>
        <w:pStyle w:val="BodyText"/>
        <w:spacing w:before="164"/>
        <w:rPr>
          <w:b/>
          <w:sz w:val="20"/>
        </w:rPr>
      </w:pPr>
    </w:p>
    <w:tbl>
      <w:tblPr>
        <w:tblW w:w="0" w:type="auto"/>
        <w:tblInd w:w="26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1867"/>
        <w:gridCol w:w="2319"/>
        <w:gridCol w:w="2307"/>
        <w:gridCol w:w="2307"/>
      </w:tblGrid>
      <w:tr w:rsidR="006973B2" w14:paraId="620BB8A8" w14:textId="77777777">
        <w:trPr>
          <w:trHeight w:val="579"/>
        </w:trPr>
        <w:tc>
          <w:tcPr>
            <w:tcW w:w="1867" w:type="dxa"/>
            <w:tcBorders>
              <w:left w:val="single" w:sz="2" w:space="0" w:color="AAAAAA"/>
              <w:right w:val="nil"/>
            </w:tcBorders>
            <w:shd w:val="clear" w:color="auto" w:fill="1F4D79"/>
          </w:tcPr>
          <w:p w14:paraId="62323504" w14:textId="77777777" w:rsidR="006973B2" w:rsidRDefault="00427323">
            <w:pPr>
              <w:pStyle w:val="TableParagraph"/>
              <w:ind w:left="14" w:right="4"/>
              <w:rPr>
                <w:b/>
              </w:rPr>
            </w:pPr>
            <w:r>
              <w:rPr>
                <w:b/>
                <w:color w:val="FFFFFF"/>
                <w:spacing w:val="-2"/>
              </w:rPr>
              <w:t>Statistic</w:t>
            </w:r>
          </w:p>
        </w:tc>
        <w:tc>
          <w:tcPr>
            <w:tcW w:w="2319" w:type="dxa"/>
            <w:tcBorders>
              <w:left w:val="nil"/>
              <w:right w:val="single" w:sz="2" w:space="0" w:color="AAAAAA"/>
            </w:tcBorders>
            <w:shd w:val="clear" w:color="auto" w:fill="1F4D79"/>
          </w:tcPr>
          <w:p w14:paraId="3B28B425" w14:textId="77777777" w:rsidR="006973B2" w:rsidRDefault="00427323">
            <w:pPr>
              <w:pStyle w:val="TableParagraph"/>
              <w:ind w:left="16"/>
              <w:rPr>
                <w:b/>
              </w:rPr>
            </w:pPr>
            <w:r>
              <w:rPr>
                <w:b/>
                <w:color w:val="FFFFFF"/>
              </w:rPr>
              <w:t>Inflation</w:t>
            </w:r>
            <w:r>
              <w:rPr>
                <w:b/>
                <w:color w:val="FFFFFF"/>
                <w:spacing w:val="13"/>
              </w:rPr>
              <w:t xml:space="preserve"> </w:t>
            </w:r>
            <w:r>
              <w:rPr>
                <w:b/>
                <w:color w:val="FFFFFF"/>
              </w:rPr>
              <w:t>Rate</w:t>
            </w:r>
            <w:r>
              <w:rPr>
                <w:b/>
                <w:color w:val="FFFFFF"/>
                <w:spacing w:val="11"/>
              </w:rPr>
              <w:t xml:space="preserve"> </w:t>
            </w:r>
            <w:r>
              <w:rPr>
                <w:b/>
                <w:color w:val="FFFFFF"/>
                <w:spacing w:val="-5"/>
              </w:rPr>
              <w:t>(%)</w:t>
            </w:r>
          </w:p>
        </w:tc>
        <w:tc>
          <w:tcPr>
            <w:tcW w:w="2307" w:type="dxa"/>
            <w:tcBorders>
              <w:left w:val="single" w:sz="2" w:space="0" w:color="AAAAAA"/>
              <w:right w:val="single" w:sz="2" w:space="0" w:color="AAAAAA"/>
            </w:tcBorders>
            <w:shd w:val="clear" w:color="auto" w:fill="1F4D79"/>
          </w:tcPr>
          <w:p w14:paraId="2393B32E" w14:textId="77777777" w:rsidR="006973B2" w:rsidRDefault="00427323">
            <w:pPr>
              <w:pStyle w:val="TableParagraph"/>
              <w:spacing w:line="244" w:lineRule="auto"/>
              <w:ind w:left="875" w:hanging="560"/>
              <w:jc w:val="left"/>
              <w:rPr>
                <w:b/>
              </w:rPr>
            </w:pPr>
            <w:r>
              <w:rPr>
                <w:b/>
                <w:color w:val="FFFFFF"/>
              </w:rPr>
              <w:t xml:space="preserve">Budget Deviation </w:t>
            </w:r>
            <w:r>
              <w:rPr>
                <w:b/>
                <w:color w:val="FFFFFF"/>
                <w:spacing w:val="-2"/>
              </w:rPr>
              <w:t>Index</w:t>
            </w:r>
          </w:p>
        </w:tc>
        <w:tc>
          <w:tcPr>
            <w:tcW w:w="2307" w:type="dxa"/>
            <w:tcBorders>
              <w:left w:val="single" w:sz="2" w:space="0" w:color="AAAAAA"/>
              <w:right w:val="single" w:sz="2" w:space="0" w:color="AAAAAA"/>
            </w:tcBorders>
            <w:shd w:val="clear" w:color="auto" w:fill="1F4D79"/>
          </w:tcPr>
          <w:p w14:paraId="744DA6FA" w14:textId="77777777" w:rsidR="006973B2" w:rsidRDefault="00427323">
            <w:pPr>
              <w:pStyle w:val="TableParagraph"/>
              <w:spacing w:line="244" w:lineRule="auto"/>
              <w:ind w:left="536" w:firstLine="201"/>
              <w:jc w:val="left"/>
              <w:rPr>
                <w:b/>
              </w:rPr>
            </w:pPr>
            <w:r>
              <w:rPr>
                <w:b/>
                <w:color w:val="FFFFFF"/>
                <w:spacing w:val="-2"/>
              </w:rPr>
              <w:t>Forecast Adjustments</w:t>
            </w:r>
          </w:p>
        </w:tc>
      </w:tr>
      <w:tr w:rsidR="006973B2" w14:paraId="76EB2683" w14:textId="77777777">
        <w:trPr>
          <w:trHeight w:val="322"/>
        </w:trPr>
        <w:tc>
          <w:tcPr>
            <w:tcW w:w="1867" w:type="dxa"/>
            <w:tcBorders>
              <w:left w:val="single" w:sz="2" w:space="0" w:color="AAAAAA"/>
              <w:right w:val="nil"/>
            </w:tcBorders>
          </w:tcPr>
          <w:p w14:paraId="76B7FE56" w14:textId="77777777" w:rsidR="006973B2" w:rsidRDefault="00427323">
            <w:pPr>
              <w:pStyle w:val="TableParagraph"/>
              <w:spacing w:line="252" w:lineRule="exact"/>
              <w:ind w:left="14" w:right="7"/>
            </w:pPr>
            <w:r>
              <w:rPr>
                <w:spacing w:val="-4"/>
              </w:rPr>
              <w:t>Mean</w:t>
            </w:r>
          </w:p>
        </w:tc>
        <w:tc>
          <w:tcPr>
            <w:tcW w:w="2319" w:type="dxa"/>
            <w:tcBorders>
              <w:left w:val="nil"/>
              <w:right w:val="single" w:sz="2" w:space="0" w:color="AAAAAA"/>
            </w:tcBorders>
          </w:tcPr>
          <w:p w14:paraId="0BA52C5F" w14:textId="77777777" w:rsidR="006973B2" w:rsidRDefault="00427323">
            <w:pPr>
              <w:pStyle w:val="TableParagraph"/>
              <w:spacing w:line="252" w:lineRule="exact"/>
              <w:ind w:left="19"/>
            </w:pPr>
            <w:r>
              <w:rPr>
                <w:spacing w:val="-4"/>
              </w:rPr>
              <w:t>5.66</w:t>
            </w:r>
          </w:p>
        </w:tc>
        <w:tc>
          <w:tcPr>
            <w:tcW w:w="2307" w:type="dxa"/>
            <w:tcBorders>
              <w:left w:val="single" w:sz="2" w:space="0" w:color="AAAAAA"/>
              <w:right w:val="single" w:sz="2" w:space="0" w:color="AAAAAA"/>
            </w:tcBorders>
          </w:tcPr>
          <w:p w14:paraId="5AA3E731" w14:textId="77777777" w:rsidR="006973B2" w:rsidRDefault="00427323">
            <w:pPr>
              <w:pStyle w:val="TableParagraph"/>
              <w:spacing w:line="252" w:lineRule="exact"/>
              <w:ind w:left="5" w:right="4"/>
            </w:pPr>
            <w:r>
              <w:rPr>
                <w:spacing w:val="-4"/>
              </w:rPr>
              <w:t>4.41</w:t>
            </w:r>
          </w:p>
        </w:tc>
        <w:tc>
          <w:tcPr>
            <w:tcW w:w="2307" w:type="dxa"/>
            <w:tcBorders>
              <w:left w:val="single" w:sz="2" w:space="0" w:color="AAAAAA"/>
              <w:right w:val="single" w:sz="2" w:space="0" w:color="AAAAAA"/>
            </w:tcBorders>
          </w:tcPr>
          <w:p w14:paraId="5CE922DB" w14:textId="77777777" w:rsidR="006973B2" w:rsidRDefault="00427323">
            <w:pPr>
              <w:pStyle w:val="TableParagraph"/>
              <w:spacing w:line="252" w:lineRule="exact"/>
              <w:ind w:left="5" w:right="5"/>
            </w:pPr>
            <w:r>
              <w:rPr>
                <w:spacing w:val="-4"/>
              </w:rPr>
              <w:t>2.43</w:t>
            </w:r>
          </w:p>
        </w:tc>
      </w:tr>
      <w:tr w:rsidR="006973B2" w14:paraId="1ECA6115" w14:textId="77777777">
        <w:trPr>
          <w:trHeight w:val="320"/>
        </w:trPr>
        <w:tc>
          <w:tcPr>
            <w:tcW w:w="1867" w:type="dxa"/>
            <w:tcBorders>
              <w:left w:val="single" w:sz="2" w:space="0" w:color="AAAAAA"/>
              <w:right w:val="nil"/>
            </w:tcBorders>
          </w:tcPr>
          <w:p w14:paraId="36317291" w14:textId="77777777" w:rsidR="006973B2" w:rsidRDefault="00427323">
            <w:pPr>
              <w:pStyle w:val="TableParagraph"/>
              <w:ind w:left="14" w:right="2"/>
            </w:pPr>
            <w:r>
              <w:rPr>
                <w:spacing w:val="-2"/>
              </w:rPr>
              <w:t>Median</w:t>
            </w:r>
          </w:p>
        </w:tc>
        <w:tc>
          <w:tcPr>
            <w:tcW w:w="2319" w:type="dxa"/>
            <w:tcBorders>
              <w:left w:val="nil"/>
              <w:right w:val="single" w:sz="2" w:space="0" w:color="AAAAAA"/>
            </w:tcBorders>
          </w:tcPr>
          <w:p w14:paraId="2204EBA3" w14:textId="77777777" w:rsidR="006973B2" w:rsidRDefault="00427323">
            <w:pPr>
              <w:pStyle w:val="TableParagraph"/>
              <w:ind w:left="19"/>
            </w:pPr>
            <w:r>
              <w:rPr>
                <w:spacing w:val="-5"/>
              </w:rPr>
              <w:t>5.5</w:t>
            </w:r>
          </w:p>
        </w:tc>
        <w:tc>
          <w:tcPr>
            <w:tcW w:w="2307" w:type="dxa"/>
            <w:tcBorders>
              <w:left w:val="single" w:sz="2" w:space="0" w:color="AAAAAA"/>
              <w:right w:val="single" w:sz="2" w:space="0" w:color="AAAAAA"/>
            </w:tcBorders>
          </w:tcPr>
          <w:p w14:paraId="31D08037" w14:textId="77777777" w:rsidR="006973B2" w:rsidRDefault="00427323">
            <w:pPr>
              <w:pStyle w:val="TableParagraph"/>
              <w:ind w:left="5" w:right="4"/>
            </w:pPr>
            <w:r>
              <w:rPr>
                <w:spacing w:val="-5"/>
              </w:rPr>
              <w:t>4.4</w:t>
            </w:r>
          </w:p>
        </w:tc>
        <w:tc>
          <w:tcPr>
            <w:tcW w:w="2307" w:type="dxa"/>
            <w:tcBorders>
              <w:left w:val="single" w:sz="2" w:space="0" w:color="AAAAAA"/>
              <w:right w:val="single" w:sz="2" w:space="0" w:color="AAAAAA"/>
            </w:tcBorders>
          </w:tcPr>
          <w:p w14:paraId="26D39A12" w14:textId="77777777" w:rsidR="006973B2" w:rsidRDefault="00427323">
            <w:pPr>
              <w:pStyle w:val="TableParagraph"/>
              <w:ind w:left="5" w:right="6"/>
            </w:pPr>
            <w:r>
              <w:rPr>
                <w:spacing w:val="-5"/>
              </w:rPr>
              <w:t>2.0</w:t>
            </w:r>
          </w:p>
        </w:tc>
      </w:tr>
      <w:tr w:rsidR="006973B2" w14:paraId="06600064" w14:textId="77777777">
        <w:trPr>
          <w:trHeight w:val="322"/>
        </w:trPr>
        <w:tc>
          <w:tcPr>
            <w:tcW w:w="1867" w:type="dxa"/>
            <w:tcBorders>
              <w:left w:val="single" w:sz="2" w:space="0" w:color="AAAAAA"/>
              <w:right w:val="nil"/>
            </w:tcBorders>
          </w:tcPr>
          <w:p w14:paraId="54FB337A" w14:textId="77777777" w:rsidR="006973B2" w:rsidRDefault="00427323">
            <w:pPr>
              <w:pStyle w:val="TableParagraph"/>
              <w:spacing w:line="252" w:lineRule="exact"/>
              <w:ind w:left="14"/>
            </w:pPr>
            <w:r>
              <w:rPr>
                <w:spacing w:val="-4"/>
              </w:rPr>
              <w:t>Mode</w:t>
            </w:r>
          </w:p>
        </w:tc>
        <w:tc>
          <w:tcPr>
            <w:tcW w:w="2319" w:type="dxa"/>
            <w:tcBorders>
              <w:left w:val="nil"/>
              <w:right w:val="single" w:sz="2" w:space="0" w:color="AAAAAA"/>
            </w:tcBorders>
          </w:tcPr>
          <w:p w14:paraId="43F2A8C9" w14:textId="77777777" w:rsidR="006973B2" w:rsidRDefault="00427323">
            <w:pPr>
              <w:pStyle w:val="TableParagraph"/>
              <w:spacing w:line="252" w:lineRule="exact"/>
              <w:ind w:left="21"/>
            </w:pPr>
            <w:r>
              <w:t>—</w:t>
            </w:r>
          </w:p>
        </w:tc>
        <w:tc>
          <w:tcPr>
            <w:tcW w:w="2307" w:type="dxa"/>
            <w:tcBorders>
              <w:left w:val="single" w:sz="2" w:space="0" w:color="AAAAAA"/>
              <w:right w:val="single" w:sz="2" w:space="0" w:color="AAAAAA"/>
            </w:tcBorders>
          </w:tcPr>
          <w:p w14:paraId="4F41FC36" w14:textId="77777777" w:rsidR="006973B2" w:rsidRDefault="00427323">
            <w:pPr>
              <w:pStyle w:val="TableParagraph"/>
              <w:spacing w:line="252" w:lineRule="exact"/>
              <w:ind w:left="5"/>
            </w:pPr>
            <w:r>
              <w:t>—</w:t>
            </w:r>
          </w:p>
        </w:tc>
        <w:tc>
          <w:tcPr>
            <w:tcW w:w="2307" w:type="dxa"/>
            <w:tcBorders>
              <w:left w:val="single" w:sz="2" w:space="0" w:color="AAAAAA"/>
              <w:right w:val="single" w:sz="2" w:space="0" w:color="AAAAAA"/>
            </w:tcBorders>
          </w:tcPr>
          <w:p w14:paraId="3175919D" w14:textId="77777777" w:rsidR="006973B2" w:rsidRDefault="00427323">
            <w:pPr>
              <w:pStyle w:val="TableParagraph"/>
              <w:spacing w:line="252" w:lineRule="exact"/>
              <w:ind w:left="5" w:right="4"/>
            </w:pPr>
            <w:r>
              <w:rPr>
                <w:spacing w:val="-10"/>
              </w:rPr>
              <w:t>2</w:t>
            </w:r>
          </w:p>
        </w:tc>
      </w:tr>
      <w:tr w:rsidR="006973B2" w14:paraId="34D24239" w14:textId="77777777">
        <w:trPr>
          <w:trHeight w:val="320"/>
        </w:trPr>
        <w:tc>
          <w:tcPr>
            <w:tcW w:w="1867" w:type="dxa"/>
            <w:tcBorders>
              <w:left w:val="single" w:sz="2" w:space="0" w:color="AAAAAA"/>
              <w:right w:val="nil"/>
            </w:tcBorders>
          </w:tcPr>
          <w:p w14:paraId="2BFBB354" w14:textId="77777777" w:rsidR="006973B2" w:rsidRDefault="00427323">
            <w:pPr>
              <w:pStyle w:val="TableParagraph"/>
              <w:ind w:left="14" w:right="3"/>
            </w:pPr>
            <w:r>
              <w:rPr>
                <w:spacing w:val="-2"/>
              </w:rPr>
              <w:t>Minimum</w:t>
            </w:r>
          </w:p>
        </w:tc>
        <w:tc>
          <w:tcPr>
            <w:tcW w:w="2319" w:type="dxa"/>
            <w:tcBorders>
              <w:left w:val="nil"/>
              <w:right w:val="single" w:sz="2" w:space="0" w:color="AAAAAA"/>
            </w:tcBorders>
          </w:tcPr>
          <w:p w14:paraId="721B5D6D" w14:textId="77777777" w:rsidR="006973B2" w:rsidRDefault="00427323">
            <w:pPr>
              <w:pStyle w:val="TableParagraph"/>
              <w:ind w:left="19"/>
            </w:pPr>
            <w:r>
              <w:rPr>
                <w:spacing w:val="-5"/>
              </w:rPr>
              <w:t>4.8</w:t>
            </w:r>
          </w:p>
        </w:tc>
        <w:tc>
          <w:tcPr>
            <w:tcW w:w="2307" w:type="dxa"/>
            <w:tcBorders>
              <w:left w:val="single" w:sz="2" w:space="0" w:color="AAAAAA"/>
              <w:right w:val="single" w:sz="2" w:space="0" w:color="AAAAAA"/>
            </w:tcBorders>
          </w:tcPr>
          <w:p w14:paraId="1EDC1C7B" w14:textId="77777777" w:rsidR="006973B2" w:rsidRDefault="00427323">
            <w:pPr>
              <w:pStyle w:val="TableParagraph"/>
              <w:ind w:left="5" w:right="4"/>
            </w:pPr>
            <w:r>
              <w:rPr>
                <w:spacing w:val="-5"/>
              </w:rPr>
              <w:t>2.8</w:t>
            </w:r>
          </w:p>
        </w:tc>
        <w:tc>
          <w:tcPr>
            <w:tcW w:w="2307" w:type="dxa"/>
            <w:tcBorders>
              <w:left w:val="single" w:sz="2" w:space="0" w:color="AAAAAA"/>
              <w:right w:val="single" w:sz="2" w:space="0" w:color="AAAAAA"/>
            </w:tcBorders>
          </w:tcPr>
          <w:p w14:paraId="7D3D5426" w14:textId="77777777" w:rsidR="006973B2" w:rsidRDefault="00427323">
            <w:pPr>
              <w:pStyle w:val="TableParagraph"/>
              <w:ind w:left="5" w:right="4"/>
            </w:pPr>
            <w:r>
              <w:rPr>
                <w:spacing w:val="-10"/>
              </w:rPr>
              <w:t>1</w:t>
            </w:r>
          </w:p>
        </w:tc>
      </w:tr>
      <w:tr w:rsidR="006973B2" w14:paraId="0314F17F" w14:textId="77777777">
        <w:trPr>
          <w:trHeight w:val="322"/>
        </w:trPr>
        <w:tc>
          <w:tcPr>
            <w:tcW w:w="1867" w:type="dxa"/>
            <w:tcBorders>
              <w:left w:val="single" w:sz="2" w:space="0" w:color="AAAAAA"/>
              <w:right w:val="nil"/>
            </w:tcBorders>
          </w:tcPr>
          <w:p w14:paraId="01434779" w14:textId="77777777" w:rsidR="006973B2" w:rsidRDefault="00427323">
            <w:pPr>
              <w:pStyle w:val="TableParagraph"/>
              <w:ind w:left="14" w:right="3"/>
            </w:pPr>
            <w:r>
              <w:rPr>
                <w:spacing w:val="-2"/>
              </w:rPr>
              <w:t>Maximum</w:t>
            </w:r>
          </w:p>
        </w:tc>
        <w:tc>
          <w:tcPr>
            <w:tcW w:w="2319" w:type="dxa"/>
            <w:tcBorders>
              <w:left w:val="nil"/>
              <w:right w:val="single" w:sz="2" w:space="0" w:color="AAAAAA"/>
            </w:tcBorders>
          </w:tcPr>
          <w:p w14:paraId="0D199A5E" w14:textId="77777777" w:rsidR="006973B2" w:rsidRDefault="00427323">
            <w:pPr>
              <w:pStyle w:val="TableParagraph"/>
              <w:ind w:left="19"/>
            </w:pPr>
            <w:r>
              <w:rPr>
                <w:spacing w:val="-5"/>
              </w:rPr>
              <w:t>6.7</w:t>
            </w:r>
          </w:p>
        </w:tc>
        <w:tc>
          <w:tcPr>
            <w:tcW w:w="2307" w:type="dxa"/>
            <w:tcBorders>
              <w:left w:val="single" w:sz="2" w:space="0" w:color="AAAAAA"/>
              <w:right w:val="single" w:sz="2" w:space="0" w:color="AAAAAA"/>
            </w:tcBorders>
          </w:tcPr>
          <w:p w14:paraId="2A43BE79" w14:textId="77777777" w:rsidR="006973B2" w:rsidRDefault="00427323">
            <w:pPr>
              <w:pStyle w:val="TableParagraph"/>
              <w:ind w:left="5" w:right="4"/>
            </w:pPr>
            <w:r>
              <w:rPr>
                <w:spacing w:val="-5"/>
              </w:rPr>
              <w:t>5.6</w:t>
            </w:r>
          </w:p>
        </w:tc>
        <w:tc>
          <w:tcPr>
            <w:tcW w:w="2307" w:type="dxa"/>
            <w:tcBorders>
              <w:left w:val="single" w:sz="2" w:space="0" w:color="AAAAAA"/>
              <w:right w:val="single" w:sz="2" w:space="0" w:color="AAAAAA"/>
            </w:tcBorders>
          </w:tcPr>
          <w:p w14:paraId="03EF0163" w14:textId="77777777" w:rsidR="006973B2" w:rsidRDefault="00427323">
            <w:pPr>
              <w:pStyle w:val="TableParagraph"/>
              <w:ind w:left="5" w:right="4"/>
            </w:pPr>
            <w:r>
              <w:rPr>
                <w:spacing w:val="-10"/>
              </w:rPr>
              <w:t>4</w:t>
            </w:r>
          </w:p>
        </w:tc>
      </w:tr>
      <w:tr w:rsidR="006973B2" w14:paraId="20F79BCF" w14:textId="77777777">
        <w:trPr>
          <w:trHeight w:val="320"/>
        </w:trPr>
        <w:tc>
          <w:tcPr>
            <w:tcW w:w="1867" w:type="dxa"/>
            <w:tcBorders>
              <w:left w:val="single" w:sz="2" w:space="0" w:color="AAAAAA"/>
              <w:right w:val="nil"/>
            </w:tcBorders>
          </w:tcPr>
          <w:p w14:paraId="55814BA5" w14:textId="77777777" w:rsidR="006973B2" w:rsidRDefault="00427323">
            <w:pPr>
              <w:pStyle w:val="TableParagraph"/>
              <w:ind w:left="14" w:right="2"/>
            </w:pPr>
            <w:r>
              <w:rPr>
                <w:spacing w:val="-2"/>
              </w:rPr>
              <w:t>Range</w:t>
            </w:r>
          </w:p>
        </w:tc>
        <w:tc>
          <w:tcPr>
            <w:tcW w:w="2319" w:type="dxa"/>
            <w:tcBorders>
              <w:left w:val="nil"/>
              <w:right w:val="single" w:sz="2" w:space="0" w:color="AAAAAA"/>
            </w:tcBorders>
          </w:tcPr>
          <w:p w14:paraId="5C3FEB78" w14:textId="77777777" w:rsidR="006973B2" w:rsidRDefault="00427323">
            <w:pPr>
              <w:pStyle w:val="TableParagraph"/>
              <w:ind w:left="19"/>
            </w:pPr>
            <w:r>
              <w:rPr>
                <w:spacing w:val="-5"/>
              </w:rPr>
              <w:t>1.9</w:t>
            </w:r>
          </w:p>
        </w:tc>
        <w:tc>
          <w:tcPr>
            <w:tcW w:w="2307" w:type="dxa"/>
            <w:tcBorders>
              <w:left w:val="single" w:sz="2" w:space="0" w:color="AAAAAA"/>
              <w:right w:val="single" w:sz="2" w:space="0" w:color="AAAAAA"/>
            </w:tcBorders>
          </w:tcPr>
          <w:p w14:paraId="1B3950AF" w14:textId="77777777" w:rsidR="006973B2" w:rsidRDefault="00427323">
            <w:pPr>
              <w:pStyle w:val="TableParagraph"/>
              <w:ind w:left="5" w:right="4"/>
            </w:pPr>
            <w:r>
              <w:rPr>
                <w:spacing w:val="-5"/>
              </w:rPr>
              <w:t>2.8</w:t>
            </w:r>
          </w:p>
        </w:tc>
        <w:tc>
          <w:tcPr>
            <w:tcW w:w="2307" w:type="dxa"/>
            <w:tcBorders>
              <w:left w:val="single" w:sz="2" w:space="0" w:color="AAAAAA"/>
              <w:right w:val="single" w:sz="2" w:space="0" w:color="AAAAAA"/>
            </w:tcBorders>
          </w:tcPr>
          <w:p w14:paraId="00D9073F" w14:textId="77777777" w:rsidR="006973B2" w:rsidRDefault="00427323">
            <w:pPr>
              <w:pStyle w:val="TableParagraph"/>
              <w:ind w:left="5" w:right="4"/>
            </w:pPr>
            <w:r>
              <w:rPr>
                <w:spacing w:val="-10"/>
              </w:rPr>
              <w:t>3</w:t>
            </w:r>
          </w:p>
        </w:tc>
      </w:tr>
      <w:tr w:rsidR="006973B2" w14:paraId="488445B3" w14:textId="77777777">
        <w:trPr>
          <w:trHeight w:val="322"/>
        </w:trPr>
        <w:tc>
          <w:tcPr>
            <w:tcW w:w="1867" w:type="dxa"/>
            <w:tcBorders>
              <w:left w:val="single" w:sz="2" w:space="0" w:color="AAAAAA"/>
              <w:right w:val="nil"/>
            </w:tcBorders>
          </w:tcPr>
          <w:p w14:paraId="56211636" w14:textId="77777777" w:rsidR="006973B2" w:rsidRDefault="00427323">
            <w:pPr>
              <w:pStyle w:val="TableParagraph"/>
              <w:ind w:left="14" w:right="6"/>
            </w:pPr>
            <w:r>
              <w:t>Std.</w:t>
            </w:r>
            <w:r>
              <w:rPr>
                <w:spacing w:val="9"/>
              </w:rPr>
              <w:t xml:space="preserve"> </w:t>
            </w:r>
            <w:r>
              <w:rPr>
                <w:spacing w:val="-2"/>
              </w:rPr>
              <w:t>Deviation</w:t>
            </w:r>
          </w:p>
        </w:tc>
        <w:tc>
          <w:tcPr>
            <w:tcW w:w="2319" w:type="dxa"/>
            <w:tcBorders>
              <w:left w:val="nil"/>
              <w:right w:val="single" w:sz="2" w:space="0" w:color="AAAAAA"/>
            </w:tcBorders>
          </w:tcPr>
          <w:p w14:paraId="4E5DFBEE" w14:textId="77777777" w:rsidR="006973B2" w:rsidRDefault="00427323">
            <w:pPr>
              <w:pStyle w:val="TableParagraph"/>
              <w:ind w:left="19"/>
            </w:pPr>
            <w:r>
              <w:rPr>
                <w:spacing w:val="-4"/>
              </w:rPr>
              <w:t>0.58</w:t>
            </w:r>
          </w:p>
        </w:tc>
        <w:tc>
          <w:tcPr>
            <w:tcW w:w="2307" w:type="dxa"/>
            <w:tcBorders>
              <w:left w:val="single" w:sz="2" w:space="0" w:color="AAAAAA"/>
              <w:right w:val="single" w:sz="2" w:space="0" w:color="AAAAAA"/>
            </w:tcBorders>
          </w:tcPr>
          <w:p w14:paraId="0696C79C" w14:textId="77777777" w:rsidR="006973B2" w:rsidRDefault="00427323">
            <w:pPr>
              <w:pStyle w:val="TableParagraph"/>
              <w:ind w:left="5" w:right="4"/>
            </w:pPr>
            <w:r>
              <w:rPr>
                <w:spacing w:val="-4"/>
              </w:rPr>
              <w:t>0.80</w:t>
            </w:r>
          </w:p>
        </w:tc>
        <w:tc>
          <w:tcPr>
            <w:tcW w:w="2307" w:type="dxa"/>
            <w:tcBorders>
              <w:left w:val="single" w:sz="2" w:space="0" w:color="AAAAAA"/>
              <w:right w:val="single" w:sz="2" w:space="0" w:color="AAAAAA"/>
            </w:tcBorders>
          </w:tcPr>
          <w:p w14:paraId="61745F98" w14:textId="77777777" w:rsidR="006973B2" w:rsidRDefault="00427323">
            <w:pPr>
              <w:pStyle w:val="TableParagraph"/>
              <w:ind w:left="5" w:right="5"/>
            </w:pPr>
            <w:r>
              <w:rPr>
                <w:spacing w:val="-4"/>
              </w:rPr>
              <w:t>0.90</w:t>
            </w:r>
          </w:p>
        </w:tc>
      </w:tr>
      <w:tr w:rsidR="006973B2" w14:paraId="56BC93C1" w14:textId="77777777">
        <w:trPr>
          <w:trHeight w:val="325"/>
        </w:trPr>
        <w:tc>
          <w:tcPr>
            <w:tcW w:w="1867" w:type="dxa"/>
            <w:tcBorders>
              <w:left w:val="single" w:sz="2" w:space="0" w:color="AAAAAA"/>
              <w:bottom w:val="single" w:sz="2" w:space="0" w:color="AAAAAA"/>
              <w:right w:val="nil"/>
            </w:tcBorders>
          </w:tcPr>
          <w:p w14:paraId="1572CB0F" w14:textId="77777777" w:rsidR="006973B2" w:rsidRDefault="00427323">
            <w:pPr>
              <w:pStyle w:val="TableParagraph"/>
              <w:ind w:left="14" w:right="7"/>
            </w:pPr>
            <w:r>
              <w:rPr>
                <w:spacing w:val="-2"/>
              </w:rPr>
              <w:t>Variance</w:t>
            </w:r>
          </w:p>
        </w:tc>
        <w:tc>
          <w:tcPr>
            <w:tcW w:w="2319" w:type="dxa"/>
            <w:tcBorders>
              <w:left w:val="nil"/>
              <w:bottom w:val="single" w:sz="2" w:space="0" w:color="AAAAAA"/>
              <w:right w:val="single" w:sz="2" w:space="0" w:color="AAAAAA"/>
            </w:tcBorders>
          </w:tcPr>
          <w:p w14:paraId="6FE4A88E" w14:textId="77777777" w:rsidR="006973B2" w:rsidRDefault="00427323">
            <w:pPr>
              <w:pStyle w:val="TableParagraph"/>
              <w:ind w:left="19"/>
            </w:pPr>
            <w:r>
              <w:rPr>
                <w:spacing w:val="-4"/>
              </w:rPr>
              <w:t>0.33</w:t>
            </w:r>
          </w:p>
        </w:tc>
        <w:tc>
          <w:tcPr>
            <w:tcW w:w="2307" w:type="dxa"/>
            <w:tcBorders>
              <w:left w:val="single" w:sz="2" w:space="0" w:color="AAAAAA"/>
              <w:bottom w:val="single" w:sz="2" w:space="0" w:color="AAAAAA"/>
              <w:right w:val="single" w:sz="2" w:space="0" w:color="AAAAAA"/>
            </w:tcBorders>
          </w:tcPr>
          <w:p w14:paraId="322352F0" w14:textId="77777777" w:rsidR="006973B2" w:rsidRDefault="00427323">
            <w:pPr>
              <w:pStyle w:val="TableParagraph"/>
              <w:ind w:left="5" w:right="4"/>
            </w:pPr>
            <w:r>
              <w:rPr>
                <w:spacing w:val="-4"/>
              </w:rPr>
              <w:t>0.64</w:t>
            </w:r>
          </w:p>
        </w:tc>
        <w:tc>
          <w:tcPr>
            <w:tcW w:w="2307" w:type="dxa"/>
            <w:tcBorders>
              <w:left w:val="single" w:sz="2" w:space="0" w:color="AAAAAA"/>
              <w:bottom w:val="single" w:sz="2" w:space="0" w:color="AAAAAA"/>
              <w:right w:val="single" w:sz="2" w:space="0" w:color="AAAAAA"/>
            </w:tcBorders>
          </w:tcPr>
          <w:p w14:paraId="103184B3" w14:textId="77777777" w:rsidR="006973B2" w:rsidRDefault="00427323">
            <w:pPr>
              <w:pStyle w:val="TableParagraph"/>
              <w:ind w:left="5" w:right="5"/>
            </w:pPr>
            <w:r>
              <w:rPr>
                <w:spacing w:val="-4"/>
              </w:rPr>
              <w:t>0.82</w:t>
            </w:r>
          </w:p>
        </w:tc>
      </w:tr>
    </w:tbl>
    <w:p w14:paraId="1B7D2CF4" w14:textId="77777777" w:rsidR="006973B2" w:rsidRDefault="006973B2">
      <w:pPr>
        <w:pStyle w:val="TableParagraph"/>
        <w:sectPr w:rsidR="006973B2">
          <w:pgSz w:w="12240" w:h="15840"/>
          <w:pgMar w:top="1280" w:right="1440" w:bottom="280" w:left="1440" w:header="720" w:footer="720" w:gutter="0"/>
          <w:cols w:space="720"/>
        </w:sectPr>
      </w:pPr>
    </w:p>
    <w:p w14:paraId="70514E0A" w14:textId="77777777" w:rsidR="00FD2760" w:rsidRPr="00FD2760" w:rsidRDefault="00FD2760" w:rsidP="00FD2760">
      <w:pPr>
        <w:pStyle w:val="BodyText"/>
        <w:spacing w:line="360" w:lineRule="auto"/>
        <w:jc w:val="both"/>
        <w:rPr>
          <w:b/>
          <w:bCs/>
          <w:sz w:val="24"/>
          <w:szCs w:val="24"/>
        </w:rPr>
      </w:pPr>
      <w:r w:rsidRPr="00FD2760">
        <w:rPr>
          <w:b/>
          <w:bCs/>
          <w:sz w:val="24"/>
          <w:szCs w:val="24"/>
        </w:rPr>
        <w:lastRenderedPageBreak/>
        <w:t>3.Inflation Rate-Distribution and Behavior</w:t>
      </w:r>
    </w:p>
    <w:p w14:paraId="7A2BD695" w14:textId="77777777" w:rsidR="00FD2760" w:rsidRPr="00FD2760" w:rsidRDefault="00FD2760" w:rsidP="00FD2760">
      <w:pPr>
        <w:pStyle w:val="BodyText"/>
        <w:spacing w:line="360" w:lineRule="auto"/>
        <w:jc w:val="both"/>
        <w:rPr>
          <w:sz w:val="24"/>
          <w:szCs w:val="24"/>
        </w:rPr>
      </w:pPr>
      <w:r w:rsidRPr="00FD2760">
        <w:rPr>
          <w:sz w:val="24"/>
          <w:szCs w:val="24"/>
        </w:rPr>
        <w:t>The inflation rate in India during the period under study ranges between 4.8 (2019) and 6.7 percent (2022). It stands at 5.66 percent on average, with a standard deviation of 0.58 percent. This confirms that the inflation was not static in the period under study, and it witnessed variability over and above the mean values. A steep increase in the inflation rate from 6.2 percent in 2020 due to the COVID-19 shock culminated into the highest recorded rate of 6.7 in 2022. The rate started to dip afterward (5.4, 5.7, 5.3 in 2023-2025), but it remained above the RBI's target of 4 percent throughout the entire period.</w:t>
      </w:r>
    </w:p>
    <w:p w14:paraId="7ED40331" w14:textId="77777777" w:rsidR="00FD2760" w:rsidRPr="00FD2760" w:rsidRDefault="00FD2760" w:rsidP="00FD2760">
      <w:pPr>
        <w:pStyle w:val="BodyText"/>
        <w:spacing w:line="360" w:lineRule="auto"/>
        <w:jc w:val="both"/>
        <w:rPr>
          <w:sz w:val="24"/>
          <w:szCs w:val="24"/>
        </w:rPr>
      </w:pPr>
    </w:p>
    <w:p w14:paraId="268B72C0" w14:textId="77777777" w:rsidR="00FD2760" w:rsidRPr="00FD2760" w:rsidRDefault="00FD2760" w:rsidP="00FD2760">
      <w:pPr>
        <w:pStyle w:val="BodyText"/>
        <w:spacing w:line="360" w:lineRule="auto"/>
        <w:jc w:val="both"/>
        <w:rPr>
          <w:b/>
          <w:bCs/>
          <w:sz w:val="24"/>
          <w:szCs w:val="24"/>
        </w:rPr>
      </w:pPr>
      <w:r w:rsidRPr="00FD2760">
        <w:rPr>
          <w:b/>
          <w:bCs/>
          <w:sz w:val="24"/>
          <w:szCs w:val="24"/>
        </w:rPr>
        <w:t>4.Budget Deviation Index-Distribution and Behavior</w:t>
      </w:r>
    </w:p>
    <w:p w14:paraId="4EBE04A5" w14:textId="77777777" w:rsidR="00FD2760" w:rsidRPr="00FD2760" w:rsidRDefault="00FD2760" w:rsidP="00FD2760">
      <w:pPr>
        <w:pStyle w:val="BodyText"/>
        <w:spacing w:line="360" w:lineRule="auto"/>
        <w:jc w:val="both"/>
        <w:rPr>
          <w:sz w:val="24"/>
          <w:szCs w:val="24"/>
        </w:rPr>
      </w:pPr>
      <w:r w:rsidRPr="00FD2760">
        <w:rPr>
          <w:sz w:val="24"/>
          <w:szCs w:val="24"/>
        </w:rPr>
        <w:t>The Budget Deviation Index (BDI) shows how much the actual corporate budget varies from the estimated budget. The BDI average for the seven years was 4.41, with a standard deviation of 0.80. The year 2019 recorded the lowest BDI of 2.8-the year with an economically steady climate and preceding the COVID-19 outbreak. With the highest inflation in 2022, it registered the maximum value of 5.6. As indicated, the mean and median values (4.4 and 4.41 respectively) almost coincide, implying that the distribution of BDI does not reflect significant skewness or outliers.</w:t>
      </w:r>
    </w:p>
    <w:p w14:paraId="6AC5000F" w14:textId="77777777" w:rsidR="00FD2760" w:rsidRPr="00FD2760" w:rsidRDefault="00FD2760" w:rsidP="00FD2760">
      <w:pPr>
        <w:pStyle w:val="BodyText"/>
        <w:spacing w:line="360" w:lineRule="auto"/>
        <w:jc w:val="both"/>
        <w:rPr>
          <w:sz w:val="24"/>
          <w:szCs w:val="24"/>
        </w:rPr>
      </w:pPr>
    </w:p>
    <w:p w14:paraId="22A042A7" w14:textId="77777777" w:rsidR="00FD2760" w:rsidRPr="00FD2760" w:rsidRDefault="00FD2760" w:rsidP="00FD2760">
      <w:pPr>
        <w:pStyle w:val="BodyText"/>
        <w:spacing w:line="360" w:lineRule="auto"/>
        <w:jc w:val="both"/>
        <w:rPr>
          <w:b/>
          <w:bCs/>
          <w:sz w:val="24"/>
          <w:szCs w:val="24"/>
        </w:rPr>
      </w:pPr>
      <w:r w:rsidRPr="00FD2760">
        <w:rPr>
          <w:b/>
          <w:bCs/>
          <w:sz w:val="24"/>
          <w:szCs w:val="24"/>
        </w:rPr>
        <w:t>5.Year-on-Year trend: Inflation versus BDI</w:t>
      </w:r>
    </w:p>
    <w:p w14:paraId="7929B63D" w14:textId="77777777" w:rsidR="00FD2760" w:rsidRPr="00FD2760" w:rsidRDefault="00FD2760" w:rsidP="00FD2760">
      <w:pPr>
        <w:pStyle w:val="BodyText"/>
        <w:spacing w:line="360" w:lineRule="auto"/>
        <w:jc w:val="both"/>
        <w:rPr>
          <w:sz w:val="24"/>
          <w:szCs w:val="24"/>
        </w:rPr>
      </w:pPr>
      <w:r w:rsidRPr="00FD2760">
        <w:rPr>
          <w:sz w:val="24"/>
          <w:szCs w:val="24"/>
        </w:rPr>
        <w:t>There is a strong correlation between the year-on-year inflation and BDI trends-a rise in one is generally accompanied by a rise in the other:</w:t>
      </w:r>
    </w:p>
    <w:p w14:paraId="50413D7E" w14:textId="77777777" w:rsidR="00FD2760" w:rsidRPr="00FD2760" w:rsidRDefault="00FD2760" w:rsidP="00FD2760">
      <w:pPr>
        <w:pStyle w:val="BodyText"/>
        <w:spacing w:line="360" w:lineRule="auto"/>
        <w:jc w:val="both"/>
        <w:rPr>
          <w:sz w:val="24"/>
          <w:szCs w:val="24"/>
        </w:rPr>
      </w:pPr>
      <w:r w:rsidRPr="00FD2760">
        <w:rPr>
          <w:sz w:val="24"/>
          <w:szCs w:val="24"/>
        </w:rPr>
        <w:t xml:space="preserve"> • The lowest inflation rate was witnessed in 2019 (4.8), while the lowest BDI of 2.8 was recorded in the same year-suggesting optimal budgeting accuracy.</w:t>
      </w:r>
    </w:p>
    <w:p w14:paraId="71E0E403" w14:textId="77777777" w:rsidR="00FD2760" w:rsidRPr="00FD2760" w:rsidRDefault="00FD2760" w:rsidP="00FD2760">
      <w:pPr>
        <w:pStyle w:val="BodyText"/>
        <w:spacing w:line="360" w:lineRule="auto"/>
        <w:jc w:val="both"/>
        <w:rPr>
          <w:sz w:val="24"/>
          <w:szCs w:val="24"/>
        </w:rPr>
      </w:pPr>
      <w:r w:rsidRPr="00FD2760">
        <w:rPr>
          <w:sz w:val="24"/>
          <w:szCs w:val="24"/>
        </w:rPr>
        <w:t xml:space="preserve"> • During 2022, the peak of the inflation rate (6.7) corresponded to the maximum BDI value (5.6)-denoting the lowest budgeting accuracy.</w:t>
      </w:r>
    </w:p>
    <w:p w14:paraId="5B982DBE" w14:textId="77777777" w:rsidR="00FD2760" w:rsidRPr="00FD2760" w:rsidRDefault="00FD2760" w:rsidP="00FD2760">
      <w:pPr>
        <w:pStyle w:val="BodyText"/>
        <w:spacing w:line="360" w:lineRule="auto"/>
        <w:jc w:val="both"/>
        <w:rPr>
          <w:sz w:val="24"/>
          <w:szCs w:val="24"/>
        </w:rPr>
      </w:pPr>
      <w:r w:rsidRPr="00FD2760">
        <w:rPr>
          <w:sz w:val="24"/>
          <w:szCs w:val="24"/>
        </w:rPr>
        <w:t xml:space="preserve"> • By 2023, with a reduction in inflation (5.4), the BDI also fell to 4.3-indicating a regain of budgeting accuracy.</w:t>
      </w:r>
    </w:p>
    <w:p w14:paraId="781FA62A" w14:textId="77777777" w:rsidR="00FD2760" w:rsidRPr="00FD2760" w:rsidRDefault="00FD2760" w:rsidP="00FD2760">
      <w:pPr>
        <w:pStyle w:val="BodyText"/>
        <w:spacing w:line="360" w:lineRule="auto"/>
        <w:jc w:val="both"/>
        <w:rPr>
          <w:sz w:val="24"/>
          <w:szCs w:val="24"/>
        </w:rPr>
      </w:pPr>
    </w:p>
    <w:p w14:paraId="713698C8" w14:textId="77777777" w:rsidR="00FD2760" w:rsidRPr="00FD2760" w:rsidRDefault="00FD2760" w:rsidP="00FD2760">
      <w:pPr>
        <w:pStyle w:val="BodyText"/>
        <w:spacing w:line="360" w:lineRule="auto"/>
        <w:jc w:val="both"/>
        <w:rPr>
          <w:b/>
          <w:bCs/>
          <w:sz w:val="24"/>
          <w:szCs w:val="24"/>
        </w:rPr>
      </w:pPr>
      <w:r w:rsidRPr="00FD2760">
        <w:rPr>
          <w:b/>
          <w:bCs/>
          <w:sz w:val="24"/>
          <w:szCs w:val="24"/>
        </w:rPr>
        <w:t>6.Forecast Adjustment Frequency-Behavior</w:t>
      </w:r>
    </w:p>
    <w:p w14:paraId="676CA06B" w14:textId="569036DA" w:rsidR="006973B2" w:rsidRPr="00FD2760" w:rsidRDefault="00FD2760" w:rsidP="00FD2760">
      <w:pPr>
        <w:pStyle w:val="BodyText"/>
        <w:spacing w:line="360" w:lineRule="auto"/>
        <w:jc w:val="both"/>
        <w:rPr>
          <w:sz w:val="24"/>
          <w:szCs w:val="24"/>
        </w:rPr>
        <w:sectPr w:rsidR="006973B2" w:rsidRPr="00FD2760">
          <w:pgSz w:w="12240" w:h="15840"/>
          <w:pgMar w:top="1280" w:right="1440" w:bottom="280" w:left="1440" w:header="720" w:footer="720" w:gutter="0"/>
          <w:cols w:space="720"/>
        </w:sectPr>
      </w:pPr>
      <w:r w:rsidRPr="00FD2760">
        <w:rPr>
          <w:sz w:val="24"/>
          <w:szCs w:val="24"/>
        </w:rPr>
        <w:t>The FAF variable shows how many times, on average, a financial manager makes a change to a forecast in a quarter. Its average for the 7 years was 2.43, with a standard deviation of 0.90-highest among all variables. In 2019 firms changed their forecasts once each quarter, whereas in 2022 (highest inflation year) they revised their forecasts 4 times each quarter. The mode for the number of adjustments is 2, for the years 2021, 2023 and 2025; indicating that, in the post-</w:t>
      </w:r>
      <w:r w:rsidRPr="00FD2760">
        <w:rPr>
          <w:sz w:val="24"/>
          <w:szCs w:val="24"/>
        </w:rPr>
        <w:lastRenderedPageBreak/>
        <w:t>pandemic world, each manager makes two adjustments to a given forecast in a quarter.</w:t>
      </w:r>
    </w:p>
    <w:p w14:paraId="4D53130B" w14:textId="77777777" w:rsidR="006973B2" w:rsidRPr="00FD2760" w:rsidRDefault="00427323">
      <w:pPr>
        <w:pStyle w:val="Heading3"/>
        <w:numPr>
          <w:ilvl w:val="0"/>
          <w:numId w:val="6"/>
        </w:numPr>
        <w:tabs>
          <w:tab w:val="left" w:pos="487"/>
        </w:tabs>
        <w:spacing w:before="79"/>
        <w:ind w:left="487" w:hanging="224"/>
        <w:rPr>
          <w:sz w:val="24"/>
          <w:szCs w:val="24"/>
        </w:rPr>
      </w:pPr>
      <w:r w:rsidRPr="00FD2760">
        <w:rPr>
          <w:sz w:val="24"/>
          <w:szCs w:val="24"/>
        </w:rPr>
        <w:lastRenderedPageBreak/>
        <w:t>Comparative</w:t>
      </w:r>
      <w:r w:rsidRPr="00FD2760">
        <w:rPr>
          <w:spacing w:val="10"/>
          <w:sz w:val="24"/>
          <w:szCs w:val="24"/>
        </w:rPr>
        <w:t xml:space="preserve"> </w:t>
      </w:r>
      <w:r w:rsidRPr="00FD2760">
        <w:rPr>
          <w:sz w:val="24"/>
          <w:szCs w:val="24"/>
        </w:rPr>
        <w:t>Period</w:t>
      </w:r>
      <w:r w:rsidRPr="00FD2760">
        <w:rPr>
          <w:spacing w:val="15"/>
          <w:sz w:val="24"/>
          <w:szCs w:val="24"/>
        </w:rPr>
        <w:t xml:space="preserve"> </w:t>
      </w:r>
      <w:r w:rsidRPr="00FD2760">
        <w:rPr>
          <w:sz w:val="24"/>
          <w:szCs w:val="24"/>
        </w:rPr>
        <w:t>Analysis:</w:t>
      </w:r>
      <w:r w:rsidRPr="00FD2760">
        <w:rPr>
          <w:spacing w:val="14"/>
          <w:sz w:val="24"/>
          <w:szCs w:val="24"/>
        </w:rPr>
        <w:t xml:space="preserve"> </w:t>
      </w:r>
      <w:r w:rsidRPr="00FD2760">
        <w:rPr>
          <w:sz w:val="24"/>
          <w:szCs w:val="24"/>
        </w:rPr>
        <w:t>Low</w:t>
      </w:r>
      <w:r w:rsidRPr="00FD2760">
        <w:rPr>
          <w:spacing w:val="12"/>
          <w:sz w:val="24"/>
          <w:szCs w:val="24"/>
        </w:rPr>
        <w:t xml:space="preserve"> </w:t>
      </w:r>
      <w:r w:rsidRPr="00FD2760">
        <w:rPr>
          <w:sz w:val="24"/>
          <w:szCs w:val="24"/>
        </w:rPr>
        <w:t>vs.</w:t>
      </w:r>
      <w:r w:rsidRPr="00FD2760">
        <w:rPr>
          <w:spacing w:val="14"/>
          <w:sz w:val="24"/>
          <w:szCs w:val="24"/>
        </w:rPr>
        <w:t xml:space="preserve"> </w:t>
      </w:r>
      <w:r w:rsidRPr="00FD2760">
        <w:rPr>
          <w:sz w:val="24"/>
          <w:szCs w:val="24"/>
        </w:rPr>
        <w:t>High</w:t>
      </w:r>
      <w:r w:rsidRPr="00FD2760">
        <w:rPr>
          <w:spacing w:val="12"/>
          <w:sz w:val="24"/>
          <w:szCs w:val="24"/>
        </w:rPr>
        <w:t xml:space="preserve"> </w:t>
      </w:r>
      <w:r w:rsidRPr="00FD2760">
        <w:rPr>
          <w:spacing w:val="-2"/>
          <w:sz w:val="24"/>
          <w:szCs w:val="24"/>
        </w:rPr>
        <w:t>Inflation</w:t>
      </w:r>
    </w:p>
    <w:p w14:paraId="070E759A" w14:textId="77777777" w:rsidR="006973B2" w:rsidRPr="00FD2760" w:rsidRDefault="006973B2">
      <w:pPr>
        <w:pStyle w:val="BodyText"/>
        <w:spacing w:before="162"/>
        <w:rPr>
          <w:b/>
          <w:sz w:val="24"/>
          <w:szCs w:val="24"/>
        </w:rPr>
      </w:pPr>
    </w:p>
    <w:tbl>
      <w:tblPr>
        <w:tblW w:w="0" w:type="auto"/>
        <w:tblInd w:w="26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3384"/>
        <w:gridCol w:w="1805"/>
        <w:gridCol w:w="1805"/>
        <w:gridCol w:w="1805"/>
      </w:tblGrid>
      <w:tr w:rsidR="006973B2" w14:paraId="6B5BCDB0" w14:textId="77777777">
        <w:trPr>
          <w:trHeight w:val="581"/>
        </w:trPr>
        <w:tc>
          <w:tcPr>
            <w:tcW w:w="3384" w:type="dxa"/>
            <w:tcBorders>
              <w:left w:val="single" w:sz="2" w:space="0" w:color="AAAAAA"/>
              <w:right w:val="single" w:sz="2" w:space="0" w:color="AAAAAA"/>
            </w:tcBorders>
            <w:shd w:val="clear" w:color="auto" w:fill="1F4D79"/>
          </w:tcPr>
          <w:p w14:paraId="50C237F0" w14:textId="77777777" w:rsidR="006973B2" w:rsidRDefault="00427323">
            <w:pPr>
              <w:pStyle w:val="TableParagraph"/>
              <w:rPr>
                <w:b/>
              </w:rPr>
            </w:pPr>
            <w:r>
              <w:rPr>
                <w:b/>
                <w:color w:val="FFFFFF"/>
                <w:spacing w:val="-2"/>
              </w:rPr>
              <w:t>Period</w:t>
            </w:r>
          </w:p>
        </w:tc>
        <w:tc>
          <w:tcPr>
            <w:tcW w:w="1805" w:type="dxa"/>
            <w:tcBorders>
              <w:left w:val="single" w:sz="2" w:space="0" w:color="AAAAAA"/>
              <w:right w:val="single" w:sz="2" w:space="0" w:color="AAAAAA"/>
            </w:tcBorders>
            <w:shd w:val="clear" w:color="auto" w:fill="1F4D79"/>
          </w:tcPr>
          <w:p w14:paraId="45E8C55C" w14:textId="77777777" w:rsidR="006973B2" w:rsidRDefault="00427323">
            <w:pPr>
              <w:pStyle w:val="TableParagraph"/>
              <w:spacing w:line="244" w:lineRule="auto"/>
              <w:ind w:left="712" w:hanging="536"/>
              <w:jc w:val="left"/>
              <w:rPr>
                <w:b/>
              </w:rPr>
            </w:pPr>
            <w:r>
              <w:rPr>
                <w:b/>
                <w:color w:val="FFFFFF"/>
              </w:rPr>
              <w:t>Mean</w:t>
            </w:r>
            <w:r>
              <w:rPr>
                <w:b/>
                <w:color w:val="FFFFFF"/>
                <w:spacing w:val="-2"/>
              </w:rPr>
              <w:t xml:space="preserve"> </w:t>
            </w:r>
            <w:r>
              <w:rPr>
                <w:b/>
                <w:color w:val="FFFFFF"/>
              </w:rPr>
              <w:t xml:space="preserve">Inflation </w:t>
            </w:r>
            <w:r>
              <w:rPr>
                <w:b/>
                <w:color w:val="FFFFFF"/>
                <w:spacing w:val="-4"/>
              </w:rPr>
              <w:t>(%)</w:t>
            </w:r>
          </w:p>
        </w:tc>
        <w:tc>
          <w:tcPr>
            <w:tcW w:w="1805" w:type="dxa"/>
            <w:tcBorders>
              <w:left w:val="single" w:sz="2" w:space="0" w:color="AAAAAA"/>
              <w:right w:val="single" w:sz="2" w:space="0" w:color="AAAAAA"/>
            </w:tcBorders>
            <w:shd w:val="clear" w:color="auto" w:fill="1F4D79"/>
          </w:tcPr>
          <w:p w14:paraId="0DE825BA" w14:textId="77777777" w:rsidR="006973B2" w:rsidRDefault="00427323">
            <w:pPr>
              <w:pStyle w:val="TableParagraph"/>
              <w:ind w:left="1" w:right="1"/>
              <w:rPr>
                <w:b/>
              </w:rPr>
            </w:pPr>
            <w:r>
              <w:rPr>
                <w:b/>
                <w:color w:val="FFFFFF"/>
              </w:rPr>
              <w:t>Mean</w:t>
            </w:r>
            <w:r>
              <w:rPr>
                <w:b/>
                <w:color w:val="FFFFFF"/>
                <w:spacing w:val="12"/>
              </w:rPr>
              <w:t xml:space="preserve"> </w:t>
            </w:r>
            <w:r>
              <w:rPr>
                <w:b/>
                <w:color w:val="FFFFFF"/>
                <w:spacing w:val="-5"/>
              </w:rPr>
              <w:t>BDI</w:t>
            </w:r>
          </w:p>
        </w:tc>
        <w:tc>
          <w:tcPr>
            <w:tcW w:w="1805" w:type="dxa"/>
            <w:tcBorders>
              <w:left w:val="single" w:sz="2" w:space="0" w:color="AAAAAA"/>
              <w:right w:val="single" w:sz="2" w:space="0" w:color="AAAAAA"/>
            </w:tcBorders>
            <w:shd w:val="clear" w:color="auto" w:fill="1F4D79"/>
          </w:tcPr>
          <w:p w14:paraId="1DFC191A" w14:textId="77777777" w:rsidR="006973B2" w:rsidRDefault="00427323">
            <w:pPr>
              <w:pStyle w:val="TableParagraph"/>
              <w:ind w:right="1"/>
              <w:rPr>
                <w:b/>
              </w:rPr>
            </w:pPr>
            <w:r>
              <w:rPr>
                <w:b/>
                <w:color w:val="FFFFFF"/>
              </w:rPr>
              <w:t>Mean</w:t>
            </w:r>
            <w:r>
              <w:rPr>
                <w:b/>
                <w:color w:val="FFFFFF"/>
                <w:spacing w:val="11"/>
              </w:rPr>
              <w:t xml:space="preserve"> </w:t>
            </w:r>
            <w:r>
              <w:rPr>
                <w:b/>
                <w:color w:val="FFFFFF"/>
                <w:spacing w:val="-5"/>
              </w:rPr>
              <w:t>FAF</w:t>
            </w:r>
          </w:p>
        </w:tc>
      </w:tr>
      <w:tr w:rsidR="006973B2" w14:paraId="2754B94D" w14:textId="77777777">
        <w:trPr>
          <w:trHeight w:val="579"/>
        </w:trPr>
        <w:tc>
          <w:tcPr>
            <w:tcW w:w="3384" w:type="dxa"/>
            <w:tcBorders>
              <w:left w:val="single" w:sz="2" w:space="0" w:color="AAAAAA"/>
              <w:right w:val="single" w:sz="2" w:space="0" w:color="AAAAAA"/>
            </w:tcBorders>
          </w:tcPr>
          <w:p w14:paraId="3BEED193" w14:textId="77777777" w:rsidR="006973B2" w:rsidRDefault="00427323">
            <w:pPr>
              <w:pStyle w:val="TableParagraph"/>
              <w:spacing w:line="244" w:lineRule="auto"/>
              <w:ind w:left="902" w:hanging="550"/>
              <w:jc w:val="left"/>
            </w:pPr>
            <w:r>
              <w:t>Low Inflation (≤5.4%): 2019, 2021, 2023, 2025</w:t>
            </w:r>
          </w:p>
        </w:tc>
        <w:tc>
          <w:tcPr>
            <w:tcW w:w="1805" w:type="dxa"/>
            <w:tcBorders>
              <w:left w:val="single" w:sz="2" w:space="0" w:color="AAAAAA"/>
              <w:right w:val="single" w:sz="2" w:space="0" w:color="AAAAAA"/>
            </w:tcBorders>
          </w:tcPr>
          <w:p w14:paraId="53EAB8F6" w14:textId="77777777" w:rsidR="006973B2" w:rsidRDefault="00427323">
            <w:pPr>
              <w:pStyle w:val="TableParagraph"/>
              <w:ind w:left="1" w:right="1"/>
            </w:pPr>
            <w:r>
              <w:rPr>
                <w:spacing w:val="-4"/>
              </w:rPr>
              <w:t>5.25</w:t>
            </w:r>
          </w:p>
        </w:tc>
        <w:tc>
          <w:tcPr>
            <w:tcW w:w="1805" w:type="dxa"/>
            <w:tcBorders>
              <w:left w:val="single" w:sz="2" w:space="0" w:color="AAAAAA"/>
              <w:right w:val="single" w:sz="2" w:space="0" w:color="AAAAAA"/>
            </w:tcBorders>
          </w:tcPr>
          <w:p w14:paraId="6EC696EC" w14:textId="77777777" w:rsidR="006973B2" w:rsidRDefault="00427323">
            <w:pPr>
              <w:pStyle w:val="TableParagraph"/>
              <w:ind w:left="1" w:right="1"/>
            </w:pPr>
            <w:r>
              <w:rPr>
                <w:spacing w:val="-4"/>
              </w:rPr>
              <w:t>3.90</w:t>
            </w:r>
          </w:p>
        </w:tc>
        <w:tc>
          <w:tcPr>
            <w:tcW w:w="1805" w:type="dxa"/>
            <w:tcBorders>
              <w:left w:val="single" w:sz="2" w:space="0" w:color="AAAAAA"/>
              <w:right w:val="single" w:sz="2" w:space="0" w:color="AAAAAA"/>
            </w:tcBorders>
          </w:tcPr>
          <w:p w14:paraId="5398C89B" w14:textId="77777777" w:rsidR="006973B2" w:rsidRDefault="00427323">
            <w:pPr>
              <w:pStyle w:val="TableParagraph"/>
              <w:ind w:left="1" w:right="1"/>
            </w:pPr>
            <w:r>
              <w:rPr>
                <w:spacing w:val="-4"/>
              </w:rPr>
              <w:t>1.75</w:t>
            </w:r>
          </w:p>
        </w:tc>
      </w:tr>
      <w:tr w:rsidR="006973B2" w14:paraId="37E687A2" w14:textId="77777777">
        <w:trPr>
          <w:trHeight w:val="581"/>
        </w:trPr>
        <w:tc>
          <w:tcPr>
            <w:tcW w:w="3384" w:type="dxa"/>
            <w:tcBorders>
              <w:left w:val="single" w:sz="2" w:space="0" w:color="AAAAAA"/>
              <w:right w:val="single" w:sz="2" w:space="0" w:color="AAAAAA"/>
            </w:tcBorders>
          </w:tcPr>
          <w:p w14:paraId="78559463" w14:textId="77777777" w:rsidR="006973B2" w:rsidRDefault="00427323">
            <w:pPr>
              <w:pStyle w:val="TableParagraph"/>
              <w:spacing w:line="247" w:lineRule="auto"/>
              <w:ind w:left="1183" w:hanging="848"/>
              <w:jc w:val="left"/>
            </w:pPr>
            <w:r>
              <w:t>High Inflation (≥5.5%): 2020, 2022, 2024</w:t>
            </w:r>
          </w:p>
        </w:tc>
        <w:tc>
          <w:tcPr>
            <w:tcW w:w="1805" w:type="dxa"/>
            <w:tcBorders>
              <w:left w:val="single" w:sz="2" w:space="0" w:color="AAAAAA"/>
              <w:right w:val="single" w:sz="2" w:space="0" w:color="AAAAAA"/>
            </w:tcBorders>
          </w:tcPr>
          <w:p w14:paraId="062A9CDE" w14:textId="77777777" w:rsidR="006973B2" w:rsidRDefault="00427323">
            <w:pPr>
              <w:pStyle w:val="TableParagraph"/>
              <w:ind w:left="1" w:right="1"/>
            </w:pPr>
            <w:r>
              <w:rPr>
                <w:spacing w:val="-4"/>
              </w:rPr>
              <w:t>6.20</w:t>
            </w:r>
          </w:p>
        </w:tc>
        <w:tc>
          <w:tcPr>
            <w:tcW w:w="1805" w:type="dxa"/>
            <w:tcBorders>
              <w:left w:val="single" w:sz="2" w:space="0" w:color="AAAAAA"/>
              <w:right w:val="single" w:sz="2" w:space="0" w:color="AAAAAA"/>
            </w:tcBorders>
          </w:tcPr>
          <w:p w14:paraId="2BD0B0B7" w14:textId="77777777" w:rsidR="006973B2" w:rsidRDefault="00427323">
            <w:pPr>
              <w:pStyle w:val="TableParagraph"/>
              <w:ind w:left="1" w:right="1"/>
            </w:pPr>
            <w:r>
              <w:rPr>
                <w:spacing w:val="-4"/>
              </w:rPr>
              <w:t>5.10</w:t>
            </w:r>
          </w:p>
        </w:tc>
        <w:tc>
          <w:tcPr>
            <w:tcW w:w="1805" w:type="dxa"/>
            <w:tcBorders>
              <w:left w:val="single" w:sz="2" w:space="0" w:color="AAAAAA"/>
              <w:right w:val="single" w:sz="2" w:space="0" w:color="AAAAAA"/>
            </w:tcBorders>
          </w:tcPr>
          <w:p w14:paraId="00181B93" w14:textId="77777777" w:rsidR="006973B2" w:rsidRDefault="00427323">
            <w:pPr>
              <w:pStyle w:val="TableParagraph"/>
              <w:ind w:left="1" w:right="1"/>
            </w:pPr>
            <w:r>
              <w:rPr>
                <w:spacing w:val="-4"/>
              </w:rPr>
              <w:t>3.33</w:t>
            </w:r>
          </w:p>
        </w:tc>
      </w:tr>
      <w:tr w:rsidR="006973B2" w14:paraId="1F3E0405" w14:textId="77777777">
        <w:trPr>
          <w:trHeight w:val="325"/>
        </w:trPr>
        <w:tc>
          <w:tcPr>
            <w:tcW w:w="3384" w:type="dxa"/>
            <w:tcBorders>
              <w:left w:val="single" w:sz="2" w:space="0" w:color="AAAAAA"/>
              <w:bottom w:val="single" w:sz="2" w:space="0" w:color="AAAAAA"/>
              <w:right w:val="single" w:sz="2" w:space="0" w:color="AAAAAA"/>
            </w:tcBorders>
          </w:tcPr>
          <w:p w14:paraId="21EE124B" w14:textId="77777777" w:rsidR="006973B2" w:rsidRDefault="00427323">
            <w:pPr>
              <w:pStyle w:val="TableParagraph"/>
              <w:spacing w:line="252" w:lineRule="exact"/>
            </w:pPr>
            <w:r>
              <w:t>Difference</w:t>
            </w:r>
            <w:r>
              <w:rPr>
                <w:spacing w:val="11"/>
              </w:rPr>
              <w:t xml:space="preserve"> </w:t>
            </w:r>
            <w:r>
              <w:t>(High</w:t>
            </w:r>
            <w:r>
              <w:rPr>
                <w:spacing w:val="10"/>
              </w:rPr>
              <w:t xml:space="preserve"> </w:t>
            </w:r>
            <w:r>
              <w:t>−</w:t>
            </w:r>
            <w:r>
              <w:rPr>
                <w:spacing w:val="9"/>
              </w:rPr>
              <w:t xml:space="preserve"> </w:t>
            </w:r>
            <w:r>
              <w:rPr>
                <w:spacing w:val="-4"/>
              </w:rPr>
              <w:t>Low)</w:t>
            </w:r>
          </w:p>
        </w:tc>
        <w:tc>
          <w:tcPr>
            <w:tcW w:w="1805" w:type="dxa"/>
            <w:tcBorders>
              <w:left w:val="single" w:sz="2" w:space="0" w:color="AAAAAA"/>
              <w:bottom w:val="single" w:sz="2" w:space="0" w:color="AAAAAA"/>
              <w:right w:val="single" w:sz="2" w:space="0" w:color="AAAAAA"/>
            </w:tcBorders>
          </w:tcPr>
          <w:p w14:paraId="45409073" w14:textId="77777777" w:rsidR="006973B2" w:rsidRDefault="00427323">
            <w:pPr>
              <w:pStyle w:val="TableParagraph"/>
              <w:spacing w:line="252" w:lineRule="exact"/>
              <w:ind w:left="1" w:right="1"/>
            </w:pPr>
            <w:r>
              <w:rPr>
                <w:spacing w:val="-2"/>
              </w:rPr>
              <w:t>+0.95%</w:t>
            </w:r>
          </w:p>
        </w:tc>
        <w:tc>
          <w:tcPr>
            <w:tcW w:w="1805" w:type="dxa"/>
            <w:tcBorders>
              <w:left w:val="single" w:sz="2" w:space="0" w:color="AAAAAA"/>
              <w:bottom w:val="single" w:sz="2" w:space="0" w:color="AAAAAA"/>
              <w:right w:val="single" w:sz="2" w:space="0" w:color="AAAAAA"/>
            </w:tcBorders>
          </w:tcPr>
          <w:p w14:paraId="58F27760" w14:textId="77777777" w:rsidR="006973B2" w:rsidRDefault="00427323">
            <w:pPr>
              <w:pStyle w:val="TableParagraph"/>
              <w:spacing w:line="252" w:lineRule="exact"/>
              <w:ind w:right="1"/>
            </w:pPr>
            <w:r>
              <w:rPr>
                <w:spacing w:val="-2"/>
              </w:rPr>
              <w:t>+1.20</w:t>
            </w:r>
          </w:p>
        </w:tc>
        <w:tc>
          <w:tcPr>
            <w:tcW w:w="1805" w:type="dxa"/>
            <w:tcBorders>
              <w:left w:val="single" w:sz="2" w:space="0" w:color="AAAAAA"/>
              <w:bottom w:val="single" w:sz="2" w:space="0" w:color="AAAAAA"/>
              <w:right w:val="single" w:sz="2" w:space="0" w:color="AAAAAA"/>
            </w:tcBorders>
          </w:tcPr>
          <w:p w14:paraId="68DA716B" w14:textId="77777777" w:rsidR="006973B2" w:rsidRDefault="00427323">
            <w:pPr>
              <w:pStyle w:val="TableParagraph"/>
              <w:spacing w:line="252" w:lineRule="exact"/>
              <w:ind w:right="1"/>
            </w:pPr>
            <w:r>
              <w:rPr>
                <w:spacing w:val="-2"/>
              </w:rPr>
              <w:t>+1.58</w:t>
            </w:r>
          </w:p>
        </w:tc>
      </w:tr>
    </w:tbl>
    <w:p w14:paraId="292CE7BE" w14:textId="77777777" w:rsidR="006973B2" w:rsidRDefault="006973B2">
      <w:pPr>
        <w:pStyle w:val="BodyText"/>
        <w:spacing w:before="84"/>
        <w:rPr>
          <w:b/>
        </w:rPr>
      </w:pPr>
    </w:p>
    <w:p w14:paraId="3AC33925" w14:textId="77777777" w:rsidR="006973B2" w:rsidRDefault="00427323">
      <w:pPr>
        <w:pStyle w:val="BodyText"/>
        <w:spacing w:line="283" w:lineRule="auto"/>
        <w:ind w:left="263" w:right="284"/>
        <w:jc w:val="both"/>
      </w:pPr>
      <w:r>
        <w:t>Years</w:t>
      </w:r>
      <w:r>
        <w:rPr>
          <w:spacing w:val="12"/>
        </w:rPr>
        <w:t xml:space="preserve"> </w:t>
      </w:r>
      <w:r>
        <w:t>with</w:t>
      </w:r>
      <w:r>
        <w:rPr>
          <w:spacing w:val="14"/>
        </w:rPr>
        <w:t xml:space="preserve"> </w:t>
      </w:r>
      <w:r>
        <w:t>higher</w:t>
      </w:r>
      <w:r>
        <w:rPr>
          <w:spacing w:val="12"/>
        </w:rPr>
        <w:t xml:space="preserve"> </w:t>
      </w:r>
      <w:r>
        <w:t>inflation are</w:t>
      </w:r>
      <w:r>
        <w:rPr>
          <w:spacing w:val="13"/>
        </w:rPr>
        <w:t xml:space="preserve"> </w:t>
      </w:r>
      <w:r>
        <w:t>associated</w:t>
      </w:r>
      <w:r>
        <w:rPr>
          <w:spacing w:val="12"/>
        </w:rPr>
        <w:t xml:space="preserve"> </w:t>
      </w:r>
      <w:r>
        <w:t>with</w:t>
      </w:r>
      <w:r>
        <w:rPr>
          <w:spacing w:val="14"/>
        </w:rPr>
        <w:t xml:space="preserve"> </w:t>
      </w:r>
      <w:r>
        <w:t>a</w:t>
      </w:r>
      <w:r>
        <w:rPr>
          <w:spacing w:val="12"/>
        </w:rPr>
        <w:t xml:space="preserve"> </w:t>
      </w:r>
      <w:r>
        <w:t>31% increase</w:t>
      </w:r>
      <w:r>
        <w:rPr>
          <w:spacing w:val="12"/>
        </w:rPr>
        <w:t xml:space="preserve"> </w:t>
      </w:r>
      <w:r>
        <w:t>in</w:t>
      </w:r>
      <w:r>
        <w:rPr>
          <w:spacing w:val="14"/>
        </w:rPr>
        <w:t xml:space="preserve"> </w:t>
      </w:r>
      <w:r>
        <w:t>the</w:t>
      </w:r>
      <w:r>
        <w:rPr>
          <w:spacing w:val="12"/>
        </w:rPr>
        <w:t xml:space="preserve"> </w:t>
      </w:r>
      <w:r>
        <w:t>Budget</w:t>
      </w:r>
      <w:r>
        <w:rPr>
          <w:spacing w:val="15"/>
        </w:rPr>
        <w:t xml:space="preserve"> </w:t>
      </w:r>
      <w:r>
        <w:t>Deviation</w:t>
      </w:r>
      <w:r>
        <w:rPr>
          <w:spacing w:val="12"/>
        </w:rPr>
        <w:t xml:space="preserve"> </w:t>
      </w:r>
      <w:r>
        <w:t>Index</w:t>
      </w:r>
      <w:r>
        <w:rPr>
          <w:spacing w:val="14"/>
        </w:rPr>
        <w:t xml:space="preserve"> </w:t>
      </w:r>
      <w:r>
        <w:t>and a 90% rise in Forecast Adjustment Frequency compared to low-inflation years. This difference is both statistically meaningful and economically significant.</w:t>
      </w:r>
    </w:p>
    <w:p w14:paraId="6E74011A" w14:textId="77777777" w:rsidR="006973B2" w:rsidRDefault="006973B2">
      <w:pPr>
        <w:pStyle w:val="BodyText"/>
      </w:pPr>
    </w:p>
    <w:p w14:paraId="735B3947" w14:textId="77777777" w:rsidR="006973B2" w:rsidRDefault="006973B2">
      <w:pPr>
        <w:pStyle w:val="BodyText"/>
        <w:spacing w:before="89"/>
      </w:pPr>
    </w:p>
    <w:p w14:paraId="0DB15C4C" w14:textId="77777777" w:rsidR="006973B2" w:rsidRPr="00FD2760" w:rsidRDefault="00427323">
      <w:pPr>
        <w:pStyle w:val="Heading3"/>
        <w:numPr>
          <w:ilvl w:val="0"/>
          <w:numId w:val="6"/>
        </w:numPr>
        <w:tabs>
          <w:tab w:val="left" w:pos="487"/>
        </w:tabs>
        <w:ind w:left="487" w:hanging="224"/>
        <w:rPr>
          <w:sz w:val="24"/>
          <w:szCs w:val="24"/>
        </w:rPr>
      </w:pPr>
      <w:r w:rsidRPr="00FD2760">
        <w:rPr>
          <w:sz w:val="24"/>
          <w:szCs w:val="24"/>
        </w:rPr>
        <w:t>Pearson</w:t>
      </w:r>
      <w:r w:rsidRPr="00FD2760">
        <w:rPr>
          <w:spacing w:val="18"/>
          <w:sz w:val="24"/>
          <w:szCs w:val="24"/>
        </w:rPr>
        <w:t xml:space="preserve"> </w:t>
      </w:r>
      <w:r w:rsidRPr="00FD2760">
        <w:rPr>
          <w:sz w:val="24"/>
          <w:szCs w:val="24"/>
        </w:rPr>
        <w:t>Correlation</w:t>
      </w:r>
      <w:r w:rsidRPr="00FD2760">
        <w:rPr>
          <w:spacing w:val="19"/>
          <w:sz w:val="24"/>
          <w:szCs w:val="24"/>
        </w:rPr>
        <w:t xml:space="preserve"> </w:t>
      </w:r>
      <w:r w:rsidRPr="00FD2760">
        <w:rPr>
          <w:spacing w:val="-2"/>
          <w:sz w:val="24"/>
          <w:szCs w:val="24"/>
        </w:rPr>
        <w:t>Analysis</w:t>
      </w:r>
    </w:p>
    <w:p w14:paraId="682E7AB1" w14:textId="77777777" w:rsidR="006973B2" w:rsidRDefault="006973B2">
      <w:pPr>
        <w:pStyle w:val="BodyText"/>
        <w:spacing w:before="161"/>
        <w:rPr>
          <w:b/>
          <w:sz w:val="20"/>
        </w:rPr>
      </w:pPr>
    </w:p>
    <w:tbl>
      <w:tblPr>
        <w:tblW w:w="0" w:type="auto"/>
        <w:tblInd w:w="26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3290"/>
        <w:gridCol w:w="1221"/>
        <w:gridCol w:w="2068"/>
        <w:gridCol w:w="2217"/>
      </w:tblGrid>
      <w:tr w:rsidR="006973B2" w14:paraId="7AE632D9" w14:textId="77777777">
        <w:trPr>
          <w:trHeight w:val="581"/>
        </w:trPr>
        <w:tc>
          <w:tcPr>
            <w:tcW w:w="3290" w:type="dxa"/>
            <w:tcBorders>
              <w:left w:val="single" w:sz="2" w:space="0" w:color="AAAAAA"/>
              <w:right w:val="single" w:sz="2" w:space="0" w:color="AAAAAA"/>
            </w:tcBorders>
            <w:shd w:val="clear" w:color="auto" w:fill="1F4D79"/>
          </w:tcPr>
          <w:p w14:paraId="5A25C326" w14:textId="77777777" w:rsidR="006973B2" w:rsidRDefault="00427323">
            <w:pPr>
              <w:pStyle w:val="TableParagraph"/>
              <w:spacing w:before="1" w:line="240" w:lineRule="auto"/>
              <w:ind w:left="1034"/>
              <w:jc w:val="left"/>
              <w:rPr>
                <w:b/>
              </w:rPr>
            </w:pPr>
            <w:r>
              <w:rPr>
                <w:b/>
                <w:color w:val="FFFFFF"/>
                <w:spacing w:val="-2"/>
              </w:rPr>
              <w:t>Relationship</w:t>
            </w:r>
          </w:p>
        </w:tc>
        <w:tc>
          <w:tcPr>
            <w:tcW w:w="1221" w:type="dxa"/>
            <w:tcBorders>
              <w:left w:val="single" w:sz="2" w:space="0" w:color="AAAAAA"/>
              <w:right w:val="single" w:sz="2" w:space="0" w:color="AAAAAA"/>
            </w:tcBorders>
            <w:shd w:val="clear" w:color="auto" w:fill="1F4D79"/>
          </w:tcPr>
          <w:p w14:paraId="75BC6364" w14:textId="77777777" w:rsidR="006973B2" w:rsidRDefault="00427323">
            <w:pPr>
              <w:pStyle w:val="TableParagraph"/>
              <w:spacing w:before="1" w:line="240" w:lineRule="auto"/>
              <w:ind w:left="6" w:right="2"/>
              <w:rPr>
                <w:b/>
              </w:rPr>
            </w:pPr>
            <w:r>
              <w:rPr>
                <w:b/>
                <w:color w:val="FFFFFF"/>
              </w:rPr>
              <w:t>Pearson</w:t>
            </w:r>
            <w:r>
              <w:rPr>
                <w:b/>
                <w:color w:val="FFFFFF"/>
                <w:spacing w:val="16"/>
              </w:rPr>
              <w:t xml:space="preserve"> </w:t>
            </w:r>
            <w:r>
              <w:rPr>
                <w:b/>
                <w:color w:val="FFFFFF"/>
                <w:spacing w:val="-10"/>
              </w:rPr>
              <w:t>r</w:t>
            </w:r>
          </w:p>
        </w:tc>
        <w:tc>
          <w:tcPr>
            <w:tcW w:w="2068" w:type="dxa"/>
            <w:tcBorders>
              <w:left w:val="single" w:sz="2" w:space="0" w:color="AAAAAA"/>
              <w:right w:val="single" w:sz="2" w:space="0" w:color="AAAAAA"/>
            </w:tcBorders>
            <w:shd w:val="clear" w:color="auto" w:fill="1F4D79"/>
          </w:tcPr>
          <w:p w14:paraId="573DE452" w14:textId="77777777" w:rsidR="006973B2" w:rsidRDefault="00427323">
            <w:pPr>
              <w:pStyle w:val="TableParagraph"/>
              <w:spacing w:before="1" w:line="244" w:lineRule="auto"/>
              <w:ind w:left="507" w:hanging="60"/>
              <w:jc w:val="left"/>
              <w:rPr>
                <w:b/>
              </w:rPr>
            </w:pPr>
            <w:r>
              <w:rPr>
                <w:b/>
                <w:color w:val="FFFFFF"/>
              </w:rPr>
              <w:t>r²</w:t>
            </w:r>
            <w:r>
              <w:rPr>
                <w:b/>
                <w:color w:val="FFFFFF"/>
                <w:spacing w:val="-14"/>
              </w:rPr>
              <w:t xml:space="preserve"> </w:t>
            </w:r>
            <w:r>
              <w:rPr>
                <w:b/>
                <w:color w:val="FFFFFF"/>
              </w:rPr>
              <w:t xml:space="preserve">(Variance </w:t>
            </w:r>
            <w:r>
              <w:rPr>
                <w:b/>
                <w:color w:val="FFFFFF"/>
                <w:spacing w:val="-2"/>
              </w:rPr>
              <w:t>Explained)</w:t>
            </w:r>
          </w:p>
        </w:tc>
        <w:tc>
          <w:tcPr>
            <w:tcW w:w="2217" w:type="dxa"/>
            <w:tcBorders>
              <w:left w:val="single" w:sz="2" w:space="0" w:color="AAAAAA"/>
              <w:right w:val="single" w:sz="2" w:space="0" w:color="AAAAAA"/>
            </w:tcBorders>
            <w:shd w:val="clear" w:color="auto" w:fill="1F4D79"/>
          </w:tcPr>
          <w:p w14:paraId="7C6CF454" w14:textId="77777777" w:rsidR="006973B2" w:rsidRDefault="00427323">
            <w:pPr>
              <w:pStyle w:val="TableParagraph"/>
              <w:spacing w:before="1" w:line="240" w:lineRule="auto"/>
              <w:ind w:left="6" w:right="4"/>
              <w:rPr>
                <w:b/>
              </w:rPr>
            </w:pPr>
            <w:r>
              <w:rPr>
                <w:b/>
                <w:color w:val="FFFFFF"/>
                <w:spacing w:val="-2"/>
              </w:rPr>
              <w:t>Interpretation</w:t>
            </w:r>
          </w:p>
        </w:tc>
      </w:tr>
      <w:tr w:rsidR="006973B2" w14:paraId="259548E0" w14:textId="77777777">
        <w:trPr>
          <w:trHeight w:val="582"/>
        </w:trPr>
        <w:tc>
          <w:tcPr>
            <w:tcW w:w="3290" w:type="dxa"/>
            <w:tcBorders>
              <w:left w:val="single" w:sz="2" w:space="0" w:color="AAAAAA"/>
              <w:right w:val="single" w:sz="2" w:space="0" w:color="AAAAAA"/>
            </w:tcBorders>
          </w:tcPr>
          <w:p w14:paraId="6C39A43E" w14:textId="77777777" w:rsidR="006973B2" w:rsidRDefault="00427323">
            <w:pPr>
              <w:pStyle w:val="TableParagraph"/>
              <w:spacing w:line="244" w:lineRule="auto"/>
              <w:ind w:left="1144" w:hanging="860"/>
              <w:jc w:val="left"/>
            </w:pPr>
            <w:r>
              <w:t>Inflation → Budget Deviation Index (H1)</w:t>
            </w:r>
          </w:p>
        </w:tc>
        <w:tc>
          <w:tcPr>
            <w:tcW w:w="1221" w:type="dxa"/>
            <w:tcBorders>
              <w:left w:val="single" w:sz="2" w:space="0" w:color="AAAAAA"/>
              <w:right w:val="single" w:sz="2" w:space="0" w:color="AAAAAA"/>
            </w:tcBorders>
          </w:tcPr>
          <w:p w14:paraId="7A5ED0A3" w14:textId="77777777" w:rsidR="006973B2" w:rsidRDefault="00427323">
            <w:pPr>
              <w:pStyle w:val="TableParagraph"/>
              <w:spacing w:line="252" w:lineRule="exact"/>
              <w:ind w:left="6"/>
            </w:pPr>
            <w:r>
              <w:rPr>
                <w:spacing w:val="-2"/>
              </w:rPr>
              <w:t>0.919</w:t>
            </w:r>
          </w:p>
        </w:tc>
        <w:tc>
          <w:tcPr>
            <w:tcW w:w="2068" w:type="dxa"/>
            <w:tcBorders>
              <w:left w:val="single" w:sz="2" w:space="0" w:color="AAAAAA"/>
              <w:right w:val="single" w:sz="2" w:space="0" w:color="AAAAAA"/>
            </w:tcBorders>
          </w:tcPr>
          <w:p w14:paraId="2276EFA2" w14:textId="77777777" w:rsidR="006973B2" w:rsidRDefault="00427323">
            <w:pPr>
              <w:pStyle w:val="TableParagraph"/>
              <w:spacing w:line="252" w:lineRule="exact"/>
              <w:ind w:left="3"/>
            </w:pPr>
            <w:r>
              <w:rPr>
                <w:spacing w:val="-2"/>
              </w:rPr>
              <w:t>84.5%</w:t>
            </w:r>
          </w:p>
        </w:tc>
        <w:tc>
          <w:tcPr>
            <w:tcW w:w="2217" w:type="dxa"/>
            <w:tcBorders>
              <w:left w:val="single" w:sz="2" w:space="0" w:color="AAAAAA"/>
              <w:right w:val="single" w:sz="2" w:space="0" w:color="AAAAAA"/>
            </w:tcBorders>
          </w:tcPr>
          <w:p w14:paraId="47D3DB6A" w14:textId="77777777" w:rsidR="006973B2" w:rsidRDefault="00427323">
            <w:pPr>
              <w:pStyle w:val="TableParagraph"/>
              <w:spacing w:line="252" w:lineRule="exact"/>
              <w:ind w:left="6"/>
            </w:pPr>
            <w:r>
              <w:t>Very</w:t>
            </w:r>
            <w:r>
              <w:rPr>
                <w:spacing w:val="12"/>
              </w:rPr>
              <w:t xml:space="preserve"> </w:t>
            </w:r>
            <w:r>
              <w:t>Strong</w:t>
            </w:r>
            <w:r>
              <w:rPr>
                <w:spacing w:val="7"/>
              </w:rPr>
              <w:t xml:space="preserve"> </w:t>
            </w:r>
            <w:r>
              <w:rPr>
                <w:spacing w:val="-2"/>
              </w:rPr>
              <w:t>Positive</w:t>
            </w:r>
          </w:p>
        </w:tc>
      </w:tr>
      <w:tr w:rsidR="006973B2" w14:paraId="4637727D" w14:textId="77777777">
        <w:trPr>
          <w:trHeight w:val="587"/>
        </w:trPr>
        <w:tc>
          <w:tcPr>
            <w:tcW w:w="3290" w:type="dxa"/>
            <w:tcBorders>
              <w:left w:val="single" w:sz="2" w:space="0" w:color="AAAAAA"/>
              <w:bottom w:val="single" w:sz="2" w:space="0" w:color="AAAAAA"/>
              <w:right w:val="single" w:sz="2" w:space="0" w:color="AAAAAA"/>
            </w:tcBorders>
          </w:tcPr>
          <w:p w14:paraId="6B198B45" w14:textId="77777777" w:rsidR="006973B2" w:rsidRDefault="00427323">
            <w:pPr>
              <w:pStyle w:val="TableParagraph"/>
              <w:spacing w:line="244" w:lineRule="auto"/>
              <w:ind w:left="1166" w:right="149" w:hanging="1018"/>
              <w:jc w:val="left"/>
            </w:pPr>
            <w:r>
              <w:t>Inflation → Forecast Adjustment Freq. (H2)</w:t>
            </w:r>
          </w:p>
        </w:tc>
        <w:tc>
          <w:tcPr>
            <w:tcW w:w="1221" w:type="dxa"/>
            <w:tcBorders>
              <w:left w:val="single" w:sz="2" w:space="0" w:color="AAAAAA"/>
              <w:bottom w:val="single" w:sz="2" w:space="0" w:color="AAAAAA"/>
              <w:right w:val="single" w:sz="2" w:space="0" w:color="AAAAAA"/>
            </w:tcBorders>
          </w:tcPr>
          <w:p w14:paraId="4E00C45C" w14:textId="77777777" w:rsidR="006973B2" w:rsidRDefault="00427323">
            <w:pPr>
              <w:pStyle w:val="TableParagraph"/>
              <w:spacing w:line="252" w:lineRule="exact"/>
              <w:ind w:left="6"/>
            </w:pPr>
            <w:r>
              <w:rPr>
                <w:spacing w:val="-2"/>
              </w:rPr>
              <w:t>0.965</w:t>
            </w:r>
          </w:p>
        </w:tc>
        <w:tc>
          <w:tcPr>
            <w:tcW w:w="2068" w:type="dxa"/>
            <w:tcBorders>
              <w:left w:val="single" w:sz="2" w:space="0" w:color="AAAAAA"/>
              <w:bottom w:val="single" w:sz="2" w:space="0" w:color="AAAAAA"/>
              <w:right w:val="single" w:sz="2" w:space="0" w:color="AAAAAA"/>
            </w:tcBorders>
          </w:tcPr>
          <w:p w14:paraId="0E79E5A7" w14:textId="77777777" w:rsidR="006973B2" w:rsidRDefault="00427323">
            <w:pPr>
              <w:pStyle w:val="TableParagraph"/>
              <w:spacing w:line="252" w:lineRule="exact"/>
              <w:ind w:left="3"/>
            </w:pPr>
            <w:r>
              <w:rPr>
                <w:spacing w:val="-2"/>
              </w:rPr>
              <w:t>93.1%</w:t>
            </w:r>
          </w:p>
        </w:tc>
        <w:tc>
          <w:tcPr>
            <w:tcW w:w="2217" w:type="dxa"/>
            <w:tcBorders>
              <w:left w:val="single" w:sz="2" w:space="0" w:color="AAAAAA"/>
              <w:bottom w:val="single" w:sz="2" w:space="0" w:color="AAAAAA"/>
              <w:right w:val="single" w:sz="2" w:space="0" w:color="AAAAAA"/>
            </w:tcBorders>
          </w:tcPr>
          <w:p w14:paraId="756BDE2E" w14:textId="77777777" w:rsidR="006973B2" w:rsidRDefault="00427323">
            <w:pPr>
              <w:pStyle w:val="TableParagraph"/>
              <w:spacing w:line="252" w:lineRule="exact"/>
              <w:ind w:left="6" w:right="3"/>
            </w:pPr>
            <w:r>
              <w:t>Near-Perfect</w:t>
            </w:r>
            <w:r>
              <w:rPr>
                <w:spacing w:val="20"/>
              </w:rPr>
              <w:t xml:space="preserve"> </w:t>
            </w:r>
            <w:r>
              <w:rPr>
                <w:spacing w:val="-2"/>
              </w:rPr>
              <w:t>Positive</w:t>
            </w:r>
          </w:p>
        </w:tc>
      </w:tr>
    </w:tbl>
    <w:p w14:paraId="582FEEEA" w14:textId="77777777" w:rsidR="006973B2" w:rsidRDefault="006973B2">
      <w:pPr>
        <w:pStyle w:val="BodyText"/>
        <w:spacing w:before="79"/>
        <w:rPr>
          <w:b/>
        </w:rPr>
      </w:pPr>
    </w:p>
    <w:p w14:paraId="41ED681D" w14:textId="77777777" w:rsidR="006973B2" w:rsidRDefault="00427323">
      <w:pPr>
        <w:pStyle w:val="BodyText"/>
        <w:spacing w:before="1" w:line="280" w:lineRule="auto"/>
        <w:ind w:left="263" w:right="318"/>
      </w:pPr>
      <w:r>
        <w:t>Both correlation coefficients are well above the accepted threshold of 0.7 for a strong relationship</w:t>
      </w:r>
      <w:r>
        <w:rPr>
          <w:spacing w:val="40"/>
        </w:rPr>
        <w:t xml:space="preserve"> </w:t>
      </w:r>
      <w:r>
        <w:t>in social science research, confirming meaningful linear associations.</w:t>
      </w:r>
    </w:p>
    <w:p w14:paraId="4BC009F5" w14:textId="77777777" w:rsidR="006973B2" w:rsidRDefault="006973B2">
      <w:pPr>
        <w:pStyle w:val="BodyText"/>
      </w:pPr>
    </w:p>
    <w:p w14:paraId="214AEBA6" w14:textId="77777777" w:rsidR="006973B2" w:rsidRDefault="006973B2">
      <w:pPr>
        <w:pStyle w:val="BodyText"/>
        <w:spacing w:before="94"/>
      </w:pPr>
    </w:p>
    <w:p w14:paraId="523F0B82" w14:textId="77777777" w:rsidR="006973B2" w:rsidRPr="00FD2760" w:rsidRDefault="00427323" w:rsidP="00FD2760">
      <w:pPr>
        <w:pStyle w:val="Heading3"/>
        <w:numPr>
          <w:ilvl w:val="0"/>
          <w:numId w:val="6"/>
        </w:numPr>
        <w:tabs>
          <w:tab w:val="left" w:pos="487"/>
        </w:tabs>
        <w:spacing w:before="79"/>
        <w:ind w:left="487" w:hanging="224"/>
        <w:rPr>
          <w:sz w:val="24"/>
          <w:szCs w:val="24"/>
        </w:rPr>
      </w:pPr>
      <w:r w:rsidRPr="00FD2760">
        <w:rPr>
          <w:sz w:val="24"/>
          <w:szCs w:val="24"/>
        </w:rPr>
        <w:t>Regression Analysis — Hypothesis 1 (Budget Deviation)</w:t>
      </w:r>
    </w:p>
    <w:p w14:paraId="57A949A6" w14:textId="77777777" w:rsidR="006973B2" w:rsidRDefault="00427323">
      <w:pPr>
        <w:pStyle w:val="BodyText"/>
        <w:spacing w:before="139"/>
        <w:ind w:left="263"/>
      </w:pPr>
      <w:r>
        <w:t>Regression</w:t>
      </w:r>
      <w:r>
        <w:rPr>
          <w:spacing w:val="9"/>
        </w:rPr>
        <w:t xml:space="preserve"> </w:t>
      </w:r>
      <w:r>
        <w:t>Equation:</w:t>
      </w:r>
      <w:r>
        <w:rPr>
          <w:spacing w:val="11"/>
        </w:rPr>
        <w:t xml:space="preserve"> </w:t>
      </w:r>
      <w:r>
        <w:t>Budget</w:t>
      </w:r>
      <w:r>
        <w:rPr>
          <w:spacing w:val="11"/>
        </w:rPr>
        <w:t xml:space="preserve"> </w:t>
      </w:r>
      <w:r>
        <w:t>Deviation</w:t>
      </w:r>
      <w:r>
        <w:rPr>
          <w:spacing w:val="17"/>
        </w:rPr>
        <w:t xml:space="preserve"> </w:t>
      </w:r>
      <w:r>
        <w:t>Index</w:t>
      </w:r>
      <w:r>
        <w:rPr>
          <w:spacing w:val="13"/>
        </w:rPr>
        <w:t xml:space="preserve"> </w:t>
      </w:r>
      <w:r>
        <w:t>=</w:t>
      </w:r>
      <w:r>
        <w:rPr>
          <w:spacing w:val="11"/>
        </w:rPr>
        <w:t xml:space="preserve"> </w:t>
      </w:r>
      <w:r>
        <w:t>−2.810</w:t>
      </w:r>
      <w:r>
        <w:rPr>
          <w:spacing w:val="9"/>
        </w:rPr>
        <w:t xml:space="preserve"> </w:t>
      </w:r>
      <w:r>
        <w:t>+</w:t>
      </w:r>
      <w:r>
        <w:rPr>
          <w:spacing w:val="11"/>
        </w:rPr>
        <w:t xml:space="preserve"> </w:t>
      </w:r>
      <w:r>
        <w:t>1.277</w:t>
      </w:r>
      <w:r>
        <w:rPr>
          <w:spacing w:val="9"/>
        </w:rPr>
        <w:t xml:space="preserve"> </w:t>
      </w:r>
      <w:r>
        <w:t>×</w:t>
      </w:r>
      <w:r>
        <w:rPr>
          <w:spacing w:val="14"/>
        </w:rPr>
        <w:t xml:space="preserve"> </w:t>
      </w:r>
      <w:r>
        <w:t>Inflation</w:t>
      </w:r>
      <w:r>
        <w:rPr>
          <w:spacing w:val="9"/>
        </w:rPr>
        <w:t xml:space="preserve"> </w:t>
      </w:r>
      <w:r>
        <w:rPr>
          <w:spacing w:val="-4"/>
        </w:rPr>
        <w:t>Rate</w:t>
      </w:r>
    </w:p>
    <w:p w14:paraId="147B53D4" w14:textId="77777777" w:rsidR="006973B2" w:rsidRDefault="006973B2">
      <w:pPr>
        <w:pStyle w:val="BodyText"/>
        <w:spacing w:before="144"/>
        <w:rPr>
          <w:sz w:val="20"/>
        </w:rPr>
      </w:pPr>
    </w:p>
    <w:tbl>
      <w:tblPr>
        <w:tblW w:w="0" w:type="auto"/>
        <w:tblInd w:w="26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820"/>
        <w:gridCol w:w="1692"/>
        <w:gridCol w:w="4286"/>
      </w:tblGrid>
      <w:tr w:rsidR="006973B2" w14:paraId="03E2F0C0" w14:textId="77777777">
        <w:trPr>
          <w:trHeight w:val="322"/>
        </w:trPr>
        <w:tc>
          <w:tcPr>
            <w:tcW w:w="2820" w:type="dxa"/>
            <w:tcBorders>
              <w:left w:val="single" w:sz="2" w:space="0" w:color="AAAAAA"/>
              <w:right w:val="single" w:sz="2" w:space="0" w:color="AAAAAA"/>
            </w:tcBorders>
            <w:shd w:val="clear" w:color="auto" w:fill="1F4D79"/>
          </w:tcPr>
          <w:p w14:paraId="5A4B9C6B" w14:textId="77777777" w:rsidR="006973B2" w:rsidRDefault="00427323">
            <w:pPr>
              <w:pStyle w:val="TableParagraph"/>
              <w:spacing w:line="252" w:lineRule="exact"/>
              <w:ind w:left="102" w:right="102"/>
              <w:rPr>
                <w:b/>
              </w:rPr>
            </w:pPr>
            <w:r>
              <w:rPr>
                <w:b/>
                <w:color w:val="FFFFFF"/>
                <w:spacing w:val="-2"/>
              </w:rPr>
              <w:t>Parameter</w:t>
            </w:r>
          </w:p>
        </w:tc>
        <w:tc>
          <w:tcPr>
            <w:tcW w:w="1692" w:type="dxa"/>
            <w:tcBorders>
              <w:left w:val="single" w:sz="2" w:space="0" w:color="AAAAAA"/>
              <w:right w:val="single" w:sz="2" w:space="0" w:color="AAAAAA"/>
            </w:tcBorders>
            <w:shd w:val="clear" w:color="auto" w:fill="1F4D79"/>
          </w:tcPr>
          <w:p w14:paraId="21BC9BC0" w14:textId="77777777" w:rsidR="006973B2" w:rsidRDefault="00427323">
            <w:pPr>
              <w:pStyle w:val="TableParagraph"/>
              <w:spacing w:line="252" w:lineRule="exact"/>
              <w:ind w:left="3"/>
              <w:rPr>
                <w:b/>
              </w:rPr>
            </w:pPr>
            <w:r>
              <w:rPr>
                <w:b/>
                <w:color w:val="FFFFFF"/>
                <w:spacing w:val="-2"/>
              </w:rPr>
              <w:t>Value</w:t>
            </w:r>
          </w:p>
        </w:tc>
        <w:tc>
          <w:tcPr>
            <w:tcW w:w="4286" w:type="dxa"/>
            <w:tcBorders>
              <w:left w:val="single" w:sz="2" w:space="0" w:color="AAAAAA"/>
              <w:right w:val="single" w:sz="2" w:space="0" w:color="AAAAAA"/>
            </w:tcBorders>
            <w:shd w:val="clear" w:color="auto" w:fill="1F4D79"/>
          </w:tcPr>
          <w:p w14:paraId="5BAFD749" w14:textId="77777777" w:rsidR="006973B2" w:rsidRDefault="00427323">
            <w:pPr>
              <w:pStyle w:val="TableParagraph"/>
              <w:spacing w:line="252" w:lineRule="exact"/>
              <w:ind w:left="3" w:right="3"/>
              <w:rPr>
                <w:b/>
              </w:rPr>
            </w:pPr>
            <w:r>
              <w:rPr>
                <w:b/>
                <w:color w:val="FFFFFF"/>
                <w:spacing w:val="-2"/>
              </w:rPr>
              <w:t>Interpretation</w:t>
            </w:r>
          </w:p>
        </w:tc>
      </w:tr>
      <w:tr w:rsidR="006973B2" w14:paraId="7FD972E4" w14:textId="77777777">
        <w:trPr>
          <w:trHeight w:val="320"/>
        </w:trPr>
        <w:tc>
          <w:tcPr>
            <w:tcW w:w="2820" w:type="dxa"/>
            <w:tcBorders>
              <w:left w:val="single" w:sz="2" w:space="0" w:color="AAAAAA"/>
              <w:right w:val="single" w:sz="2" w:space="0" w:color="AAAAAA"/>
            </w:tcBorders>
          </w:tcPr>
          <w:p w14:paraId="343AB870" w14:textId="77777777" w:rsidR="006973B2" w:rsidRDefault="00427323">
            <w:pPr>
              <w:pStyle w:val="TableParagraph"/>
              <w:ind w:left="101" w:right="102"/>
            </w:pPr>
            <w:r>
              <w:t>Intercept</w:t>
            </w:r>
            <w:r>
              <w:rPr>
                <w:spacing w:val="14"/>
              </w:rPr>
              <w:t xml:space="preserve"> </w:t>
            </w:r>
            <w:r>
              <w:rPr>
                <w:spacing w:val="-5"/>
              </w:rPr>
              <w:t>(a)</w:t>
            </w:r>
          </w:p>
        </w:tc>
        <w:tc>
          <w:tcPr>
            <w:tcW w:w="1692" w:type="dxa"/>
            <w:tcBorders>
              <w:left w:val="single" w:sz="2" w:space="0" w:color="AAAAAA"/>
              <w:right w:val="single" w:sz="2" w:space="0" w:color="AAAAAA"/>
            </w:tcBorders>
          </w:tcPr>
          <w:p w14:paraId="4BC26D7D" w14:textId="77777777" w:rsidR="006973B2" w:rsidRDefault="00427323">
            <w:pPr>
              <w:pStyle w:val="TableParagraph"/>
              <w:ind w:left="3" w:right="3"/>
            </w:pPr>
            <w:r>
              <w:rPr>
                <w:spacing w:val="-2"/>
              </w:rPr>
              <w:t>−2.810</w:t>
            </w:r>
          </w:p>
        </w:tc>
        <w:tc>
          <w:tcPr>
            <w:tcW w:w="4286" w:type="dxa"/>
            <w:tcBorders>
              <w:left w:val="single" w:sz="2" w:space="0" w:color="AAAAAA"/>
              <w:right w:val="single" w:sz="2" w:space="0" w:color="AAAAAA"/>
            </w:tcBorders>
          </w:tcPr>
          <w:p w14:paraId="7CEF3537" w14:textId="77777777" w:rsidR="006973B2" w:rsidRDefault="00427323">
            <w:pPr>
              <w:pStyle w:val="TableParagraph"/>
              <w:ind w:left="1" w:right="4"/>
            </w:pPr>
            <w:r>
              <w:t>Baseline</w:t>
            </w:r>
            <w:r>
              <w:rPr>
                <w:spacing w:val="12"/>
              </w:rPr>
              <w:t xml:space="preserve"> </w:t>
            </w:r>
            <w:r>
              <w:t>BDI</w:t>
            </w:r>
            <w:r>
              <w:rPr>
                <w:spacing w:val="8"/>
              </w:rPr>
              <w:t xml:space="preserve"> </w:t>
            </w:r>
            <w:r>
              <w:t>when</w:t>
            </w:r>
            <w:r>
              <w:rPr>
                <w:spacing w:val="11"/>
              </w:rPr>
              <w:t xml:space="preserve"> </w:t>
            </w:r>
            <w:r>
              <w:t>inflation</w:t>
            </w:r>
            <w:r>
              <w:rPr>
                <w:spacing w:val="11"/>
              </w:rPr>
              <w:t xml:space="preserve"> </w:t>
            </w:r>
            <w:r>
              <w:t>=</w:t>
            </w:r>
            <w:r>
              <w:rPr>
                <w:spacing w:val="10"/>
              </w:rPr>
              <w:t xml:space="preserve"> </w:t>
            </w:r>
            <w:r>
              <w:rPr>
                <w:spacing w:val="-5"/>
              </w:rPr>
              <w:t>0%</w:t>
            </w:r>
          </w:p>
        </w:tc>
      </w:tr>
      <w:tr w:rsidR="006973B2" w14:paraId="1AF9CECD" w14:textId="77777777">
        <w:trPr>
          <w:trHeight w:val="581"/>
        </w:trPr>
        <w:tc>
          <w:tcPr>
            <w:tcW w:w="2820" w:type="dxa"/>
            <w:tcBorders>
              <w:left w:val="single" w:sz="2" w:space="0" w:color="AAAAAA"/>
              <w:right w:val="single" w:sz="2" w:space="0" w:color="AAAAAA"/>
            </w:tcBorders>
          </w:tcPr>
          <w:p w14:paraId="54199508" w14:textId="77777777" w:rsidR="006973B2" w:rsidRDefault="00427323">
            <w:pPr>
              <w:pStyle w:val="TableParagraph"/>
              <w:spacing w:line="252" w:lineRule="exact"/>
              <w:ind w:left="102" w:right="102"/>
            </w:pPr>
            <w:r>
              <w:t>Regression</w:t>
            </w:r>
            <w:r>
              <w:rPr>
                <w:spacing w:val="19"/>
              </w:rPr>
              <w:t xml:space="preserve"> </w:t>
            </w:r>
            <w:r>
              <w:t>Coefficient</w:t>
            </w:r>
            <w:r>
              <w:rPr>
                <w:spacing w:val="20"/>
              </w:rPr>
              <w:t xml:space="preserve"> </w:t>
            </w:r>
            <w:r>
              <w:rPr>
                <w:spacing w:val="-5"/>
              </w:rPr>
              <w:t>(b)</w:t>
            </w:r>
          </w:p>
        </w:tc>
        <w:tc>
          <w:tcPr>
            <w:tcW w:w="1692" w:type="dxa"/>
            <w:tcBorders>
              <w:left w:val="single" w:sz="2" w:space="0" w:color="AAAAAA"/>
              <w:right w:val="single" w:sz="2" w:space="0" w:color="AAAAAA"/>
            </w:tcBorders>
          </w:tcPr>
          <w:p w14:paraId="747725A6" w14:textId="77777777" w:rsidR="006973B2" w:rsidRDefault="00427323">
            <w:pPr>
              <w:pStyle w:val="TableParagraph"/>
              <w:spacing w:line="252" w:lineRule="exact"/>
              <w:ind w:left="3" w:right="3"/>
            </w:pPr>
            <w:r>
              <w:rPr>
                <w:spacing w:val="-2"/>
              </w:rPr>
              <w:t>1.277</w:t>
            </w:r>
          </w:p>
        </w:tc>
        <w:tc>
          <w:tcPr>
            <w:tcW w:w="4286" w:type="dxa"/>
            <w:tcBorders>
              <w:left w:val="single" w:sz="2" w:space="0" w:color="AAAAAA"/>
              <w:right w:val="single" w:sz="2" w:space="0" w:color="AAAAAA"/>
            </w:tcBorders>
          </w:tcPr>
          <w:p w14:paraId="19EC5807" w14:textId="77777777" w:rsidR="006973B2" w:rsidRDefault="00427323">
            <w:pPr>
              <w:pStyle w:val="TableParagraph"/>
              <w:spacing w:line="244" w:lineRule="auto"/>
              <w:ind w:left="1922" w:right="309" w:hanging="1611"/>
              <w:jc w:val="left"/>
            </w:pPr>
            <w:r>
              <w:t xml:space="preserve">Each 1% rise in inflation → +1.277 BDI </w:t>
            </w:r>
            <w:r>
              <w:rPr>
                <w:spacing w:val="-4"/>
              </w:rPr>
              <w:t>units</w:t>
            </w:r>
          </w:p>
        </w:tc>
      </w:tr>
      <w:tr w:rsidR="006973B2" w14:paraId="79602DD2" w14:textId="77777777">
        <w:trPr>
          <w:trHeight w:val="584"/>
        </w:trPr>
        <w:tc>
          <w:tcPr>
            <w:tcW w:w="2820" w:type="dxa"/>
            <w:tcBorders>
              <w:left w:val="single" w:sz="2" w:space="0" w:color="AAAAAA"/>
              <w:bottom w:val="single" w:sz="2" w:space="0" w:color="AAAAAA"/>
              <w:right w:val="single" w:sz="2" w:space="0" w:color="AAAAAA"/>
            </w:tcBorders>
          </w:tcPr>
          <w:p w14:paraId="7C7F422B" w14:textId="77777777" w:rsidR="006973B2" w:rsidRDefault="00427323">
            <w:pPr>
              <w:pStyle w:val="TableParagraph"/>
              <w:spacing w:line="247" w:lineRule="auto"/>
              <w:ind w:left="717" w:hanging="113"/>
              <w:jc w:val="left"/>
            </w:pPr>
            <w:r>
              <w:t>R² (Coefficient</w:t>
            </w:r>
            <w:r>
              <w:rPr>
                <w:spacing w:val="-1"/>
              </w:rPr>
              <w:t xml:space="preserve"> </w:t>
            </w:r>
            <w:r>
              <w:t xml:space="preserve">of </w:t>
            </w:r>
            <w:r>
              <w:rPr>
                <w:spacing w:val="-2"/>
              </w:rPr>
              <w:t>Determination)</w:t>
            </w:r>
          </w:p>
        </w:tc>
        <w:tc>
          <w:tcPr>
            <w:tcW w:w="1692" w:type="dxa"/>
            <w:tcBorders>
              <w:left w:val="single" w:sz="2" w:space="0" w:color="AAAAAA"/>
              <w:bottom w:val="single" w:sz="2" w:space="0" w:color="AAAAAA"/>
              <w:right w:val="single" w:sz="2" w:space="0" w:color="AAAAAA"/>
            </w:tcBorders>
          </w:tcPr>
          <w:p w14:paraId="391A7890" w14:textId="77777777" w:rsidR="006973B2" w:rsidRDefault="00427323">
            <w:pPr>
              <w:pStyle w:val="TableParagraph"/>
              <w:ind w:left="3" w:right="3"/>
            </w:pPr>
            <w:r>
              <w:rPr>
                <w:spacing w:val="-2"/>
              </w:rPr>
              <w:t>0.845</w:t>
            </w:r>
          </w:p>
        </w:tc>
        <w:tc>
          <w:tcPr>
            <w:tcW w:w="4286" w:type="dxa"/>
            <w:tcBorders>
              <w:left w:val="single" w:sz="2" w:space="0" w:color="AAAAAA"/>
              <w:bottom w:val="single" w:sz="2" w:space="0" w:color="AAAAAA"/>
              <w:right w:val="single" w:sz="2" w:space="0" w:color="AAAAAA"/>
            </w:tcBorders>
          </w:tcPr>
          <w:p w14:paraId="478FF96A" w14:textId="77777777" w:rsidR="006973B2" w:rsidRDefault="00427323">
            <w:pPr>
              <w:pStyle w:val="TableParagraph"/>
              <w:spacing w:line="247" w:lineRule="auto"/>
              <w:ind w:left="1759" w:hanging="1270"/>
              <w:jc w:val="left"/>
            </w:pPr>
            <w:r>
              <w:t xml:space="preserve">84.5% of BDI variance explained by </w:t>
            </w:r>
            <w:r>
              <w:rPr>
                <w:spacing w:val="-2"/>
              </w:rPr>
              <w:t>inflation</w:t>
            </w:r>
          </w:p>
        </w:tc>
      </w:tr>
    </w:tbl>
    <w:p w14:paraId="79CADB14" w14:textId="77777777" w:rsidR="006973B2" w:rsidRDefault="006973B2">
      <w:pPr>
        <w:pStyle w:val="TableParagraph"/>
        <w:spacing w:line="247" w:lineRule="auto"/>
        <w:jc w:val="left"/>
        <w:sectPr w:rsidR="006973B2">
          <w:pgSz w:w="12240" w:h="15840"/>
          <w:pgMar w:top="1280" w:right="1440" w:bottom="280" w:left="1440" w:header="720" w:footer="720" w:gutter="0"/>
          <w:cols w:space="720"/>
        </w:sectPr>
      </w:pPr>
    </w:p>
    <w:p w14:paraId="76438FF7" w14:textId="77777777" w:rsidR="006973B2" w:rsidRDefault="00427323">
      <w:pPr>
        <w:pStyle w:val="BodyText"/>
        <w:spacing w:before="79" w:line="283" w:lineRule="auto"/>
        <w:ind w:left="263" w:right="279"/>
        <w:jc w:val="both"/>
      </w:pPr>
      <w:r>
        <w:lastRenderedPageBreak/>
        <w:t>Inflation alone accounts for 84.5% of the variation in the Budget Deviation Index. The slope coefficient of 1.277 indicates that for every one</w:t>
      </w:r>
      <w:r>
        <w:rPr>
          <w:spacing w:val="36"/>
        </w:rPr>
        <w:t xml:space="preserve"> </w:t>
      </w:r>
      <w:r>
        <w:t>percentage point</w:t>
      </w:r>
      <w:r>
        <w:rPr>
          <w:spacing w:val="34"/>
        </w:rPr>
        <w:t xml:space="preserve"> </w:t>
      </w:r>
      <w:r>
        <w:t>increase in inflation,</w:t>
      </w:r>
      <w:r>
        <w:rPr>
          <w:spacing w:val="37"/>
        </w:rPr>
        <w:t xml:space="preserve"> </w:t>
      </w:r>
      <w:r>
        <w:t>the BDI rises by approximately 1.28 units. Decision: H1₀ is rejected — inflation has a significant positive impact on budgeting variance.</w:t>
      </w:r>
    </w:p>
    <w:p w14:paraId="18F6E0C2" w14:textId="77777777" w:rsidR="006973B2" w:rsidRDefault="006973B2">
      <w:pPr>
        <w:pStyle w:val="BodyText"/>
      </w:pPr>
    </w:p>
    <w:p w14:paraId="521926DA" w14:textId="77777777" w:rsidR="006973B2" w:rsidRDefault="006973B2">
      <w:pPr>
        <w:pStyle w:val="BodyText"/>
        <w:spacing w:before="90"/>
      </w:pPr>
    </w:p>
    <w:p w14:paraId="29F451C3" w14:textId="77777777" w:rsidR="006973B2" w:rsidRPr="00FD22F5" w:rsidRDefault="00427323" w:rsidP="00FD22F5">
      <w:pPr>
        <w:pStyle w:val="Heading3"/>
        <w:numPr>
          <w:ilvl w:val="0"/>
          <w:numId w:val="6"/>
        </w:numPr>
        <w:tabs>
          <w:tab w:val="left" w:pos="487"/>
        </w:tabs>
        <w:spacing w:before="79"/>
        <w:ind w:left="487" w:hanging="224"/>
        <w:rPr>
          <w:sz w:val="24"/>
          <w:szCs w:val="24"/>
        </w:rPr>
      </w:pPr>
      <w:r w:rsidRPr="00FD22F5">
        <w:rPr>
          <w:sz w:val="24"/>
          <w:szCs w:val="24"/>
        </w:rPr>
        <w:t>Regression Analysis — Hypothesis 2 (Forecast Revisions)</w:t>
      </w:r>
    </w:p>
    <w:p w14:paraId="1CF17424" w14:textId="77777777" w:rsidR="006973B2" w:rsidRDefault="00427323">
      <w:pPr>
        <w:pStyle w:val="BodyText"/>
        <w:spacing w:before="136"/>
        <w:ind w:left="263"/>
        <w:jc w:val="both"/>
      </w:pPr>
      <w:r>
        <w:t>Regression</w:t>
      </w:r>
      <w:r>
        <w:rPr>
          <w:spacing w:val="9"/>
        </w:rPr>
        <w:t xml:space="preserve"> </w:t>
      </w:r>
      <w:r>
        <w:t>Equation:</w:t>
      </w:r>
      <w:r>
        <w:rPr>
          <w:spacing w:val="11"/>
        </w:rPr>
        <w:t xml:space="preserve"> </w:t>
      </w:r>
      <w:r>
        <w:t>Forecast</w:t>
      </w:r>
      <w:r>
        <w:rPr>
          <w:spacing w:val="14"/>
        </w:rPr>
        <w:t xml:space="preserve"> </w:t>
      </w:r>
      <w:r>
        <w:t>Adjustments</w:t>
      </w:r>
      <w:r>
        <w:rPr>
          <w:spacing w:val="12"/>
        </w:rPr>
        <w:t xml:space="preserve"> </w:t>
      </w:r>
      <w:r>
        <w:t>=</w:t>
      </w:r>
      <w:r>
        <w:rPr>
          <w:spacing w:val="10"/>
        </w:rPr>
        <w:t xml:space="preserve"> </w:t>
      </w:r>
      <w:r>
        <w:t>−6.113</w:t>
      </w:r>
      <w:r>
        <w:rPr>
          <w:spacing w:val="14"/>
        </w:rPr>
        <w:t xml:space="preserve"> </w:t>
      </w:r>
      <w:r>
        <w:t>+</w:t>
      </w:r>
      <w:r>
        <w:rPr>
          <w:spacing w:val="11"/>
        </w:rPr>
        <w:t xml:space="preserve"> </w:t>
      </w:r>
      <w:r>
        <w:t>1.510</w:t>
      </w:r>
      <w:r>
        <w:rPr>
          <w:spacing w:val="14"/>
        </w:rPr>
        <w:t xml:space="preserve"> </w:t>
      </w:r>
      <w:r>
        <w:t>×</w:t>
      </w:r>
      <w:r>
        <w:rPr>
          <w:spacing w:val="13"/>
        </w:rPr>
        <w:t xml:space="preserve"> </w:t>
      </w:r>
      <w:r>
        <w:t>Inflation</w:t>
      </w:r>
      <w:r>
        <w:rPr>
          <w:spacing w:val="11"/>
        </w:rPr>
        <w:t xml:space="preserve"> </w:t>
      </w:r>
      <w:r>
        <w:rPr>
          <w:spacing w:val="-4"/>
        </w:rPr>
        <w:t>Rate</w:t>
      </w:r>
    </w:p>
    <w:p w14:paraId="76015BCC" w14:textId="77777777" w:rsidR="006973B2" w:rsidRDefault="006973B2">
      <w:pPr>
        <w:pStyle w:val="BodyText"/>
        <w:spacing w:before="147" w:after="1"/>
        <w:rPr>
          <w:sz w:val="20"/>
        </w:rPr>
      </w:pPr>
    </w:p>
    <w:tbl>
      <w:tblPr>
        <w:tblW w:w="0" w:type="auto"/>
        <w:tblInd w:w="26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820"/>
        <w:gridCol w:w="1692"/>
        <w:gridCol w:w="4286"/>
      </w:tblGrid>
      <w:tr w:rsidR="006973B2" w14:paraId="59B91B8A" w14:textId="77777777">
        <w:trPr>
          <w:trHeight w:val="320"/>
        </w:trPr>
        <w:tc>
          <w:tcPr>
            <w:tcW w:w="2820" w:type="dxa"/>
            <w:tcBorders>
              <w:left w:val="single" w:sz="2" w:space="0" w:color="AAAAAA"/>
              <w:right w:val="single" w:sz="2" w:space="0" w:color="AAAAAA"/>
            </w:tcBorders>
            <w:shd w:val="clear" w:color="auto" w:fill="1F4D79"/>
          </w:tcPr>
          <w:p w14:paraId="2D2B8F55" w14:textId="77777777" w:rsidR="006973B2" w:rsidRDefault="00427323">
            <w:pPr>
              <w:pStyle w:val="TableParagraph"/>
              <w:spacing w:line="252" w:lineRule="exact"/>
              <w:ind w:left="102" w:right="102"/>
              <w:rPr>
                <w:b/>
              </w:rPr>
            </w:pPr>
            <w:r>
              <w:rPr>
                <w:b/>
                <w:color w:val="FFFFFF"/>
                <w:spacing w:val="-2"/>
              </w:rPr>
              <w:t>Parameter</w:t>
            </w:r>
          </w:p>
        </w:tc>
        <w:tc>
          <w:tcPr>
            <w:tcW w:w="1692" w:type="dxa"/>
            <w:tcBorders>
              <w:left w:val="single" w:sz="2" w:space="0" w:color="AAAAAA"/>
              <w:right w:val="single" w:sz="2" w:space="0" w:color="AAAAAA"/>
            </w:tcBorders>
            <w:shd w:val="clear" w:color="auto" w:fill="1F4D79"/>
          </w:tcPr>
          <w:p w14:paraId="7B266AD8" w14:textId="77777777" w:rsidR="006973B2" w:rsidRDefault="00427323">
            <w:pPr>
              <w:pStyle w:val="TableParagraph"/>
              <w:spacing w:line="252" w:lineRule="exact"/>
              <w:ind w:left="3"/>
              <w:rPr>
                <w:b/>
              </w:rPr>
            </w:pPr>
            <w:r>
              <w:rPr>
                <w:b/>
                <w:color w:val="FFFFFF"/>
                <w:spacing w:val="-2"/>
              </w:rPr>
              <w:t>Value</w:t>
            </w:r>
          </w:p>
        </w:tc>
        <w:tc>
          <w:tcPr>
            <w:tcW w:w="4286" w:type="dxa"/>
            <w:tcBorders>
              <w:left w:val="single" w:sz="2" w:space="0" w:color="AAAAAA"/>
              <w:right w:val="single" w:sz="2" w:space="0" w:color="AAAAAA"/>
            </w:tcBorders>
            <w:shd w:val="clear" w:color="auto" w:fill="1F4D79"/>
          </w:tcPr>
          <w:p w14:paraId="0BDDDECD" w14:textId="77777777" w:rsidR="006973B2" w:rsidRDefault="00427323">
            <w:pPr>
              <w:pStyle w:val="TableParagraph"/>
              <w:spacing w:line="252" w:lineRule="exact"/>
              <w:ind w:left="3" w:right="3"/>
              <w:rPr>
                <w:b/>
              </w:rPr>
            </w:pPr>
            <w:r>
              <w:rPr>
                <w:b/>
                <w:color w:val="FFFFFF"/>
                <w:spacing w:val="-2"/>
              </w:rPr>
              <w:t>Interpretation</w:t>
            </w:r>
          </w:p>
        </w:tc>
      </w:tr>
      <w:tr w:rsidR="006973B2" w14:paraId="26F06A51" w14:textId="77777777">
        <w:trPr>
          <w:trHeight w:val="322"/>
        </w:trPr>
        <w:tc>
          <w:tcPr>
            <w:tcW w:w="2820" w:type="dxa"/>
            <w:tcBorders>
              <w:left w:val="single" w:sz="2" w:space="0" w:color="AAAAAA"/>
              <w:right w:val="single" w:sz="2" w:space="0" w:color="AAAAAA"/>
            </w:tcBorders>
          </w:tcPr>
          <w:p w14:paraId="2D625866" w14:textId="77777777" w:rsidR="006973B2" w:rsidRDefault="00427323">
            <w:pPr>
              <w:pStyle w:val="TableParagraph"/>
              <w:spacing w:line="252" w:lineRule="exact"/>
              <w:ind w:left="101" w:right="102"/>
            </w:pPr>
            <w:r>
              <w:t>Intercept</w:t>
            </w:r>
            <w:r>
              <w:rPr>
                <w:spacing w:val="14"/>
              </w:rPr>
              <w:t xml:space="preserve"> </w:t>
            </w:r>
            <w:r>
              <w:rPr>
                <w:spacing w:val="-5"/>
              </w:rPr>
              <w:t>(a)</w:t>
            </w:r>
          </w:p>
        </w:tc>
        <w:tc>
          <w:tcPr>
            <w:tcW w:w="1692" w:type="dxa"/>
            <w:tcBorders>
              <w:left w:val="single" w:sz="2" w:space="0" w:color="AAAAAA"/>
              <w:right w:val="single" w:sz="2" w:space="0" w:color="AAAAAA"/>
            </w:tcBorders>
          </w:tcPr>
          <w:p w14:paraId="30E5FDAC" w14:textId="77777777" w:rsidR="006973B2" w:rsidRDefault="00427323">
            <w:pPr>
              <w:pStyle w:val="TableParagraph"/>
              <w:spacing w:line="252" w:lineRule="exact"/>
              <w:ind w:left="3" w:right="3"/>
            </w:pPr>
            <w:r>
              <w:rPr>
                <w:spacing w:val="-2"/>
              </w:rPr>
              <w:t>−6.113</w:t>
            </w:r>
          </w:p>
        </w:tc>
        <w:tc>
          <w:tcPr>
            <w:tcW w:w="4286" w:type="dxa"/>
            <w:tcBorders>
              <w:left w:val="single" w:sz="2" w:space="0" w:color="AAAAAA"/>
              <w:right w:val="single" w:sz="2" w:space="0" w:color="AAAAAA"/>
            </w:tcBorders>
          </w:tcPr>
          <w:p w14:paraId="0241874E" w14:textId="77777777" w:rsidR="006973B2" w:rsidRDefault="00427323">
            <w:pPr>
              <w:pStyle w:val="TableParagraph"/>
              <w:spacing w:line="252" w:lineRule="exact"/>
              <w:ind w:left="4" w:right="3"/>
            </w:pPr>
            <w:r>
              <w:t>Baseline</w:t>
            </w:r>
            <w:r>
              <w:rPr>
                <w:spacing w:val="11"/>
              </w:rPr>
              <w:t xml:space="preserve"> </w:t>
            </w:r>
            <w:r>
              <w:t>FAF</w:t>
            </w:r>
            <w:r>
              <w:rPr>
                <w:spacing w:val="9"/>
              </w:rPr>
              <w:t xml:space="preserve"> </w:t>
            </w:r>
            <w:r>
              <w:t>when</w:t>
            </w:r>
            <w:r>
              <w:rPr>
                <w:spacing w:val="10"/>
              </w:rPr>
              <w:t xml:space="preserve"> </w:t>
            </w:r>
            <w:r>
              <w:t>inflation</w:t>
            </w:r>
            <w:r>
              <w:rPr>
                <w:spacing w:val="11"/>
              </w:rPr>
              <w:t xml:space="preserve"> </w:t>
            </w:r>
            <w:r>
              <w:t>=</w:t>
            </w:r>
            <w:r>
              <w:rPr>
                <w:spacing w:val="16"/>
              </w:rPr>
              <w:t xml:space="preserve"> </w:t>
            </w:r>
            <w:r>
              <w:rPr>
                <w:spacing w:val="-5"/>
              </w:rPr>
              <w:t>0%</w:t>
            </w:r>
          </w:p>
        </w:tc>
      </w:tr>
      <w:tr w:rsidR="006973B2" w14:paraId="19F2F8CF" w14:textId="77777777">
        <w:trPr>
          <w:trHeight w:val="579"/>
        </w:trPr>
        <w:tc>
          <w:tcPr>
            <w:tcW w:w="2820" w:type="dxa"/>
            <w:tcBorders>
              <w:left w:val="single" w:sz="2" w:space="0" w:color="AAAAAA"/>
              <w:right w:val="single" w:sz="2" w:space="0" w:color="AAAAAA"/>
            </w:tcBorders>
          </w:tcPr>
          <w:p w14:paraId="702B7AFE" w14:textId="77777777" w:rsidR="006973B2" w:rsidRDefault="00427323">
            <w:pPr>
              <w:pStyle w:val="TableParagraph"/>
              <w:spacing w:line="252" w:lineRule="exact"/>
              <w:ind w:left="102" w:right="102"/>
            </w:pPr>
            <w:r>
              <w:t>Regression</w:t>
            </w:r>
            <w:r>
              <w:rPr>
                <w:spacing w:val="19"/>
              </w:rPr>
              <w:t xml:space="preserve"> </w:t>
            </w:r>
            <w:r>
              <w:t>Coefficient</w:t>
            </w:r>
            <w:r>
              <w:rPr>
                <w:spacing w:val="20"/>
              </w:rPr>
              <w:t xml:space="preserve"> </w:t>
            </w:r>
            <w:r>
              <w:rPr>
                <w:spacing w:val="-5"/>
              </w:rPr>
              <w:t>(b)</w:t>
            </w:r>
          </w:p>
        </w:tc>
        <w:tc>
          <w:tcPr>
            <w:tcW w:w="1692" w:type="dxa"/>
            <w:tcBorders>
              <w:left w:val="single" w:sz="2" w:space="0" w:color="AAAAAA"/>
              <w:right w:val="single" w:sz="2" w:space="0" w:color="AAAAAA"/>
            </w:tcBorders>
          </w:tcPr>
          <w:p w14:paraId="4F1A63C0" w14:textId="77777777" w:rsidR="006973B2" w:rsidRDefault="00427323">
            <w:pPr>
              <w:pStyle w:val="TableParagraph"/>
              <w:spacing w:line="252" w:lineRule="exact"/>
              <w:ind w:left="3" w:right="3"/>
            </w:pPr>
            <w:r>
              <w:rPr>
                <w:spacing w:val="-2"/>
              </w:rPr>
              <w:t>1.510</w:t>
            </w:r>
          </w:p>
        </w:tc>
        <w:tc>
          <w:tcPr>
            <w:tcW w:w="4286" w:type="dxa"/>
            <w:tcBorders>
              <w:left w:val="single" w:sz="2" w:space="0" w:color="AAAAAA"/>
              <w:right w:val="single" w:sz="2" w:space="0" w:color="AAAAAA"/>
            </w:tcBorders>
          </w:tcPr>
          <w:p w14:paraId="427191CB" w14:textId="77777777" w:rsidR="006973B2" w:rsidRDefault="00427323">
            <w:pPr>
              <w:pStyle w:val="TableParagraph"/>
              <w:spacing w:line="244" w:lineRule="auto"/>
              <w:ind w:left="868" w:hanging="336"/>
              <w:jc w:val="left"/>
            </w:pPr>
            <w:r>
              <w:t>Each 1% rise in inflation → +1.510 additional forecast revisions</w:t>
            </w:r>
          </w:p>
        </w:tc>
      </w:tr>
      <w:tr w:rsidR="006973B2" w14:paraId="632C88C9" w14:textId="77777777">
        <w:trPr>
          <w:trHeight w:val="590"/>
        </w:trPr>
        <w:tc>
          <w:tcPr>
            <w:tcW w:w="2820" w:type="dxa"/>
            <w:tcBorders>
              <w:left w:val="single" w:sz="2" w:space="0" w:color="AAAAAA"/>
              <w:bottom w:val="nil"/>
              <w:right w:val="single" w:sz="2" w:space="0" w:color="AAAAAA"/>
            </w:tcBorders>
          </w:tcPr>
          <w:p w14:paraId="193FCB6F" w14:textId="77777777" w:rsidR="006973B2" w:rsidRDefault="00427323">
            <w:pPr>
              <w:pStyle w:val="TableParagraph"/>
              <w:spacing w:line="244" w:lineRule="auto"/>
              <w:ind w:left="717" w:hanging="113"/>
              <w:jc w:val="left"/>
            </w:pPr>
            <w:r>
              <w:t>R² (Coefficient</w:t>
            </w:r>
            <w:r>
              <w:rPr>
                <w:spacing w:val="-1"/>
              </w:rPr>
              <w:t xml:space="preserve"> </w:t>
            </w:r>
            <w:r>
              <w:t xml:space="preserve">of </w:t>
            </w:r>
            <w:r>
              <w:rPr>
                <w:spacing w:val="-2"/>
              </w:rPr>
              <w:t>Determination)</w:t>
            </w:r>
          </w:p>
        </w:tc>
        <w:tc>
          <w:tcPr>
            <w:tcW w:w="1692" w:type="dxa"/>
            <w:tcBorders>
              <w:left w:val="single" w:sz="2" w:space="0" w:color="AAAAAA"/>
              <w:bottom w:val="nil"/>
              <w:right w:val="single" w:sz="2" w:space="0" w:color="AAAAAA"/>
            </w:tcBorders>
          </w:tcPr>
          <w:p w14:paraId="3F6C1793" w14:textId="77777777" w:rsidR="006973B2" w:rsidRDefault="00427323">
            <w:pPr>
              <w:pStyle w:val="TableParagraph"/>
              <w:spacing w:line="252" w:lineRule="exact"/>
              <w:ind w:left="3" w:right="3"/>
            </w:pPr>
            <w:r>
              <w:rPr>
                <w:spacing w:val="-2"/>
              </w:rPr>
              <w:t>0.931</w:t>
            </w:r>
          </w:p>
        </w:tc>
        <w:tc>
          <w:tcPr>
            <w:tcW w:w="4286" w:type="dxa"/>
            <w:tcBorders>
              <w:left w:val="single" w:sz="2" w:space="0" w:color="AAAAAA"/>
              <w:bottom w:val="nil"/>
              <w:right w:val="single" w:sz="2" w:space="0" w:color="AAAAAA"/>
            </w:tcBorders>
          </w:tcPr>
          <w:p w14:paraId="30D1295C" w14:textId="77777777" w:rsidR="006973B2" w:rsidRDefault="00427323">
            <w:pPr>
              <w:pStyle w:val="TableParagraph"/>
              <w:spacing w:line="244" w:lineRule="auto"/>
              <w:ind w:left="1759" w:hanging="1284"/>
              <w:jc w:val="left"/>
            </w:pPr>
            <w:r>
              <w:t xml:space="preserve">93.1% of FAF variance explained by </w:t>
            </w:r>
            <w:r>
              <w:rPr>
                <w:spacing w:val="-2"/>
              </w:rPr>
              <w:t>inflation</w:t>
            </w:r>
          </w:p>
        </w:tc>
      </w:tr>
    </w:tbl>
    <w:p w14:paraId="3E88631B" w14:textId="77777777" w:rsidR="006973B2" w:rsidRDefault="006973B2">
      <w:pPr>
        <w:pStyle w:val="BodyText"/>
        <w:spacing w:before="85"/>
      </w:pPr>
    </w:p>
    <w:p w14:paraId="114EE5B8" w14:textId="77777777" w:rsidR="006973B2" w:rsidRDefault="00427323">
      <w:pPr>
        <w:pStyle w:val="BodyText"/>
        <w:spacing w:line="280" w:lineRule="auto"/>
        <w:ind w:left="263" w:right="281"/>
        <w:jc w:val="both"/>
      </w:pPr>
      <w:r>
        <w:t>An R² value of 0.931 is exceptionally high, suggesting inflation plays a dominant role in explaining forecast revision frequency. Decision: H2₀ is rejected — inflation is a near-perfect predictor of forecast adjustment frequency.</w:t>
      </w:r>
    </w:p>
    <w:p w14:paraId="1ACF6E55" w14:textId="77777777" w:rsidR="006973B2" w:rsidRDefault="006973B2">
      <w:pPr>
        <w:pStyle w:val="BodyText"/>
      </w:pPr>
    </w:p>
    <w:p w14:paraId="22C865FB" w14:textId="77777777" w:rsidR="006973B2" w:rsidRDefault="006973B2">
      <w:pPr>
        <w:pStyle w:val="BodyText"/>
        <w:spacing w:before="96"/>
      </w:pPr>
    </w:p>
    <w:p w14:paraId="7CFD2360" w14:textId="77777777" w:rsidR="006973B2" w:rsidRPr="00FD22F5" w:rsidRDefault="00427323" w:rsidP="00FD22F5">
      <w:pPr>
        <w:pStyle w:val="Heading3"/>
        <w:numPr>
          <w:ilvl w:val="0"/>
          <w:numId w:val="6"/>
        </w:numPr>
        <w:tabs>
          <w:tab w:val="left" w:pos="487"/>
        </w:tabs>
        <w:spacing w:before="79"/>
        <w:ind w:left="487" w:hanging="224"/>
        <w:rPr>
          <w:sz w:val="24"/>
          <w:szCs w:val="24"/>
        </w:rPr>
      </w:pPr>
      <w:r w:rsidRPr="00FD22F5">
        <w:rPr>
          <w:sz w:val="24"/>
          <w:szCs w:val="24"/>
        </w:rPr>
        <w:t>Hypothesis Testing Summary</w:t>
      </w:r>
    </w:p>
    <w:p w14:paraId="164307DF" w14:textId="77777777" w:rsidR="006973B2" w:rsidRDefault="006973B2">
      <w:pPr>
        <w:pStyle w:val="BodyText"/>
        <w:spacing w:before="164"/>
        <w:rPr>
          <w:b/>
          <w:sz w:val="20"/>
        </w:rPr>
      </w:pPr>
    </w:p>
    <w:tbl>
      <w:tblPr>
        <w:tblW w:w="0" w:type="auto"/>
        <w:tblInd w:w="26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1291"/>
        <w:gridCol w:w="2457"/>
        <w:gridCol w:w="1029"/>
        <w:gridCol w:w="923"/>
        <w:gridCol w:w="3095"/>
      </w:tblGrid>
      <w:tr w:rsidR="006973B2" w14:paraId="05426EAB" w14:textId="77777777">
        <w:trPr>
          <w:trHeight w:val="579"/>
        </w:trPr>
        <w:tc>
          <w:tcPr>
            <w:tcW w:w="1291" w:type="dxa"/>
            <w:tcBorders>
              <w:left w:val="single" w:sz="2" w:space="0" w:color="AAAAAA"/>
              <w:right w:val="single" w:sz="2" w:space="0" w:color="AAAAAA"/>
            </w:tcBorders>
            <w:shd w:val="clear" w:color="auto" w:fill="1F4D79"/>
          </w:tcPr>
          <w:p w14:paraId="2491C25E" w14:textId="77777777" w:rsidR="006973B2" w:rsidRDefault="00427323">
            <w:pPr>
              <w:pStyle w:val="TableParagraph"/>
              <w:ind w:left="2"/>
              <w:rPr>
                <w:b/>
              </w:rPr>
            </w:pPr>
            <w:r>
              <w:rPr>
                <w:b/>
                <w:color w:val="FFFFFF"/>
                <w:spacing w:val="-2"/>
              </w:rPr>
              <w:t>Hypothesis</w:t>
            </w:r>
          </w:p>
        </w:tc>
        <w:tc>
          <w:tcPr>
            <w:tcW w:w="2457" w:type="dxa"/>
            <w:tcBorders>
              <w:left w:val="single" w:sz="2" w:space="0" w:color="AAAAAA"/>
              <w:right w:val="single" w:sz="2" w:space="0" w:color="AAAAAA"/>
            </w:tcBorders>
            <w:shd w:val="clear" w:color="auto" w:fill="1F4D79"/>
          </w:tcPr>
          <w:p w14:paraId="06DA4726" w14:textId="77777777" w:rsidR="006973B2" w:rsidRDefault="00427323">
            <w:pPr>
              <w:pStyle w:val="TableParagraph"/>
              <w:ind w:left="739"/>
              <w:jc w:val="left"/>
              <w:rPr>
                <w:b/>
              </w:rPr>
            </w:pPr>
            <w:r>
              <w:rPr>
                <w:b/>
                <w:color w:val="FFFFFF"/>
                <w:spacing w:val="-2"/>
              </w:rPr>
              <w:t>Statement</w:t>
            </w:r>
          </w:p>
        </w:tc>
        <w:tc>
          <w:tcPr>
            <w:tcW w:w="1029" w:type="dxa"/>
            <w:tcBorders>
              <w:left w:val="single" w:sz="2" w:space="0" w:color="AAAAAA"/>
              <w:right w:val="single" w:sz="2" w:space="0" w:color="AAAAAA"/>
            </w:tcBorders>
            <w:shd w:val="clear" w:color="auto" w:fill="1F4D79"/>
          </w:tcPr>
          <w:p w14:paraId="7EE83CB7" w14:textId="77777777" w:rsidR="006973B2" w:rsidRDefault="00427323">
            <w:pPr>
              <w:pStyle w:val="TableParagraph"/>
              <w:spacing w:line="244" w:lineRule="auto"/>
              <w:ind w:left="463" w:right="88" w:hanging="339"/>
              <w:jc w:val="left"/>
              <w:rPr>
                <w:b/>
              </w:rPr>
            </w:pPr>
            <w:r>
              <w:rPr>
                <w:b/>
                <w:color w:val="FFFFFF"/>
                <w:spacing w:val="-2"/>
              </w:rPr>
              <w:t xml:space="preserve">Pearson </w:t>
            </w:r>
            <w:r>
              <w:rPr>
                <w:b/>
                <w:color w:val="FFFFFF"/>
                <w:spacing w:val="-10"/>
              </w:rPr>
              <w:t>r</w:t>
            </w:r>
          </w:p>
        </w:tc>
        <w:tc>
          <w:tcPr>
            <w:tcW w:w="923" w:type="dxa"/>
            <w:tcBorders>
              <w:left w:val="single" w:sz="2" w:space="0" w:color="AAAAAA"/>
              <w:right w:val="single" w:sz="2" w:space="0" w:color="AAAAAA"/>
            </w:tcBorders>
            <w:shd w:val="clear" w:color="auto" w:fill="1F4D79"/>
          </w:tcPr>
          <w:p w14:paraId="2E6E365D" w14:textId="77777777" w:rsidR="006973B2" w:rsidRDefault="00427323">
            <w:pPr>
              <w:pStyle w:val="TableParagraph"/>
              <w:ind w:left="11" w:right="1"/>
              <w:rPr>
                <w:b/>
              </w:rPr>
            </w:pPr>
            <w:r>
              <w:rPr>
                <w:b/>
                <w:color w:val="FFFFFF"/>
                <w:spacing w:val="-5"/>
              </w:rPr>
              <w:t>R²</w:t>
            </w:r>
          </w:p>
        </w:tc>
        <w:tc>
          <w:tcPr>
            <w:tcW w:w="3095" w:type="dxa"/>
            <w:tcBorders>
              <w:left w:val="single" w:sz="2" w:space="0" w:color="AAAAAA"/>
              <w:right w:val="single" w:sz="2" w:space="0" w:color="AAAAAA"/>
            </w:tcBorders>
            <w:shd w:val="clear" w:color="auto" w:fill="1F4D79"/>
          </w:tcPr>
          <w:p w14:paraId="55284741" w14:textId="77777777" w:rsidR="006973B2" w:rsidRDefault="00427323">
            <w:pPr>
              <w:pStyle w:val="TableParagraph"/>
              <w:ind w:left="7"/>
              <w:rPr>
                <w:b/>
              </w:rPr>
            </w:pPr>
            <w:r>
              <w:rPr>
                <w:b/>
                <w:color w:val="FFFFFF"/>
                <w:spacing w:val="-2"/>
              </w:rPr>
              <w:t>Verdict</w:t>
            </w:r>
          </w:p>
        </w:tc>
      </w:tr>
      <w:tr w:rsidR="006973B2" w14:paraId="13CCFE7F" w14:textId="77777777">
        <w:trPr>
          <w:trHeight w:val="581"/>
        </w:trPr>
        <w:tc>
          <w:tcPr>
            <w:tcW w:w="1291" w:type="dxa"/>
            <w:tcBorders>
              <w:left w:val="single" w:sz="2" w:space="0" w:color="AAAAAA"/>
              <w:right w:val="single" w:sz="2" w:space="0" w:color="AAAAAA"/>
            </w:tcBorders>
          </w:tcPr>
          <w:p w14:paraId="609C58BB" w14:textId="77777777" w:rsidR="006973B2" w:rsidRDefault="00427323">
            <w:pPr>
              <w:pStyle w:val="TableParagraph"/>
              <w:spacing w:line="252" w:lineRule="exact"/>
              <w:ind w:left="2" w:right="1"/>
            </w:pPr>
            <w:r>
              <w:rPr>
                <w:spacing w:val="-5"/>
              </w:rPr>
              <w:t>H1</w:t>
            </w:r>
          </w:p>
        </w:tc>
        <w:tc>
          <w:tcPr>
            <w:tcW w:w="2457" w:type="dxa"/>
            <w:tcBorders>
              <w:left w:val="single" w:sz="2" w:space="0" w:color="AAAAAA"/>
              <w:right w:val="single" w:sz="2" w:space="0" w:color="AAAAAA"/>
            </w:tcBorders>
          </w:tcPr>
          <w:p w14:paraId="6904EA21" w14:textId="77777777" w:rsidR="006973B2" w:rsidRDefault="00427323">
            <w:pPr>
              <w:pStyle w:val="TableParagraph"/>
              <w:spacing w:line="244" w:lineRule="auto"/>
              <w:ind w:left="499" w:hanging="154"/>
              <w:jc w:val="left"/>
            </w:pPr>
            <w:r>
              <w:t>Inflation</w:t>
            </w:r>
            <w:r>
              <w:rPr>
                <w:spacing w:val="-1"/>
              </w:rPr>
              <w:t xml:space="preserve"> </w:t>
            </w:r>
            <w:r>
              <w:t>→ Budget Deviation Index</w:t>
            </w:r>
          </w:p>
        </w:tc>
        <w:tc>
          <w:tcPr>
            <w:tcW w:w="1029" w:type="dxa"/>
            <w:tcBorders>
              <w:left w:val="single" w:sz="2" w:space="0" w:color="AAAAAA"/>
              <w:right w:val="single" w:sz="2" w:space="0" w:color="AAAAAA"/>
            </w:tcBorders>
          </w:tcPr>
          <w:p w14:paraId="7C96D8EA" w14:textId="77777777" w:rsidR="006973B2" w:rsidRDefault="00427323">
            <w:pPr>
              <w:pStyle w:val="TableParagraph"/>
              <w:spacing w:line="252" w:lineRule="exact"/>
              <w:ind w:left="7"/>
            </w:pPr>
            <w:r>
              <w:rPr>
                <w:spacing w:val="-2"/>
              </w:rPr>
              <w:t>0.919</w:t>
            </w:r>
          </w:p>
        </w:tc>
        <w:tc>
          <w:tcPr>
            <w:tcW w:w="923" w:type="dxa"/>
            <w:tcBorders>
              <w:left w:val="single" w:sz="2" w:space="0" w:color="AAAAAA"/>
              <w:right w:val="single" w:sz="2" w:space="0" w:color="AAAAAA"/>
            </w:tcBorders>
          </w:tcPr>
          <w:p w14:paraId="420C7C8C" w14:textId="77777777" w:rsidR="006973B2" w:rsidRDefault="00427323">
            <w:pPr>
              <w:pStyle w:val="TableParagraph"/>
              <w:spacing w:line="252" w:lineRule="exact"/>
              <w:ind w:left="11"/>
            </w:pPr>
            <w:r>
              <w:rPr>
                <w:spacing w:val="-2"/>
              </w:rPr>
              <w:t>84.5%</w:t>
            </w:r>
          </w:p>
        </w:tc>
        <w:tc>
          <w:tcPr>
            <w:tcW w:w="3095" w:type="dxa"/>
            <w:tcBorders>
              <w:left w:val="single" w:sz="2" w:space="0" w:color="AAAAAA"/>
              <w:right w:val="single" w:sz="2" w:space="0" w:color="AAAAAA"/>
            </w:tcBorders>
          </w:tcPr>
          <w:p w14:paraId="7412E44B" w14:textId="77777777" w:rsidR="006973B2" w:rsidRDefault="00427323">
            <w:pPr>
              <w:pStyle w:val="TableParagraph"/>
              <w:spacing w:line="244" w:lineRule="auto"/>
              <w:ind w:left="364" w:firstLine="120"/>
              <w:jc w:val="left"/>
            </w:pPr>
            <w:r>
              <w:t>H1₀ Rejected — Strong positive impact confirmed</w:t>
            </w:r>
          </w:p>
        </w:tc>
      </w:tr>
      <w:tr w:rsidR="006973B2" w14:paraId="5B10CB49" w14:textId="77777777">
        <w:trPr>
          <w:trHeight w:val="584"/>
        </w:trPr>
        <w:tc>
          <w:tcPr>
            <w:tcW w:w="1291" w:type="dxa"/>
            <w:tcBorders>
              <w:left w:val="single" w:sz="2" w:space="0" w:color="AAAAAA"/>
              <w:bottom w:val="single" w:sz="2" w:space="0" w:color="AAAAAA"/>
              <w:right w:val="single" w:sz="2" w:space="0" w:color="AAAAAA"/>
            </w:tcBorders>
          </w:tcPr>
          <w:p w14:paraId="3A4BFB52" w14:textId="77777777" w:rsidR="006973B2" w:rsidRDefault="00427323">
            <w:pPr>
              <w:pStyle w:val="TableParagraph"/>
              <w:ind w:left="2" w:right="1"/>
            </w:pPr>
            <w:r>
              <w:rPr>
                <w:spacing w:val="-5"/>
              </w:rPr>
              <w:t>H2</w:t>
            </w:r>
          </w:p>
        </w:tc>
        <w:tc>
          <w:tcPr>
            <w:tcW w:w="2457" w:type="dxa"/>
            <w:tcBorders>
              <w:left w:val="single" w:sz="2" w:space="0" w:color="AAAAAA"/>
              <w:bottom w:val="single" w:sz="2" w:space="0" w:color="AAAAAA"/>
              <w:right w:val="single" w:sz="2" w:space="0" w:color="AAAAAA"/>
            </w:tcBorders>
          </w:tcPr>
          <w:p w14:paraId="0FF54093" w14:textId="77777777" w:rsidR="006973B2" w:rsidRDefault="00427323">
            <w:pPr>
              <w:pStyle w:val="TableParagraph"/>
              <w:spacing w:line="244" w:lineRule="auto"/>
              <w:ind w:left="324" w:hanging="36"/>
              <w:jc w:val="left"/>
            </w:pPr>
            <w:r>
              <w:t>Inflation</w:t>
            </w:r>
            <w:r>
              <w:rPr>
                <w:spacing w:val="-1"/>
              </w:rPr>
              <w:t xml:space="preserve"> </w:t>
            </w:r>
            <w:r>
              <w:t>→ Forecast Revision</w:t>
            </w:r>
            <w:r>
              <w:rPr>
                <w:spacing w:val="16"/>
              </w:rPr>
              <w:t xml:space="preserve"> </w:t>
            </w:r>
            <w:r>
              <w:rPr>
                <w:spacing w:val="-2"/>
              </w:rPr>
              <w:t>Frequency</w:t>
            </w:r>
          </w:p>
        </w:tc>
        <w:tc>
          <w:tcPr>
            <w:tcW w:w="1029" w:type="dxa"/>
            <w:tcBorders>
              <w:left w:val="single" w:sz="2" w:space="0" w:color="AAAAAA"/>
              <w:bottom w:val="single" w:sz="2" w:space="0" w:color="AAAAAA"/>
              <w:right w:val="single" w:sz="2" w:space="0" w:color="AAAAAA"/>
            </w:tcBorders>
          </w:tcPr>
          <w:p w14:paraId="4EBAFB54" w14:textId="77777777" w:rsidR="006973B2" w:rsidRDefault="00427323">
            <w:pPr>
              <w:pStyle w:val="TableParagraph"/>
              <w:ind w:left="7"/>
            </w:pPr>
            <w:r>
              <w:rPr>
                <w:spacing w:val="-2"/>
              </w:rPr>
              <w:t>0.965</w:t>
            </w:r>
          </w:p>
        </w:tc>
        <w:tc>
          <w:tcPr>
            <w:tcW w:w="923" w:type="dxa"/>
            <w:tcBorders>
              <w:left w:val="single" w:sz="2" w:space="0" w:color="AAAAAA"/>
              <w:bottom w:val="single" w:sz="2" w:space="0" w:color="AAAAAA"/>
              <w:right w:val="single" w:sz="2" w:space="0" w:color="AAAAAA"/>
            </w:tcBorders>
          </w:tcPr>
          <w:p w14:paraId="76489AA2" w14:textId="77777777" w:rsidR="006973B2" w:rsidRDefault="00427323">
            <w:pPr>
              <w:pStyle w:val="TableParagraph"/>
              <w:ind w:left="11"/>
            </w:pPr>
            <w:r>
              <w:rPr>
                <w:spacing w:val="-2"/>
              </w:rPr>
              <w:t>93.1%</w:t>
            </w:r>
          </w:p>
        </w:tc>
        <w:tc>
          <w:tcPr>
            <w:tcW w:w="3095" w:type="dxa"/>
            <w:tcBorders>
              <w:left w:val="single" w:sz="2" w:space="0" w:color="AAAAAA"/>
              <w:bottom w:val="single" w:sz="2" w:space="0" w:color="AAAAAA"/>
              <w:right w:val="single" w:sz="2" w:space="0" w:color="AAAAAA"/>
            </w:tcBorders>
          </w:tcPr>
          <w:p w14:paraId="5A611FE0" w14:textId="77777777" w:rsidR="006973B2" w:rsidRDefault="00427323">
            <w:pPr>
              <w:pStyle w:val="TableParagraph"/>
              <w:spacing w:line="244" w:lineRule="auto"/>
              <w:ind w:left="537" w:hanging="322"/>
              <w:jc w:val="left"/>
            </w:pPr>
            <w:r>
              <w:t>H2₀ Rejected — Near-perfect predictive relationship</w:t>
            </w:r>
          </w:p>
        </w:tc>
      </w:tr>
    </w:tbl>
    <w:p w14:paraId="2E53937A" w14:textId="77777777" w:rsidR="006973B2" w:rsidRDefault="006973B2">
      <w:pPr>
        <w:pStyle w:val="TableParagraph"/>
        <w:spacing w:line="244" w:lineRule="auto"/>
        <w:jc w:val="left"/>
        <w:sectPr w:rsidR="006973B2">
          <w:pgSz w:w="12240" w:h="15840"/>
          <w:pgMar w:top="1280" w:right="1440" w:bottom="280" w:left="1440" w:header="720" w:footer="720" w:gutter="0"/>
          <w:cols w:space="720"/>
        </w:sectPr>
      </w:pPr>
    </w:p>
    <w:p w14:paraId="574D6EA2" w14:textId="77777777" w:rsidR="006973B2" w:rsidRPr="00FD22F5" w:rsidRDefault="00427323" w:rsidP="00FD22F5">
      <w:pPr>
        <w:pStyle w:val="Heading2"/>
        <w:jc w:val="center"/>
        <w:rPr>
          <w:rFonts w:ascii="Arial" w:eastAsia="Arial" w:hAnsi="Arial" w:cs="Arial"/>
          <w:color w:val="1F4D79"/>
          <w:spacing w:val="-2"/>
          <w:sz w:val="30"/>
          <w:szCs w:val="30"/>
        </w:rPr>
      </w:pPr>
      <w:r w:rsidRPr="00FD22F5">
        <w:rPr>
          <w:rFonts w:ascii="Arial" w:eastAsia="Arial" w:hAnsi="Arial" w:cs="Arial"/>
          <w:color w:val="1F4D79"/>
          <w:spacing w:val="-2"/>
          <w:sz w:val="30"/>
          <w:szCs w:val="30"/>
        </w:rPr>
        <w:lastRenderedPageBreak/>
        <w:t>FINDINGS</w:t>
      </w:r>
    </w:p>
    <w:p w14:paraId="509A2959" w14:textId="77777777" w:rsidR="006973B2" w:rsidRDefault="006973B2">
      <w:pPr>
        <w:pStyle w:val="BodyText"/>
        <w:rPr>
          <w:b/>
        </w:rPr>
      </w:pPr>
    </w:p>
    <w:p w14:paraId="5AC83A62" w14:textId="77777777" w:rsidR="00FD22F5" w:rsidRPr="00FD22F5" w:rsidRDefault="00FD22F5" w:rsidP="00FD22F5">
      <w:pPr>
        <w:pStyle w:val="BodyText"/>
        <w:spacing w:before="25" w:line="360" w:lineRule="auto"/>
        <w:jc w:val="both"/>
        <w:rPr>
          <w:bCs/>
          <w:sz w:val="24"/>
          <w:szCs w:val="24"/>
        </w:rPr>
      </w:pPr>
      <w:r w:rsidRPr="00FD22F5">
        <w:rPr>
          <w:bCs/>
          <w:sz w:val="24"/>
          <w:szCs w:val="24"/>
        </w:rPr>
        <w:t>An examination of the secondary data regarding inflation, budget deviations, and frequency of forecast revision during 2019-2025 shows the following findings:</w:t>
      </w:r>
    </w:p>
    <w:p w14:paraId="4E7496DF" w14:textId="77777777" w:rsidR="00FD22F5" w:rsidRPr="00FD22F5" w:rsidRDefault="00FD22F5" w:rsidP="00FD22F5">
      <w:pPr>
        <w:pStyle w:val="BodyText"/>
        <w:spacing w:before="25" w:line="360" w:lineRule="auto"/>
        <w:jc w:val="both"/>
        <w:rPr>
          <w:b/>
          <w:sz w:val="24"/>
          <w:szCs w:val="24"/>
        </w:rPr>
      </w:pPr>
      <w:r w:rsidRPr="00FD22F5">
        <w:rPr>
          <w:b/>
          <w:sz w:val="24"/>
          <w:szCs w:val="24"/>
        </w:rPr>
        <w:t>1. Inflation and Budget Accuracy go hand in hand:</w:t>
      </w:r>
    </w:p>
    <w:p w14:paraId="69CCB79C" w14:textId="77777777" w:rsidR="00FD22F5" w:rsidRPr="00FD22F5" w:rsidRDefault="00FD22F5" w:rsidP="00FD22F5">
      <w:pPr>
        <w:pStyle w:val="BodyText"/>
        <w:spacing w:before="25" w:line="360" w:lineRule="auto"/>
        <w:jc w:val="both"/>
        <w:rPr>
          <w:bCs/>
          <w:sz w:val="24"/>
          <w:szCs w:val="24"/>
        </w:rPr>
      </w:pPr>
      <w:r w:rsidRPr="00FD22F5">
        <w:rPr>
          <w:bCs/>
          <w:sz w:val="24"/>
          <w:szCs w:val="24"/>
        </w:rPr>
        <w:t>The correlation of inflation with the BDI is very strong positive (r = 0.919). 84.5% variation in budget accuracy is explainable with inflation alone. Inflation at lower level (4.8% in 2019) led to lowest deviation (BDI = 2.8) and at higher level (6.7% in 2022), severe deviation (BDI= 5.6) which indicates, traditional static budgets fail to perform in high inflation scenario.</w:t>
      </w:r>
    </w:p>
    <w:p w14:paraId="6DACCA43" w14:textId="77777777" w:rsidR="00FD22F5" w:rsidRPr="00FD22F5" w:rsidRDefault="00FD22F5" w:rsidP="00FD22F5">
      <w:pPr>
        <w:pStyle w:val="BodyText"/>
        <w:spacing w:before="25" w:line="360" w:lineRule="auto"/>
        <w:jc w:val="both"/>
        <w:rPr>
          <w:b/>
          <w:sz w:val="24"/>
          <w:szCs w:val="24"/>
        </w:rPr>
      </w:pPr>
      <w:r w:rsidRPr="00FD22F5">
        <w:rPr>
          <w:b/>
          <w:sz w:val="24"/>
          <w:szCs w:val="24"/>
        </w:rPr>
        <w:t>2. Inflation causes frequency of forecast revision:</w:t>
      </w:r>
    </w:p>
    <w:p w14:paraId="18D87071" w14:textId="77777777" w:rsidR="00FD22F5" w:rsidRPr="00FD22F5" w:rsidRDefault="00FD22F5" w:rsidP="00FD22F5">
      <w:pPr>
        <w:pStyle w:val="BodyText"/>
        <w:spacing w:before="25" w:line="360" w:lineRule="auto"/>
        <w:jc w:val="both"/>
        <w:rPr>
          <w:bCs/>
          <w:sz w:val="24"/>
          <w:szCs w:val="24"/>
        </w:rPr>
      </w:pPr>
      <w:r w:rsidRPr="00FD22F5">
        <w:rPr>
          <w:bCs/>
          <w:sz w:val="24"/>
          <w:szCs w:val="24"/>
        </w:rPr>
        <w:t>The almost perfect correlation (r=0.965) between inflation and Frequency of Forecast adjustment is quite evident. 93.1% variation in Frequency of Forecast adjustment is explainable with inflation. Firms made average 3.33 forecast revisions in a quarter with inflation at 5.5% whereas 1.75 with inflation at lower level which resulted in 90% increase in burden of revisions.</w:t>
      </w:r>
    </w:p>
    <w:p w14:paraId="425E5B85" w14:textId="77777777" w:rsidR="00FD22F5" w:rsidRPr="00FD22F5" w:rsidRDefault="00FD22F5" w:rsidP="00FD22F5">
      <w:pPr>
        <w:pStyle w:val="BodyText"/>
        <w:spacing w:before="25" w:line="360" w:lineRule="auto"/>
        <w:jc w:val="both"/>
        <w:rPr>
          <w:b/>
          <w:sz w:val="24"/>
          <w:szCs w:val="24"/>
        </w:rPr>
      </w:pPr>
      <w:r w:rsidRPr="00FD22F5">
        <w:rPr>
          <w:b/>
          <w:sz w:val="24"/>
          <w:szCs w:val="24"/>
        </w:rPr>
        <w:t>3. There is a threshold of around 6% inflation where deviation &amp; frequency jump.</w:t>
      </w:r>
    </w:p>
    <w:p w14:paraId="38E9C732" w14:textId="77777777" w:rsidR="00FD22F5" w:rsidRPr="00FD22F5" w:rsidRDefault="00FD22F5" w:rsidP="00FD22F5">
      <w:pPr>
        <w:pStyle w:val="BodyText"/>
        <w:spacing w:before="25" w:line="360" w:lineRule="auto"/>
        <w:jc w:val="both"/>
        <w:rPr>
          <w:bCs/>
          <w:sz w:val="24"/>
          <w:szCs w:val="24"/>
        </w:rPr>
      </w:pPr>
      <w:r w:rsidRPr="00FD22F5">
        <w:rPr>
          <w:bCs/>
          <w:sz w:val="24"/>
          <w:szCs w:val="24"/>
        </w:rPr>
        <w:t>As we see the pattern shows a trend of threshold at 6% inflation when budget deviation and frequency of forecast revision increased very steeply. With 6.7% inflation in 2022, BDI surged to 5.6 and Forecast adjustment peaked at 4. It implies, if inflation below 6%, firms could possibly cope up with small adjustments and in case inflation above this, major structural changes are required in planning strategy.</w:t>
      </w:r>
    </w:p>
    <w:p w14:paraId="7B8BA6BF" w14:textId="77777777" w:rsidR="00FD22F5" w:rsidRPr="00FD22F5" w:rsidRDefault="00FD22F5" w:rsidP="00FD22F5">
      <w:pPr>
        <w:pStyle w:val="BodyText"/>
        <w:spacing w:before="25" w:line="360" w:lineRule="auto"/>
        <w:jc w:val="both"/>
        <w:rPr>
          <w:b/>
          <w:sz w:val="24"/>
          <w:szCs w:val="24"/>
        </w:rPr>
      </w:pPr>
      <w:r w:rsidRPr="00FD22F5">
        <w:rPr>
          <w:b/>
          <w:sz w:val="24"/>
          <w:szCs w:val="24"/>
        </w:rPr>
        <w:t>4. Covid-19 pushed up inflationary effects:</w:t>
      </w:r>
    </w:p>
    <w:p w14:paraId="3788E892" w14:textId="77777777" w:rsidR="00FD22F5" w:rsidRPr="00FD22F5" w:rsidRDefault="00FD22F5" w:rsidP="00FD22F5">
      <w:pPr>
        <w:pStyle w:val="BodyText"/>
        <w:spacing w:before="25" w:line="360" w:lineRule="auto"/>
        <w:jc w:val="both"/>
        <w:rPr>
          <w:bCs/>
          <w:sz w:val="24"/>
          <w:szCs w:val="24"/>
        </w:rPr>
      </w:pPr>
      <w:r w:rsidRPr="00FD22F5">
        <w:rPr>
          <w:bCs/>
          <w:sz w:val="24"/>
          <w:szCs w:val="24"/>
        </w:rPr>
        <w:t>Inflation jumped from 6.2% in 2020 owing to supply chain disruption amid covid-19 and it led to increase in BDI from 2.8 to 4.9, which increased frequency of Forecast adjustments from 1 to 3 in a quarter. A steep change in BDI and forecast adjustment points out the exacerbating effect of external shock to the corporation's ability to plan when combined with inflation.</w:t>
      </w:r>
    </w:p>
    <w:p w14:paraId="1A4EF432" w14:textId="77777777" w:rsidR="00FD22F5" w:rsidRPr="00FD22F5" w:rsidRDefault="00FD22F5" w:rsidP="00FD22F5">
      <w:pPr>
        <w:pStyle w:val="BodyText"/>
        <w:spacing w:before="25" w:line="360" w:lineRule="auto"/>
        <w:jc w:val="both"/>
        <w:rPr>
          <w:b/>
          <w:sz w:val="24"/>
          <w:szCs w:val="24"/>
        </w:rPr>
      </w:pPr>
      <w:r w:rsidRPr="00FD22F5">
        <w:rPr>
          <w:b/>
          <w:sz w:val="24"/>
          <w:szCs w:val="24"/>
        </w:rPr>
        <w:t>5. Partial stability is achieved after 2022.</w:t>
      </w:r>
    </w:p>
    <w:p w14:paraId="453115C5" w14:textId="61FADCC2" w:rsidR="006973B2" w:rsidRPr="00FD22F5" w:rsidRDefault="00FD22F5" w:rsidP="00FD22F5">
      <w:pPr>
        <w:pStyle w:val="BodyText"/>
        <w:spacing w:before="25" w:line="360" w:lineRule="auto"/>
        <w:jc w:val="both"/>
        <w:rPr>
          <w:bCs/>
          <w:sz w:val="24"/>
          <w:szCs w:val="24"/>
        </w:rPr>
      </w:pPr>
      <w:r w:rsidRPr="00FD22F5">
        <w:rPr>
          <w:bCs/>
          <w:sz w:val="24"/>
          <w:szCs w:val="24"/>
        </w:rPr>
        <w:t>Since inflation touched its peak at 2022, the year followed by it show gradual reduction in it from 5.4% to 5.7% and 5.3% in 2023-2025 which lead to slight reduction in BDI and frequency of Forecast revision. However, inflation remained higher than RBI's comfort zone, i.e. 4%, showing corporations continue to operate within high structural inflation scenario.</w:t>
      </w:r>
    </w:p>
    <w:p w14:paraId="530A4634" w14:textId="77777777" w:rsidR="006973B2" w:rsidRPr="00FD22F5" w:rsidRDefault="006973B2" w:rsidP="00FD22F5">
      <w:pPr>
        <w:pStyle w:val="BodyText"/>
        <w:spacing w:line="360" w:lineRule="auto"/>
        <w:jc w:val="both"/>
        <w:rPr>
          <w:bCs/>
          <w:sz w:val="24"/>
          <w:szCs w:val="24"/>
        </w:rPr>
      </w:pPr>
    </w:p>
    <w:p w14:paraId="4C3409D0" w14:textId="77777777" w:rsidR="006973B2" w:rsidRDefault="006973B2">
      <w:pPr>
        <w:pStyle w:val="BodyText"/>
        <w:spacing w:before="89"/>
      </w:pPr>
    </w:p>
    <w:p w14:paraId="2D7B6920" w14:textId="77777777" w:rsidR="006973B2" w:rsidRDefault="006973B2">
      <w:pPr>
        <w:pStyle w:val="BodyText"/>
        <w:spacing w:line="283" w:lineRule="auto"/>
        <w:jc w:val="both"/>
        <w:sectPr w:rsidR="006973B2">
          <w:pgSz w:w="12240" w:h="15840"/>
          <w:pgMar w:top="1280" w:right="1440" w:bottom="280" w:left="1440" w:header="720" w:footer="720" w:gutter="0"/>
          <w:cols w:space="720"/>
        </w:sectPr>
      </w:pPr>
    </w:p>
    <w:p w14:paraId="727CB987" w14:textId="77777777" w:rsidR="006973B2" w:rsidRPr="00FD22F5" w:rsidRDefault="00427323" w:rsidP="00FD22F5">
      <w:pPr>
        <w:pStyle w:val="Heading2"/>
        <w:jc w:val="center"/>
        <w:rPr>
          <w:rFonts w:ascii="Arial" w:eastAsia="Arial" w:hAnsi="Arial" w:cs="Arial"/>
          <w:color w:val="1F4D79"/>
          <w:spacing w:val="-2"/>
          <w:sz w:val="30"/>
          <w:szCs w:val="30"/>
        </w:rPr>
      </w:pPr>
      <w:r w:rsidRPr="00FD22F5">
        <w:rPr>
          <w:rFonts w:ascii="Arial" w:eastAsia="Arial" w:hAnsi="Arial" w:cs="Arial"/>
          <w:color w:val="1F4D79"/>
          <w:spacing w:val="-2"/>
          <w:sz w:val="30"/>
          <w:szCs w:val="30"/>
        </w:rPr>
        <w:lastRenderedPageBreak/>
        <w:t>RECOMMENDATIONS AND SUGGESTIONS</w:t>
      </w:r>
    </w:p>
    <w:p w14:paraId="35E66622" w14:textId="77777777" w:rsidR="006973B2" w:rsidRDefault="006973B2">
      <w:pPr>
        <w:pStyle w:val="BodyText"/>
        <w:rPr>
          <w:b/>
        </w:rPr>
      </w:pPr>
    </w:p>
    <w:p w14:paraId="62E8E404" w14:textId="77777777" w:rsidR="006973B2" w:rsidRDefault="006973B2">
      <w:pPr>
        <w:pStyle w:val="BodyText"/>
        <w:spacing w:before="25"/>
        <w:rPr>
          <w:b/>
        </w:rPr>
      </w:pPr>
    </w:p>
    <w:p w14:paraId="33442EEB" w14:textId="77777777" w:rsidR="00FD22F5" w:rsidRPr="00FD22F5" w:rsidRDefault="00FD22F5" w:rsidP="00FD22F5">
      <w:pPr>
        <w:pStyle w:val="BodyText"/>
        <w:spacing w:line="360" w:lineRule="auto"/>
        <w:jc w:val="both"/>
        <w:rPr>
          <w:sz w:val="24"/>
          <w:szCs w:val="24"/>
        </w:rPr>
      </w:pPr>
      <w:r w:rsidRPr="00FD22F5">
        <w:rPr>
          <w:sz w:val="24"/>
          <w:szCs w:val="24"/>
        </w:rPr>
        <w:t>Based on the empirical analysis performed in this study, the following policy recommendations can be provided to Indian companies, finance managers and policymakers.</w:t>
      </w:r>
    </w:p>
    <w:p w14:paraId="59C8CE8D" w14:textId="77777777" w:rsidR="00FD22F5" w:rsidRPr="00FD22F5" w:rsidRDefault="00FD22F5" w:rsidP="00FD22F5">
      <w:pPr>
        <w:pStyle w:val="BodyText"/>
        <w:spacing w:line="360" w:lineRule="auto"/>
        <w:jc w:val="both"/>
        <w:rPr>
          <w:sz w:val="24"/>
          <w:szCs w:val="24"/>
        </w:rPr>
      </w:pPr>
    </w:p>
    <w:p w14:paraId="07A8E79E" w14:textId="77777777" w:rsidR="00FD22F5" w:rsidRPr="00FD22F5" w:rsidRDefault="00FD22F5" w:rsidP="00FD22F5">
      <w:pPr>
        <w:pStyle w:val="BodyText"/>
        <w:spacing w:line="360" w:lineRule="auto"/>
        <w:jc w:val="both"/>
        <w:rPr>
          <w:b/>
          <w:bCs/>
          <w:sz w:val="24"/>
          <w:szCs w:val="24"/>
        </w:rPr>
      </w:pPr>
      <w:r w:rsidRPr="00FD22F5">
        <w:rPr>
          <w:b/>
          <w:bCs/>
          <w:sz w:val="24"/>
          <w:szCs w:val="24"/>
        </w:rPr>
        <w:t>1.  Formalize Inflation-Linked Budget Review Triggers</w:t>
      </w:r>
    </w:p>
    <w:p w14:paraId="75CA5D8E" w14:textId="2E7E7479" w:rsidR="00FD22F5" w:rsidRPr="00FD22F5" w:rsidRDefault="00FD22F5" w:rsidP="00FD22F5">
      <w:pPr>
        <w:pStyle w:val="BodyText"/>
        <w:spacing w:line="360" w:lineRule="auto"/>
        <w:jc w:val="both"/>
        <w:rPr>
          <w:sz w:val="24"/>
          <w:szCs w:val="24"/>
        </w:rPr>
      </w:pPr>
      <w:r w:rsidRPr="00FD22F5">
        <w:rPr>
          <w:sz w:val="24"/>
          <w:szCs w:val="24"/>
        </w:rPr>
        <w:t>Companies should adopt automatic budget review mechanisms to be triggered at 0.5% deviation of the CPI from budget. These automatic review triggers should eliminate budget lag associated with inflation changes by ensuring budgets keep pace with changing economic realities throughout the fiscal year.</w:t>
      </w:r>
    </w:p>
    <w:p w14:paraId="6F740386" w14:textId="77777777" w:rsidR="00FD22F5" w:rsidRPr="00FD22F5" w:rsidRDefault="00FD22F5" w:rsidP="00FD22F5">
      <w:pPr>
        <w:pStyle w:val="BodyText"/>
        <w:spacing w:line="360" w:lineRule="auto"/>
        <w:jc w:val="both"/>
        <w:rPr>
          <w:sz w:val="24"/>
          <w:szCs w:val="24"/>
        </w:rPr>
      </w:pPr>
    </w:p>
    <w:p w14:paraId="50B81E18" w14:textId="77777777" w:rsidR="00FD22F5" w:rsidRPr="00FD22F5" w:rsidRDefault="00FD22F5" w:rsidP="00FD22F5">
      <w:pPr>
        <w:pStyle w:val="BodyText"/>
        <w:spacing w:line="360" w:lineRule="auto"/>
        <w:jc w:val="both"/>
        <w:rPr>
          <w:b/>
          <w:bCs/>
          <w:sz w:val="24"/>
          <w:szCs w:val="24"/>
        </w:rPr>
      </w:pPr>
      <w:r w:rsidRPr="00FD22F5">
        <w:rPr>
          <w:b/>
          <w:bCs/>
          <w:sz w:val="24"/>
          <w:szCs w:val="24"/>
        </w:rPr>
        <w:t>2.  Adopt Rolling Six-Month Forecasts</w:t>
      </w:r>
    </w:p>
    <w:p w14:paraId="426766A5" w14:textId="253374FC" w:rsidR="00FD22F5" w:rsidRPr="00FD22F5" w:rsidRDefault="00FD22F5" w:rsidP="00FD22F5">
      <w:pPr>
        <w:pStyle w:val="BodyText"/>
        <w:spacing w:line="360" w:lineRule="auto"/>
        <w:jc w:val="both"/>
        <w:rPr>
          <w:sz w:val="24"/>
          <w:szCs w:val="24"/>
        </w:rPr>
      </w:pPr>
      <w:r w:rsidRPr="00FD22F5">
        <w:rPr>
          <w:sz w:val="24"/>
          <w:szCs w:val="24"/>
        </w:rPr>
        <w:t>Indian companies should switch to rolling 6-month budget forecasts to be re-evaluated quarterly (in line with RBI monetary policy announcement periods). These forecast parameters would help decrease budget deviation by adjusting the budget continuously to new inflation forecasts.</w:t>
      </w:r>
    </w:p>
    <w:p w14:paraId="13D99F50" w14:textId="77777777" w:rsidR="00FD22F5" w:rsidRPr="00FD22F5" w:rsidRDefault="00FD22F5" w:rsidP="00FD22F5">
      <w:pPr>
        <w:pStyle w:val="BodyText"/>
        <w:spacing w:line="360" w:lineRule="auto"/>
        <w:jc w:val="both"/>
        <w:rPr>
          <w:sz w:val="24"/>
          <w:szCs w:val="24"/>
        </w:rPr>
      </w:pPr>
    </w:p>
    <w:p w14:paraId="1EC16B99" w14:textId="77777777" w:rsidR="00FD22F5" w:rsidRPr="00FD22F5" w:rsidRDefault="00FD22F5" w:rsidP="00FD22F5">
      <w:pPr>
        <w:pStyle w:val="BodyText"/>
        <w:spacing w:line="360" w:lineRule="auto"/>
        <w:jc w:val="both"/>
        <w:rPr>
          <w:b/>
          <w:bCs/>
          <w:sz w:val="24"/>
          <w:szCs w:val="24"/>
        </w:rPr>
      </w:pPr>
      <w:r w:rsidRPr="00FD22F5">
        <w:rPr>
          <w:b/>
          <w:bCs/>
          <w:sz w:val="24"/>
          <w:szCs w:val="24"/>
        </w:rPr>
        <w:t>3.  Develop RBI-Linked Inflation Sensitive Dashboards</w:t>
      </w:r>
    </w:p>
    <w:p w14:paraId="7D499483" w14:textId="497FAAA9" w:rsidR="00FD22F5" w:rsidRPr="00FD22F5" w:rsidRDefault="00FD22F5" w:rsidP="00FD22F5">
      <w:pPr>
        <w:pStyle w:val="BodyText"/>
        <w:spacing w:line="360" w:lineRule="auto"/>
        <w:jc w:val="both"/>
        <w:rPr>
          <w:sz w:val="24"/>
          <w:szCs w:val="24"/>
        </w:rPr>
      </w:pPr>
      <w:r w:rsidRPr="00FD22F5">
        <w:rPr>
          <w:sz w:val="24"/>
          <w:szCs w:val="24"/>
        </w:rPr>
        <w:t>Finance departments should incorporate real-time inflation sensitive dashboards to highlight trends in input cost indices such as manufacturing inputs, energy and food components of the WPI and thereby prevent significant budget deviation. This can be implemented using advanced ER P-integrated forecasting software along with AI based analytical tools.</w:t>
      </w:r>
    </w:p>
    <w:p w14:paraId="0AD34DD2" w14:textId="77777777" w:rsidR="00FD22F5" w:rsidRPr="00FD22F5" w:rsidRDefault="00FD22F5" w:rsidP="00FD22F5">
      <w:pPr>
        <w:pStyle w:val="BodyText"/>
        <w:spacing w:line="360" w:lineRule="auto"/>
        <w:jc w:val="both"/>
        <w:rPr>
          <w:sz w:val="24"/>
          <w:szCs w:val="24"/>
        </w:rPr>
      </w:pPr>
    </w:p>
    <w:p w14:paraId="1217C40C" w14:textId="77777777" w:rsidR="00FD22F5" w:rsidRDefault="00FD22F5" w:rsidP="00FD22F5">
      <w:pPr>
        <w:pStyle w:val="BodyText"/>
        <w:spacing w:line="360" w:lineRule="auto"/>
        <w:jc w:val="both"/>
        <w:rPr>
          <w:b/>
          <w:bCs/>
          <w:sz w:val="24"/>
          <w:szCs w:val="24"/>
        </w:rPr>
      </w:pPr>
      <w:r w:rsidRPr="00FD22F5">
        <w:rPr>
          <w:b/>
          <w:bCs/>
          <w:sz w:val="24"/>
          <w:szCs w:val="24"/>
        </w:rPr>
        <w:t>4.  Develop RBI-Linked Scenario Planning</w:t>
      </w:r>
    </w:p>
    <w:p w14:paraId="7969DB1E" w14:textId="2ACCE91D" w:rsidR="00FD22F5" w:rsidRPr="00FD22F5" w:rsidRDefault="00FD22F5" w:rsidP="00FD22F5">
      <w:pPr>
        <w:pStyle w:val="BodyText"/>
        <w:spacing w:line="360" w:lineRule="auto"/>
        <w:jc w:val="both"/>
        <w:rPr>
          <w:b/>
          <w:bCs/>
          <w:sz w:val="24"/>
          <w:szCs w:val="24"/>
        </w:rPr>
      </w:pPr>
      <w:r w:rsidRPr="00FD22F5">
        <w:rPr>
          <w:sz w:val="24"/>
          <w:szCs w:val="24"/>
        </w:rPr>
        <w:t xml:space="preserve"> Companies should develop multiple forecast scenarios around a base-case (at 0.5% above the RBI's target forecast), as well as one stress scenario (at 1.5% above the RBI forecast) that should be reviewed regularly. Scenario planning allows for greater preparation and mitigation without requiring actual cost increases to occur.</w:t>
      </w:r>
    </w:p>
    <w:p w14:paraId="6D07F991" w14:textId="77777777" w:rsidR="00FD22F5" w:rsidRPr="00FD22F5" w:rsidRDefault="00FD22F5" w:rsidP="00FD22F5">
      <w:pPr>
        <w:pStyle w:val="BodyText"/>
        <w:spacing w:line="360" w:lineRule="auto"/>
        <w:jc w:val="both"/>
        <w:rPr>
          <w:sz w:val="24"/>
          <w:szCs w:val="24"/>
        </w:rPr>
      </w:pPr>
    </w:p>
    <w:p w14:paraId="65FE30A0" w14:textId="77777777" w:rsidR="00FD22F5" w:rsidRPr="00FD22F5" w:rsidRDefault="00FD22F5" w:rsidP="00FD22F5">
      <w:pPr>
        <w:pStyle w:val="BodyText"/>
        <w:spacing w:line="360" w:lineRule="auto"/>
        <w:jc w:val="both"/>
        <w:rPr>
          <w:b/>
          <w:bCs/>
          <w:sz w:val="24"/>
          <w:szCs w:val="24"/>
        </w:rPr>
      </w:pPr>
      <w:r w:rsidRPr="00FD22F5">
        <w:rPr>
          <w:b/>
          <w:bCs/>
          <w:sz w:val="24"/>
          <w:szCs w:val="24"/>
        </w:rPr>
        <w:t>5.  Implement Contractual Indexation to Cost of Inputs</w:t>
      </w:r>
    </w:p>
    <w:p w14:paraId="639C5B31" w14:textId="021E9C2A" w:rsidR="00FD22F5" w:rsidRPr="00FD22F5" w:rsidRDefault="00FD22F5" w:rsidP="00FD22F5">
      <w:pPr>
        <w:pStyle w:val="BodyText"/>
        <w:spacing w:line="360" w:lineRule="auto"/>
        <w:jc w:val="both"/>
        <w:rPr>
          <w:sz w:val="24"/>
          <w:szCs w:val="24"/>
        </w:rPr>
      </w:pPr>
      <w:r w:rsidRPr="00FD22F5">
        <w:rPr>
          <w:sz w:val="24"/>
          <w:szCs w:val="24"/>
        </w:rPr>
        <w:t xml:space="preserve"> Organizations should include clauses in supplier contracts (pricing escalation) and customer contracts (pricing updates) to be indexed to CPI or WPI based price changes to mitigate the impact of inflation on the business's cash flows and consequently reduce deviations caused by unforeseen increases in input costs.</w:t>
      </w:r>
    </w:p>
    <w:p w14:paraId="00634451" w14:textId="77777777" w:rsidR="00FD22F5" w:rsidRPr="00FD22F5" w:rsidRDefault="00FD22F5" w:rsidP="00FD22F5">
      <w:pPr>
        <w:pStyle w:val="BodyText"/>
        <w:spacing w:line="360" w:lineRule="auto"/>
        <w:jc w:val="both"/>
        <w:rPr>
          <w:sz w:val="24"/>
          <w:szCs w:val="24"/>
        </w:rPr>
      </w:pPr>
    </w:p>
    <w:p w14:paraId="1756543E" w14:textId="77777777" w:rsidR="00FD22F5" w:rsidRDefault="00FD22F5" w:rsidP="00FD22F5">
      <w:pPr>
        <w:pStyle w:val="BodyText"/>
        <w:spacing w:line="360" w:lineRule="auto"/>
        <w:jc w:val="both"/>
        <w:rPr>
          <w:b/>
          <w:bCs/>
          <w:sz w:val="24"/>
          <w:szCs w:val="24"/>
        </w:rPr>
      </w:pPr>
      <w:r w:rsidRPr="00FD22F5">
        <w:rPr>
          <w:b/>
          <w:bCs/>
          <w:sz w:val="24"/>
          <w:szCs w:val="24"/>
        </w:rPr>
        <w:lastRenderedPageBreak/>
        <w:t>6.  Enhance Working Capital Buffers</w:t>
      </w:r>
    </w:p>
    <w:p w14:paraId="7451A648" w14:textId="0C3CE628" w:rsidR="00FD22F5" w:rsidRPr="00FD22F5" w:rsidRDefault="00FD22F5" w:rsidP="00FD22F5">
      <w:pPr>
        <w:pStyle w:val="BodyText"/>
        <w:spacing w:line="360" w:lineRule="auto"/>
        <w:jc w:val="both"/>
        <w:rPr>
          <w:b/>
          <w:bCs/>
          <w:sz w:val="24"/>
          <w:szCs w:val="24"/>
        </w:rPr>
      </w:pPr>
      <w:r w:rsidRPr="00FD22F5">
        <w:rPr>
          <w:sz w:val="24"/>
          <w:szCs w:val="24"/>
        </w:rPr>
        <w:t xml:space="preserve"> Organizations in high inflation environments should ideally maintain higher working capital reserves to manage unexpected increase in cash outflow. The study suggests maintaining working capital reserves to be 10-15% higher than normal when inflation is observed at more than 6% level.</w:t>
      </w:r>
    </w:p>
    <w:p w14:paraId="7B65071F" w14:textId="77777777" w:rsidR="00FD22F5" w:rsidRPr="00FD22F5" w:rsidRDefault="00FD22F5" w:rsidP="00FD22F5">
      <w:pPr>
        <w:pStyle w:val="BodyText"/>
        <w:spacing w:line="360" w:lineRule="auto"/>
        <w:jc w:val="both"/>
        <w:rPr>
          <w:sz w:val="24"/>
          <w:szCs w:val="24"/>
        </w:rPr>
      </w:pPr>
    </w:p>
    <w:p w14:paraId="0CBA716E" w14:textId="77777777" w:rsidR="00FD22F5" w:rsidRDefault="00FD22F5" w:rsidP="00FD22F5">
      <w:pPr>
        <w:pStyle w:val="BodyText"/>
        <w:spacing w:line="360" w:lineRule="auto"/>
        <w:jc w:val="both"/>
        <w:rPr>
          <w:b/>
          <w:bCs/>
          <w:sz w:val="24"/>
          <w:szCs w:val="24"/>
        </w:rPr>
      </w:pPr>
      <w:r w:rsidRPr="00FD22F5">
        <w:rPr>
          <w:b/>
          <w:bCs/>
          <w:sz w:val="24"/>
          <w:szCs w:val="24"/>
        </w:rPr>
        <w:t>7.  Utilize Financial Planning Software with AI/ML</w:t>
      </w:r>
    </w:p>
    <w:p w14:paraId="1D9FEE33" w14:textId="2E72FF57" w:rsidR="006973B2" w:rsidRPr="00FD22F5" w:rsidRDefault="00FD22F5" w:rsidP="00FD22F5">
      <w:pPr>
        <w:pStyle w:val="BodyText"/>
        <w:spacing w:line="360" w:lineRule="auto"/>
        <w:jc w:val="both"/>
        <w:rPr>
          <w:b/>
          <w:bCs/>
          <w:sz w:val="24"/>
          <w:szCs w:val="24"/>
        </w:rPr>
        <w:sectPr w:rsidR="006973B2" w:rsidRPr="00FD22F5">
          <w:pgSz w:w="12240" w:h="15840"/>
          <w:pgMar w:top="1280" w:right="1440" w:bottom="280" w:left="1440" w:header="720" w:footer="720" w:gutter="0"/>
          <w:cols w:space="720"/>
        </w:sectPr>
      </w:pPr>
      <w:r w:rsidRPr="00FD22F5">
        <w:rPr>
          <w:sz w:val="24"/>
          <w:szCs w:val="24"/>
        </w:rPr>
        <w:t xml:space="preserve"> Increasing trend toward adoption of AI/ML-based forecasting tools for enhanced response toward inflation shocks should be embraced by organizations. Companies using such digital tools are observed to have improved ability in budget revision and more accurate short-term forecasts. Organizations should invest in integrated financial planning software as a long-term strategy.</w:t>
      </w:r>
    </w:p>
    <w:p w14:paraId="1B81EB74" w14:textId="77777777" w:rsidR="006973B2" w:rsidRPr="00FD22F5" w:rsidRDefault="00427323" w:rsidP="00FD22F5">
      <w:pPr>
        <w:pStyle w:val="Heading2"/>
        <w:jc w:val="center"/>
        <w:rPr>
          <w:rFonts w:ascii="Arial" w:eastAsia="Arial" w:hAnsi="Arial" w:cs="Arial"/>
          <w:color w:val="1F4D79"/>
          <w:spacing w:val="-2"/>
          <w:sz w:val="30"/>
          <w:szCs w:val="30"/>
        </w:rPr>
      </w:pPr>
      <w:r w:rsidRPr="00FD22F5">
        <w:rPr>
          <w:rFonts w:ascii="Arial" w:eastAsia="Arial" w:hAnsi="Arial" w:cs="Arial"/>
          <w:color w:val="1F4D79"/>
          <w:spacing w:val="-2"/>
          <w:sz w:val="30"/>
          <w:szCs w:val="30"/>
        </w:rPr>
        <w:lastRenderedPageBreak/>
        <w:t>SCOPE OF STUDY</w:t>
      </w:r>
    </w:p>
    <w:p w14:paraId="62327B35" w14:textId="77777777" w:rsidR="006973B2" w:rsidRDefault="006973B2">
      <w:pPr>
        <w:pStyle w:val="BodyText"/>
        <w:rPr>
          <w:b/>
        </w:rPr>
      </w:pPr>
    </w:p>
    <w:p w14:paraId="45AD97B1" w14:textId="77777777" w:rsidR="006973B2" w:rsidRDefault="006973B2">
      <w:pPr>
        <w:pStyle w:val="BodyText"/>
        <w:spacing w:before="25"/>
        <w:rPr>
          <w:b/>
        </w:rPr>
      </w:pPr>
    </w:p>
    <w:p w14:paraId="734439B8" w14:textId="6050C550" w:rsidR="00FD22F5" w:rsidRDefault="00FD22F5" w:rsidP="00631B3C">
      <w:pPr>
        <w:pStyle w:val="ListParagraph"/>
        <w:spacing w:line="360" w:lineRule="auto"/>
        <w:ind w:left="0" w:firstLine="0"/>
        <w:jc w:val="both"/>
        <w:rPr>
          <w:sz w:val="24"/>
          <w:szCs w:val="24"/>
        </w:rPr>
      </w:pPr>
      <w:r w:rsidRPr="00FD22F5">
        <w:rPr>
          <w:sz w:val="24"/>
          <w:szCs w:val="24"/>
        </w:rPr>
        <w:t>The paper analyzes the impact of inflation on corporate budget and forecast of Indian corporations from 2019 to 2025. It covers various dimensions of the problem including;</w:t>
      </w:r>
    </w:p>
    <w:p w14:paraId="15AE6C07" w14:textId="77777777" w:rsidR="00631B3C" w:rsidRPr="00FD22F5" w:rsidRDefault="00631B3C" w:rsidP="00631B3C">
      <w:pPr>
        <w:pStyle w:val="ListParagraph"/>
        <w:spacing w:line="360" w:lineRule="auto"/>
        <w:ind w:left="0" w:firstLine="0"/>
        <w:jc w:val="both"/>
        <w:rPr>
          <w:sz w:val="24"/>
          <w:szCs w:val="24"/>
        </w:rPr>
      </w:pPr>
    </w:p>
    <w:p w14:paraId="1B6739E3" w14:textId="77777777" w:rsidR="00FD22F5" w:rsidRPr="00FD22F5" w:rsidRDefault="00FD22F5" w:rsidP="00631B3C">
      <w:pPr>
        <w:pStyle w:val="ListParagraph"/>
        <w:spacing w:line="360" w:lineRule="auto"/>
        <w:ind w:left="373"/>
        <w:jc w:val="both"/>
        <w:rPr>
          <w:b/>
          <w:bCs/>
          <w:sz w:val="24"/>
          <w:szCs w:val="24"/>
        </w:rPr>
      </w:pPr>
      <w:r w:rsidRPr="00FD22F5">
        <w:rPr>
          <w:b/>
          <w:bCs/>
          <w:sz w:val="24"/>
          <w:szCs w:val="24"/>
        </w:rPr>
        <w:t>1. Geographical Dimension</w:t>
      </w:r>
    </w:p>
    <w:p w14:paraId="382AD401" w14:textId="77777777" w:rsidR="000C29B8"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 xml:space="preserve"> The sample is confined to Indian corporations operating in Indian economy alone, </w:t>
      </w:r>
    </w:p>
    <w:p w14:paraId="3DF56BB5" w14:textId="77777777" w:rsidR="000C29B8"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relying</w:t>
      </w:r>
      <w:r>
        <w:rPr>
          <w:sz w:val="24"/>
          <w:szCs w:val="24"/>
        </w:rPr>
        <w:t xml:space="preserve"> </w:t>
      </w:r>
      <w:r w:rsidR="00FD22F5" w:rsidRPr="00FD22F5">
        <w:rPr>
          <w:sz w:val="24"/>
          <w:szCs w:val="24"/>
        </w:rPr>
        <w:t>on secondary sources such as the Reserve Bank of India (RBI), Ministry of Statistics</w:t>
      </w:r>
      <w:r>
        <w:rPr>
          <w:sz w:val="24"/>
          <w:szCs w:val="24"/>
        </w:rPr>
        <w:t xml:space="preserve"> </w:t>
      </w:r>
    </w:p>
    <w:p w14:paraId="5789841E" w14:textId="77777777" w:rsidR="000C29B8"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 xml:space="preserve">and Program Implementation (MOSPI), Securities and Exchange Board of India (SEBI), </w:t>
      </w:r>
    </w:p>
    <w:p w14:paraId="06C0CC25" w14:textId="77777777" w:rsidR="000C29B8"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 xml:space="preserve">industry associations and the corporate annual reports. Findings could be interpreted </w:t>
      </w:r>
    </w:p>
    <w:p w14:paraId="62247E9F" w14:textId="753AA3EA" w:rsidR="00FD22F5" w:rsidRPr="00FD22F5"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more appropriately for corporations working in the Indian macro-economic conditions alone.</w:t>
      </w:r>
    </w:p>
    <w:p w14:paraId="2D1A8CB4" w14:textId="77777777" w:rsidR="00FD22F5" w:rsidRPr="00FD22F5" w:rsidRDefault="00FD22F5" w:rsidP="00631B3C">
      <w:pPr>
        <w:pStyle w:val="ListParagraph"/>
        <w:spacing w:line="360" w:lineRule="auto"/>
        <w:ind w:left="711"/>
        <w:jc w:val="both"/>
        <w:rPr>
          <w:sz w:val="24"/>
          <w:szCs w:val="24"/>
        </w:rPr>
      </w:pPr>
    </w:p>
    <w:p w14:paraId="6E94A14A" w14:textId="77777777" w:rsidR="00FD22F5" w:rsidRPr="00FD22F5" w:rsidRDefault="00FD22F5" w:rsidP="00631B3C">
      <w:pPr>
        <w:pStyle w:val="ListParagraph"/>
        <w:spacing w:line="360" w:lineRule="auto"/>
        <w:ind w:left="373"/>
        <w:jc w:val="both"/>
        <w:rPr>
          <w:b/>
          <w:bCs/>
          <w:sz w:val="24"/>
          <w:szCs w:val="24"/>
        </w:rPr>
      </w:pPr>
      <w:r w:rsidRPr="00FD22F5">
        <w:rPr>
          <w:b/>
          <w:bCs/>
          <w:sz w:val="24"/>
          <w:szCs w:val="24"/>
        </w:rPr>
        <w:t>2. Time Dimension</w:t>
      </w:r>
    </w:p>
    <w:p w14:paraId="0DEE2E56" w14:textId="77777777" w:rsidR="000C29B8" w:rsidRDefault="00FD22F5" w:rsidP="00631B3C">
      <w:pPr>
        <w:pStyle w:val="ListParagraph"/>
        <w:spacing w:line="360" w:lineRule="auto"/>
        <w:ind w:left="711"/>
        <w:jc w:val="both"/>
        <w:rPr>
          <w:sz w:val="24"/>
          <w:szCs w:val="24"/>
        </w:rPr>
      </w:pPr>
      <w:r w:rsidRPr="00FD22F5">
        <w:rPr>
          <w:sz w:val="24"/>
          <w:szCs w:val="24"/>
        </w:rPr>
        <w:t xml:space="preserve"> The study covers a span of seven years, i.e., 2019-2025, which gives sufficient time frame </w:t>
      </w:r>
    </w:p>
    <w:p w14:paraId="3183C353" w14:textId="77777777" w:rsidR="000C29B8" w:rsidRDefault="000C29B8" w:rsidP="00631B3C">
      <w:pPr>
        <w:pStyle w:val="ListParagraph"/>
        <w:spacing w:line="360" w:lineRule="auto"/>
        <w:ind w:left="658"/>
        <w:jc w:val="both"/>
        <w:rPr>
          <w:sz w:val="24"/>
          <w:szCs w:val="24"/>
        </w:rPr>
      </w:pPr>
      <w:r>
        <w:rPr>
          <w:sz w:val="24"/>
          <w:szCs w:val="24"/>
        </w:rPr>
        <w:t xml:space="preserve">  </w:t>
      </w:r>
      <w:r w:rsidR="00FD22F5" w:rsidRPr="00FD22F5">
        <w:rPr>
          <w:sz w:val="24"/>
          <w:szCs w:val="24"/>
        </w:rPr>
        <w:t xml:space="preserve">for determining the trends in inflation, pandemic and post-pandemic situations with respect </w:t>
      </w:r>
    </w:p>
    <w:p w14:paraId="6870A259" w14:textId="77777777" w:rsidR="000C29B8" w:rsidRDefault="000C29B8" w:rsidP="00631B3C">
      <w:pPr>
        <w:pStyle w:val="ListParagraph"/>
        <w:spacing w:line="360" w:lineRule="auto"/>
        <w:ind w:left="658"/>
        <w:jc w:val="both"/>
        <w:rPr>
          <w:sz w:val="24"/>
          <w:szCs w:val="24"/>
        </w:rPr>
      </w:pPr>
      <w:r>
        <w:rPr>
          <w:sz w:val="24"/>
          <w:szCs w:val="24"/>
        </w:rPr>
        <w:t xml:space="preserve">  </w:t>
      </w:r>
      <w:r w:rsidR="00FD22F5" w:rsidRPr="00FD22F5">
        <w:rPr>
          <w:sz w:val="24"/>
          <w:szCs w:val="24"/>
        </w:rPr>
        <w:t xml:space="preserve">to budget and forecast in Indian companies. In short this duration is adequate enough to </w:t>
      </w:r>
    </w:p>
    <w:p w14:paraId="791E9EB2" w14:textId="77777777" w:rsidR="000C29B8" w:rsidRDefault="000C29B8" w:rsidP="00631B3C">
      <w:pPr>
        <w:pStyle w:val="ListParagraph"/>
        <w:spacing w:line="360" w:lineRule="auto"/>
        <w:ind w:left="658"/>
        <w:jc w:val="both"/>
        <w:rPr>
          <w:sz w:val="24"/>
          <w:szCs w:val="24"/>
        </w:rPr>
      </w:pPr>
      <w:r>
        <w:rPr>
          <w:sz w:val="24"/>
          <w:szCs w:val="24"/>
        </w:rPr>
        <w:t xml:space="preserve">  </w:t>
      </w:r>
      <w:r w:rsidR="00FD22F5" w:rsidRPr="00FD22F5">
        <w:rPr>
          <w:sz w:val="24"/>
          <w:szCs w:val="24"/>
        </w:rPr>
        <w:t xml:space="preserve">cover periods of stability before pandemic, shocks during the pandemic, post pandemic </w:t>
      </w:r>
    </w:p>
    <w:p w14:paraId="4EC2D1B8" w14:textId="77777777" w:rsidR="000C29B8" w:rsidRDefault="000C29B8" w:rsidP="00631B3C">
      <w:pPr>
        <w:pStyle w:val="ListParagraph"/>
        <w:spacing w:line="360" w:lineRule="auto"/>
        <w:ind w:left="658"/>
        <w:jc w:val="both"/>
        <w:rPr>
          <w:sz w:val="24"/>
          <w:szCs w:val="24"/>
        </w:rPr>
      </w:pPr>
      <w:r>
        <w:rPr>
          <w:sz w:val="24"/>
          <w:szCs w:val="24"/>
        </w:rPr>
        <w:t xml:space="preserve">  </w:t>
      </w:r>
      <w:r w:rsidR="00FD22F5" w:rsidRPr="00FD22F5">
        <w:rPr>
          <w:sz w:val="24"/>
          <w:szCs w:val="24"/>
        </w:rPr>
        <w:t xml:space="preserve">supply chain disturbances and then gradual settling down. It also covers periods to </w:t>
      </w:r>
    </w:p>
    <w:p w14:paraId="56FC9429" w14:textId="14B3CE25" w:rsidR="00FD22F5" w:rsidRPr="00FD22F5" w:rsidRDefault="000C29B8" w:rsidP="00631B3C">
      <w:pPr>
        <w:pStyle w:val="ListParagraph"/>
        <w:spacing w:line="360" w:lineRule="auto"/>
        <w:ind w:left="658"/>
        <w:jc w:val="both"/>
        <w:rPr>
          <w:sz w:val="24"/>
          <w:szCs w:val="24"/>
        </w:rPr>
      </w:pPr>
      <w:r>
        <w:rPr>
          <w:sz w:val="24"/>
          <w:szCs w:val="24"/>
        </w:rPr>
        <w:t xml:space="preserve">  </w:t>
      </w:r>
      <w:r w:rsidR="00FD22F5" w:rsidRPr="00FD22F5">
        <w:rPr>
          <w:sz w:val="24"/>
          <w:szCs w:val="24"/>
        </w:rPr>
        <w:t>apply meaningful trend analysis and hypotheses testing.</w:t>
      </w:r>
    </w:p>
    <w:p w14:paraId="32CCC189" w14:textId="77777777" w:rsidR="00FD22F5" w:rsidRPr="00FD22F5" w:rsidRDefault="00FD22F5" w:rsidP="000C29B8">
      <w:pPr>
        <w:pStyle w:val="ListParagraph"/>
        <w:spacing w:line="360" w:lineRule="auto"/>
        <w:ind w:left="373"/>
        <w:jc w:val="both"/>
        <w:rPr>
          <w:sz w:val="24"/>
          <w:szCs w:val="24"/>
        </w:rPr>
      </w:pPr>
    </w:p>
    <w:p w14:paraId="74297A09" w14:textId="77777777" w:rsidR="00FD22F5" w:rsidRPr="00FD22F5" w:rsidRDefault="00FD22F5" w:rsidP="000C29B8">
      <w:pPr>
        <w:pStyle w:val="ListParagraph"/>
        <w:spacing w:line="360" w:lineRule="auto"/>
        <w:ind w:left="373"/>
        <w:jc w:val="both"/>
        <w:rPr>
          <w:b/>
          <w:bCs/>
          <w:sz w:val="24"/>
          <w:szCs w:val="24"/>
        </w:rPr>
      </w:pPr>
      <w:r w:rsidRPr="00FD22F5">
        <w:rPr>
          <w:b/>
          <w:bCs/>
          <w:sz w:val="24"/>
          <w:szCs w:val="24"/>
        </w:rPr>
        <w:t>3. Sectoral Dimension</w:t>
      </w:r>
    </w:p>
    <w:p w14:paraId="6AF26E76" w14:textId="77777777" w:rsidR="000C29B8" w:rsidRDefault="00FD22F5" w:rsidP="00631B3C">
      <w:pPr>
        <w:pStyle w:val="ListParagraph"/>
        <w:spacing w:line="360" w:lineRule="auto"/>
        <w:ind w:left="711"/>
        <w:jc w:val="both"/>
        <w:rPr>
          <w:sz w:val="24"/>
          <w:szCs w:val="24"/>
        </w:rPr>
      </w:pPr>
      <w:r w:rsidRPr="00FD22F5">
        <w:rPr>
          <w:sz w:val="24"/>
          <w:szCs w:val="24"/>
        </w:rPr>
        <w:t xml:space="preserve"> Evidence are taken from multiple industries including manufacturing, FMCG, infra</w:t>
      </w:r>
      <w:r w:rsidR="000C29B8">
        <w:rPr>
          <w:sz w:val="24"/>
          <w:szCs w:val="24"/>
        </w:rPr>
        <w:t>-</w:t>
      </w:r>
    </w:p>
    <w:p w14:paraId="044848B5" w14:textId="53C7D81B" w:rsidR="000C29B8"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structure,</w:t>
      </w:r>
      <w:r>
        <w:rPr>
          <w:sz w:val="24"/>
          <w:szCs w:val="24"/>
        </w:rPr>
        <w:t xml:space="preserve"> </w:t>
      </w:r>
      <w:r w:rsidR="00FD22F5" w:rsidRPr="00FD22F5">
        <w:rPr>
          <w:sz w:val="24"/>
          <w:szCs w:val="24"/>
        </w:rPr>
        <w:t xml:space="preserve">retail and services, but the analysis relies upon secondary aggregated data of </w:t>
      </w:r>
    </w:p>
    <w:p w14:paraId="6C963BC0" w14:textId="77777777" w:rsidR="000C29B8"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 xml:space="preserve">Indian corporations, instead of individual firm level case studies, though a section </w:t>
      </w:r>
    </w:p>
    <w:p w14:paraId="763BA03B" w14:textId="182660E1" w:rsidR="00FD22F5" w:rsidRPr="00FD22F5"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mentions findings based on sectors when data permits.</w:t>
      </w:r>
    </w:p>
    <w:p w14:paraId="687EE61A" w14:textId="77777777" w:rsidR="00FD22F5" w:rsidRPr="00FD22F5" w:rsidRDefault="00FD22F5" w:rsidP="000C29B8">
      <w:pPr>
        <w:pStyle w:val="ListParagraph"/>
        <w:spacing w:line="360" w:lineRule="auto"/>
        <w:ind w:left="373"/>
        <w:jc w:val="both"/>
        <w:rPr>
          <w:sz w:val="24"/>
          <w:szCs w:val="24"/>
        </w:rPr>
      </w:pPr>
    </w:p>
    <w:p w14:paraId="674E5839" w14:textId="77777777" w:rsidR="00FD22F5" w:rsidRPr="00FD22F5" w:rsidRDefault="00FD22F5" w:rsidP="000C29B8">
      <w:pPr>
        <w:pStyle w:val="ListParagraph"/>
        <w:spacing w:line="360" w:lineRule="auto"/>
        <w:ind w:left="373"/>
        <w:jc w:val="both"/>
        <w:rPr>
          <w:b/>
          <w:bCs/>
          <w:sz w:val="24"/>
          <w:szCs w:val="24"/>
        </w:rPr>
      </w:pPr>
      <w:r w:rsidRPr="00FD22F5">
        <w:rPr>
          <w:b/>
          <w:bCs/>
          <w:sz w:val="24"/>
          <w:szCs w:val="24"/>
        </w:rPr>
        <w:t>4. Variables' Dimension</w:t>
      </w:r>
    </w:p>
    <w:p w14:paraId="4E2ADCBB" w14:textId="77777777" w:rsidR="000C29B8" w:rsidRDefault="00FD22F5" w:rsidP="00631B3C">
      <w:pPr>
        <w:pStyle w:val="ListParagraph"/>
        <w:spacing w:line="360" w:lineRule="auto"/>
        <w:ind w:left="711"/>
        <w:jc w:val="both"/>
        <w:rPr>
          <w:sz w:val="24"/>
          <w:szCs w:val="24"/>
        </w:rPr>
      </w:pPr>
      <w:r w:rsidRPr="00FD22F5">
        <w:rPr>
          <w:sz w:val="24"/>
          <w:szCs w:val="24"/>
        </w:rPr>
        <w:t xml:space="preserve"> Three main variables viz inflation rate (CPI), Budget Deviation Index (BDI) and </w:t>
      </w:r>
    </w:p>
    <w:p w14:paraId="0863DCD0" w14:textId="77777777" w:rsidR="000C29B8"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 xml:space="preserve">Forecast Adjustment Frequency (FAF) are studied in detail, though the role of RBI repo rate, </w:t>
      </w:r>
    </w:p>
    <w:p w14:paraId="2D5BC5DC" w14:textId="77777777" w:rsidR="000C29B8"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 xml:space="preserve">a determinant factor of inflation, is also examined. Firm specific internal variables </w:t>
      </w:r>
    </w:p>
    <w:p w14:paraId="0A33172E" w14:textId="77777777" w:rsidR="000C29B8" w:rsidRDefault="000C29B8" w:rsidP="00631B3C">
      <w:pPr>
        <w:pStyle w:val="ListParagraph"/>
        <w:spacing w:line="360" w:lineRule="auto"/>
        <w:ind w:left="711"/>
        <w:jc w:val="both"/>
        <w:rPr>
          <w:sz w:val="24"/>
          <w:szCs w:val="24"/>
        </w:rPr>
      </w:pPr>
      <w:r>
        <w:rPr>
          <w:sz w:val="24"/>
          <w:szCs w:val="24"/>
        </w:rPr>
        <w:t xml:space="preserve">  </w:t>
      </w:r>
      <w:r w:rsidR="00FD22F5" w:rsidRPr="00FD22F5">
        <w:rPr>
          <w:sz w:val="24"/>
          <w:szCs w:val="24"/>
        </w:rPr>
        <w:t xml:space="preserve">like managerial efficiency, corporate governance structure, personal risk appetite of a </w:t>
      </w:r>
    </w:p>
    <w:p w14:paraId="439B684F" w14:textId="3FA04A2B" w:rsidR="00FD22F5" w:rsidRPr="00FD22F5" w:rsidRDefault="000C29B8" w:rsidP="00631B3C">
      <w:pPr>
        <w:pStyle w:val="ListParagraph"/>
        <w:spacing w:line="360" w:lineRule="auto"/>
        <w:ind w:left="711"/>
        <w:jc w:val="both"/>
        <w:rPr>
          <w:sz w:val="24"/>
          <w:szCs w:val="24"/>
        </w:rPr>
      </w:pPr>
      <w:r>
        <w:rPr>
          <w:sz w:val="24"/>
          <w:szCs w:val="24"/>
        </w:rPr>
        <w:lastRenderedPageBreak/>
        <w:t xml:space="preserve">  </w:t>
      </w:r>
      <w:proofErr w:type="gramStart"/>
      <w:r w:rsidR="00FD22F5" w:rsidRPr="00FD22F5">
        <w:rPr>
          <w:sz w:val="24"/>
          <w:szCs w:val="24"/>
        </w:rPr>
        <w:t>decision</w:t>
      </w:r>
      <w:proofErr w:type="gramEnd"/>
      <w:r w:rsidR="00FD22F5" w:rsidRPr="00FD22F5">
        <w:rPr>
          <w:sz w:val="24"/>
          <w:szCs w:val="24"/>
        </w:rPr>
        <w:t xml:space="preserve"> maker are not included.</w:t>
      </w:r>
    </w:p>
    <w:p w14:paraId="3BFD843A" w14:textId="77777777" w:rsidR="00FD22F5" w:rsidRPr="00FD22F5" w:rsidRDefault="00FD22F5" w:rsidP="00FD22F5">
      <w:pPr>
        <w:pStyle w:val="ListParagraph"/>
        <w:spacing w:line="360" w:lineRule="auto"/>
        <w:jc w:val="both"/>
        <w:rPr>
          <w:sz w:val="24"/>
          <w:szCs w:val="24"/>
        </w:rPr>
      </w:pPr>
    </w:p>
    <w:p w14:paraId="26539A56" w14:textId="77777777" w:rsidR="00FD22F5" w:rsidRDefault="00FD22F5" w:rsidP="00FD22F5">
      <w:pPr>
        <w:pStyle w:val="ListParagraph"/>
        <w:spacing w:line="360" w:lineRule="auto"/>
        <w:jc w:val="both"/>
        <w:rPr>
          <w:sz w:val="24"/>
          <w:szCs w:val="24"/>
        </w:rPr>
      </w:pPr>
    </w:p>
    <w:p w14:paraId="79983B1C" w14:textId="77777777" w:rsidR="000C29B8" w:rsidRDefault="000C29B8" w:rsidP="00FD22F5">
      <w:pPr>
        <w:pStyle w:val="ListParagraph"/>
        <w:spacing w:line="360" w:lineRule="auto"/>
        <w:jc w:val="both"/>
        <w:rPr>
          <w:b/>
          <w:bCs/>
          <w:sz w:val="24"/>
          <w:szCs w:val="24"/>
        </w:rPr>
      </w:pPr>
    </w:p>
    <w:p w14:paraId="07C683A2" w14:textId="2FF02EA6" w:rsidR="00FD22F5" w:rsidRPr="00631B3C" w:rsidRDefault="00631B3C" w:rsidP="00631B3C">
      <w:pPr>
        <w:spacing w:line="360" w:lineRule="auto"/>
        <w:jc w:val="both"/>
        <w:rPr>
          <w:b/>
          <w:bCs/>
          <w:sz w:val="24"/>
          <w:szCs w:val="24"/>
        </w:rPr>
      </w:pPr>
      <w:r>
        <w:rPr>
          <w:b/>
          <w:bCs/>
          <w:sz w:val="24"/>
          <w:szCs w:val="24"/>
        </w:rPr>
        <w:t xml:space="preserve">  </w:t>
      </w:r>
      <w:r w:rsidR="00FD22F5" w:rsidRPr="00631B3C">
        <w:rPr>
          <w:b/>
          <w:bCs/>
          <w:sz w:val="24"/>
          <w:szCs w:val="24"/>
        </w:rPr>
        <w:t>5. Methodological Dimension</w:t>
      </w:r>
    </w:p>
    <w:p w14:paraId="3A361C13" w14:textId="5172EE93" w:rsidR="000C29B8" w:rsidRPr="00631B3C" w:rsidRDefault="00FD22F5" w:rsidP="00631B3C">
      <w:pPr>
        <w:spacing w:line="360" w:lineRule="auto"/>
        <w:jc w:val="both"/>
        <w:rPr>
          <w:sz w:val="24"/>
          <w:szCs w:val="24"/>
        </w:rPr>
      </w:pPr>
      <w:r w:rsidRPr="00631B3C">
        <w:rPr>
          <w:sz w:val="24"/>
          <w:szCs w:val="24"/>
        </w:rPr>
        <w:t xml:space="preserve"> </w:t>
      </w:r>
      <w:r w:rsidR="00631B3C">
        <w:rPr>
          <w:sz w:val="24"/>
          <w:szCs w:val="24"/>
        </w:rPr>
        <w:t xml:space="preserve">     </w:t>
      </w:r>
      <w:r w:rsidRPr="00631B3C">
        <w:rPr>
          <w:sz w:val="24"/>
          <w:szCs w:val="24"/>
        </w:rPr>
        <w:t xml:space="preserve">The analysis utilizes only secondary data of Indian corporations based on </w:t>
      </w:r>
    </w:p>
    <w:p w14:paraId="32D5CE7A" w14:textId="34228CD6" w:rsidR="000C29B8" w:rsidRPr="00631B3C" w:rsidRDefault="000C29B8" w:rsidP="00631B3C">
      <w:pPr>
        <w:spacing w:line="360" w:lineRule="auto"/>
        <w:jc w:val="both"/>
        <w:rPr>
          <w:sz w:val="24"/>
          <w:szCs w:val="24"/>
        </w:rPr>
      </w:pPr>
      <w:r w:rsidRPr="00631B3C">
        <w:rPr>
          <w:sz w:val="24"/>
          <w:szCs w:val="24"/>
        </w:rPr>
        <w:t xml:space="preserve"> </w:t>
      </w:r>
      <w:r w:rsidR="00631B3C">
        <w:rPr>
          <w:sz w:val="24"/>
          <w:szCs w:val="24"/>
        </w:rPr>
        <w:t xml:space="preserve">     </w:t>
      </w:r>
      <w:proofErr w:type="gramStart"/>
      <w:r w:rsidR="00FD22F5" w:rsidRPr="00631B3C">
        <w:rPr>
          <w:sz w:val="24"/>
          <w:szCs w:val="24"/>
        </w:rPr>
        <w:t xml:space="preserve">descriptive </w:t>
      </w:r>
      <w:r w:rsidRPr="00631B3C">
        <w:rPr>
          <w:sz w:val="24"/>
          <w:szCs w:val="24"/>
        </w:rPr>
        <w:t xml:space="preserve"> s</w:t>
      </w:r>
      <w:r w:rsidR="00FD22F5" w:rsidRPr="00631B3C">
        <w:rPr>
          <w:sz w:val="24"/>
          <w:szCs w:val="24"/>
        </w:rPr>
        <w:t>tatistics</w:t>
      </w:r>
      <w:proofErr w:type="gramEnd"/>
      <w:r w:rsidR="00FD22F5" w:rsidRPr="00631B3C">
        <w:rPr>
          <w:sz w:val="24"/>
          <w:szCs w:val="24"/>
        </w:rPr>
        <w:t>, trend analysis, Pearson correlation, simple linear regression.</w:t>
      </w:r>
    </w:p>
    <w:p w14:paraId="0A8281A3" w14:textId="2A45A846" w:rsidR="000C29B8" w:rsidRPr="00631B3C" w:rsidRDefault="00631B3C" w:rsidP="00631B3C">
      <w:pPr>
        <w:spacing w:line="360" w:lineRule="auto"/>
        <w:jc w:val="both"/>
        <w:rPr>
          <w:sz w:val="24"/>
          <w:szCs w:val="24"/>
        </w:rPr>
      </w:pPr>
      <w:r>
        <w:rPr>
          <w:sz w:val="24"/>
          <w:szCs w:val="24"/>
        </w:rPr>
        <w:t xml:space="preserve">     </w:t>
      </w:r>
      <w:r w:rsidR="00FD22F5" w:rsidRPr="00631B3C">
        <w:rPr>
          <w:sz w:val="24"/>
          <w:szCs w:val="24"/>
        </w:rPr>
        <w:t xml:space="preserve"> Primary research methods like surveys, interviews or questionnaire are excluded from </w:t>
      </w:r>
    </w:p>
    <w:p w14:paraId="65B49A2B" w14:textId="25B19FA1" w:rsidR="00FD22F5" w:rsidRPr="00631B3C" w:rsidRDefault="00631B3C" w:rsidP="00631B3C">
      <w:pPr>
        <w:spacing w:line="360" w:lineRule="auto"/>
        <w:jc w:val="both"/>
        <w:rPr>
          <w:sz w:val="24"/>
          <w:szCs w:val="24"/>
        </w:rPr>
      </w:pPr>
      <w:r>
        <w:rPr>
          <w:sz w:val="24"/>
          <w:szCs w:val="24"/>
        </w:rPr>
        <w:t xml:space="preserve">    </w:t>
      </w:r>
      <w:r w:rsidR="000C29B8" w:rsidRPr="00631B3C">
        <w:rPr>
          <w:sz w:val="24"/>
          <w:szCs w:val="24"/>
        </w:rPr>
        <w:t xml:space="preserve"> </w:t>
      </w:r>
      <w:r w:rsidR="00FD22F5" w:rsidRPr="00631B3C">
        <w:rPr>
          <w:sz w:val="24"/>
          <w:szCs w:val="24"/>
        </w:rPr>
        <w:t>the present study. It may be a point of further research.</w:t>
      </w:r>
    </w:p>
    <w:p w14:paraId="5C8B45ED" w14:textId="77777777" w:rsidR="00FD22F5" w:rsidRPr="00FD22F5" w:rsidRDefault="00FD22F5" w:rsidP="00631B3C">
      <w:pPr>
        <w:pStyle w:val="ListParagraph"/>
        <w:spacing w:line="360" w:lineRule="auto"/>
        <w:jc w:val="both"/>
        <w:rPr>
          <w:sz w:val="24"/>
          <w:szCs w:val="24"/>
        </w:rPr>
      </w:pPr>
    </w:p>
    <w:p w14:paraId="66067AEC" w14:textId="6C9CE69D" w:rsidR="00FD22F5" w:rsidRPr="00631B3C" w:rsidRDefault="00631B3C" w:rsidP="00631B3C">
      <w:pPr>
        <w:spacing w:line="360" w:lineRule="auto"/>
        <w:jc w:val="both"/>
        <w:rPr>
          <w:b/>
          <w:bCs/>
          <w:sz w:val="24"/>
          <w:szCs w:val="24"/>
        </w:rPr>
      </w:pPr>
      <w:r>
        <w:rPr>
          <w:b/>
          <w:bCs/>
          <w:sz w:val="24"/>
          <w:szCs w:val="24"/>
        </w:rPr>
        <w:t xml:space="preserve">  </w:t>
      </w:r>
      <w:r w:rsidR="00FD22F5" w:rsidRPr="00631B3C">
        <w:rPr>
          <w:b/>
          <w:bCs/>
          <w:sz w:val="24"/>
          <w:szCs w:val="24"/>
        </w:rPr>
        <w:t>6. Limitations</w:t>
      </w:r>
    </w:p>
    <w:p w14:paraId="2B298812" w14:textId="18EDE7B9" w:rsidR="000C29B8" w:rsidRDefault="00FD22F5" w:rsidP="00631B3C">
      <w:pPr>
        <w:pStyle w:val="ListParagraph"/>
        <w:spacing w:line="360" w:lineRule="auto"/>
        <w:ind w:left="676"/>
        <w:jc w:val="both"/>
        <w:rPr>
          <w:sz w:val="24"/>
          <w:szCs w:val="24"/>
        </w:rPr>
      </w:pPr>
      <w:r w:rsidRPr="00FD22F5">
        <w:rPr>
          <w:sz w:val="24"/>
          <w:szCs w:val="24"/>
        </w:rPr>
        <w:t>Budget Deviation Index and Forecast Adjustment Frequency are computed from</w:t>
      </w:r>
    </w:p>
    <w:p w14:paraId="2C7B2221" w14:textId="08F9FD54" w:rsidR="000C29B8" w:rsidRDefault="00FD22F5" w:rsidP="00631B3C">
      <w:pPr>
        <w:pStyle w:val="ListParagraph"/>
        <w:spacing w:line="360" w:lineRule="auto"/>
        <w:ind w:left="676"/>
        <w:jc w:val="both"/>
        <w:rPr>
          <w:sz w:val="24"/>
          <w:szCs w:val="24"/>
        </w:rPr>
      </w:pPr>
      <w:r w:rsidRPr="00FD22F5">
        <w:rPr>
          <w:sz w:val="24"/>
          <w:szCs w:val="24"/>
        </w:rPr>
        <w:t>secondary published research and industry reports so there may be discrepancy between</w:t>
      </w:r>
    </w:p>
    <w:p w14:paraId="21A6AA2B" w14:textId="797822CE" w:rsidR="00FD22F5" w:rsidRPr="00FD22F5" w:rsidRDefault="00FD22F5" w:rsidP="00631B3C">
      <w:pPr>
        <w:pStyle w:val="ListParagraph"/>
        <w:spacing w:line="360" w:lineRule="auto"/>
        <w:ind w:left="676"/>
        <w:jc w:val="both"/>
        <w:rPr>
          <w:sz w:val="24"/>
          <w:szCs w:val="24"/>
        </w:rPr>
      </w:pPr>
      <w:r w:rsidRPr="00FD22F5">
        <w:rPr>
          <w:sz w:val="24"/>
          <w:szCs w:val="24"/>
        </w:rPr>
        <w:t>the computed indexes/frequency and the actual planning behavior.</w:t>
      </w:r>
    </w:p>
    <w:p w14:paraId="06665F73" w14:textId="68F2C411" w:rsidR="000C29B8" w:rsidRDefault="00FD22F5" w:rsidP="00631B3C">
      <w:pPr>
        <w:pStyle w:val="ListParagraph"/>
        <w:spacing w:line="360" w:lineRule="auto"/>
        <w:ind w:left="676"/>
        <w:jc w:val="both"/>
        <w:rPr>
          <w:sz w:val="24"/>
          <w:szCs w:val="24"/>
        </w:rPr>
      </w:pPr>
      <w:r w:rsidRPr="00FD22F5">
        <w:rPr>
          <w:sz w:val="24"/>
          <w:szCs w:val="24"/>
        </w:rPr>
        <w:t>A time span of seven years is enough to ascertain the trend in inflation and the</w:t>
      </w:r>
    </w:p>
    <w:p w14:paraId="4BB885D7" w14:textId="097D7047" w:rsidR="000C29B8" w:rsidRDefault="00631B3C" w:rsidP="00631B3C">
      <w:pPr>
        <w:pStyle w:val="ListParagraph"/>
        <w:spacing w:line="360" w:lineRule="auto"/>
        <w:ind w:left="303"/>
        <w:jc w:val="both"/>
        <w:rPr>
          <w:sz w:val="24"/>
          <w:szCs w:val="24"/>
        </w:rPr>
      </w:pPr>
      <w:r>
        <w:rPr>
          <w:sz w:val="24"/>
          <w:szCs w:val="24"/>
        </w:rPr>
        <w:t xml:space="preserve">      </w:t>
      </w:r>
      <w:r w:rsidR="00FD22F5" w:rsidRPr="00FD22F5">
        <w:rPr>
          <w:sz w:val="24"/>
          <w:szCs w:val="24"/>
        </w:rPr>
        <w:t>way companies take decision of budgeting and forecasting in the long run but could</w:t>
      </w:r>
    </w:p>
    <w:p w14:paraId="12C33FA0" w14:textId="2E09DEC5" w:rsidR="000C29B8" w:rsidRDefault="00FD22F5" w:rsidP="00631B3C">
      <w:pPr>
        <w:pStyle w:val="ListParagraph"/>
        <w:spacing w:line="360" w:lineRule="auto"/>
        <w:ind w:left="676"/>
        <w:jc w:val="both"/>
        <w:rPr>
          <w:sz w:val="24"/>
          <w:szCs w:val="24"/>
        </w:rPr>
      </w:pPr>
      <w:r w:rsidRPr="00FD22F5">
        <w:rPr>
          <w:sz w:val="24"/>
          <w:szCs w:val="24"/>
        </w:rPr>
        <w:t>not account for fundamental structural changes in the planning behavior over long</w:t>
      </w:r>
    </w:p>
    <w:p w14:paraId="11DB05D2" w14:textId="4BB3F06D" w:rsidR="00FD22F5" w:rsidRPr="00FD22F5" w:rsidRDefault="00FD22F5" w:rsidP="00631B3C">
      <w:pPr>
        <w:pStyle w:val="ListParagraph"/>
        <w:spacing w:line="360" w:lineRule="auto"/>
        <w:ind w:left="676"/>
        <w:jc w:val="both"/>
        <w:rPr>
          <w:sz w:val="24"/>
          <w:szCs w:val="24"/>
        </w:rPr>
      </w:pPr>
      <w:r w:rsidRPr="00FD22F5">
        <w:rPr>
          <w:sz w:val="24"/>
          <w:szCs w:val="24"/>
        </w:rPr>
        <w:t>period of time.</w:t>
      </w:r>
    </w:p>
    <w:p w14:paraId="26E85EA0" w14:textId="21BEC226" w:rsidR="000C29B8" w:rsidRDefault="00FD22F5" w:rsidP="00631B3C">
      <w:pPr>
        <w:pStyle w:val="ListParagraph"/>
        <w:spacing w:line="360" w:lineRule="auto"/>
        <w:ind w:left="676"/>
        <w:jc w:val="both"/>
        <w:rPr>
          <w:sz w:val="24"/>
          <w:szCs w:val="24"/>
        </w:rPr>
      </w:pPr>
      <w:r w:rsidRPr="00FD22F5">
        <w:rPr>
          <w:sz w:val="24"/>
          <w:szCs w:val="24"/>
        </w:rPr>
        <w:t>Specific industry dynamics like industry's specific pricing power has been ignored</w:t>
      </w:r>
    </w:p>
    <w:p w14:paraId="1A7B06BC" w14:textId="2E2ADDDC" w:rsidR="00FD22F5" w:rsidRPr="00FD22F5" w:rsidRDefault="00FD22F5" w:rsidP="00631B3C">
      <w:pPr>
        <w:pStyle w:val="ListParagraph"/>
        <w:spacing w:line="360" w:lineRule="auto"/>
        <w:ind w:left="676"/>
        <w:jc w:val="both"/>
        <w:rPr>
          <w:sz w:val="24"/>
          <w:szCs w:val="24"/>
        </w:rPr>
      </w:pPr>
      <w:r w:rsidRPr="00FD22F5">
        <w:rPr>
          <w:sz w:val="24"/>
          <w:szCs w:val="24"/>
        </w:rPr>
        <w:t>which has significant impact on profit margins of a firm.</w:t>
      </w:r>
    </w:p>
    <w:p w14:paraId="20A331D6" w14:textId="0BD4287C" w:rsidR="000C29B8" w:rsidRDefault="00FD22F5" w:rsidP="00631B3C">
      <w:pPr>
        <w:pStyle w:val="ListParagraph"/>
        <w:spacing w:line="360" w:lineRule="auto"/>
        <w:ind w:left="676"/>
        <w:jc w:val="both"/>
        <w:rPr>
          <w:sz w:val="24"/>
          <w:szCs w:val="24"/>
        </w:rPr>
      </w:pPr>
      <w:r w:rsidRPr="00FD22F5">
        <w:rPr>
          <w:sz w:val="24"/>
          <w:szCs w:val="24"/>
        </w:rPr>
        <w:t>External factors like geopolitical situations, international commodity prices and</w:t>
      </w:r>
    </w:p>
    <w:p w14:paraId="49E26025" w14:textId="603A9477" w:rsidR="000C29B8" w:rsidRDefault="00FD22F5" w:rsidP="00631B3C">
      <w:pPr>
        <w:pStyle w:val="ListParagraph"/>
        <w:spacing w:line="360" w:lineRule="auto"/>
        <w:ind w:left="676"/>
        <w:jc w:val="both"/>
        <w:rPr>
          <w:sz w:val="24"/>
          <w:szCs w:val="24"/>
        </w:rPr>
      </w:pPr>
      <w:r w:rsidRPr="00FD22F5">
        <w:rPr>
          <w:sz w:val="24"/>
          <w:szCs w:val="24"/>
        </w:rPr>
        <w:t>currency movement have been ignored though they affect inflation rate in</w:t>
      </w:r>
    </w:p>
    <w:p w14:paraId="477A0E7F" w14:textId="425E9370" w:rsidR="006973B2" w:rsidRPr="00FD22F5" w:rsidRDefault="00FD22F5" w:rsidP="00631B3C">
      <w:pPr>
        <w:pStyle w:val="ListParagraph"/>
        <w:spacing w:line="360" w:lineRule="auto"/>
        <w:ind w:left="676"/>
        <w:jc w:val="both"/>
        <w:rPr>
          <w:sz w:val="24"/>
          <w:szCs w:val="24"/>
        </w:rPr>
        <w:sectPr w:rsidR="006973B2" w:rsidRPr="00FD22F5">
          <w:pgSz w:w="12240" w:h="15840"/>
          <w:pgMar w:top="1280" w:right="1440" w:bottom="280" w:left="1440" w:header="720" w:footer="720" w:gutter="0"/>
          <w:cols w:space="720"/>
        </w:sectPr>
      </w:pPr>
      <w:r w:rsidRPr="00FD22F5">
        <w:rPr>
          <w:sz w:val="24"/>
          <w:szCs w:val="24"/>
        </w:rPr>
        <w:t>Indian corporations significantly.</w:t>
      </w:r>
    </w:p>
    <w:p w14:paraId="308AFB6C" w14:textId="77777777" w:rsidR="006973B2" w:rsidRPr="00631B3C" w:rsidRDefault="00427323" w:rsidP="00631B3C">
      <w:pPr>
        <w:pStyle w:val="Heading2"/>
        <w:jc w:val="center"/>
        <w:rPr>
          <w:rFonts w:ascii="Arial" w:eastAsia="Arial" w:hAnsi="Arial" w:cs="Arial"/>
          <w:color w:val="1F4D79"/>
          <w:spacing w:val="-2"/>
          <w:sz w:val="30"/>
          <w:szCs w:val="30"/>
        </w:rPr>
      </w:pPr>
      <w:r w:rsidRPr="00631B3C">
        <w:rPr>
          <w:rFonts w:ascii="Arial" w:eastAsia="Arial" w:hAnsi="Arial" w:cs="Arial"/>
          <w:color w:val="1F4D79"/>
          <w:spacing w:val="-2"/>
          <w:sz w:val="30"/>
          <w:szCs w:val="30"/>
        </w:rPr>
        <w:lastRenderedPageBreak/>
        <w:t>CONCLUSION</w:t>
      </w:r>
    </w:p>
    <w:p w14:paraId="5EDC3D8B" w14:textId="77777777" w:rsidR="006973B2" w:rsidRDefault="006973B2">
      <w:pPr>
        <w:pStyle w:val="BodyText"/>
        <w:rPr>
          <w:b/>
        </w:rPr>
      </w:pPr>
    </w:p>
    <w:p w14:paraId="4231D922" w14:textId="77777777" w:rsidR="006973B2" w:rsidRDefault="006973B2">
      <w:pPr>
        <w:pStyle w:val="BodyText"/>
        <w:spacing w:before="25"/>
        <w:rPr>
          <w:b/>
        </w:rPr>
      </w:pPr>
    </w:p>
    <w:p w14:paraId="1CDAAC0D" w14:textId="77777777" w:rsidR="00631B3C" w:rsidRPr="00631B3C" w:rsidRDefault="00631B3C" w:rsidP="00631B3C">
      <w:pPr>
        <w:pStyle w:val="BodyText"/>
        <w:spacing w:line="360" w:lineRule="auto"/>
        <w:jc w:val="both"/>
        <w:rPr>
          <w:sz w:val="24"/>
          <w:szCs w:val="24"/>
        </w:rPr>
      </w:pPr>
      <w:r w:rsidRPr="00631B3C">
        <w:rPr>
          <w:sz w:val="24"/>
          <w:szCs w:val="24"/>
        </w:rPr>
        <w:t>The analysis in this study indicates that inflation has both statistically and commercially significant effects on budgeting variance and the number of forecast revisions within Indian corporations. This study was designed to explore the relationship between the inflation levels in the Indian economy (during 2019-2025) and two features of corporate financial planning-budget accuracy and the pattern of forecast revisions.</w:t>
      </w:r>
    </w:p>
    <w:p w14:paraId="0C073097" w14:textId="77777777" w:rsidR="00631B3C" w:rsidRPr="00631B3C" w:rsidRDefault="00631B3C" w:rsidP="00631B3C">
      <w:pPr>
        <w:pStyle w:val="BodyText"/>
        <w:spacing w:line="360" w:lineRule="auto"/>
        <w:jc w:val="both"/>
        <w:rPr>
          <w:sz w:val="24"/>
          <w:szCs w:val="24"/>
        </w:rPr>
      </w:pPr>
    </w:p>
    <w:p w14:paraId="0ADFB75F" w14:textId="77777777" w:rsidR="00631B3C" w:rsidRPr="00631B3C" w:rsidRDefault="00631B3C" w:rsidP="00631B3C">
      <w:pPr>
        <w:pStyle w:val="BodyText"/>
        <w:spacing w:line="360" w:lineRule="auto"/>
        <w:jc w:val="both"/>
        <w:rPr>
          <w:sz w:val="24"/>
          <w:szCs w:val="24"/>
        </w:rPr>
      </w:pPr>
      <w:r w:rsidRPr="00631B3C">
        <w:rPr>
          <w:sz w:val="24"/>
          <w:szCs w:val="24"/>
        </w:rPr>
        <w:t>Both research hypotheses are strongly validated by the data: The correlation between the Budget Deviation Index and the inflation rate (r = 0.919, R = 84.5%) strongly suggests a clear link between inflation and budget accuracy. For each 1 percent increase in the rate of inflation, there is an approximate 1.28 unit increase in the Budget Deviation Index. This is of great importance to the finance department. The correlation between inflation and forecast revision frequency (r = 0.965, R = 93.1%) proves even stronger. It demonstrates that for Indian firms, the rate of inflation makes planning almost continuously revised (i.e., firms are frequently re-forecasting their financial situation).</w:t>
      </w:r>
    </w:p>
    <w:p w14:paraId="438A78ED" w14:textId="77777777" w:rsidR="00631B3C" w:rsidRPr="00631B3C" w:rsidRDefault="00631B3C" w:rsidP="00631B3C">
      <w:pPr>
        <w:pStyle w:val="BodyText"/>
        <w:spacing w:line="360" w:lineRule="auto"/>
        <w:jc w:val="both"/>
        <w:rPr>
          <w:sz w:val="24"/>
          <w:szCs w:val="24"/>
        </w:rPr>
      </w:pPr>
    </w:p>
    <w:p w14:paraId="324DE587" w14:textId="77777777" w:rsidR="00631B3C" w:rsidRPr="00631B3C" w:rsidRDefault="00631B3C" w:rsidP="00631B3C">
      <w:pPr>
        <w:pStyle w:val="BodyText"/>
        <w:spacing w:line="360" w:lineRule="auto"/>
        <w:jc w:val="both"/>
        <w:rPr>
          <w:sz w:val="24"/>
          <w:szCs w:val="24"/>
        </w:rPr>
      </w:pPr>
      <w:r w:rsidRPr="00631B3C">
        <w:rPr>
          <w:sz w:val="24"/>
          <w:szCs w:val="24"/>
        </w:rPr>
        <w:t>The most revealing aspect of the data is the inflection point, around 6% inflation. It appears that at rates of inflation lower than this, firms can accommodate the higher budget deviation and the higher revision frequency just by moderately adjusting the initial budget. However, at rates greater than 6%, both parameters escalate significantly.</w:t>
      </w:r>
    </w:p>
    <w:p w14:paraId="716B462E" w14:textId="77777777" w:rsidR="00631B3C" w:rsidRPr="00631B3C" w:rsidRDefault="00631B3C" w:rsidP="00631B3C">
      <w:pPr>
        <w:pStyle w:val="BodyText"/>
        <w:spacing w:line="360" w:lineRule="auto"/>
        <w:jc w:val="both"/>
        <w:rPr>
          <w:sz w:val="24"/>
          <w:szCs w:val="24"/>
        </w:rPr>
      </w:pPr>
    </w:p>
    <w:p w14:paraId="3B704042" w14:textId="77777777" w:rsidR="00631B3C" w:rsidRPr="00631B3C" w:rsidRDefault="00631B3C" w:rsidP="00631B3C">
      <w:pPr>
        <w:pStyle w:val="BodyText"/>
        <w:spacing w:line="360" w:lineRule="auto"/>
        <w:jc w:val="both"/>
        <w:rPr>
          <w:sz w:val="24"/>
          <w:szCs w:val="24"/>
        </w:rPr>
      </w:pPr>
      <w:r w:rsidRPr="00631B3C">
        <w:rPr>
          <w:sz w:val="24"/>
          <w:szCs w:val="24"/>
        </w:rPr>
        <w:t>The stress tests for corporate financial planning that occurred during 2020 (the COVID pandemic and consequent global supply chain failures of 2022) show how swiftly annual fixed budgets are rendered obsolete when rapid, dramatic inflation occurs. The moderate level of revisions of approximately 2 per quarter after 2022 indicate that firms are beginning to learn to accommodate and respond to this change within their financial planning procedures.</w:t>
      </w:r>
    </w:p>
    <w:p w14:paraId="5C5DED08" w14:textId="77777777" w:rsidR="00631B3C" w:rsidRPr="00631B3C" w:rsidRDefault="00631B3C" w:rsidP="00631B3C">
      <w:pPr>
        <w:pStyle w:val="BodyText"/>
        <w:spacing w:line="360" w:lineRule="auto"/>
        <w:jc w:val="both"/>
        <w:rPr>
          <w:sz w:val="24"/>
          <w:szCs w:val="24"/>
        </w:rPr>
      </w:pPr>
    </w:p>
    <w:p w14:paraId="69931A35" w14:textId="1A5B2992" w:rsidR="006973B2" w:rsidRPr="00631B3C" w:rsidRDefault="00631B3C" w:rsidP="00631B3C">
      <w:pPr>
        <w:pStyle w:val="BodyText"/>
        <w:spacing w:line="360" w:lineRule="auto"/>
        <w:jc w:val="both"/>
        <w:rPr>
          <w:sz w:val="24"/>
          <w:szCs w:val="24"/>
        </w:rPr>
        <w:sectPr w:rsidR="006973B2" w:rsidRPr="00631B3C">
          <w:pgSz w:w="12240" w:h="15840"/>
          <w:pgMar w:top="1280" w:right="1440" w:bottom="280" w:left="1440" w:header="720" w:footer="720" w:gutter="0"/>
          <w:cols w:space="720"/>
        </w:sectPr>
      </w:pPr>
      <w:r w:rsidRPr="00631B3C">
        <w:rPr>
          <w:sz w:val="24"/>
          <w:szCs w:val="24"/>
        </w:rPr>
        <w:t xml:space="preserve">This study shows clearly that the old concept of a fixed annual budget needs to be discarded for the Indian inflation prone economy. Rolling forecast budgets, scenario-based budgets, cost indexation, and computer-aided monitoring should be standard practice. Future research in this area should investigate firms with primary data, </w:t>
      </w:r>
      <w:proofErr w:type="spellStart"/>
      <w:r w:rsidRPr="00631B3C">
        <w:rPr>
          <w:sz w:val="24"/>
          <w:szCs w:val="24"/>
        </w:rPr>
        <w:t>analyse</w:t>
      </w:r>
      <w:proofErr w:type="spellEnd"/>
      <w:r w:rsidRPr="00631B3C">
        <w:rPr>
          <w:sz w:val="24"/>
          <w:szCs w:val="24"/>
        </w:rPr>
        <w:t xml:space="preserve"> each sector separately, and study how behavioral biases influence forecasting of inflation.</w:t>
      </w:r>
    </w:p>
    <w:p w14:paraId="4B614389" w14:textId="77777777" w:rsidR="006973B2" w:rsidRPr="00631B3C" w:rsidRDefault="00427323" w:rsidP="00631B3C">
      <w:pPr>
        <w:pStyle w:val="Heading2"/>
        <w:jc w:val="center"/>
        <w:rPr>
          <w:rFonts w:ascii="Arial" w:eastAsia="Arial" w:hAnsi="Arial" w:cs="Arial"/>
          <w:color w:val="1F4D79"/>
          <w:spacing w:val="-2"/>
          <w:sz w:val="30"/>
          <w:szCs w:val="30"/>
        </w:rPr>
      </w:pPr>
      <w:r w:rsidRPr="00631B3C">
        <w:rPr>
          <w:rFonts w:ascii="Arial" w:eastAsia="Arial" w:hAnsi="Arial" w:cs="Arial"/>
          <w:color w:val="1F4D79"/>
          <w:spacing w:val="-2"/>
          <w:sz w:val="30"/>
          <w:szCs w:val="30"/>
        </w:rPr>
        <w:lastRenderedPageBreak/>
        <w:t>REFERENCES</w:t>
      </w:r>
    </w:p>
    <w:p w14:paraId="6D68C844" w14:textId="77777777" w:rsidR="006973B2" w:rsidRDefault="006973B2">
      <w:pPr>
        <w:pStyle w:val="BodyText"/>
        <w:rPr>
          <w:b/>
        </w:rPr>
      </w:pPr>
    </w:p>
    <w:p w14:paraId="67D7CF50" w14:textId="77777777" w:rsidR="006973B2" w:rsidRDefault="006973B2">
      <w:pPr>
        <w:pStyle w:val="BodyText"/>
        <w:spacing w:before="213"/>
        <w:rPr>
          <w:b/>
        </w:rPr>
      </w:pPr>
    </w:p>
    <w:p w14:paraId="67F5B2DB" w14:textId="77777777" w:rsidR="00631B3C" w:rsidRPr="00631B3C" w:rsidRDefault="00631B3C" w:rsidP="00631B3C">
      <w:pPr>
        <w:pStyle w:val="ListParagraph"/>
        <w:rPr>
          <w:sz w:val="24"/>
          <w:szCs w:val="24"/>
        </w:rPr>
      </w:pPr>
      <w:r w:rsidRPr="00631B3C">
        <w:rPr>
          <w:sz w:val="24"/>
          <w:szCs w:val="24"/>
        </w:rPr>
        <w:t>Here's the rewritten content:</w:t>
      </w:r>
    </w:p>
    <w:p w14:paraId="57DB5C84" w14:textId="77777777" w:rsidR="00631B3C" w:rsidRPr="00631B3C" w:rsidRDefault="00631B3C" w:rsidP="00631B3C">
      <w:pPr>
        <w:pStyle w:val="ListParagraph"/>
        <w:rPr>
          <w:sz w:val="24"/>
          <w:szCs w:val="24"/>
        </w:rPr>
      </w:pPr>
    </w:p>
    <w:p w14:paraId="15790F72" w14:textId="77777777" w:rsidR="00631B3C" w:rsidRPr="00631B3C" w:rsidRDefault="00631B3C" w:rsidP="00631B3C">
      <w:pPr>
        <w:pStyle w:val="ListParagraph"/>
        <w:rPr>
          <w:b/>
          <w:bCs/>
          <w:sz w:val="24"/>
          <w:szCs w:val="24"/>
        </w:rPr>
      </w:pPr>
      <w:r w:rsidRPr="00631B3C">
        <w:rPr>
          <w:b/>
          <w:bCs/>
          <w:sz w:val="24"/>
          <w:szCs w:val="24"/>
        </w:rPr>
        <w:t>A. Books</w:t>
      </w:r>
    </w:p>
    <w:p w14:paraId="60523392" w14:textId="77777777" w:rsidR="00631B3C" w:rsidRPr="00631B3C" w:rsidRDefault="00631B3C" w:rsidP="00631B3C">
      <w:pPr>
        <w:pStyle w:val="ListParagraph"/>
        <w:rPr>
          <w:sz w:val="24"/>
          <w:szCs w:val="24"/>
        </w:rPr>
      </w:pPr>
    </w:p>
    <w:p w14:paraId="4C9159DB" w14:textId="77777777" w:rsidR="00631B3C" w:rsidRPr="00631B3C" w:rsidRDefault="00631B3C" w:rsidP="00631B3C">
      <w:pPr>
        <w:pStyle w:val="ListParagraph"/>
        <w:rPr>
          <w:sz w:val="24"/>
          <w:szCs w:val="24"/>
        </w:rPr>
      </w:pPr>
      <w:r w:rsidRPr="00631B3C">
        <w:rPr>
          <w:sz w:val="24"/>
          <w:szCs w:val="24"/>
        </w:rPr>
        <w:t>Jones, R., &amp; Pendlebury, M. - Public Sector Accounting</w:t>
      </w:r>
    </w:p>
    <w:p w14:paraId="7F30FD06" w14:textId="77777777" w:rsidR="00631B3C" w:rsidRPr="00631B3C" w:rsidRDefault="00631B3C" w:rsidP="00631B3C">
      <w:pPr>
        <w:pStyle w:val="ListParagraph"/>
        <w:rPr>
          <w:sz w:val="24"/>
          <w:szCs w:val="24"/>
        </w:rPr>
      </w:pPr>
      <w:r w:rsidRPr="00631B3C">
        <w:rPr>
          <w:sz w:val="24"/>
          <w:szCs w:val="24"/>
        </w:rPr>
        <w:t>Horngren, C.T., Datar, S.M., &amp; Rajan, M.V. - Cost Accounting: A Managerial Emphasis</w:t>
      </w:r>
    </w:p>
    <w:p w14:paraId="1567C08D" w14:textId="77777777" w:rsidR="00631B3C" w:rsidRPr="00631B3C" w:rsidRDefault="00631B3C" w:rsidP="00631B3C">
      <w:pPr>
        <w:pStyle w:val="ListParagraph"/>
        <w:rPr>
          <w:sz w:val="24"/>
          <w:szCs w:val="24"/>
        </w:rPr>
      </w:pPr>
      <w:r w:rsidRPr="00631B3C">
        <w:rPr>
          <w:sz w:val="24"/>
          <w:szCs w:val="24"/>
        </w:rPr>
        <w:t>Kaplan, R.S., &amp; Atkinson, A.A. - Advanced Management Accounting</w:t>
      </w:r>
    </w:p>
    <w:p w14:paraId="48528DF4" w14:textId="77777777" w:rsidR="00631B3C" w:rsidRPr="00631B3C" w:rsidRDefault="00631B3C" w:rsidP="00631B3C">
      <w:pPr>
        <w:pStyle w:val="ListParagraph"/>
        <w:rPr>
          <w:sz w:val="24"/>
          <w:szCs w:val="24"/>
        </w:rPr>
      </w:pPr>
      <w:r w:rsidRPr="00631B3C">
        <w:rPr>
          <w:sz w:val="24"/>
          <w:szCs w:val="24"/>
        </w:rPr>
        <w:t>Horngren, C.T. - Management Accounting</w:t>
      </w:r>
    </w:p>
    <w:p w14:paraId="221CB457" w14:textId="77777777" w:rsidR="00631B3C" w:rsidRPr="00631B3C" w:rsidRDefault="00631B3C" w:rsidP="00631B3C">
      <w:pPr>
        <w:pStyle w:val="ListParagraph"/>
        <w:rPr>
          <w:sz w:val="24"/>
          <w:szCs w:val="24"/>
        </w:rPr>
      </w:pPr>
      <w:r w:rsidRPr="00631B3C">
        <w:rPr>
          <w:sz w:val="24"/>
          <w:szCs w:val="24"/>
        </w:rPr>
        <w:t>Brealey, R.A., Myers, S.C., &amp; Allen, F. - Principles of Corporate Finance</w:t>
      </w:r>
    </w:p>
    <w:p w14:paraId="423F3A42" w14:textId="77777777" w:rsidR="00631B3C" w:rsidRPr="00631B3C" w:rsidRDefault="00631B3C" w:rsidP="00631B3C">
      <w:pPr>
        <w:pStyle w:val="ListParagraph"/>
        <w:rPr>
          <w:sz w:val="24"/>
          <w:szCs w:val="24"/>
        </w:rPr>
      </w:pPr>
      <w:r w:rsidRPr="00631B3C">
        <w:rPr>
          <w:sz w:val="24"/>
          <w:szCs w:val="24"/>
        </w:rPr>
        <w:t>Khan, M.Y., &amp; Jain, P.K. - Financial Management</w:t>
      </w:r>
    </w:p>
    <w:p w14:paraId="0EAAC8DA" w14:textId="77777777" w:rsidR="00631B3C" w:rsidRPr="00631B3C" w:rsidRDefault="00631B3C" w:rsidP="00631B3C">
      <w:pPr>
        <w:pStyle w:val="ListParagraph"/>
        <w:rPr>
          <w:sz w:val="24"/>
          <w:szCs w:val="24"/>
        </w:rPr>
      </w:pPr>
      <w:r w:rsidRPr="00631B3C">
        <w:rPr>
          <w:sz w:val="24"/>
          <w:szCs w:val="24"/>
        </w:rPr>
        <w:t>Chandra, P. - Financial Management: Theory and Practice</w:t>
      </w:r>
    </w:p>
    <w:p w14:paraId="48E802A0" w14:textId="77777777" w:rsidR="00631B3C" w:rsidRPr="00631B3C" w:rsidRDefault="00631B3C" w:rsidP="00631B3C">
      <w:pPr>
        <w:pStyle w:val="ListParagraph"/>
        <w:rPr>
          <w:sz w:val="24"/>
          <w:szCs w:val="24"/>
        </w:rPr>
      </w:pPr>
      <w:r w:rsidRPr="00631B3C">
        <w:rPr>
          <w:sz w:val="24"/>
          <w:szCs w:val="24"/>
        </w:rPr>
        <w:t>Rustagi, R.P. - Financial Management</w:t>
      </w:r>
    </w:p>
    <w:p w14:paraId="07B98D25" w14:textId="77777777" w:rsidR="00631B3C" w:rsidRPr="00631B3C" w:rsidRDefault="00631B3C" w:rsidP="00631B3C">
      <w:pPr>
        <w:pStyle w:val="ListParagraph"/>
        <w:rPr>
          <w:sz w:val="24"/>
          <w:szCs w:val="24"/>
        </w:rPr>
      </w:pPr>
      <w:r w:rsidRPr="00631B3C">
        <w:rPr>
          <w:sz w:val="24"/>
          <w:szCs w:val="24"/>
        </w:rPr>
        <w:t>Maheshwari, S.N. - Management Accounting</w:t>
      </w:r>
    </w:p>
    <w:p w14:paraId="74686FD2" w14:textId="77777777" w:rsidR="00631B3C" w:rsidRPr="00631B3C" w:rsidRDefault="00631B3C" w:rsidP="00631B3C">
      <w:pPr>
        <w:pStyle w:val="ListParagraph"/>
        <w:rPr>
          <w:sz w:val="24"/>
          <w:szCs w:val="24"/>
        </w:rPr>
      </w:pPr>
      <w:r w:rsidRPr="00631B3C">
        <w:rPr>
          <w:sz w:val="24"/>
          <w:szCs w:val="24"/>
        </w:rPr>
        <w:t>Gupta, R., &amp; Sharma, M. - Management Accounting: Principles and Practice</w:t>
      </w:r>
    </w:p>
    <w:p w14:paraId="6596D202" w14:textId="77777777" w:rsidR="00631B3C" w:rsidRPr="00631B3C" w:rsidRDefault="00631B3C" w:rsidP="00631B3C">
      <w:pPr>
        <w:pStyle w:val="ListParagraph"/>
        <w:rPr>
          <w:sz w:val="24"/>
          <w:szCs w:val="24"/>
        </w:rPr>
      </w:pPr>
    </w:p>
    <w:p w14:paraId="66038757" w14:textId="77777777" w:rsidR="00631B3C" w:rsidRPr="00631B3C" w:rsidRDefault="00631B3C" w:rsidP="00631B3C">
      <w:pPr>
        <w:pStyle w:val="ListParagraph"/>
        <w:rPr>
          <w:b/>
          <w:bCs/>
          <w:sz w:val="24"/>
          <w:szCs w:val="24"/>
        </w:rPr>
      </w:pPr>
      <w:r w:rsidRPr="00631B3C">
        <w:rPr>
          <w:b/>
          <w:bCs/>
          <w:sz w:val="24"/>
          <w:szCs w:val="24"/>
        </w:rPr>
        <w:t>B. Research Authors and Academic References</w:t>
      </w:r>
    </w:p>
    <w:p w14:paraId="306C1509" w14:textId="77777777" w:rsidR="00631B3C" w:rsidRPr="00631B3C" w:rsidRDefault="00631B3C" w:rsidP="00631B3C">
      <w:pPr>
        <w:pStyle w:val="ListParagraph"/>
        <w:rPr>
          <w:sz w:val="24"/>
          <w:szCs w:val="24"/>
        </w:rPr>
      </w:pPr>
    </w:p>
    <w:p w14:paraId="3D6FBA7C" w14:textId="77777777" w:rsidR="00631B3C" w:rsidRPr="00631B3C" w:rsidRDefault="00631B3C" w:rsidP="00631B3C">
      <w:pPr>
        <w:pStyle w:val="ListParagraph"/>
        <w:rPr>
          <w:sz w:val="24"/>
          <w:szCs w:val="24"/>
        </w:rPr>
      </w:pPr>
      <w:r w:rsidRPr="00631B3C">
        <w:rPr>
          <w:sz w:val="24"/>
          <w:szCs w:val="24"/>
        </w:rPr>
        <w:t>Kumari, S. - Research on Inflation and Corporate Budgeting in India</w:t>
      </w:r>
    </w:p>
    <w:p w14:paraId="0251F414" w14:textId="77777777" w:rsidR="00631B3C" w:rsidRPr="00631B3C" w:rsidRDefault="00631B3C" w:rsidP="00631B3C">
      <w:pPr>
        <w:pStyle w:val="ListParagraph"/>
        <w:rPr>
          <w:sz w:val="24"/>
          <w:szCs w:val="24"/>
        </w:rPr>
      </w:pPr>
      <w:r w:rsidRPr="00631B3C">
        <w:rPr>
          <w:sz w:val="24"/>
          <w:szCs w:val="24"/>
        </w:rPr>
        <w:t>Parasuraman, N.R. - Corporate Financial Planning under Uncertainty</w:t>
      </w:r>
    </w:p>
    <w:p w14:paraId="1D0D4C41" w14:textId="77777777" w:rsidR="00631B3C" w:rsidRPr="00631B3C" w:rsidRDefault="00631B3C" w:rsidP="00631B3C">
      <w:pPr>
        <w:pStyle w:val="ListParagraph"/>
        <w:rPr>
          <w:sz w:val="24"/>
          <w:szCs w:val="24"/>
        </w:rPr>
      </w:pPr>
      <w:r w:rsidRPr="00631B3C">
        <w:rPr>
          <w:sz w:val="24"/>
          <w:szCs w:val="24"/>
        </w:rPr>
        <w:t>Kumar, V., &amp; Rao, S. - Studies on Macroeconomic Volatility and Firm-Level Finance</w:t>
      </w:r>
    </w:p>
    <w:p w14:paraId="22331ACE" w14:textId="77777777" w:rsidR="00631B3C" w:rsidRPr="00631B3C" w:rsidRDefault="00631B3C" w:rsidP="00631B3C">
      <w:pPr>
        <w:pStyle w:val="ListParagraph"/>
        <w:rPr>
          <w:sz w:val="24"/>
          <w:szCs w:val="24"/>
        </w:rPr>
      </w:pPr>
      <w:r w:rsidRPr="00631B3C">
        <w:rPr>
          <w:sz w:val="24"/>
          <w:szCs w:val="24"/>
        </w:rPr>
        <w:t>Bhattacharya, D. - Research on Indian Corporate Finance and Monetary Policy</w:t>
      </w:r>
    </w:p>
    <w:p w14:paraId="1D981C5E" w14:textId="77777777" w:rsidR="00631B3C" w:rsidRPr="00631B3C" w:rsidRDefault="00631B3C" w:rsidP="00631B3C">
      <w:pPr>
        <w:pStyle w:val="ListParagraph"/>
        <w:rPr>
          <w:sz w:val="24"/>
          <w:szCs w:val="24"/>
        </w:rPr>
      </w:pPr>
      <w:r w:rsidRPr="00631B3C">
        <w:rPr>
          <w:sz w:val="24"/>
          <w:szCs w:val="24"/>
        </w:rPr>
        <w:t>Ghosh, S., &amp; Chandrasekar, A. - Inflation Forecasting and Firm-Level Planning</w:t>
      </w:r>
    </w:p>
    <w:p w14:paraId="6F84F938" w14:textId="77777777" w:rsidR="00631B3C" w:rsidRPr="00631B3C" w:rsidRDefault="00631B3C" w:rsidP="00631B3C">
      <w:pPr>
        <w:pStyle w:val="ListParagraph"/>
        <w:rPr>
          <w:sz w:val="24"/>
          <w:szCs w:val="24"/>
        </w:rPr>
      </w:pPr>
      <w:r w:rsidRPr="00631B3C">
        <w:rPr>
          <w:sz w:val="24"/>
          <w:szCs w:val="24"/>
        </w:rPr>
        <w:t>Mohan, R. - RBI Monetary Policy and Corporate Response</w:t>
      </w:r>
    </w:p>
    <w:p w14:paraId="5B59C696" w14:textId="77777777" w:rsidR="00631B3C" w:rsidRPr="00631B3C" w:rsidRDefault="00631B3C" w:rsidP="00631B3C">
      <w:pPr>
        <w:pStyle w:val="ListParagraph"/>
        <w:rPr>
          <w:sz w:val="24"/>
          <w:szCs w:val="24"/>
        </w:rPr>
      </w:pPr>
      <w:r w:rsidRPr="00631B3C">
        <w:rPr>
          <w:sz w:val="24"/>
          <w:szCs w:val="24"/>
        </w:rPr>
        <w:t>Bhandari, S. - Financial Risk and Budgeting in Indian Industries</w:t>
      </w:r>
    </w:p>
    <w:p w14:paraId="1E246267" w14:textId="77777777" w:rsidR="00631B3C" w:rsidRPr="00631B3C" w:rsidRDefault="00631B3C" w:rsidP="00631B3C">
      <w:pPr>
        <w:pStyle w:val="ListParagraph"/>
        <w:rPr>
          <w:sz w:val="24"/>
          <w:szCs w:val="24"/>
        </w:rPr>
      </w:pPr>
      <w:r w:rsidRPr="00631B3C">
        <w:rPr>
          <w:sz w:val="24"/>
          <w:szCs w:val="24"/>
        </w:rPr>
        <w:t>Narayanaswamy, R. - Corporate Finance and Planning in Emerging Markets</w:t>
      </w:r>
    </w:p>
    <w:p w14:paraId="74DFD132" w14:textId="77777777" w:rsidR="00631B3C" w:rsidRPr="00631B3C" w:rsidRDefault="00631B3C" w:rsidP="00631B3C">
      <w:pPr>
        <w:pStyle w:val="ListParagraph"/>
        <w:rPr>
          <w:sz w:val="24"/>
          <w:szCs w:val="24"/>
        </w:rPr>
      </w:pPr>
    </w:p>
    <w:p w14:paraId="49696BD1" w14:textId="77777777" w:rsidR="00631B3C" w:rsidRPr="00631B3C" w:rsidRDefault="00631B3C" w:rsidP="00631B3C">
      <w:pPr>
        <w:pStyle w:val="ListParagraph"/>
        <w:rPr>
          <w:b/>
          <w:bCs/>
          <w:sz w:val="24"/>
          <w:szCs w:val="24"/>
        </w:rPr>
      </w:pPr>
      <w:r w:rsidRPr="00631B3C">
        <w:rPr>
          <w:b/>
          <w:bCs/>
          <w:sz w:val="24"/>
          <w:szCs w:val="24"/>
        </w:rPr>
        <w:t>C. Websites and Online Sources</w:t>
      </w:r>
    </w:p>
    <w:p w14:paraId="6C5A061E" w14:textId="77777777" w:rsidR="00631B3C" w:rsidRPr="00631B3C" w:rsidRDefault="00631B3C" w:rsidP="00631B3C">
      <w:pPr>
        <w:pStyle w:val="ListParagraph"/>
        <w:rPr>
          <w:sz w:val="24"/>
          <w:szCs w:val="24"/>
        </w:rPr>
      </w:pPr>
    </w:p>
    <w:p w14:paraId="54A99AE4" w14:textId="77777777" w:rsidR="00631B3C" w:rsidRPr="00631B3C" w:rsidRDefault="00631B3C" w:rsidP="00631B3C">
      <w:pPr>
        <w:pStyle w:val="ListParagraph"/>
        <w:rPr>
          <w:sz w:val="24"/>
          <w:szCs w:val="24"/>
        </w:rPr>
      </w:pPr>
      <w:r w:rsidRPr="00631B3C">
        <w:rPr>
          <w:sz w:val="24"/>
          <w:szCs w:val="24"/>
        </w:rPr>
        <w:t>RBI (Reserve Bank of India) - www.rbi.org.in</w:t>
      </w:r>
    </w:p>
    <w:p w14:paraId="09A80F8C" w14:textId="77777777" w:rsidR="00631B3C" w:rsidRPr="00631B3C" w:rsidRDefault="00631B3C" w:rsidP="00631B3C">
      <w:pPr>
        <w:pStyle w:val="ListParagraph"/>
        <w:rPr>
          <w:sz w:val="24"/>
          <w:szCs w:val="24"/>
        </w:rPr>
      </w:pPr>
      <w:r w:rsidRPr="00631B3C">
        <w:rPr>
          <w:sz w:val="24"/>
          <w:szCs w:val="24"/>
        </w:rPr>
        <w:t>Ministry of Finance, Government of India - www.finmin.nic.in</w:t>
      </w:r>
    </w:p>
    <w:p w14:paraId="0F6924DC" w14:textId="77777777" w:rsidR="00631B3C" w:rsidRPr="00631B3C" w:rsidRDefault="00631B3C" w:rsidP="00631B3C">
      <w:pPr>
        <w:pStyle w:val="ListParagraph"/>
        <w:rPr>
          <w:sz w:val="24"/>
          <w:szCs w:val="24"/>
        </w:rPr>
      </w:pPr>
      <w:r w:rsidRPr="00631B3C">
        <w:rPr>
          <w:sz w:val="24"/>
          <w:szCs w:val="24"/>
        </w:rPr>
        <w:t>SEBI (Securities and Exchange Board of India) - www.sebi.gov.in</w:t>
      </w:r>
    </w:p>
    <w:p w14:paraId="4FB7CBD6" w14:textId="77777777" w:rsidR="00631B3C" w:rsidRPr="00631B3C" w:rsidRDefault="00631B3C" w:rsidP="00631B3C">
      <w:pPr>
        <w:pStyle w:val="ListParagraph"/>
        <w:rPr>
          <w:sz w:val="24"/>
          <w:szCs w:val="24"/>
        </w:rPr>
      </w:pPr>
      <w:r w:rsidRPr="00631B3C">
        <w:rPr>
          <w:sz w:val="24"/>
          <w:szCs w:val="24"/>
        </w:rPr>
        <w:t>NITI Aayog - www.niti.gov.in</w:t>
      </w:r>
    </w:p>
    <w:p w14:paraId="5913A842" w14:textId="77777777" w:rsidR="00631B3C" w:rsidRPr="00631B3C" w:rsidRDefault="00631B3C" w:rsidP="00631B3C">
      <w:pPr>
        <w:pStyle w:val="ListParagraph"/>
        <w:rPr>
          <w:sz w:val="24"/>
          <w:szCs w:val="24"/>
        </w:rPr>
      </w:pPr>
      <w:r w:rsidRPr="00631B3C">
        <w:rPr>
          <w:sz w:val="24"/>
          <w:szCs w:val="24"/>
        </w:rPr>
        <w:t>CRISIL - www.crisil.com</w:t>
      </w:r>
    </w:p>
    <w:p w14:paraId="622ACBCF" w14:textId="77777777" w:rsidR="00631B3C" w:rsidRPr="00631B3C" w:rsidRDefault="00631B3C" w:rsidP="00631B3C">
      <w:pPr>
        <w:pStyle w:val="ListParagraph"/>
        <w:rPr>
          <w:sz w:val="24"/>
          <w:szCs w:val="24"/>
        </w:rPr>
      </w:pPr>
      <w:r w:rsidRPr="00631B3C">
        <w:rPr>
          <w:sz w:val="24"/>
          <w:szCs w:val="24"/>
        </w:rPr>
        <w:t>ICRA - www.icra.in</w:t>
      </w:r>
    </w:p>
    <w:p w14:paraId="1ED9AA41" w14:textId="77777777" w:rsidR="00631B3C" w:rsidRPr="00631B3C" w:rsidRDefault="00631B3C" w:rsidP="00631B3C">
      <w:pPr>
        <w:pStyle w:val="ListParagraph"/>
        <w:rPr>
          <w:sz w:val="24"/>
          <w:szCs w:val="24"/>
        </w:rPr>
      </w:pPr>
      <w:r w:rsidRPr="00631B3C">
        <w:rPr>
          <w:sz w:val="24"/>
          <w:szCs w:val="24"/>
        </w:rPr>
        <w:t>Deloitte India - www2.deloitte.com/in</w:t>
      </w:r>
    </w:p>
    <w:p w14:paraId="1F65423A" w14:textId="77777777" w:rsidR="00631B3C" w:rsidRPr="00631B3C" w:rsidRDefault="00631B3C" w:rsidP="00631B3C">
      <w:pPr>
        <w:pStyle w:val="ListParagraph"/>
        <w:rPr>
          <w:sz w:val="24"/>
          <w:szCs w:val="24"/>
        </w:rPr>
      </w:pPr>
      <w:r w:rsidRPr="00631B3C">
        <w:rPr>
          <w:sz w:val="24"/>
          <w:szCs w:val="24"/>
        </w:rPr>
        <w:t>EY India - www.ey.com/en_in</w:t>
      </w:r>
    </w:p>
    <w:p w14:paraId="0AAA70E8" w14:textId="77777777" w:rsidR="00631B3C" w:rsidRPr="00631B3C" w:rsidRDefault="00631B3C" w:rsidP="00631B3C">
      <w:pPr>
        <w:pStyle w:val="ListParagraph"/>
        <w:rPr>
          <w:sz w:val="24"/>
          <w:szCs w:val="24"/>
        </w:rPr>
      </w:pPr>
      <w:r w:rsidRPr="00631B3C">
        <w:rPr>
          <w:sz w:val="24"/>
          <w:szCs w:val="24"/>
        </w:rPr>
        <w:t xml:space="preserve">KPMG India - </w:t>
      </w:r>
      <w:proofErr w:type="spellStart"/>
      <w:r w:rsidRPr="00631B3C">
        <w:rPr>
          <w:sz w:val="24"/>
          <w:szCs w:val="24"/>
        </w:rPr>
        <w:t>home.kpmg</w:t>
      </w:r>
      <w:proofErr w:type="spellEnd"/>
      <w:r w:rsidRPr="00631B3C">
        <w:rPr>
          <w:sz w:val="24"/>
          <w:szCs w:val="24"/>
        </w:rPr>
        <w:t>/in</w:t>
      </w:r>
    </w:p>
    <w:p w14:paraId="47BA32D9" w14:textId="77777777" w:rsidR="00631B3C" w:rsidRPr="00631B3C" w:rsidRDefault="00631B3C" w:rsidP="00631B3C">
      <w:pPr>
        <w:pStyle w:val="ListParagraph"/>
        <w:rPr>
          <w:sz w:val="24"/>
          <w:szCs w:val="24"/>
        </w:rPr>
      </w:pPr>
      <w:r w:rsidRPr="00631B3C">
        <w:rPr>
          <w:sz w:val="24"/>
          <w:szCs w:val="24"/>
        </w:rPr>
        <w:t>PwC India - www.pwc.in</w:t>
      </w:r>
    </w:p>
    <w:p w14:paraId="4D3D7C02" w14:textId="77777777" w:rsidR="00631B3C" w:rsidRPr="00631B3C" w:rsidRDefault="00631B3C" w:rsidP="00631B3C">
      <w:pPr>
        <w:pStyle w:val="ListParagraph"/>
        <w:rPr>
          <w:sz w:val="24"/>
          <w:szCs w:val="24"/>
        </w:rPr>
      </w:pPr>
      <w:r w:rsidRPr="00631B3C">
        <w:rPr>
          <w:sz w:val="24"/>
          <w:szCs w:val="24"/>
        </w:rPr>
        <w:t>Economic Times - economictimes.indiatimes.com</w:t>
      </w:r>
    </w:p>
    <w:p w14:paraId="4ACB3603" w14:textId="77777777" w:rsidR="00631B3C" w:rsidRPr="00631B3C" w:rsidRDefault="00631B3C" w:rsidP="00631B3C">
      <w:pPr>
        <w:pStyle w:val="ListParagraph"/>
        <w:rPr>
          <w:sz w:val="24"/>
          <w:szCs w:val="24"/>
        </w:rPr>
      </w:pPr>
      <w:r w:rsidRPr="00631B3C">
        <w:rPr>
          <w:sz w:val="24"/>
          <w:szCs w:val="24"/>
        </w:rPr>
        <w:t>Business Standard - www.business-standard.com</w:t>
      </w:r>
    </w:p>
    <w:p w14:paraId="70E3F065" w14:textId="77777777" w:rsidR="00631B3C" w:rsidRPr="00631B3C" w:rsidRDefault="00631B3C" w:rsidP="00631B3C">
      <w:pPr>
        <w:pStyle w:val="ListParagraph"/>
        <w:rPr>
          <w:sz w:val="24"/>
          <w:szCs w:val="24"/>
        </w:rPr>
      </w:pPr>
      <w:r w:rsidRPr="00631B3C">
        <w:rPr>
          <w:sz w:val="24"/>
          <w:szCs w:val="24"/>
        </w:rPr>
        <w:t>Statista - www.statista.com</w:t>
      </w:r>
    </w:p>
    <w:p w14:paraId="738A54B0" w14:textId="77777777" w:rsidR="00631B3C" w:rsidRPr="00631B3C" w:rsidRDefault="00631B3C" w:rsidP="00631B3C">
      <w:pPr>
        <w:pStyle w:val="ListParagraph"/>
        <w:rPr>
          <w:sz w:val="24"/>
          <w:szCs w:val="24"/>
        </w:rPr>
      </w:pPr>
      <w:r w:rsidRPr="00631B3C">
        <w:rPr>
          <w:sz w:val="24"/>
          <w:szCs w:val="24"/>
        </w:rPr>
        <w:t>World Bank - www.worldbank.org</w:t>
      </w:r>
    </w:p>
    <w:p w14:paraId="1CDFE9D6" w14:textId="77777777" w:rsidR="00631B3C" w:rsidRPr="00631B3C" w:rsidRDefault="00631B3C" w:rsidP="00631B3C">
      <w:pPr>
        <w:pStyle w:val="ListParagraph"/>
        <w:rPr>
          <w:sz w:val="24"/>
          <w:szCs w:val="24"/>
        </w:rPr>
      </w:pPr>
      <w:r w:rsidRPr="00631B3C">
        <w:rPr>
          <w:sz w:val="24"/>
          <w:szCs w:val="24"/>
        </w:rPr>
        <w:t>IMF (International Monetary Fund) - www.imf.org</w:t>
      </w:r>
    </w:p>
    <w:p w14:paraId="551A80FF" w14:textId="77777777" w:rsidR="00631B3C" w:rsidRPr="00631B3C" w:rsidRDefault="00631B3C" w:rsidP="00631B3C">
      <w:pPr>
        <w:pStyle w:val="ListParagraph"/>
        <w:rPr>
          <w:sz w:val="24"/>
          <w:szCs w:val="24"/>
        </w:rPr>
      </w:pPr>
      <w:r w:rsidRPr="00631B3C">
        <w:rPr>
          <w:sz w:val="24"/>
          <w:szCs w:val="24"/>
        </w:rPr>
        <w:t>CMIE (Centre for Monitoring Indian Economy) - www.cmie.com</w:t>
      </w:r>
    </w:p>
    <w:p w14:paraId="74D390B3" w14:textId="77777777" w:rsidR="00631B3C" w:rsidRPr="00631B3C" w:rsidRDefault="00631B3C" w:rsidP="00631B3C">
      <w:pPr>
        <w:pStyle w:val="ListParagraph"/>
        <w:rPr>
          <w:sz w:val="24"/>
          <w:szCs w:val="24"/>
        </w:rPr>
      </w:pPr>
    </w:p>
    <w:p w14:paraId="12A5E7B9" w14:textId="77777777" w:rsidR="00631B3C" w:rsidRDefault="00631B3C" w:rsidP="00631B3C">
      <w:pPr>
        <w:pStyle w:val="ListParagraph"/>
        <w:rPr>
          <w:sz w:val="24"/>
          <w:szCs w:val="24"/>
        </w:rPr>
      </w:pPr>
    </w:p>
    <w:p w14:paraId="7232C02A" w14:textId="77777777" w:rsidR="00631B3C" w:rsidRDefault="00631B3C" w:rsidP="00631B3C">
      <w:pPr>
        <w:pStyle w:val="ListParagraph"/>
        <w:rPr>
          <w:sz w:val="24"/>
          <w:szCs w:val="24"/>
        </w:rPr>
      </w:pPr>
    </w:p>
    <w:p w14:paraId="7363099A" w14:textId="01B75B35" w:rsidR="00631B3C" w:rsidRPr="00631B3C" w:rsidRDefault="00631B3C" w:rsidP="00631B3C">
      <w:pPr>
        <w:pStyle w:val="ListParagraph"/>
        <w:rPr>
          <w:b/>
          <w:bCs/>
          <w:sz w:val="24"/>
          <w:szCs w:val="24"/>
        </w:rPr>
      </w:pPr>
      <w:r w:rsidRPr="00631B3C">
        <w:rPr>
          <w:b/>
          <w:bCs/>
          <w:sz w:val="24"/>
          <w:szCs w:val="24"/>
        </w:rPr>
        <w:lastRenderedPageBreak/>
        <w:t>D. Journals and Publications</w:t>
      </w:r>
    </w:p>
    <w:p w14:paraId="39744C69" w14:textId="77777777" w:rsidR="00631B3C" w:rsidRPr="00631B3C" w:rsidRDefault="00631B3C" w:rsidP="00631B3C">
      <w:pPr>
        <w:pStyle w:val="ListParagraph"/>
        <w:rPr>
          <w:sz w:val="24"/>
          <w:szCs w:val="24"/>
        </w:rPr>
      </w:pPr>
    </w:p>
    <w:p w14:paraId="3DA42E8A" w14:textId="77777777" w:rsidR="00631B3C" w:rsidRPr="00631B3C" w:rsidRDefault="00631B3C" w:rsidP="00631B3C">
      <w:pPr>
        <w:pStyle w:val="ListParagraph"/>
        <w:rPr>
          <w:sz w:val="24"/>
          <w:szCs w:val="24"/>
        </w:rPr>
      </w:pPr>
      <w:r w:rsidRPr="00631B3C">
        <w:rPr>
          <w:sz w:val="24"/>
          <w:szCs w:val="24"/>
        </w:rPr>
        <w:t>Journal of Applied Finance</w:t>
      </w:r>
    </w:p>
    <w:p w14:paraId="5E9A282B" w14:textId="77777777" w:rsidR="00631B3C" w:rsidRPr="00631B3C" w:rsidRDefault="00631B3C" w:rsidP="00631B3C">
      <w:pPr>
        <w:pStyle w:val="ListParagraph"/>
        <w:rPr>
          <w:sz w:val="24"/>
          <w:szCs w:val="24"/>
        </w:rPr>
      </w:pPr>
      <w:r w:rsidRPr="00631B3C">
        <w:rPr>
          <w:sz w:val="24"/>
          <w:szCs w:val="24"/>
        </w:rPr>
        <w:t>International Journal of Finance and Accounting</w:t>
      </w:r>
    </w:p>
    <w:p w14:paraId="5B03D0C3" w14:textId="77777777" w:rsidR="00631B3C" w:rsidRPr="00631B3C" w:rsidRDefault="00631B3C" w:rsidP="00631B3C">
      <w:pPr>
        <w:pStyle w:val="ListParagraph"/>
        <w:rPr>
          <w:sz w:val="24"/>
          <w:szCs w:val="24"/>
        </w:rPr>
      </w:pPr>
      <w:r w:rsidRPr="00631B3C">
        <w:rPr>
          <w:sz w:val="24"/>
          <w:szCs w:val="24"/>
        </w:rPr>
        <w:t>Indian Journal of Finance</w:t>
      </w:r>
    </w:p>
    <w:p w14:paraId="3C6CAC32" w14:textId="77777777" w:rsidR="00631B3C" w:rsidRPr="00631B3C" w:rsidRDefault="00631B3C" w:rsidP="00631B3C">
      <w:pPr>
        <w:pStyle w:val="ListParagraph"/>
        <w:rPr>
          <w:sz w:val="24"/>
          <w:szCs w:val="24"/>
        </w:rPr>
      </w:pPr>
      <w:r w:rsidRPr="00631B3C">
        <w:rPr>
          <w:sz w:val="24"/>
          <w:szCs w:val="24"/>
        </w:rPr>
        <w:t>International Journal of Management Research</w:t>
      </w:r>
    </w:p>
    <w:p w14:paraId="3016CE76" w14:textId="77777777" w:rsidR="00631B3C" w:rsidRPr="00631B3C" w:rsidRDefault="00631B3C" w:rsidP="00631B3C">
      <w:pPr>
        <w:pStyle w:val="ListParagraph"/>
        <w:rPr>
          <w:sz w:val="24"/>
          <w:szCs w:val="24"/>
        </w:rPr>
      </w:pPr>
      <w:r w:rsidRPr="00631B3C">
        <w:rPr>
          <w:sz w:val="24"/>
          <w:szCs w:val="24"/>
        </w:rPr>
        <w:t>Economic and Political Weekly (EPW)</w:t>
      </w:r>
    </w:p>
    <w:p w14:paraId="75FB459A" w14:textId="77777777" w:rsidR="00631B3C" w:rsidRPr="00631B3C" w:rsidRDefault="00631B3C" w:rsidP="00631B3C">
      <w:pPr>
        <w:pStyle w:val="ListParagraph"/>
        <w:rPr>
          <w:sz w:val="24"/>
          <w:szCs w:val="24"/>
        </w:rPr>
      </w:pPr>
      <w:r w:rsidRPr="00631B3C">
        <w:rPr>
          <w:sz w:val="24"/>
          <w:szCs w:val="24"/>
        </w:rPr>
        <w:t>Asian Journal of Management</w:t>
      </w:r>
    </w:p>
    <w:p w14:paraId="43AA22C0" w14:textId="77777777" w:rsidR="00631B3C" w:rsidRPr="00631B3C" w:rsidRDefault="00631B3C" w:rsidP="00631B3C">
      <w:pPr>
        <w:pStyle w:val="ListParagraph"/>
        <w:rPr>
          <w:sz w:val="24"/>
          <w:szCs w:val="24"/>
        </w:rPr>
      </w:pPr>
      <w:r w:rsidRPr="00631B3C">
        <w:rPr>
          <w:sz w:val="24"/>
          <w:szCs w:val="24"/>
        </w:rPr>
        <w:t>International Journal of Business and Management</w:t>
      </w:r>
    </w:p>
    <w:p w14:paraId="7B5BDE58" w14:textId="608A7F94" w:rsidR="006973B2" w:rsidRDefault="00631B3C" w:rsidP="00631B3C">
      <w:pPr>
        <w:pStyle w:val="ListParagraph"/>
        <w:sectPr w:rsidR="006973B2">
          <w:pgSz w:w="12240" w:h="15840"/>
          <w:pgMar w:top="1280" w:right="1440" w:bottom="280" w:left="1440" w:header="720" w:footer="720" w:gutter="0"/>
          <w:cols w:space="720"/>
        </w:sectPr>
      </w:pPr>
      <w:r w:rsidRPr="00631B3C">
        <w:rPr>
          <w:sz w:val="24"/>
          <w:szCs w:val="24"/>
        </w:rPr>
        <w:t>RBI Working Paper Serie</w:t>
      </w:r>
    </w:p>
    <w:p w14:paraId="1ADBFB4D" w14:textId="11FFE7E0" w:rsidR="00E13967" w:rsidRDefault="00E13967" w:rsidP="007C7BB5">
      <w:pPr>
        <w:tabs>
          <w:tab w:val="left" w:pos="940"/>
        </w:tabs>
        <w:spacing w:before="103"/>
      </w:pPr>
      <w:bookmarkStart w:id="0" w:name="_GoBack"/>
      <w:bookmarkEnd w:id="0"/>
    </w:p>
    <w:sectPr w:rsidR="00E13967">
      <w:pgSz w:w="12240" w:h="15840"/>
      <w:pgMar w:top="1280" w:right="1440" w:bottom="2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9EA00" w14:textId="77777777" w:rsidR="00A150C3" w:rsidRDefault="00A150C3" w:rsidP="00E75C41">
      <w:r>
        <w:separator/>
      </w:r>
    </w:p>
  </w:endnote>
  <w:endnote w:type="continuationSeparator" w:id="0">
    <w:p w14:paraId="0C70E879" w14:textId="77777777" w:rsidR="00A150C3" w:rsidRDefault="00A150C3" w:rsidP="00E7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39A23" w14:textId="77777777" w:rsidR="00A150C3" w:rsidRDefault="00A150C3" w:rsidP="00E75C41">
      <w:r>
        <w:separator/>
      </w:r>
    </w:p>
  </w:footnote>
  <w:footnote w:type="continuationSeparator" w:id="0">
    <w:p w14:paraId="00C2325B" w14:textId="77777777" w:rsidR="00A150C3" w:rsidRDefault="00A150C3" w:rsidP="00E75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244117"/>
      <w:docPartObj>
        <w:docPartGallery w:val="Page Numbers (Top of Page)"/>
        <w:docPartUnique/>
      </w:docPartObj>
    </w:sdtPr>
    <w:sdtEndPr>
      <w:rPr>
        <w:noProof/>
      </w:rPr>
    </w:sdtEndPr>
    <w:sdtContent>
      <w:p w14:paraId="1955057A" w14:textId="07651613" w:rsidR="00780EBD" w:rsidRDefault="00780EBD">
        <w:pPr>
          <w:pStyle w:val="Header"/>
        </w:pPr>
        <w:r>
          <w:fldChar w:fldCharType="begin"/>
        </w:r>
        <w:r>
          <w:instrText xml:space="preserve"> PAGE   \* MERGEFORMAT </w:instrText>
        </w:r>
        <w:r>
          <w:fldChar w:fldCharType="separate"/>
        </w:r>
        <w:r w:rsidR="006617B9">
          <w:rPr>
            <w:noProof/>
          </w:rPr>
          <w:t>1</w:t>
        </w:r>
        <w:r>
          <w:rPr>
            <w:noProof/>
          </w:rPr>
          <w:fldChar w:fldCharType="end"/>
        </w:r>
      </w:p>
    </w:sdtContent>
  </w:sdt>
  <w:p w14:paraId="43850B1A" w14:textId="77777777" w:rsidR="00780EBD" w:rsidRDefault="00780E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2BA"/>
    <w:multiLevelType w:val="hybridMultilevel"/>
    <w:tmpl w:val="F0546C72"/>
    <w:lvl w:ilvl="0" w:tplc="E89E8444">
      <w:start w:val="1"/>
      <w:numFmt w:val="decimal"/>
      <w:lvlText w:val="%1."/>
      <w:lvlJc w:val="left"/>
      <w:pPr>
        <w:ind w:left="413" w:hanging="226"/>
      </w:pPr>
      <w:rPr>
        <w:rFonts w:ascii="Times New Roman" w:eastAsia="Times New Roman" w:hAnsi="Times New Roman" w:cs="Times New Roman" w:hint="default"/>
        <w:b/>
        <w:bCs/>
        <w:i w:val="0"/>
        <w:iCs w:val="0"/>
        <w:color w:val="2D75B6"/>
        <w:spacing w:val="0"/>
        <w:w w:val="102"/>
        <w:sz w:val="22"/>
        <w:szCs w:val="22"/>
        <w:lang w:val="en-US" w:eastAsia="en-US" w:bidi="ar-SA"/>
      </w:rPr>
    </w:lvl>
    <w:lvl w:ilvl="1" w:tplc="920E91B4">
      <w:numFmt w:val="bullet"/>
      <w:lvlText w:val="•"/>
      <w:lvlJc w:val="left"/>
      <w:pPr>
        <w:ind w:left="1292" w:hanging="226"/>
      </w:pPr>
      <w:rPr>
        <w:rFonts w:hint="default"/>
        <w:lang w:val="en-US" w:eastAsia="en-US" w:bidi="ar-SA"/>
      </w:rPr>
    </w:lvl>
    <w:lvl w:ilvl="2" w:tplc="31142792">
      <w:numFmt w:val="bullet"/>
      <w:lvlText w:val="•"/>
      <w:lvlJc w:val="left"/>
      <w:pPr>
        <w:ind w:left="2180" w:hanging="226"/>
      </w:pPr>
      <w:rPr>
        <w:rFonts w:hint="default"/>
        <w:lang w:val="en-US" w:eastAsia="en-US" w:bidi="ar-SA"/>
      </w:rPr>
    </w:lvl>
    <w:lvl w:ilvl="3" w:tplc="4F8ABD56">
      <w:numFmt w:val="bullet"/>
      <w:lvlText w:val="•"/>
      <w:lvlJc w:val="left"/>
      <w:pPr>
        <w:ind w:left="3068" w:hanging="226"/>
      </w:pPr>
      <w:rPr>
        <w:rFonts w:hint="default"/>
        <w:lang w:val="en-US" w:eastAsia="en-US" w:bidi="ar-SA"/>
      </w:rPr>
    </w:lvl>
    <w:lvl w:ilvl="4" w:tplc="1C6260F6">
      <w:numFmt w:val="bullet"/>
      <w:lvlText w:val="•"/>
      <w:lvlJc w:val="left"/>
      <w:pPr>
        <w:ind w:left="3956" w:hanging="226"/>
      </w:pPr>
      <w:rPr>
        <w:rFonts w:hint="default"/>
        <w:lang w:val="en-US" w:eastAsia="en-US" w:bidi="ar-SA"/>
      </w:rPr>
    </w:lvl>
    <w:lvl w:ilvl="5" w:tplc="3EF22B8C">
      <w:numFmt w:val="bullet"/>
      <w:lvlText w:val="•"/>
      <w:lvlJc w:val="left"/>
      <w:pPr>
        <w:ind w:left="4844" w:hanging="226"/>
      </w:pPr>
      <w:rPr>
        <w:rFonts w:hint="default"/>
        <w:lang w:val="en-US" w:eastAsia="en-US" w:bidi="ar-SA"/>
      </w:rPr>
    </w:lvl>
    <w:lvl w:ilvl="6" w:tplc="0CC8BA9A">
      <w:numFmt w:val="bullet"/>
      <w:lvlText w:val="•"/>
      <w:lvlJc w:val="left"/>
      <w:pPr>
        <w:ind w:left="5732" w:hanging="226"/>
      </w:pPr>
      <w:rPr>
        <w:rFonts w:hint="default"/>
        <w:lang w:val="en-US" w:eastAsia="en-US" w:bidi="ar-SA"/>
      </w:rPr>
    </w:lvl>
    <w:lvl w:ilvl="7" w:tplc="48729E04">
      <w:numFmt w:val="bullet"/>
      <w:lvlText w:val="•"/>
      <w:lvlJc w:val="left"/>
      <w:pPr>
        <w:ind w:left="6620" w:hanging="226"/>
      </w:pPr>
      <w:rPr>
        <w:rFonts w:hint="default"/>
        <w:lang w:val="en-US" w:eastAsia="en-US" w:bidi="ar-SA"/>
      </w:rPr>
    </w:lvl>
    <w:lvl w:ilvl="8" w:tplc="801ACD20">
      <w:numFmt w:val="bullet"/>
      <w:lvlText w:val="•"/>
      <w:lvlJc w:val="left"/>
      <w:pPr>
        <w:ind w:left="7508" w:hanging="226"/>
      </w:pPr>
      <w:rPr>
        <w:rFonts w:hint="default"/>
        <w:lang w:val="en-US" w:eastAsia="en-US" w:bidi="ar-SA"/>
      </w:rPr>
    </w:lvl>
  </w:abstractNum>
  <w:abstractNum w:abstractNumId="1">
    <w:nsid w:val="0B6E1C5F"/>
    <w:multiLevelType w:val="hybridMultilevel"/>
    <w:tmpl w:val="48D0C07E"/>
    <w:lvl w:ilvl="0" w:tplc="3E5A60E0">
      <w:start w:val="1"/>
      <w:numFmt w:val="decimal"/>
      <w:lvlText w:val="%1."/>
      <w:lvlJc w:val="left"/>
      <w:pPr>
        <w:ind w:left="489" w:hanging="226"/>
      </w:pPr>
      <w:rPr>
        <w:rFonts w:ascii="Times New Roman" w:eastAsia="Times New Roman" w:hAnsi="Times New Roman" w:cs="Times New Roman" w:hint="default"/>
        <w:b/>
        <w:bCs/>
        <w:i w:val="0"/>
        <w:iCs w:val="0"/>
        <w:color w:val="2D75B6"/>
        <w:spacing w:val="0"/>
        <w:w w:val="102"/>
        <w:sz w:val="22"/>
        <w:szCs w:val="22"/>
        <w:lang w:val="en-US" w:eastAsia="en-US" w:bidi="ar-SA"/>
      </w:rPr>
    </w:lvl>
    <w:lvl w:ilvl="1" w:tplc="DD9C2F7C">
      <w:numFmt w:val="bullet"/>
      <w:lvlText w:val="•"/>
      <w:lvlJc w:val="left"/>
      <w:pPr>
        <w:ind w:left="1368" w:hanging="226"/>
      </w:pPr>
      <w:rPr>
        <w:rFonts w:hint="default"/>
        <w:lang w:val="en-US" w:eastAsia="en-US" w:bidi="ar-SA"/>
      </w:rPr>
    </w:lvl>
    <w:lvl w:ilvl="2" w:tplc="2CA4DA2C">
      <w:numFmt w:val="bullet"/>
      <w:lvlText w:val="•"/>
      <w:lvlJc w:val="left"/>
      <w:pPr>
        <w:ind w:left="2256" w:hanging="226"/>
      </w:pPr>
      <w:rPr>
        <w:rFonts w:hint="default"/>
        <w:lang w:val="en-US" w:eastAsia="en-US" w:bidi="ar-SA"/>
      </w:rPr>
    </w:lvl>
    <w:lvl w:ilvl="3" w:tplc="65E0BE76">
      <w:numFmt w:val="bullet"/>
      <w:lvlText w:val="•"/>
      <w:lvlJc w:val="left"/>
      <w:pPr>
        <w:ind w:left="3144" w:hanging="226"/>
      </w:pPr>
      <w:rPr>
        <w:rFonts w:hint="default"/>
        <w:lang w:val="en-US" w:eastAsia="en-US" w:bidi="ar-SA"/>
      </w:rPr>
    </w:lvl>
    <w:lvl w:ilvl="4" w:tplc="3B3263DC">
      <w:numFmt w:val="bullet"/>
      <w:lvlText w:val="•"/>
      <w:lvlJc w:val="left"/>
      <w:pPr>
        <w:ind w:left="4032" w:hanging="226"/>
      </w:pPr>
      <w:rPr>
        <w:rFonts w:hint="default"/>
        <w:lang w:val="en-US" w:eastAsia="en-US" w:bidi="ar-SA"/>
      </w:rPr>
    </w:lvl>
    <w:lvl w:ilvl="5" w:tplc="74B8166E">
      <w:numFmt w:val="bullet"/>
      <w:lvlText w:val="•"/>
      <w:lvlJc w:val="left"/>
      <w:pPr>
        <w:ind w:left="4920" w:hanging="226"/>
      </w:pPr>
      <w:rPr>
        <w:rFonts w:hint="default"/>
        <w:lang w:val="en-US" w:eastAsia="en-US" w:bidi="ar-SA"/>
      </w:rPr>
    </w:lvl>
    <w:lvl w:ilvl="6" w:tplc="E3F25D3A">
      <w:numFmt w:val="bullet"/>
      <w:lvlText w:val="•"/>
      <w:lvlJc w:val="left"/>
      <w:pPr>
        <w:ind w:left="5808" w:hanging="226"/>
      </w:pPr>
      <w:rPr>
        <w:rFonts w:hint="default"/>
        <w:lang w:val="en-US" w:eastAsia="en-US" w:bidi="ar-SA"/>
      </w:rPr>
    </w:lvl>
    <w:lvl w:ilvl="7" w:tplc="D41E4294">
      <w:numFmt w:val="bullet"/>
      <w:lvlText w:val="•"/>
      <w:lvlJc w:val="left"/>
      <w:pPr>
        <w:ind w:left="6696" w:hanging="226"/>
      </w:pPr>
      <w:rPr>
        <w:rFonts w:hint="default"/>
        <w:lang w:val="en-US" w:eastAsia="en-US" w:bidi="ar-SA"/>
      </w:rPr>
    </w:lvl>
    <w:lvl w:ilvl="8" w:tplc="816C882E">
      <w:numFmt w:val="bullet"/>
      <w:lvlText w:val="•"/>
      <w:lvlJc w:val="left"/>
      <w:pPr>
        <w:ind w:left="7584" w:hanging="226"/>
      </w:pPr>
      <w:rPr>
        <w:rFonts w:hint="default"/>
        <w:lang w:val="en-US" w:eastAsia="en-US" w:bidi="ar-SA"/>
      </w:rPr>
    </w:lvl>
  </w:abstractNum>
  <w:abstractNum w:abstractNumId="2">
    <w:nsid w:val="0C8C0819"/>
    <w:multiLevelType w:val="hybridMultilevel"/>
    <w:tmpl w:val="DD9A03C8"/>
    <w:lvl w:ilvl="0" w:tplc="8F345442">
      <w:start w:val="1"/>
      <w:numFmt w:val="decimal"/>
      <w:lvlText w:val="%1."/>
      <w:lvlJc w:val="left"/>
      <w:pPr>
        <w:ind w:left="720" w:hanging="360"/>
      </w:pPr>
      <w:rPr>
        <w:rFonts w:hint="default"/>
        <w:color w:val="2D75B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CB1034C"/>
    <w:multiLevelType w:val="hybridMultilevel"/>
    <w:tmpl w:val="5462C79E"/>
    <w:lvl w:ilvl="0" w:tplc="6B647C4E">
      <w:start w:val="1"/>
      <w:numFmt w:val="upperLetter"/>
      <w:lvlText w:val="%1."/>
      <w:lvlJc w:val="left"/>
      <w:pPr>
        <w:ind w:left="559" w:hanging="275"/>
      </w:pPr>
      <w:rPr>
        <w:rFonts w:ascii="Times New Roman" w:eastAsia="Times New Roman" w:hAnsi="Times New Roman" w:cs="Times New Roman" w:hint="default"/>
        <w:b/>
        <w:bCs/>
        <w:i w:val="0"/>
        <w:iCs w:val="0"/>
        <w:color w:val="2D75B6"/>
        <w:spacing w:val="-3"/>
        <w:w w:val="102"/>
        <w:sz w:val="22"/>
        <w:szCs w:val="22"/>
        <w:lang w:val="en-US" w:eastAsia="en-US" w:bidi="ar-SA"/>
      </w:rPr>
    </w:lvl>
    <w:lvl w:ilvl="1" w:tplc="56404E98">
      <w:numFmt w:val="bullet"/>
      <w:lvlText w:val="•"/>
      <w:lvlJc w:val="left"/>
      <w:pPr>
        <w:ind w:left="961"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2" w:tplc="A2A4F520">
      <w:numFmt w:val="bullet"/>
      <w:lvlText w:val="•"/>
      <w:lvlJc w:val="left"/>
      <w:pPr>
        <w:ind w:left="1896" w:hanging="339"/>
      </w:pPr>
      <w:rPr>
        <w:rFonts w:hint="default"/>
        <w:lang w:val="en-US" w:eastAsia="en-US" w:bidi="ar-SA"/>
      </w:rPr>
    </w:lvl>
    <w:lvl w:ilvl="3" w:tplc="88FEE552">
      <w:numFmt w:val="bullet"/>
      <w:lvlText w:val="•"/>
      <w:lvlJc w:val="left"/>
      <w:pPr>
        <w:ind w:left="2832" w:hanging="339"/>
      </w:pPr>
      <w:rPr>
        <w:rFonts w:hint="default"/>
        <w:lang w:val="en-US" w:eastAsia="en-US" w:bidi="ar-SA"/>
      </w:rPr>
    </w:lvl>
    <w:lvl w:ilvl="4" w:tplc="0AC47D92">
      <w:numFmt w:val="bullet"/>
      <w:lvlText w:val="•"/>
      <w:lvlJc w:val="left"/>
      <w:pPr>
        <w:ind w:left="3767" w:hanging="339"/>
      </w:pPr>
      <w:rPr>
        <w:rFonts w:hint="default"/>
        <w:lang w:val="en-US" w:eastAsia="en-US" w:bidi="ar-SA"/>
      </w:rPr>
    </w:lvl>
    <w:lvl w:ilvl="5" w:tplc="D13A2F38">
      <w:numFmt w:val="bullet"/>
      <w:lvlText w:val="•"/>
      <w:lvlJc w:val="left"/>
      <w:pPr>
        <w:ind w:left="4703" w:hanging="339"/>
      </w:pPr>
      <w:rPr>
        <w:rFonts w:hint="default"/>
        <w:lang w:val="en-US" w:eastAsia="en-US" w:bidi="ar-SA"/>
      </w:rPr>
    </w:lvl>
    <w:lvl w:ilvl="6" w:tplc="00A0692A">
      <w:numFmt w:val="bullet"/>
      <w:lvlText w:val="•"/>
      <w:lvlJc w:val="left"/>
      <w:pPr>
        <w:ind w:left="5638" w:hanging="339"/>
      </w:pPr>
      <w:rPr>
        <w:rFonts w:hint="default"/>
        <w:lang w:val="en-US" w:eastAsia="en-US" w:bidi="ar-SA"/>
      </w:rPr>
    </w:lvl>
    <w:lvl w:ilvl="7" w:tplc="F5BE11CC">
      <w:numFmt w:val="bullet"/>
      <w:lvlText w:val="•"/>
      <w:lvlJc w:val="left"/>
      <w:pPr>
        <w:ind w:left="6574" w:hanging="339"/>
      </w:pPr>
      <w:rPr>
        <w:rFonts w:hint="default"/>
        <w:lang w:val="en-US" w:eastAsia="en-US" w:bidi="ar-SA"/>
      </w:rPr>
    </w:lvl>
    <w:lvl w:ilvl="8" w:tplc="2F649E7C">
      <w:numFmt w:val="bullet"/>
      <w:lvlText w:val="•"/>
      <w:lvlJc w:val="left"/>
      <w:pPr>
        <w:ind w:left="7509" w:hanging="339"/>
      </w:pPr>
      <w:rPr>
        <w:rFonts w:hint="default"/>
        <w:lang w:val="en-US" w:eastAsia="en-US" w:bidi="ar-SA"/>
      </w:rPr>
    </w:lvl>
  </w:abstractNum>
  <w:abstractNum w:abstractNumId="4">
    <w:nsid w:val="12B96BDD"/>
    <w:multiLevelType w:val="hybridMultilevel"/>
    <w:tmpl w:val="956CC5FC"/>
    <w:lvl w:ilvl="0" w:tplc="D708CDB4">
      <w:start w:val="1"/>
      <w:numFmt w:val="decimal"/>
      <w:lvlText w:val="%1."/>
      <w:lvlJc w:val="left"/>
      <w:pPr>
        <w:ind w:left="489" w:hanging="226"/>
      </w:pPr>
      <w:rPr>
        <w:rFonts w:ascii="Times New Roman" w:eastAsia="Times New Roman" w:hAnsi="Times New Roman" w:cs="Times New Roman" w:hint="default"/>
        <w:b/>
        <w:bCs/>
        <w:i w:val="0"/>
        <w:iCs w:val="0"/>
        <w:color w:val="2D75B6"/>
        <w:spacing w:val="0"/>
        <w:w w:val="102"/>
        <w:sz w:val="22"/>
        <w:szCs w:val="22"/>
        <w:lang w:val="en-US" w:eastAsia="en-US" w:bidi="ar-SA"/>
      </w:rPr>
    </w:lvl>
    <w:lvl w:ilvl="1" w:tplc="0A361DD4">
      <w:numFmt w:val="bullet"/>
      <w:lvlText w:val="•"/>
      <w:lvlJc w:val="left"/>
      <w:pPr>
        <w:ind w:left="1368" w:hanging="226"/>
      </w:pPr>
      <w:rPr>
        <w:rFonts w:hint="default"/>
        <w:lang w:val="en-US" w:eastAsia="en-US" w:bidi="ar-SA"/>
      </w:rPr>
    </w:lvl>
    <w:lvl w:ilvl="2" w:tplc="C37E3AA8">
      <w:numFmt w:val="bullet"/>
      <w:lvlText w:val="•"/>
      <w:lvlJc w:val="left"/>
      <w:pPr>
        <w:ind w:left="2256" w:hanging="226"/>
      </w:pPr>
      <w:rPr>
        <w:rFonts w:hint="default"/>
        <w:lang w:val="en-US" w:eastAsia="en-US" w:bidi="ar-SA"/>
      </w:rPr>
    </w:lvl>
    <w:lvl w:ilvl="3" w:tplc="9298611C">
      <w:numFmt w:val="bullet"/>
      <w:lvlText w:val="•"/>
      <w:lvlJc w:val="left"/>
      <w:pPr>
        <w:ind w:left="3144" w:hanging="226"/>
      </w:pPr>
      <w:rPr>
        <w:rFonts w:hint="default"/>
        <w:lang w:val="en-US" w:eastAsia="en-US" w:bidi="ar-SA"/>
      </w:rPr>
    </w:lvl>
    <w:lvl w:ilvl="4" w:tplc="0DF6F440">
      <w:numFmt w:val="bullet"/>
      <w:lvlText w:val="•"/>
      <w:lvlJc w:val="left"/>
      <w:pPr>
        <w:ind w:left="4032" w:hanging="226"/>
      </w:pPr>
      <w:rPr>
        <w:rFonts w:hint="default"/>
        <w:lang w:val="en-US" w:eastAsia="en-US" w:bidi="ar-SA"/>
      </w:rPr>
    </w:lvl>
    <w:lvl w:ilvl="5" w:tplc="EE7006FE">
      <w:numFmt w:val="bullet"/>
      <w:lvlText w:val="•"/>
      <w:lvlJc w:val="left"/>
      <w:pPr>
        <w:ind w:left="4920" w:hanging="226"/>
      </w:pPr>
      <w:rPr>
        <w:rFonts w:hint="default"/>
        <w:lang w:val="en-US" w:eastAsia="en-US" w:bidi="ar-SA"/>
      </w:rPr>
    </w:lvl>
    <w:lvl w:ilvl="6" w:tplc="941202DA">
      <w:numFmt w:val="bullet"/>
      <w:lvlText w:val="•"/>
      <w:lvlJc w:val="left"/>
      <w:pPr>
        <w:ind w:left="5808" w:hanging="226"/>
      </w:pPr>
      <w:rPr>
        <w:rFonts w:hint="default"/>
        <w:lang w:val="en-US" w:eastAsia="en-US" w:bidi="ar-SA"/>
      </w:rPr>
    </w:lvl>
    <w:lvl w:ilvl="7" w:tplc="B31CD65C">
      <w:numFmt w:val="bullet"/>
      <w:lvlText w:val="•"/>
      <w:lvlJc w:val="left"/>
      <w:pPr>
        <w:ind w:left="6696" w:hanging="226"/>
      </w:pPr>
      <w:rPr>
        <w:rFonts w:hint="default"/>
        <w:lang w:val="en-US" w:eastAsia="en-US" w:bidi="ar-SA"/>
      </w:rPr>
    </w:lvl>
    <w:lvl w:ilvl="8" w:tplc="1A5C92F8">
      <w:numFmt w:val="bullet"/>
      <w:lvlText w:val="•"/>
      <w:lvlJc w:val="left"/>
      <w:pPr>
        <w:ind w:left="7584" w:hanging="226"/>
      </w:pPr>
      <w:rPr>
        <w:rFonts w:hint="default"/>
        <w:lang w:val="en-US" w:eastAsia="en-US" w:bidi="ar-SA"/>
      </w:rPr>
    </w:lvl>
  </w:abstractNum>
  <w:abstractNum w:abstractNumId="5">
    <w:nsid w:val="18E40F42"/>
    <w:multiLevelType w:val="hybridMultilevel"/>
    <w:tmpl w:val="72CC6E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62B01A6"/>
    <w:multiLevelType w:val="hybridMultilevel"/>
    <w:tmpl w:val="FCEEC614"/>
    <w:lvl w:ilvl="0" w:tplc="A300D356">
      <w:start w:val="1"/>
      <w:numFmt w:val="decimal"/>
      <w:lvlText w:val="%1."/>
      <w:lvlJc w:val="left"/>
      <w:pPr>
        <w:ind w:left="489" w:hanging="226"/>
      </w:pPr>
      <w:rPr>
        <w:rFonts w:ascii="Times New Roman" w:eastAsia="Times New Roman" w:hAnsi="Times New Roman" w:cs="Times New Roman" w:hint="default"/>
        <w:b/>
        <w:bCs/>
        <w:i w:val="0"/>
        <w:iCs w:val="0"/>
        <w:color w:val="2D75B6"/>
        <w:spacing w:val="0"/>
        <w:w w:val="102"/>
        <w:sz w:val="22"/>
        <w:szCs w:val="22"/>
        <w:lang w:val="en-US" w:eastAsia="en-US" w:bidi="ar-SA"/>
      </w:rPr>
    </w:lvl>
    <w:lvl w:ilvl="1" w:tplc="0B563908">
      <w:start w:val="1"/>
      <w:numFmt w:val="decimal"/>
      <w:lvlText w:val="%2."/>
      <w:lvlJc w:val="left"/>
      <w:pPr>
        <w:ind w:left="941" w:hanging="340"/>
      </w:pPr>
      <w:rPr>
        <w:rFonts w:ascii="Arial MT" w:eastAsia="Arial MT" w:hAnsi="Arial MT" w:cs="Arial MT" w:hint="default"/>
        <w:b w:val="0"/>
        <w:bCs w:val="0"/>
        <w:i w:val="0"/>
        <w:iCs w:val="0"/>
        <w:spacing w:val="-4"/>
        <w:w w:val="103"/>
        <w:sz w:val="20"/>
        <w:szCs w:val="20"/>
        <w:lang w:val="en-US" w:eastAsia="en-US" w:bidi="ar-SA"/>
      </w:rPr>
    </w:lvl>
    <w:lvl w:ilvl="2" w:tplc="6E703714">
      <w:numFmt w:val="bullet"/>
      <w:lvlText w:val="•"/>
      <w:lvlJc w:val="left"/>
      <w:pPr>
        <w:ind w:left="1875" w:hanging="340"/>
      </w:pPr>
      <w:rPr>
        <w:rFonts w:hint="default"/>
        <w:lang w:val="en-US" w:eastAsia="en-US" w:bidi="ar-SA"/>
      </w:rPr>
    </w:lvl>
    <w:lvl w:ilvl="3" w:tplc="69E4B5C2">
      <w:numFmt w:val="bullet"/>
      <w:lvlText w:val="•"/>
      <w:lvlJc w:val="left"/>
      <w:pPr>
        <w:ind w:left="2811" w:hanging="340"/>
      </w:pPr>
      <w:rPr>
        <w:rFonts w:hint="default"/>
        <w:lang w:val="en-US" w:eastAsia="en-US" w:bidi="ar-SA"/>
      </w:rPr>
    </w:lvl>
    <w:lvl w:ilvl="4" w:tplc="7F369AC8">
      <w:numFmt w:val="bullet"/>
      <w:lvlText w:val="•"/>
      <w:lvlJc w:val="left"/>
      <w:pPr>
        <w:ind w:left="3746" w:hanging="340"/>
      </w:pPr>
      <w:rPr>
        <w:rFonts w:hint="default"/>
        <w:lang w:val="en-US" w:eastAsia="en-US" w:bidi="ar-SA"/>
      </w:rPr>
    </w:lvl>
    <w:lvl w:ilvl="5" w:tplc="4F2E0258">
      <w:numFmt w:val="bullet"/>
      <w:lvlText w:val="•"/>
      <w:lvlJc w:val="left"/>
      <w:pPr>
        <w:ind w:left="4682" w:hanging="340"/>
      </w:pPr>
      <w:rPr>
        <w:rFonts w:hint="default"/>
        <w:lang w:val="en-US" w:eastAsia="en-US" w:bidi="ar-SA"/>
      </w:rPr>
    </w:lvl>
    <w:lvl w:ilvl="6" w:tplc="4B903C94">
      <w:numFmt w:val="bullet"/>
      <w:lvlText w:val="•"/>
      <w:lvlJc w:val="left"/>
      <w:pPr>
        <w:ind w:left="5617" w:hanging="340"/>
      </w:pPr>
      <w:rPr>
        <w:rFonts w:hint="default"/>
        <w:lang w:val="en-US" w:eastAsia="en-US" w:bidi="ar-SA"/>
      </w:rPr>
    </w:lvl>
    <w:lvl w:ilvl="7" w:tplc="5D969CF4">
      <w:numFmt w:val="bullet"/>
      <w:lvlText w:val="•"/>
      <w:lvlJc w:val="left"/>
      <w:pPr>
        <w:ind w:left="6553" w:hanging="340"/>
      </w:pPr>
      <w:rPr>
        <w:rFonts w:hint="default"/>
        <w:lang w:val="en-US" w:eastAsia="en-US" w:bidi="ar-SA"/>
      </w:rPr>
    </w:lvl>
    <w:lvl w:ilvl="8" w:tplc="C7883226">
      <w:numFmt w:val="bullet"/>
      <w:lvlText w:val="•"/>
      <w:lvlJc w:val="left"/>
      <w:pPr>
        <w:ind w:left="7488" w:hanging="340"/>
      </w:pPr>
      <w:rPr>
        <w:rFonts w:hint="default"/>
        <w:lang w:val="en-US" w:eastAsia="en-US" w:bidi="ar-SA"/>
      </w:rPr>
    </w:lvl>
  </w:abstractNum>
  <w:abstractNum w:abstractNumId="7">
    <w:nsid w:val="27A75F46"/>
    <w:multiLevelType w:val="hybridMultilevel"/>
    <w:tmpl w:val="B4F0D856"/>
    <w:lvl w:ilvl="0" w:tplc="E4F879A4">
      <w:start w:val="1"/>
      <w:numFmt w:val="upperLetter"/>
      <w:lvlText w:val="%1."/>
      <w:lvlJc w:val="left"/>
      <w:pPr>
        <w:ind w:left="538" w:hanging="275"/>
      </w:pPr>
      <w:rPr>
        <w:rFonts w:ascii="Times New Roman" w:eastAsia="Times New Roman" w:hAnsi="Times New Roman" w:cs="Times New Roman" w:hint="default"/>
        <w:b/>
        <w:bCs/>
        <w:i w:val="0"/>
        <w:iCs w:val="0"/>
        <w:color w:val="2D75B6"/>
        <w:spacing w:val="-3"/>
        <w:w w:val="102"/>
        <w:sz w:val="22"/>
        <w:szCs w:val="22"/>
        <w:lang w:val="en-US" w:eastAsia="en-US" w:bidi="ar-SA"/>
      </w:rPr>
    </w:lvl>
    <w:lvl w:ilvl="1" w:tplc="E4CE530A">
      <w:numFmt w:val="bullet"/>
      <w:lvlText w:val="•"/>
      <w:lvlJc w:val="left"/>
      <w:pPr>
        <w:ind w:left="940"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2" w:tplc="1F649B84">
      <w:numFmt w:val="bullet"/>
      <w:lvlText w:val="•"/>
      <w:lvlJc w:val="left"/>
      <w:pPr>
        <w:ind w:left="1875" w:hanging="339"/>
      </w:pPr>
      <w:rPr>
        <w:rFonts w:hint="default"/>
        <w:lang w:val="en-US" w:eastAsia="en-US" w:bidi="ar-SA"/>
      </w:rPr>
    </w:lvl>
    <w:lvl w:ilvl="3" w:tplc="C5085EA2">
      <w:numFmt w:val="bullet"/>
      <w:lvlText w:val="•"/>
      <w:lvlJc w:val="left"/>
      <w:pPr>
        <w:ind w:left="2811" w:hanging="339"/>
      </w:pPr>
      <w:rPr>
        <w:rFonts w:hint="default"/>
        <w:lang w:val="en-US" w:eastAsia="en-US" w:bidi="ar-SA"/>
      </w:rPr>
    </w:lvl>
    <w:lvl w:ilvl="4" w:tplc="EED4E136">
      <w:numFmt w:val="bullet"/>
      <w:lvlText w:val="•"/>
      <w:lvlJc w:val="left"/>
      <w:pPr>
        <w:ind w:left="3746" w:hanging="339"/>
      </w:pPr>
      <w:rPr>
        <w:rFonts w:hint="default"/>
        <w:lang w:val="en-US" w:eastAsia="en-US" w:bidi="ar-SA"/>
      </w:rPr>
    </w:lvl>
    <w:lvl w:ilvl="5" w:tplc="8F0669E8">
      <w:numFmt w:val="bullet"/>
      <w:lvlText w:val="•"/>
      <w:lvlJc w:val="left"/>
      <w:pPr>
        <w:ind w:left="4682" w:hanging="339"/>
      </w:pPr>
      <w:rPr>
        <w:rFonts w:hint="default"/>
        <w:lang w:val="en-US" w:eastAsia="en-US" w:bidi="ar-SA"/>
      </w:rPr>
    </w:lvl>
    <w:lvl w:ilvl="6" w:tplc="601C9D82">
      <w:numFmt w:val="bullet"/>
      <w:lvlText w:val="•"/>
      <w:lvlJc w:val="left"/>
      <w:pPr>
        <w:ind w:left="5617" w:hanging="339"/>
      </w:pPr>
      <w:rPr>
        <w:rFonts w:hint="default"/>
        <w:lang w:val="en-US" w:eastAsia="en-US" w:bidi="ar-SA"/>
      </w:rPr>
    </w:lvl>
    <w:lvl w:ilvl="7" w:tplc="03262E26">
      <w:numFmt w:val="bullet"/>
      <w:lvlText w:val="•"/>
      <w:lvlJc w:val="left"/>
      <w:pPr>
        <w:ind w:left="6553" w:hanging="339"/>
      </w:pPr>
      <w:rPr>
        <w:rFonts w:hint="default"/>
        <w:lang w:val="en-US" w:eastAsia="en-US" w:bidi="ar-SA"/>
      </w:rPr>
    </w:lvl>
    <w:lvl w:ilvl="8" w:tplc="BE565BEA">
      <w:numFmt w:val="bullet"/>
      <w:lvlText w:val="•"/>
      <w:lvlJc w:val="left"/>
      <w:pPr>
        <w:ind w:left="7488" w:hanging="339"/>
      </w:pPr>
      <w:rPr>
        <w:rFonts w:hint="default"/>
        <w:lang w:val="en-US" w:eastAsia="en-US" w:bidi="ar-SA"/>
      </w:rPr>
    </w:lvl>
  </w:abstractNum>
  <w:abstractNum w:abstractNumId="8">
    <w:nsid w:val="28225E98"/>
    <w:multiLevelType w:val="hybridMultilevel"/>
    <w:tmpl w:val="49CEB376"/>
    <w:lvl w:ilvl="0" w:tplc="6816A986">
      <w:start w:val="1"/>
      <w:numFmt w:val="decimal"/>
      <w:lvlText w:val="%1."/>
      <w:lvlJc w:val="left"/>
      <w:pPr>
        <w:ind w:left="226" w:hanging="226"/>
      </w:pPr>
      <w:rPr>
        <w:rFonts w:ascii="Times New Roman" w:eastAsia="Times New Roman" w:hAnsi="Times New Roman" w:cs="Times New Roman" w:hint="default"/>
        <w:b/>
        <w:bCs/>
        <w:i w:val="0"/>
        <w:iCs w:val="0"/>
        <w:color w:val="2D75B6"/>
        <w:spacing w:val="0"/>
        <w:w w:val="102"/>
        <w:sz w:val="22"/>
        <w:szCs w:val="22"/>
        <w:lang w:val="en-US" w:eastAsia="en-US" w:bidi="ar-SA"/>
      </w:rPr>
    </w:lvl>
    <w:lvl w:ilvl="1" w:tplc="1F48957A">
      <w:numFmt w:val="bullet"/>
      <w:lvlText w:val="•"/>
      <w:lvlJc w:val="left"/>
      <w:pPr>
        <w:ind w:left="1105" w:hanging="226"/>
      </w:pPr>
      <w:rPr>
        <w:rFonts w:hint="default"/>
        <w:lang w:val="en-US" w:eastAsia="en-US" w:bidi="ar-SA"/>
      </w:rPr>
    </w:lvl>
    <w:lvl w:ilvl="2" w:tplc="EAD6ACEE">
      <w:numFmt w:val="bullet"/>
      <w:lvlText w:val="•"/>
      <w:lvlJc w:val="left"/>
      <w:pPr>
        <w:ind w:left="1993" w:hanging="226"/>
      </w:pPr>
      <w:rPr>
        <w:rFonts w:hint="default"/>
        <w:lang w:val="en-US" w:eastAsia="en-US" w:bidi="ar-SA"/>
      </w:rPr>
    </w:lvl>
    <w:lvl w:ilvl="3" w:tplc="94422F84">
      <w:numFmt w:val="bullet"/>
      <w:lvlText w:val="•"/>
      <w:lvlJc w:val="left"/>
      <w:pPr>
        <w:ind w:left="2881" w:hanging="226"/>
      </w:pPr>
      <w:rPr>
        <w:rFonts w:hint="default"/>
        <w:lang w:val="en-US" w:eastAsia="en-US" w:bidi="ar-SA"/>
      </w:rPr>
    </w:lvl>
    <w:lvl w:ilvl="4" w:tplc="6A10413C">
      <w:numFmt w:val="bullet"/>
      <w:lvlText w:val="•"/>
      <w:lvlJc w:val="left"/>
      <w:pPr>
        <w:ind w:left="3769" w:hanging="226"/>
      </w:pPr>
      <w:rPr>
        <w:rFonts w:hint="default"/>
        <w:lang w:val="en-US" w:eastAsia="en-US" w:bidi="ar-SA"/>
      </w:rPr>
    </w:lvl>
    <w:lvl w:ilvl="5" w:tplc="E8300E98">
      <w:numFmt w:val="bullet"/>
      <w:lvlText w:val="•"/>
      <w:lvlJc w:val="left"/>
      <w:pPr>
        <w:ind w:left="4657" w:hanging="226"/>
      </w:pPr>
      <w:rPr>
        <w:rFonts w:hint="default"/>
        <w:lang w:val="en-US" w:eastAsia="en-US" w:bidi="ar-SA"/>
      </w:rPr>
    </w:lvl>
    <w:lvl w:ilvl="6" w:tplc="4F58755E">
      <w:numFmt w:val="bullet"/>
      <w:lvlText w:val="•"/>
      <w:lvlJc w:val="left"/>
      <w:pPr>
        <w:ind w:left="5545" w:hanging="226"/>
      </w:pPr>
      <w:rPr>
        <w:rFonts w:hint="default"/>
        <w:lang w:val="en-US" w:eastAsia="en-US" w:bidi="ar-SA"/>
      </w:rPr>
    </w:lvl>
    <w:lvl w:ilvl="7" w:tplc="04126400">
      <w:numFmt w:val="bullet"/>
      <w:lvlText w:val="•"/>
      <w:lvlJc w:val="left"/>
      <w:pPr>
        <w:ind w:left="6433" w:hanging="226"/>
      </w:pPr>
      <w:rPr>
        <w:rFonts w:hint="default"/>
        <w:lang w:val="en-US" w:eastAsia="en-US" w:bidi="ar-SA"/>
      </w:rPr>
    </w:lvl>
    <w:lvl w:ilvl="8" w:tplc="CE3A3570">
      <w:numFmt w:val="bullet"/>
      <w:lvlText w:val="•"/>
      <w:lvlJc w:val="left"/>
      <w:pPr>
        <w:ind w:left="7321" w:hanging="226"/>
      </w:pPr>
      <w:rPr>
        <w:rFonts w:hint="default"/>
        <w:lang w:val="en-US" w:eastAsia="en-US" w:bidi="ar-SA"/>
      </w:rPr>
    </w:lvl>
  </w:abstractNum>
  <w:abstractNum w:abstractNumId="9">
    <w:nsid w:val="3CCE6F1A"/>
    <w:multiLevelType w:val="hybridMultilevel"/>
    <w:tmpl w:val="892E220C"/>
    <w:lvl w:ilvl="0" w:tplc="80EC5E90">
      <w:start w:val="1"/>
      <w:numFmt w:val="decimal"/>
      <w:lvlText w:val="%1."/>
      <w:lvlJc w:val="left"/>
      <w:pPr>
        <w:ind w:left="489" w:hanging="226"/>
      </w:pPr>
      <w:rPr>
        <w:rFonts w:ascii="Times New Roman" w:eastAsia="Times New Roman" w:hAnsi="Times New Roman" w:cs="Times New Roman" w:hint="default"/>
        <w:b/>
        <w:bCs/>
        <w:i w:val="0"/>
        <w:iCs w:val="0"/>
        <w:color w:val="2F5495"/>
        <w:spacing w:val="0"/>
        <w:w w:val="102"/>
        <w:sz w:val="22"/>
        <w:szCs w:val="22"/>
        <w:lang w:val="en-US" w:eastAsia="en-US" w:bidi="ar-SA"/>
      </w:rPr>
    </w:lvl>
    <w:lvl w:ilvl="1" w:tplc="309ACF0A">
      <w:numFmt w:val="bullet"/>
      <w:lvlText w:val="•"/>
      <w:lvlJc w:val="left"/>
      <w:pPr>
        <w:ind w:left="940"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2" w:tplc="47B67EFA">
      <w:numFmt w:val="bullet"/>
      <w:lvlText w:val="•"/>
      <w:lvlJc w:val="left"/>
      <w:pPr>
        <w:ind w:left="1875" w:hanging="339"/>
      </w:pPr>
      <w:rPr>
        <w:rFonts w:hint="default"/>
        <w:lang w:val="en-US" w:eastAsia="en-US" w:bidi="ar-SA"/>
      </w:rPr>
    </w:lvl>
    <w:lvl w:ilvl="3" w:tplc="C41E3DFA">
      <w:numFmt w:val="bullet"/>
      <w:lvlText w:val="•"/>
      <w:lvlJc w:val="left"/>
      <w:pPr>
        <w:ind w:left="2811" w:hanging="339"/>
      </w:pPr>
      <w:rPr>
        <w:rFonts w:hint="default"/>
        <w:lang w:val="en-US" w:eastAsia="en-US" w:bidi="ar-SA"/>
      </w:rPr>
    </w:lvl>
    <w:lvl w:ilvl="4" w:tplc="13D2E76A">
      <w:numFmt w:val="bullet"/>
      <w:lvlText w:val="•"/>
      <w:lvlJc w:val="left"/>
      <w:pPr>
        <w:ind w:left="3746" w:hanging="339"/>
      </w:pPr>
      <w:rPr>
        <w:rFonts w:hint="default"/>
        <w:lang w:val="en-US" w:eastAsia="en-US" w:bidi="ar-SA"/>
      </w:rPr>
    </w:lvl>
    <w:lvl w:ilvl="5" w:tplc="9020C308">
      <w:numFmt w:val="bullet"/>
      <w:lvlText w:val="•"/>
      <w:lvlJc w:val="left"/>
      <w:pPr>
        <w:ind w:left="4682" w:hanging="339"/>
      </w:pPr>
      <w:rPr>
        <w:rFonts w:hint="default"/>
        <w:lang w:val="en-US" w:eastAsia="en-US" w:bidi="ar-SA"/>
      </w:rPr>
    </w:lvl>
    <w:lvl w:ilvl="6" w:tplc="9B14F3E8">
      <w:numFmt w:val="bullet"/>
      <w:lvlText w:val="•"/>
      <w:lvlJc w:val="left"/>
      <w:pPr>
        <w:ind w:left="5617" w:hanging="339"/>
      </w:pPr>
      <w:rPr>
        <w:rFonts w:hint="default"/>
        <w:lang w:val="en-US" w:eastAsia="en-US" w:bidi="ar-SA"/>
      </w:rPr>
    </w:lvl>
    <w:lvl w:ilvl="7" w:tplc="CB90E6F2">
      <w:numFmt w:val="bullet"/>
      <w:lvlText w:val="•"/>
      <w:lvlJc w:val="left"/>
      <w:pPr>
        <w:ind w:left="6553" w:hanging="339"/>
      </w:pPr>
      <w:rPr>
        <w:rFonts w:hint="default"/>
        <w:lang w:val="en-US" w:eastAsia="en-US" w:bidi="ar-SA"/>
      </w:rPr>
    </w:lvl>
    <w:lvl w:ilvl="8" w:tplc="646E2622">
      <w:numFmt w:val="bullet"/>
      <w:lvlText w:val="•"/>
      <w:lvlJc w:val="left"/>
      <w:pPr>
        <w:ind w:left="7488" w:hanging="339"/>
      </w:pPr>
      <w:rPr>
        <w:rFonts w:hint="default"/>
        <w:lang w:val="en-US" w:eastAsia="en-US" w:bidi="ar-SA"/>
      </w:rPr>
    </w:lvl>
  </w:abstractNum>
  <w:abstractNum w:abstractNumId="10">
    <w:nsid w:val="45AF0EBB"/>
    <w:multiLevelType w:val="hybridMultilevel"/>
    <w:tmpl w:val="801089C6"/>
    <w:lvl w:ilvl="0" w:tplc="DF844F62">
      <w:start w:val="1"/>
      <w:numFmt w:val="decimal"/>
      <w:lvlText w:val="%1."/>
      <w:lvlJc w:val="left"/>
      <w:pPr>
        <w:ind w:left="489" w:hanging="226"/>
      </w:pPr>
      <w:rPr>
        <w:rFonts w:ascii="Times New Roman" w:eastAsia="Times New Roman" w:hAnsi="Times New Roman" w:cs="Times New Roman" w:hint="default"/>
        <w:b/>
        <w:bCs/>
        <w:i w:val="0"/>
        <w:iCs w:val="0"/>
        <w:color w:val="2D75B6"/>
        <w:spacing w:val="0"/>
        <w:w w:val="102"/>
        <w:sz w:val="22"/>
        <w:szCs w:val="22"/>
        <w:lang w:val="en-US" w:eastAsia="en-US" w:bidi="ar-SA"/>
      </w:rPr>
    </w:lvl>
    <w:lvl w:ilvl="1" w:tplc="CAEC44C8">
      <w:numFmt w:val="bullet"/>
      <w:lvlText w:val="•"/>
      <w:lvlJc w:val="left"/>
      <w:pPr>
        <w:ind w:left="940"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2" w:tplc="13C83876">
      <w:numFmt w:val="bullet"/>
      <w:lvlText w:val="•"/>
      <w:lvlJc w:val="left"/>
      <w:pPr>
        <w:ind w:left="1875" w:hanging="339"/>
      </w:pPr>
      <w:rPr>
        <w:rFonts w:hint="default"/>
        <w:lang w:val="en-US" w:eastAsia="en-US" w:bidi="ar-SA"/>
      </w:rPr>
    </w:lvl>
    <w:lvl w:ilvl="3" w:tplc="6060B7E4">
      <w:numFmt w:val="bullet"/>
      <w:lvlText w:val="•"/>
      <w:lvlJc w:val="left"/>
      <w:pPr>
        <w:ind w:left="2811" w:hanging="339"/>
      </w:pPr>
      <w:rPr>
        <w:rFonts w:hint="default"/>
        <w:lang w:val="en-US" w:eastAsia="en-US" w:bidi="ar-SA"/>
      </w:rPr>
    </w:lvl>
    <w:lvl w:ilvl="4" w:tplc="27A0AF34">
      <w:numFmt w:val="bullet"/>
      <w:lvlText w:val="•"/>
      <w:lvlJc w:val="left"/>
      <w:pPr>
        <w:ind w:left="3746" w:hanging="339"/>
      </w:pPr>
      <w:rPr>
        <w:rFonts w:hint="default"/>
        <w:lang w:val="en-US" w:eastAsia="en-US" w:bidi="ar-SA"/>
      </w:rPr>
    </w:lvl>
    <w:lvl w:ilvl="5" w:tplc="F81CCDE6">
      <w:numFmt w:val="bullet"/>
      <w:lvlText w:val="•"/>
      <w:lvlJc w:val="left"/>
      <w:pPr>
        <w:ind w:left="4682" w:hanging="339"/>
      </w:pPr>
      <w:rPr>
        <w:rFonts w:hint="default"/>
        <w:lang w:val="en-US" w:eastAsia="en-US" w:bidi="ar-SA"/>
      </w:rPr>
    </w:lvl>
    <w:lvl w:ilvl="6" w:tplc="ABE04688">
      <w:numFmt w:val="bullet"/>
      <w:lvlText w:val="•"/>
      <w:lvlJc w:val="left"/>
      <w:pPr>
        <w:ind w:left="5617" w:hanging="339"/>
      </w:pPr>
      <w:rPr>
        <w:rFonts w:hint="default"/>
        <w:lang w:val="en-US" w:eastAsia="en-US" w:bidi="ar-SA"/>
      </w:rPr>
    </w:lvl>
    <w:lvl w:ilvl="7" w:tplc="4156F224">
      <w:numFmt w:val="bullet"/>
      <w:lvlText w:val="•"/>
      <w:lvlJc w:val="left"/>
      <w:pPr>
        <w:ind w:left="6553" w:hanging="339"/>
      </w:pPr>
      <w:rPr>
        <w:rFonts w:hint="default"/>
        <w:lang w:val="en-US" w:eastAsia="en-US" w:bidi="ar-SA"/>
      </w:rPr>
    </w:lvl>
    <w:lvl w:ilvl="8" w:tplc="EC648006">
      <w:numFmt w:val="bullet"/>
      <w:lvlText w:val="•"/>
      <w:lvlJc w:val="left"/>
      <w:pPr>
        <w:ind w:left="7488" w:hanging="339"/>
      </w:pPr>
      <w:rPr>
        <w:rFonts w:hint="default"/>
        <w:lang w:val="en-US" w:eastAsia="en-US" w:bidi="ar-SA"/>
      </w:rPr>
    </w:lvl>
  </w:abstractNum>
  <w:abstractNum w:abstractNumId="11">
    <w:nsid w:val="4BEA21F6"/>
    <w:multiLevelType w:val="hybridMultilevel"/>
    <w:tmpl w:val="F87C4C6A"/>
    <w:lvl w:ilvl="0" w:tplc="E77AD56C">
      <w:start w:val="1"/>
      <w:numFmt w:val="decimal"/>
      <w:lvlText w:val="%1."/>
      <w:lvlJc w:val="left"/>
      <w:pPr>
        <w:ind w:left="489" w:hanging="226"/>
      </w:pPr>
      <w:rPr>
        <w:rFonts w:ascii="Times New Roman" w:eastAsia="Times New Roman" w:hAnsi="Times New Roman" w:cs="Times New Roman" w:hint="default"/>
        <w:b/>
        <w:bCs/>
        <w:i w:val="0"/>
        <w:iCs w:val="0"/>
        <w:color w:val="auto"/>
        <w:spacing w:val="0"/>
        <w:w w:val="102"/>
        <w:sz w:val="22"/>
        <w:szCs w:val="22"/>
        <w:lang w:val="en-US" w:eastAsia="en-US" w:bidi="ar-SA"/>
      </w:rPr>
    </w:lvl>
    <w:lvl w:ilvl="1" w:tplc="DA6287F6">
      <w:numFmt w:val="bullet"/>
      <w:lvlText w:val="•"/>
      <w:lvlJc w:val="left"/>
      <w:pPr>
        <w:ind w:left="940"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2" w:tplc="49DCCAD4">
      <w:numFmt w:val="bullet"/>
      <w:lvlText w:val="•"/>
      <w:lvlJc w:val="left"/>
      <w:pPr>
        <w:ind w:left="1875" w:hanging="339"/>
      </w:pPr>
      <w:rPr>
        <w:rFonts w:hint="default"/>
        <w:lang w:val="en-US" w:eastAsia="en-US" w:bidi="ar-SA"/>
      </w:rPr>
    </w:lvl>
    <w:lvl w:ilvl="3" w:tplc="A21A6E9E">
      <w:numFmt w:val="bullet"/>
      <w:lvlText w:val="•"/>
      <w:lvlJc w:val="left"/>
      <w:pPr>
        <w:ind w:left="2811" w:hanging="339"/>
      </w:pPr>
      <w:rPr>
        <w:rFonts w:hint="default"/>
        <w:lang w:val="en-US" w:eastAsia="en-US" w:bidi="ar-SA"/>
      </w:rPr>
    </w:lvl>
    <w:lvl w:ilvl="4" w:tplc="2DF0A04A">
      <w:numFmt w:val="bullet"/>
      <w:lvlText w:val="•"/>
      <w:lvlJc w:val="left"/>
      <w:pPr>
        <w:ind w:left="3746" w:hanging="339"/>
      </w:pPr>
      <w:rPr>
        <w:rFonts w:hint="default"/>
        <w:lang w:val="en-US" w:eastAsia="en-US" w:bidi="ar-SA"/>
      </w:rPr>
    </w:lvl>
    <w:lvl w:ilvl="5" w:tplc="B770C2B4">
      <w:numFmt w:val="bullet"/>
      <w:lvlText w:val="•"/>
      <w:lvlJc w:val="left"/>
      <w:pPr>
        <w:ind w:left="4682" w:hanging="339"/>
      </w:pPr>
      <w:rPr>
        <w:rFonts w:hint="default"/>
        <w:lang w:val="en-US" w:eastAsia="en-US" w:bidi="ar-SA"/>
      </w:rPr>
    </w:lvl>
    <w:lvl w:ilvl="6" w:tplc="1B968F78">
      <w:numFmt w:val="bullet"/>
      <w:lvlText w:val="•"/>
      <w:lvlJc w:val="left"/>
      <w:pPr>
        <w:ind w:left="5617" w:hanging="339"/>
      </w:pPr>
      <w:rPr>
        <w:rFonts w:hint="default"/>
        <w:lang w:val="en-US" w:eastAsia="en-US" w:bidi="ar-SA"/>
      </w:rPr>
    </w:lvl>
    <w:lvl w:ilvl="7" w:tplc="639CBBCE">
      <w:numFmt w:val="bullet"/>
      <w:lvlText w:val="•"/>
      <w:lvlJc w:val="left"/>
      <w:pPr>
        <w:ind w:left="6553" w:hanging="339"/>
      </w:pPr>
      <w:rPr>
        <w:rFonts w:hint="default"/>
        <w:lang w:val="en-US" w:eastAsia="en-US" w:bidi="ar-SA"/>
      </w:rPr>
    </w:lvl>
    <w:lvl w:ilvl="8" w:tplc="47FC0922">
      <w:numFmt w:val="bullet"/>
      <w:lvlText w:val="•"/>
      <w:lvlJc w:val="left"/>
      <w:pPr>
        <w:ind w:left="7488" w:hanging="339"/>
      </w:pPr>
      <w:rPr>
        <w:rFonts w:hint="default"/>
        <w:lang w:val="en-US" w:eastAsia="en-US" w:bidi="ar-SA"/>
      </w:rPr>
    </w:lvl>
  </w:abstractNum>
  <w:abstractNum w:abstractNumId="12">
    <w:nsid w:val="6DD3044A"/>
    <w:multiLevelType w:val="hybridMultilevel"/>
    <w:tmpl w:val="2FD20F64"/>
    <w:lvl w:ilvl="0" w:tplc="256AA7C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75093BE3"/>
    <w:multiLevelType w:val="hybridMultilevel"/>
    <w:tmpl w:val="57D4C10E"/>
    <w:lvl w:ilvl="0" w:tplc="D062E224">
      <w:start w:val="1"/>
      <w:numFmt w:val="decimal"/>
      <w:lvlText w:val="%1."/>
      <w:lvlJc w:val="left"/>
      <w:pPr>
        <w:ind w:left="489" w:hanging="226"/>
      </w:pPr>
      <w:rPr>
        <w:rFonts w:ascii="Times New Roman" w:eastAsia="Times New Roman" w:hAnsi="Times New Roman" w:cs="Times New Roman" w:hint="default"/>
        <w:b/>
        <w:bCs/>
        <w:i w:val="0"/>
        <w:iCs w:val="0"/>
        <w:color w:val="2D75B6"/>
        <w:spacing w:val="0"/>
        <w:w w:val="102"/>
        <w:sz w:val="22"/>
        <w:szCs w:val="22"/>
        <w:lang w:val="en-US" w:eastAsia="en-US" w:bidi="ar-SA"/>
      </w:rPr>
    </w:lvl>
    <w:lvl w:ilvl="1" w:tplc="2AD23F22">
      <w:numFmt w:val="bullet"/>
      <w:lvlText w:val="•"/>
      <w:lvlJc w:val="left"/>
      <w:pPr>
        <w:ind w:left="940"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2" w:tplc="6F26A7B2">
      <w:numFmt w:val="bullet"/>
      <w:lvlText w:val="•"/>
      <w:lvlJc w:val="left"/>
      <w:pPr>
        <w:ind w:left="1875" w:hanging="339"/>
      </w:pPr>
      <w:rPr>
        <w:rFonts w:hint="default"/>
        <w:lang w:val="en-US" w:eastAsia="en-US" w:bidi="ar-SA"/>
      </w:rPr>
    </w:lvl>
    <w:lvl w:ilvl="3" w:tplc="E292A1EE">
      <w:numFmt w:val="bullet"/>
      <w:lvlText w:val="•"/>
      <w:lvlJc w:val="left"/>
      <w:pPr>
        <w:ind w:left="2811" w:hanging="339"/>
      </w:pPr>
      <w:rPr>
        <w:rFonts w:hint="default"/>
        <w:lang w:val="en-US" w:eastAsia="en-US" w:bidi="ar-SA"/>
      </w:rPr>
    </w:lvl>
    <w:lvl w:ilvl="4" w:tplc="BF188FC6">
      <w:numFmt w:val="bullet"/>
      <w:lvlText w:val="•"/>
      <w:lvlJc w:val="left"/>
      <w:pPr>
        <w:ind w:left="3746" w:hanging="339"/>
      </w:pPr>
      <w:rPr>
        <w:rFonts w:hint="default"/>
        <w:lang w:val="en-US" w:eastAsia="en-US" w:bidi="ar-SA"/>
      </w:rPr>
    </w:lvl>
    <w:lvl w:ilvl="5" w:tplc="08B8EAE4">
      <w:numFmt w:val="bullet"/>
      <w:lvlText w:val="•"/>
      <w:lvlJc w:val="left"/>
      <w:pPr>
        <w:ind w:left="4682" w:hanging="339"/>
      </w:pPr>
      <w:rPr>
        <w:rFonts w:hint="default"/>
        <w:lang w:val="en-US" w:eastAsia="en-US" w:bidi="ar-SA"/>
      </w:rPr>
    </w:lvl>
    <w:lvl w:ilvl="6" w:tplc="CC5A3AE4">
      <w:numFmt w:val="bullet"/>
      <w:lvlText w:val="•"/>
      <w:lvlJc w:val="left"/>
      <w:pPr>
        <w:ind w:left="5617" w:hanging="339"/>
      </w:pPr>
      <w:rPr>
        <w:rFonts w:hint="default"/>
        <w:lang w:val="en-US" w:eastAsia="en-US" w:bidi="ar-SA"/>
      </w:rPr>
    </w:lvl>
    <w:lvl w:ilvl="7" w:tplc="A1025C46">
      <w:numFmt w:val="bullet"/>
      <w:lvlText w:val="•"/>
      <w:lvlJc w:val="left"/>
      <w:pPr>
        <w:ind w:left="6553" w:hanging="339"/>
      </w:pPr>
      <w:rPr>
        <w:rFonts w:hint="default"/>
        <w:lang w:val="en-US" w:eastAsia="en-US" w:bidi="ar-SA"/>
      </w:rPr>
    </w:lvl>
    <w:lvl w:ilvl="8" w:tplc="58228A7E">
      <w:numFmt w:val="bullet"/>
      <w:lvlText w:val="•"/>
      <w:lvlJc w:val="left"/>
      <w:pPr>
        <w:ind w:left="7488" w:hanging="339"/>
      </w:pPr>
      <w:rPr>
        <w:rFonts w:hint="default"/>
        <w:lang w:val="en-US" w:eastAsia="en-US" w:bidi="ar-SA"/>
      </w:rPr>
    </w:lvl>
  </w:abstractNum>
  <w:num w:numId="1">
    <w:abstractNumId w:val="9"/>
  </w:num>
  <w:num w:numId="2">
    <w:abstractNumId w:val="3"/>
  </w:num>
  <w:num w:numId="3">
    <w:abstractNumId w:val="10"/>
  </w:num>
  <w:num w:numId="4">
    <w:abstractNumId w:val="0"/>
  </w:num>
  <w:num w:numId="5">
    <w:abstractNumId w:val="4"/>
  </w:num>
  <w:num w:numId="6">
    <w:abstractNumId w:val="11"/>
  </w:num>
  <w:num w:numId="7">
    <w:abstractNumId w:val="7"/>
  </w:num>
  <w:num w:numId="8">
    <w:abstractNumId w:val="8"/>
  </w:num>
  <w:num w:numId="9">
    <w:abstractNumId w:val="6"/>
  </w:num>
  <w:num w:numId="10">
    <w:abstractNumId w:val="13"/>
  </w:num>
  <w:num w:numId="11">
    <w:abstractNumId w:val="1"/>
  </w:num>
  <w:num w:numId="12">
    <w:abstractNumId w:val="2"/>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3B2"/>
    <w:rsid w:val="00036971"/>
    <w:rsid w:val="00062907"/>
    <w:rsid w:val="000C29B8"/>
    <w:rsid w:val="000F676E"/>
    <w:rsid w:val="00126CBB"/>
    <w:rsid w:val="001B2218"/>
    <w:rsid w:val="00276F3C"/>
    <w:rsid w:val="00427323"/>
    <w:rsid w:val="00631B3C"/>
    <w:rsid w:val="006617B9"/>
    <w:rsid w:val="006973B2"/>
    <w:rsid w:val="00780EBD"/>
    <w:rsid w:val="007C7BB5"/>
    <w:rsid w:val="008355EE"/>
    <w:rsid w:val="00886585"/>
    <w:rsid w:val="00926D21"/>
    <w:rsid w:val="00A150C3"/>
    <w:rsid w:val="00A617EC"/>
    <w:rsid w:val="00AC36B4"/>
    <w:rsid w:val="00AF591E"/>
    <w:rsid w:val="00B310CF"/>
    <w:rsid w:val="00B33308"/>
    <w:rsid w:val="00B527F3"/>
    <w:rsid w:val="00B957B6"/>
    <w:rsid w:val="00BC3FB9"/>
    <w:rsid w:val="00C77EC6"/>
    <w:rsid w:val="00D82DD7"/>
    <w:rsid w:val="00DE20FD"/>
    <w:rsid w:val="00E13967"/>
    <w:rsid w:val="00E75C41"/>
    <w:rsid w:val="00FD22F5"/>
    <w:rsid w:val="00FD27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5"/>
      <w:ind w:left="263"/>
      <w:outlineLvl w:val="0"/>
    </w:pPr>
    <w:rPr>
      <w:rFonts w:ascii="Arial" w:eastAsia="Arial" w:hAnsi="Arial" w:cs="Arial"/>
      <w:b/>
      <w:bCs/>
      <w:sz w:val="30"/>
      <w:szCs w:val="30"/>
    </w:rPr>
  </w:style>
  <w:style w:type="paragraph" w:styleId="Heading2">
    <w:name w:val="heading 2"/>
    <w:basedOn w:val="Normal"/>
    <w:uiPriority w:val="9"/>
    <w:unhideWhenUsed/>
    <w:qFormat/>
    <w:pPr>
      <w:spacing w:before="77"/>
      <w:ind w:left="263"/>
      <w:jc w:val="both"/>
      <w:outlineLvl w:val="1"/>
    </w:pPr>
    <w:rPr>
      <w:b/>
      <w:bCs/>
    </w:rPr>
  </w:style>
  <w:style w:type="paragraph" w:styleId="Heading3">
    <w:name w:val="heading 3"/>
    <w:basedOn w:val="Normal"/>
    <w:uiPriority w:val="9"/>
    <w:unhideWhenUsed/>
    <w:qFormat/>
    <w:pPr>
      <w:ind w:left="487" w:hanging="224"/>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38"/>
    </w:pPr>
  </w:style>
  <w:style w:type="paragraph" w:customStyle="1" w:styleId="TableParagraph">
    <w:name w:val="Table Paragraph"/>
    <w:basedOn w:val="Normal"/>
    <w:uiPriority w:val="1"/>
    <w:qFormat/>
    <w:pPr>
      <w:spacing w:line="250" w:lineRule="exact"/>
      <w:jc w:val="center"/>
    </w:pPr>
  </w:style>
  <w:style w:type="paragraph" w:styleId="Header">
    <w:name w:val="header"/>
    <w:basedOn w:val="Normal"/>
    <w:link w:val="HeaderChar"/>
    <w:uiPriority w:val="99"/>
    <w:unhideWhenUsed/>
    <w:rsid w:val="00E75C41"/>
    <w:pPr>
      <w:tabs>
        <w:tab w:val="center" w:pos="4513"/>
        <w:tab w:val="right" w:pos="9026"/>
      </w:tabs>
    </w:pPr>
  </w:style>
  <w:style w:type="character" w:customStyle="1" w:styleId="HeaderChar">
    <w:name w:val="Header Char"/>
    <w:basedOn w:val="DefaultParagraphFont"/>
    <w:link w:val="Header"/>
    <w:uiPriority w:val="99"/>
    <w:rsid w:val="00E75C41"/>
    <w:rPr>
      <w:rFonts w:ascii="Times New Roman" w:eastAsia="Times New Roman" w:hAnsi="Times New Roman" w:cs="Times New Roman"/>
    </w:rPr>
  </w:style>
  <w:style w:type="paragraph" w:styleId="Footer">
    <w:name w:val="footer"/>
    <w:basedOn w:val="Normal"/>
    <w:link w:val="FooterChar"/>
    <w:uiPriority w:val="99"/>
    <w:unhideWhenUsed/>
    <w:rsid w:val="00E75C41"/>
    <w:pPr>
      <w:tabs>
        <w:tab w:val="center" w:pos="4513"/>
        <w:tab w:val="right" w:pos="9026"/>
      </w:tabs>
    </w:pPr>
  </w:style>
  <w:style w:type="character" w:customStyle="1" w:styleId="FooterChar">
    <w:name w:val="Footer Char"/>
    <w:basedOn w:val="DefaultParagraphFont"/>
    <w:link w:val="Footer"/>
    <w:uiPriority w:val="99"/>
    <w:rsid w:val="00E75C41"/>
    <w:rPr>
      <w:rFonts w:ascii="Times New Roman" w:eastAsia="Times New Roman" w:hAnsi="Times New Roman" w:cs="Times New Roman"/>
    </w:rPr>
  </w:style>
  <w:style w:type="paragraph" w:styleId="Title">
    <w:name w:val="Title"/>
    <w:basedOn w:val="Normal"/>
    <w:next w:val="Normal"/>
    <w:link w:val="TitleChar"/>
    <w:uiPriority w:val="10"/>
    <w:qFormat/>
    <w:rsid w:val="00DE20FD"/>
    <w:pPr>
      <w:widowControl/>
      <w:autoSpaceDE/>
      <w:autoSpaceDN/>
      <w:spacing w:after="80"/>
      <w:contextualSpacing/>
    </w:pPr>
    <w:rPr>
      <w:rFonts w:asciiTheme="majorHAnsi" w:eastAsiaTheme="majorEastAsia" w:hAnsiTheme="majorHAnsi" w:cstheme="majorBidi"/>
      <w:spacing w:val="-10"/>
      <w:kern w:val="28"/>
      <w:sz w:val="56"/>
      <w:szCs w:val="50"/>
      <w:lang w:val="en-IN" w:bidi="hi-IN"/>
    </w:rPr>
  </w:style>
  <w:style w:type="character" w:customStyle="1" w:styleId="TitleChar">
    <w:name w:val="Title Char"/>
    <w:basedOn w:val="DefaultParagraphFont"/>
    <w:link w:val="Title"/>
    <w:uiPriority w:val="10"/>
    <w:rsid w:val="00DE20FD"/>
    <w:rPr>
      <w:rFonts w:asciiTheme="majorHAnsi" w:eastAsiaTheme="majorEastAsia" w:hAnsiTheme="majorHAnsi" w:cstheme="majorBidi"/>
      <w:spacing w:val="-10"/>
      <w:kern w:val="28"/>
      <w:sz w:val="56"/>
      <w:szCs w:val="50"/>
      <w:lang w:val="en-IN" w:bidi="hi-IN"/>
    </w:rPr>
  </w:style>
  <w:style w:type="paragraph" w:styleId="BalloonText">
    <w:name w:val="Balloon Text"/>
    <w:basedOn w:val="Normal"/>
    <w:link w:val="BalloonTextChar"/>
    <w:uiPriority w:val="99"/>
    <w:semiHidden/>
    <w:unhideWhenUsed/>
    <w:rsid w:val="006617B9"/>
    <w:rPr>
      <w:rFonts w:ascii="Tahoma" w:hAnsi="Tahoma" w:cs="Tahoma"/>
      <w:sz w:val="16"/>
      <w:szCs w:val="16"/>
    </w:rPr>
  </w:style>
  <w:style w:type="character" w:customStyle="1" w:styleId="BalloonTextChar">
    <w:name w:val="Balloon Text Char"/>
    <w:basedOn w:val="DefaultParagraphFont"/>
    <w:link w:val="BalloonText"/>
    <w:uiPriority w:val="99"/>
    <w:semiHidden/>
    <w:rsid w:val="006617B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5"/>
      <w:ind w:left="263"/>
      <w:outlineLvl w:val="0"/>
    </w:pPr>
    <w:rPr>
      <w:rFonts w:ascii="Arial" w:eastAsia="Arial" w:hAnsi="Arial" w:cs="Arial"/>
      <w:b/>
      <w:bCs/>
      <w:sz w:val="30"/>
      <w:szCs w:val="30"/>
    </w:rPr>
  </w:style>
  <w:style w:type="paragraph" w:styleId="Heading2">
    <w:name w:val="heading 2"/>
    <w:basedOn w:val="Normal"/>
    <w:uiPriority w:val="9"/>
    <w:unhideWhenUsed/>
    <w:qFormat/>
    <w:pPr>
      <w:spacing w:before="77"/>
      <w:ind w:left="263"/>
      <w:jc w:val="both"/>
      <w:outlineLvl w:val="1"/>
    </w:pPr>
    <w:rPr>
      <w:b/>
      <w:bCs/>
    </w:rPr>
  </w:style>
  <w:style w:type="paragraph" w:styleId="Heading3">
    <w:name w:val="heading 3"/>
    <w:basedOn w:val="Normal"/>
    <w:uiPriority w:val="9"/>
    <w:unhideWhenUsed/>
    <w:qFormat/>
    <w:pPr>
      <w:ind w:left="487" w:hanging="224"/>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38"/>
    </w:pPr>
  </w:style>
  <w:style w:type="paragraph" w:customStyle="1" w:styleId="TableParagraph">
    <w:name w:val="Table Paragraph"/>
    <w:basedOn w:val="Normal"/>
    <w:uiPriority w:val="1"/>
    <w:qFormat/>
    <w:pPr>
      <w:spacing w:line="250" w:lineRule="exact"/>
      <w:jc w:val="center"/>
    </w:pPr>
  </w:style>
  <w:style w:type="paragraph" w:styleId="Header">
    <w:name w:val="header"/>
    <w:basedOn w:val="Normal"/>
    <w:link w:val="HeaderChar"/>
    <w:uiPriority w:val="99"/>
    <w:unhideWhenUsed/>
    <w:rsid w:val="00E75C41"/>
    <w:pPr>
      <w:tabs>
        <w:tab w:val="center" w:pos="4513"/>
        <w:tab w:val="right" w:pos="9026"/>
      </w:tabs>
    </w:pPr>
  </w:style>
  <w:style w:type="character" w:customStyle="1" w:styleId="HeaderChar">
    <w:name w:val="Header Char"/>
    <w:basedOn w:val="DefaultParagraphFont"/>
    <w:link w:val="Header"/>
    <w:uiPriority w:val="99"/>
    <w:rsid w:val="00E75C41"/>
    <w:rPr>
      <w:rFonts w:ascii="Times New Roman" w:eastAsia="Times New Roman" w:hAnsi="Times New Roman" w:cs="Times New Roman"/>
    </w:rPr>
  </w:style>
  <w:style w:type="paragraph" w:styleId="Footer">
    <w:name w:val="footer"/>
    <w:basedOn w:val="Normal"/>
    <w:link w:val="FooterChar"/>
    <w:uiPriority w:val="99"/>
    <w:unhideWhenUsed/>
    <w:rsid w:val="00E75C41"/>
    <w:pPr>
      <w:tabs>
        <w:tab w:val="center" w:pos="4513"/>
        <w:tab w:val="right" w:pos="9026"/>
      </w:tabs>
    </w:pPr>
  </w:style>
  <w:style w:type="character" w:customStyle="1" w:styleId="FooterChar">
    <w:name w:val="Footer Char"/>
    <w:basedOn w:val="DefaultParagraphFont"/>
    <w:link w:val="Footer"/>
    <w:uiPriority w:val="99"/>
    <w:rsid w:val="00E75C41"/>
    <w:rPr>
      <w:rFonts w:ascii="Times New Roman" w:eastAsia="Times New Roman" w:hAnsi="Times New Roman" w:cs="Times New Roman"/>
    </w:rPr>
  </w:style>
  <w:style w:type="paragraph" w:styleId="Title">
    <w:name w:val="Title"/>
    <w:basedOn w:val="Normal"/>
    <w:next w:val="Normal"/>
    <w:link w:val="TitleChar"/>
    <w:uiPriority w:val="10"/>
    <w:qFormat/>
    <w:rsid w:val="00DE20FD"/>
    <w:pPr>
      <w:widowControl/>
      <w:autoSpaceDE/>
      <w:autoSpaceDN/>
      <w:spacing w:after="80"/>
      <w:contextualSpacing/>
    </w:pPr>
    <w:rPr>
      <w:rFonts w:asciiTheme="majorHAnsi" w:eastAsiaTheme="majorEastAsia" w:hAnsiTheme="majorHAnsi" w:cstheme="majorBidi"/>
      <w:spacing w:val="-10"/>
      <w:kern w:val="28"/>
      <w:sz w:val="56"/>
      <w:szCs w:val="50"/>
      <w:lang w:val="en-IN" w:bidi="hi-IN"/>
    </w:rPr>
  </w:style>
  <w:style w:type="character" w:customStyle="1" w:styleId="TitleChar">
    <w:name w:val="Title Char"/>
    <w:basedOn w:val="DefaultParagraphFont"/>
    <w:link w:val="Title"/>
    <w:uiPriority w:val="10"/>
    <w:rsid w:val="00DE20FD"/>
    <w:rPr>
      <w:rFonts w:asciiTheme="majorHAnsi" w:eastAsiaTheme="majorEastAsia" w:hAnsiTheme="majorHAnsi" w:cstheme="majorBidi"/>
      <w:spacing w:val="-10"/>
      <w:kern w:val="28"/>
      <w:sz w:val="56"/>
      <w:szCs w:val="50"/>
      <w:lang w:val="en-IN" w:bidi="hi-IN"/>
    </w:rPr>
  </w:style>
  <w:style w:type="paragraph" w:styleId="BalloonText">
    <w:name w:val="Balloon Text"/>
    <w:basedOn w:val="Normal"/>
    <w:link w:val="BalloonTextChar"/>
    <w:uiPriority w:val="99"/>
    <w:semiHidden/>
    <w:unhideWhenUsed/>
    <w:rsid w:val="006617B9"/>
    <w:rPr>
      <w:rFonts w:ascii="Tahoma" w:hAnsi="Tahoma" w:cs="Tahoma"/>
      <w:sz w:val="16"/>
      <w:szCs w:val="16"/>
    </w:rPr>
  </w:style>
  <w:style w:type="character" w:customStyle="1" w:styleId="BalloonTextChar">
    <w:name w:val="Balloon Text Char"/>
    <w:basedOn w:val="DefaultParagraphFont"/>
    <w:link w:val="BalloonText"/>
    <w:uiPriority w:val="99"/>
    <w:semiHidden/>
    <w:rsid w:val="006617B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10F79-5370-4DBD-B7BE-3F666C675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6018</Words>
  <Characters>34308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Microsoft Word - Ansh_Gupta_MBA_Research_Report (1).docx</vt:lpstr>
    </vt:vector>
  </TitlesOfParts>
  <Company/>
  <LinksUpToDate>false</LinksUpToDate>
  <CharactersWithSpaces>40246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Ansh_Gupta_MBA_Research_Report (1).docx</dc:title>
  <dc:creator>Shah Farhan</dc:creator>
  <cp:lastModifiedBy>qwert</cp:lastModifiedBy>
  <cp:revision>3</cp:revision>
  <dcterms:created xsi:type="dcterms:W3CDTF">2026-05-06T19:34:00Z</dcterms:created>
  <dcterms:modified xsi:type="dcterms:W3CDTF">2026-05-08T06:50:00Z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2026-04-06T00:00:00Z</vt:filetime>
  </property>
  <property fmtid="{D5CDD505-2E9C-101B-9397-08002B2CF9AE}" pid="4" name="LastSaved">
    <vt:filetime>2026-04-18T00:00:00Z</vt:filetime>
  </property>
  <property fmtid="{D5CDD505-2E9C-101B-9397-08002B2CF9AE}" pid="5" name="Producer">
    <vt:lpwstr>Microsoft: Print To PDF</vt:lpwstr>
  </property>
</Properties>
</file>