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E0" w:rsidRPr="00E558E0" w:rsidRDefault="00E558E0" w:rsidP="00E558E0">
      <w:pPr>
        <w:spacing w:before="100" w:beforeAutospacing="1" w:after="100" w:afterAutospacing="1" w:line="480" w:lineRule="auto"/>
        <w:jc w:val="both"/>
        <w:outlineLvl w:val="1"/>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A Comparative Analysis of the Culturo-Techno-Contextual Approach (CTCA) and Traditional Pedagogies in Mathematics: Evidence from a Sierra Leonean University</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bookmarkStart w:id="0" w:name="_GoBack"/>
      <w:bookmarkEnd w:id="0"/>
      <w:r w:rsidRPr="00E558E0">
        <w:rPr>
          <w:rFonts w:ascii="Times New Roman" w:eastAsia="Times New Roman" w:hAnsi="Times New Roman" w:cs="Times New Roman"/>
          <w:b/>
          <w:bCs/>
          <w:sz w:val="24"/>
          <w:szCs w:val="24"/>
          <w:lang w:val="en-US"/>
        </w:rPr>
        <w:t>Abstract</w:t>
      </w:r>
      <w:r w:rsidRPr="00E558E0">
        <w:rPr>
          <w:rFonts w:ascii="Times New Roman" w:eastAsia="Times New Roman" w:hAnsi="Times New Roman" w:cs="Times New Roman"/>
          <w:sz w:val="24"/>
          <w:szCs w:val="24"/>
          <w:lang w:val="en-US"/>
        </w:rPr>
        <w:t xml:space="preserve"> </w:t>
      </w:r>
    </w:p>
    <w:p w:rsid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This study investigated the influence of the Culturo-Techno-Contextual Approach (CTCA) on the perceptions of first-year Mathematics Education students at the University of Makeni (UNIMAK), Sierra Leone, relative to the Traditional Lecture Method (TLM). Utilizing a quasi-experimental mixed-methods design with 376 students, the study utilized structured questionnaires and interviews for data collection. Results from an independent-samples t-test indicated that CTCA significantly improved students’ perceptions, engagement, and conceptual clarity compared to TLM (</w:t>
      </w:r>
      <w:r>
        <w:rPr>
          <w:rFonts w:ascii="Times New Roman" w:eastAsia="Times New Roman" w:hAnsi="Times New Roman" w:cs="Times New Roman"/>
          <w:sz w:val="24"/>
          <w:szCs w:val="24"/>
          <w:lang w:val="en-US"/>
        </w:rPr>
        <w:t>t(373.815) = 40.807, p &lt; 0.05</w:t>
      </w:r>
      <w:r w:rsidRPr="00E558E0">
        <w:rPr>
          <w:rFonts w:ascii="Times New Roman" w:eastAsia="Times New Roman" w:hAnsi="Times New Roman" w:cs="Times New Roman"/>
          <w:sz w:val="24"/>
          <w:szCs w:val="24"/>
          <w:lang w:val="en-US"/>
        </w:rPr>
        <w:t xml:space="preserve">). The study concludes that integrating cultural relevance and technology is essential for fostering positive mathematical dispositions in higher education. </w:t>
      </w:r>
    </w:p>
    <w:p w:rsidR="0081373A" w:rsidRPr="00E558E0" w:rsidRDefault="0081373A"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81373A">
        <w:rPr>
          <w:rFonts w:ascii="Times New Roman" w:eastAsia="Times New Roman" w:hAnsi="Times New Roman" w:cs="Times New Roman"/>
          <w:b/>
          <w:bCs/>
          <w:sz w:val="24"/>
          <w:szCs w:val="24"/>
        </w:rPr>
        <w:t>Keywords:</w:t>
      </w:r>
      <w:r w:rsidRPr="0081373A">
        <w:rPr>
          <w:rFonts w:ascii="Times New Roman" w:eastAsia="Times New Roman" w:hAnsi="Times New Roman" w:cs="Times New Roman"/>
          <w:sz w:val="24"/>
          <w:szCs w:val="24"/>
        </w:rPr>
        <w:t xml:space="preserve"> CTCA, perception, mathematics education, instructional strategies, Sierra Leone, higher education, comparative pedagogy, quasi-experimental design, Radical Inclusion, tertiary mathematics.</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1. </w:t>
      </w:r>
      <w:r w:rsidRPr="00E558E0">
        <w:rPr>
          <w:rFonts w:ascii="Times New Roman" w:eastAsia="Times New Roman" w:hAnsi="Times New Roman" w:cs="Times New Roman"/>
          <w:b/>
          <w:sz w:val="24"/>
          <w:szCs w:val="24"/>
          <w:lang w:val="en-US"/>
        </w:rPr>
        <w:t xml:space="preserve">Introduction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Mathematics is a foundational pillar for technological and socio-economic advancement. In Sierra Leone, the </w:t>
      </w:r>
      <w:r w:rsidRPr="00E558E0">
        <w:rPr>
          <w:rFonts w:ascii="Times New Roman" w:eastAsia="Times New Roman" w:hAnsi="Times New Roman" w:cs="Times New Roman"/>
          <w:b/>
          <w:bCs/>
          <w:sz w:val="24"/>
          <w:szCs w:val="24"/>
          <w:lang w:val="en-US"/>
        </w:rPr>
        <w:t>Radical Inclusion Policy (2021)</w:t>
      </w:r>
      <w:r w:rsidRPr="00E558E0">
        <w:rPr>
          <w:rFonts w:ascii="Times New Roman" w:eastAsia="Times New Roman" w:hAnsi="Times New Roman" w:cs="Times New Roman"/>
          <w:sz w:val="24"/>
          <w:szCs w:val="24"/>
          <w:lang w:val="en-US"/>
        </w:rPr>
        <w:t xml:space="preserve"> and legislative instruments like the </w:t>
      </w:r>
      <w:r w:rsidRPr="00E558E0">
        <w:rPr>
          <w:rFonts w:ascii="Times New Roman" w:eastAsia="Times New Roman" w:hAnsi="Times New Roman" w:cs="Times New Roman"/>
          <w:b/>
          <w:bCs/>
          <w:sz w:val="24"/>
          <w:szCs w:val="24"/>
          <w:lang w:val="en-US"/>
        </w:rPr>
        <w:t>Education Act (2004)</w:t>
      </w:r>
      <w:r w:rsidRPr="00E558E0">
        <w:rPr>
          <w:rFonts w:ascii="Times New Roman" w:eastAsia="Times New Roman" w:hAnsi="Times New Roman" w:cs="Times New Roman"/>
          <w:sz w:val="24"/>
          <w:szCs w:val="24"/>
          <w:lang w:val="en-US"/>
        </w:rPr>
        <w:t xml:space="preserve"> demonstrate a national commitment to inclusive numeracy development. Despite these frameworks, tertiary institutions face persistent deficits in mathematics learning outcomes, characterized by low student engagement and negative perceptions. At the University of Makeni (UNIMAK), this challenge is often attributed to the dominance of the </w:t>
      </w:r>
      <w:r w:rsidRPr="00E558E0">
        <w:rPr>
          <w:rFonts w:ascii="Times New Roman" w:eastAsia="Times New Roman" w:hAnsi="Times New Roman" w:cs="Times New Roman"/>
          <w:b/>
          <w:bCs/>
          <w:sz w:val="24"/>
          <w:szCs w:val="24"/>
          <w:lang w:val="en-US"/>
        </w:rPr>
        <w:t>Traditional Lecture Method (TLM)</w:t>
      </w:r>
      <w:r w:rsidRPr="00E558E0">
        <w:rPr>
          <w:rFonts w:ascii="Times New Roman" w:eastAsia="Times New Roman" w:hAnsi="Times New Roman" w:cs="Times New Roman"/>
          <w:sz w:val="24"/>
          <w:szCs w:val="24"/>
          <w:lang w:val="en-US"/>
        </w:rPr>
        <w:t xml:space="preserve">, which emphasizes didactic, passive </w:t>
      </w:r>
      <w:r w:rsidRPr="00E558E0">
        <w:rPr>
          <w:rFonts w:ascii="Times New Roman" w:eastAsia="Times New Roman" w:hAnsi="Times New Roman" w:cs="Times New Roman"/>
          <w:sz w:val="24"/>
          <w:szCs w:val="24"/>
          <w:lang w:val="en-US"/>
        </w:rPr>
        <w:lastRenderedPageBreak/>
        <w:t xml:space="preserve">learning. The </w:t>
      </w:r>
      <w:r w:rsidRPr="00E558E0">
        <w:rPr>
          <w:rFonts w:ascii="Times New Roman" w:eastAsia="Times New Roman" w:hAnsi="Times New Roman" w:cs="Times New Roman"/>
          <w:b/>
          <w:bCs/>
          <w:sz w:val="24"/>
          <w:szCs w:val="24"/>
          <w:lang w:val="en-US"/>
        </w:rPr>
        <w:t>Culturo-Techno-Contextual Approach (CTCA)</w:t>
      </w:r>
      <w:r w:rsidRPr="00E558E0">
        <w:rPr>
          <w:rFonts w:ascii="Times New Roman" w:eastAsia="Times New Roman" w:hAnsi="Times New Roman" w:cs="Times New Roman"/>
          <w:sz w:val="24"/>
          <w:szCs w:val="24"/>
          <w:lang w:val="en-US"/>
        </w:rPr>
        <w:t xml:space="preserve"> offers a transformative alternative by situating mathematics within the learners' cultural and technological realities. </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2. </w:t>
      </w:r>
      <w:r w:rsidRPr="00E558E0">
        <w:rPr>
          <w:rFonts w:ascii="Times New Roman" w:eastAsia="Times New Roman" w:hAnsi="Times New Roman" w:cs="Times New Roman"/>
          <w:b/>
          <w:sz w:val="24"/>
          <w:szCs w:val="24"/>
          <w:lang w:val="en-US"/>
        </w:rPr>
        <w:t xml:space="preserve">Methodology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This study employed a </w:t>
      </w:r>
      <w:r w:rsidRPr="00E558E0">
        <w:rPr>
          <w:rFonts w:ascii="Times New Roman" w:eastAsia="Times New Roman" w:hAnsi="Times New Roman" w:cs="Times New Roman"/>
          <w:b/>
          <w:bCs/>
          <w:sz w:val="24"/>
          <w:szCs w:val="24"/>
          <w:lang w:val="en-US"/>
        </w:rPr>
        <w:t>quasi-experimental mixed-methods design</w:t>
      </w:r>
      <w:r w:rsidRPr="00E558E0">
        <w:rPr>
          <w:rFonts w:ascii="Times New Roman" w:eastAsia="Times New Roman" w:hAnsi="Times New Roman" w:cs="Times New Roman"/>
          <w:sz w:val="24"/>
          <w:szCs w:val="24"/>
          <w:lang w:val="en-US"/>
        </w:rPr>
        <w:t xml:space="preserve">. A sample of 376 first-year students was selected via probability sampling. Data collection instruments included structured questionnaires and qualitative interviews to capture cognitive and affective dispositions toward mathematics. Quantitative data were analyzed using descriptive statistics and the independent-samples t-test to evaluate the difference in perception between the CTCA (experimental) and TLM (control) groups. </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3. </w:t>
      </w:r>
      <w:r w:rsidRPr="00E558E0">
        <w:rPr>
          <w:rFonts w:ascii="Times New Roman" w:eastAsia="Times New Roman" w:hAnsi="Times New Roman" w:cs="Times New Roman"/>
          <w:b/>
          <w:sz w:val="24"/>
          <w:szCs w:val="24"/>
          <w:lang w:val="en-US"/>
        </w:rPr>
        <w:t xml:space="preserve">Discussion of Findings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empirical results demonstrate that CTCA exerts a significantly stronger positive influence on students’ perceptions of mathematics than the Traditional Lecture Method. </w:t>
      </w:r>
    </w:p>
    <w:p w:rsidR="00E558E0" w:rsidRPr="00E558E0" w:rsidRDefault="00E558E0" w:rsidP="00E558E0">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3.1 Comparative Efficacy of CTCA vs. TLM</w:t>
      </w:r>
    </w:p>
    <w:p w:rsidR="000A10A9" w:rsidRPr="00FC1256" w:rsidRDefault="00E558E0" w:rsidP="00FC1256">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The rejection of the null hypothesis (</w:t>
      </w:r>
      <w:r w:rsidR="000A10A9">
        <w:rPr>
          <w:rFonts w:ascii="Times New Roman" w:eastAsia="Times New Roman" w:hAnsi="Times New Roman" w:cs="Times New Roman"/>
          <w:sz w:val="24"/>
          <w:szCs w:val="24"/>
          <w:lang w:val="en-US"/>
        </w:rPr>
        <w:t>t(373.815) = 40.807, p &lt; 0.05</w:t>
      </w:r>
      <w:r w:rsidRPr="00E558E0">
        <w:rPr>
          <w:rFonts w:ascii="Times New Roman" w:eastAsia="Times New Roman" w:hAnsi="Times New Roman" w:cs="Times New Roman"/>
          <w:sz w:val="24"/>
          <w:szCs w:val="24"/>
          <w:lang w:val="en-US"/>
        </w:rPr>
        <w:t xml:space="preserve">) confirms a statistically significant difference in perception levels between the two instructional approaches. Students exposed to CTCA reported high mean scores across positive perception indicators, reflecting enhanced engagement and confidence. In contrast, students in the TLM group exhibited </w:t>
      </w:r>
      <w:r w:rsidRPr="00E558E0">
        <w:rPr>
          <w:rFonts w:ascii="Times New Roman" w:eastAsia="Times New Roman" w:hAnsi="Times New Roman" w:cs="Times New Roman"/>
          <w:sz w:val="24"/>
          <w:szCs w:val="24"/>
          <w:lang w:val="en-US"/>
        </w:rPr>
        <w:lastRenderedPageBreak/>
        <w:t xml:space="preserve">lower perception scores, which </w:t>
      </w:r>
      <w:r w:rsidR="000A10A9" w:rsidRPr="00E558E0">
        <w:rPr>
          <w:rFonts w:ascii="Times New Roman" w:eastAsia="Times New Roman" w:hAnsi="Times New Roman" w:cs="Times New Roman"/>
          <w:sz w:val="24"/>
          <w:szCs w:val="24"/>
          <w:lang w:val="en-US"/>
        </w:rPr>
        <w:t>align</w:t>
      </w:r>
      <w:r w:rsidRPr="00E558E0">
        <w:rPr>
          <w:rFonts w:ascii="Times New Roman" w:eastAsia="Times New Roman" w:hAnsi="Times New Roman" w:cs="Times New Roman"/>
          <w:sz w:val="24"/>
          <w:szCs w:val="24"/>
          <w:lang w:val="en-US"/>
        </w:rPr>
        <w:t xml:space="preserve"> with findings that didactic transmission constraints higher-order cognitive engagement. </w:t>
      </w:r>
    </w:p>
    <w:p w:rsidR="000A10A9" w:rsidRDefault="00E558E0" w:rsidP="000A10A9">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3.2 Theoretical Synthesis: Culture, Technology, and Context</w:t>
      </w:r>
    </w:p>
    <w:p w:rsidR="00E558E0" w:rsidRPr="00E558E0" w:rsidRDefault="000A10A9" w:rsidP="000A10A9">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E558E0" w:rsidRPr="00E558E0">
        <w:rPr>
          <w:rFonts w:ascii="Times New Roman" w:eastAsia="Times New Roman" w:hAnsi="Times New Roman" w:cs="Times New Roman"/>
          <w:sz w:val="24"/>
          <w:szCs w:val="24"/>
          <w:lang w:val="en-US"/>
        </w:rPr>
        <w:t xml:space="preserve">The success of CTCA is theoretically anchored in </w:t>
      </w:r>
      <w:r w:rsidR="00E558E0" w:rsidRPr="00E558E0">
        <w:rPr>
          <w:rFonts w:ascii="Times New Roman" w:eastAsia="Times New Roman" w:hAnsi="Times New Roman" w:cs="Times New Roman"/>
          <w:b/>
          <w:bCs/>
          <w:sz w:val="24"/>
          <w:szCs w:val="24"/>
          <w:lang w:val="en-US"/>
        </w:rPr>
        <w:t>Social Constructivism</w:t>
      </w:r>
      <w:r w:rsidR="00E558E0" w:rsidRPr="00E558E0">
        <w:rPr>
          <w:rFonts w:ascii="Times New Roman" w:eastAsia="Times New Roman" w:hAnsi="Times New Roman" w:cs="Times New Roman"/>
          <w:sz w:val="24"/>
          <w:szCs w:val="24"/>
          <w:lang w:val="en-US"/>
        </w:rPr>
        <w:t xml:space="preserve">, emphasizing that meaningful learning occurs through active knowledge construction within a cultural framework. By integrating cultural and contextual elements, mathematics is transformed from an abstract, "foreign" discipline into a relatable and meaningful subject, echoing Dewey’s experiential learning philosophy. Furthermore, the technological integration within CTCA aligns with </w:t>
      </w:r>
      <w:r w:rsidR="00E558E0" w:rsidRPr="00E558E0">
        <w:rPr>
          <w:rFonts w:ascii="Times New Roman" w:eastAsia="Times New Roman" w:hAnsi="Times New Roman" w:cs="Times New Roman"/>
          <w:b/>
          <w:bCs/>
          <w:sz w:val="24"/>
          <w:szCs w:val="24"/>
          <w:lang w:val="en-US"/>
        </w:rPr>
        <w:t>Self-Efficacy Theory</w:t>
      </w:r>
      <w:r w:rsidR="00E558E0" w:rsidRPr="00E558E0">
        <w:rPr>
          <w:rFonts w:ascii="Times New Roman" w:eastAsia="Times New Roman" w:hAnsi="Times New Roman" w:cs="Times New Roman"/>
          <w:sz w:val="24"/>
          <w:szCs w:val="24"/>
          <w:lang w:val="en-US"/>
        </w:rPr>
        <w:t xml:space="preserve">, as students gain confidence through interactive and modern pedagogical tools, thereby reducing mathematical anxiety. </w:t>
      </w:r>
    </w:p>
    <w:p w:rsidR="00E558E0" w:rsidRPr="00E558E0" w:rsidRDefault="00E558E0" w:rsidP="00E558E0">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3.3 Implications for the Sierra Leonean Context</w:t>
      </w:r>
    </w:p>
    <w:p w:rsidR="00E558E0" w:rsidRPr="00E558E0" w:rsidRDefault="00E558E0" w:rsidP="000A10A9">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findings suggest that the disconnect between students and mathematics at UNIMAK is not a result of inherent difficulty but a misalignment of instructional practice. Traditional methods often fail to incorporate the technological affordances and cultural contexts that resonate with contemporary learners. CTCA bridges this gap, making mathematics accessible and relevant, which is critical for meeting the objectives of the Radical Inclusion Policy. </w:t>
      </w:r>
    </w:p>
    <w:p w:rsidR="00E558E0" w:rsidRPr="00E558E0" w:rsidRDefault="00E558E0" w:rsidP="000A10A9">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4. </w:t>
      </w:r>
      <w:r w:rsidRPr="00E558E0">
        <w:rPr>
          <w:rFonts w:ascii="Times New Roman" w:eastAsia="Times New Roman" w:hAnsi="Times New Roman" w:cs="Times New Roman"/>
          <w:b/>
          <w:sz w:val="24"/>
          <w:szCs w:val="24"/>
          <w:lang w:val="en-US"/>
        </w:rPr>
        <w:t xml:space="preserve">Conclusion </w:t>
      </w:r>
    </w:p>
    <w:p w:rsidR="000A10A9"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study establishes that the Culturo-Techno-Contextual Approach significantly improves student perceptions of mathematics compared to traditional methods. It underscores the urgent need for a pedagogical shift in Sierra Leonean higher education toward culturally responsive and technology-integrated instruction. </w:t>
      </w:r>
    </w:p>
    <w:p w:rsidR="00FC1256" w:rsidRPr="00FC1256" w:rsidRDefault="00FC1256" w:rsidP="00E558E0">
      <w:pPr>
        <w:spacing w:before="100" w:beforeAutospacing="1" w:after="100" w:afterAutospacing="1" w:line="480" w:lineRule="auto"/>
        <w:jc w:val="both"/>
        <w:rPr>
          <w:rFonts w:ascii="Times New Roman" w:eastAsia="Times New Roman" w:hAnsi="Times New Roman" w:cs="Times New Roman"/>
          <w:sz w:val="24"/>
          <w:szCs w:val="24"/>
          <w:lang w:val="en-US"/>
        </w:rPr>
      </w:pP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References</w:t>
      </w:r>
      <w:r w:rsidRPr="00E558E0">
        <w:rPr>
          <w:rFonts w:ascii="Times New Roman" w:eastAsia="Times New Roman" w:hAnsi="Times New Roman" w:cs="Times New Roman"/>
          <w:sz w:val="24"/>
          <w:szCs w:val="24"/>
          <w:lang w:val="en-US"/>
        </w:rPr>
        <w:t xml:space="preserv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Aiken, L. R. (1970). Attitudes toward mathematics. </w:t>
      </w:r>
      <w:r w:rsidRPr="00E558E0">
        <w:rPr>
          <w:rFonts w:ascii="Times New Roman" w:eastAsia="Times New Roman" w:hAnsi="Times New Roman" w:cs="Times New Roman"/>
          <w:i/>
          <w:iCs/>
          <w:sz w:val="24"/>
          <w:szCs w:val="24"/>
          <w:lang w:val="en-US"/>
        </w:rPr>
        <w:t>Review of Educational Research</w:t>
      </w:r>
      <w:r w:rsidRPr="00E558E0">
        <w:rPr>
          <w:rFonts w:ascii="Times New Roman" w:eastAsia="Times New Roman" w:hAnsi="Times New Roman" w:cs="Times New Roman"/>
          <w:sz w:val="24"/>
          <w:szCs w:val="24"/>
          <w:lang w:val="en-US"/>
        </w:rPr>
        <w:t xml:space="preserve">, 40(4), 551–596.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Bandura, A. (1997). </w:t>
      </w:r>
      <w:r w:rsidRPr="00E558E0">
        <w:rPr>
          <w:rFonts w:ascii="Times New Roman" w:eastAsia="Times New Roman" w:hAnsi="Times New Roman" w:cs="Times New Roman"/>
          <w:i/>
          <w:iCs/>
          <w:sz w:val="24"/>
          <w:szCs w:val="24"/>
          <w:lang w:val="en-US"/>
        </w:rPr>
        <w:t>Self-efficacy: The exercise of control</w:t>
      </w:r>
      <w:r w:rsidRPr="00E558E0">
        <w:rPr>
          <w:rFonts w:ascii="Times New Roman" w:eastAsia="Times New Roman" w:hAnsi="Times New Roman" w:cs="Times New Roman"/>
          <w:sz w:val="24"/>
          <w:szCs w:val="24"/>
          <w:lang w:val="en-US"/>
        </w:rPr>
        <w:t xml:space="preserve">. Freeman.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Bruner, J. S. (1961). The act of discovery. </w:t>
      </w:r>
      <w:r w:rsidRPr="00E558E0">
        <w:rPr>
          <w:rFonts w:ascii="Times New Roman" w:eastAsia="Times New Roman" w:hAnsi="Times New Roman" w:cs="Times New Roman"/>
          <w:i/>
          <w:iCs/>
          <w:sz w:val="24"/>
          <w:szCs w:val="24"/>
          <w:lang w:val="en-US"/>
        </w:rPr>
        <w:t>Harvard Educational Review</w:t>
      </w:r>
      <w:r w:rsidRPr="00E558E0">
        <w:rPr>
          <w:rFonts w:ascii="Times New Roman" w:eastAsia="Times New Roman" w:hAnsi="Times New Roman" w:cs="Times New Roman"/>
          <w:sz w:val="24"/>
          <w:szCs w:val="24"/>
          <w:lang w:val="en-US"/>
        </w:rPr>
        <w:t xml:space="preserve">, 31(1), 21–32.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Deci, E. L., &amp; Ryan, R. M. (2000). The "what" and "why" of goal pursuits. </w:t>
      </w:r>
      <w:r w:rsidRPr="00E558E0">
        <w:rPr>
          <w:rFonts w:ascii="Times New Roman" w:eastAsia="Times New Roman" w:hAnsi="Times New Roman" w:cs="Times New Roman"/>
          <w:i/>
          <w:iCs/>
          <w:sz w:val="24"/>
          <w:szCs w:val="24"/>
          <w:lang w:val="en-US"/>
        </w:rPr>
        <w:t>Psychological Inquiry</w:t>
      </w:r>
      <w:r w:rsidRPr="00E558E0">
        <w:rPr>
          <w:rFonts w:ascii="Times New Roman" w:eastAsia="Times New Roman" w:hAnsi="Times New Roman" w:cs="Times New Roman"/>
          <w:sz w:val="24"/>
          <w:szCs w:val="24"/>
          <w:lang w:val="en-US"/>
        </w:rPr>
        <w:t xml:space="preserve">, 11(4), 227–268.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Hattie, J. (2009). </w:t>
      </w:r>
      <w:r w:rsidRPr="00E558E0">
        <w:rPr>
          <w:rFonts w:ascii="Times New Roman" w:eastAsia="Times New Roman" w:hAnsi="Times New Roman" w:cs="Times New Roman"/>
          <w:i/>
          <w:iCs/>
          <w:sz w:val="24"/>
          <w:szCs w:val="24"/>
          <w:lang w:val="en-US"/>
        </w:rPr>
        <w:t>Visible learning</w:t>
      </w:r>
      <w:r w:rsidRPr="00E558E0">
        <w:rPr>
          <w:rFonts w:ascii="Times New Roman" w:eastAsia="Times New Roman" w:hAnsi="Times New Roman" w:cs="Times New Roman"/>
          <w:sz w:val="24"/>
          <w:szCs w:val="24"/>
          <w:lang w:val="en-US"/>
        </w:rPr>
        <w:t xml:space="preserve">. Routledge.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Lave, J., &amp; Wenger, E. (1991). </w:t>
      </w:r>
      <w:r w:rsidRPr="00E558E0">
        <w:rPr>
          <w:rFonts w:ascii="Times New Roman" w:eastAsia="Times New Roman" w:hAnsi="Times New Roman" w:cs="Times New Roman"/>
          <w:i/>
          <w:iCs/>
          <w:sz w:val="24"/>
          <w:szCs w:val="24"/>
          <w:lang w:val="en-US"/>
        </w:rPr>
        <w:t>Situated learning</w:t>
      </w:r>
      <w:r w:rsidRPr="00E558E0">
        <w:rPr>
          <w:rFonts w:ascii="Times New Roman" w:eastAsia="Times New Roman" w:hAnsi="Times New Roman" w:cs="Times New Roman"/>
          <w:sz w:val="24"/>
          <w:szCs w:val="24"/>
          <w:lang w:val="en-US"/>
        </w:rPr>
        <w:t xml:space="preserve">. Cambridge University Press.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Piaget, J. (1954). </w:t>
      </w:r>
      <w:r w:rsidRPr="00E558E0">
        <w:rPr>
          <w:rFonts w:ascii="Times New Roman" w:eastAsia="Times New Roman" w:hAnsi="Times New Roman" w:cs="Times New Roman"/>
          <w:i/>
          <w:iCs/>
          <w:sz w:val="24"/>
          <w:szCs w:val="24"/>
          <w:lang w:val="en-US"/>
        </w:rPr>
        <w:t>The construction of reality in the child</w:t>
      </w:r>
      <w:r w:rsidRPr="00E558E0">
        <w:rPr>
          <w:rFonts w:ascii="Times New Roman" w:eastAsia="Times New Roman" w:hAnsi="Times New Roman" w:cs="Times New Roman"/>
          <w:sz w:val="24"/>
          <w:szCs w:val="24"/>
          <w:lang w:val="en-US"/>
        </w:rPr>
        <w:t xml:space="preserve">. Basic Books.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UNESCO. (2020). </w:t>
      </w:r>
      <w:r w:rsidRPr="00E558E0">
        <w:rPr>
          <w:rFonts w:ascii="Times New Roman" w:eastAsia="Times New Roman" w:hAnsi="Times New Roman" w:cs="Times New Roman"/>
          <w:i/>
          <w:iCs/>
          <w:sz w:val="24"/>
          <w:szCs w:val="24"/>
          <w:lang w:val="en-US"/>
        </w:rPr>
        <w:t>Global education monitoring report</w:t>
      </w:r>
      <w:r w:rsidRPr="00E558E0">
        <w:rPr>
          <w:rFonts w:ascii="Times New Roman" w:eastAsia="Times New Roman" w:hAnsi="Times New Roman" w:cs="Times New Roman"/>
          <w:sz w:val="24"/>
          <w:szCs w:val="24"/>
          <w:lang w:val="en-US"/>
        </w:rPr>
        <w:t xml:space="preserv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Vygotsky, L. S. (1978). </w:t>
      </w:r>
      <w:r w:rsidRPr="00E558E0">
        <w:rPr>
          <w:rFonts w:ascii="Times New Roman" w:eastAsia="Times New Roman" w:hAnsi="Times New Roman" w:cs="Times New Roman"/>
          <w:i/>
          <w:iCs/>
          <w:sz w:val="24"/>
          <w:szCs w:val="24"/>
          <w:lang w:val="en-US"/>
        </w:rPr>
        <w:t>Mind in society</w:t>
      </w:r>
      <w:r w:rsidRPr="00E558E0">
        <w:rPr>
          <w:rFonts w:ascii="Times New Roman" w:eastAsia="Times New Roman" w:hAnsi="Times New Roman" w:cs="Times New Roman"/>
          <w:sz w:val="24"/>
          <w:szCs w:val="24"/>
          <w:lang w:val="en-US"/>
        </w:rPr>
        <w:t xml:space="preserve">. Harvard University Press.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World Bank. (2019). </w:t>
      </w:r>
      <w:r w:rsidRPr="00E558E0">
        <w:rPr>
          <w:rFonts w:ascii="Times New Roman" w:eastAsia="Times New Roman" w:hAnsi="Times New Roman" w:cs="Times New Roman"/>
          <w:i/>
          <w:iCs/>
          <w:sz w:val="24"/>
          <w:szCs w:val="24"/>
          <w:lang w:val="en-US"/>
        </w:rPr>
        <w:t>World Development Report</w:t>
      </w:r>
      <w:r w:rsidRPr="00E558E0">
        <w:rPr>
          <w:rFonts w:ascii="Times New Roman" w:eastAsia="Times New Roman" w:hAnsi="Times New Roman" w:cs="Times New Roman"/>
          <w:sz w:val="24"/>
          <w:szCs w:val="24"/>
          <w:lang w:val="en-US"/>
        </w:rPr>
        <w:t>.</w:t>
      </w:r>
    </w:p>
    <w:p w:rsidR="00E53F25" w:rsidRDefault="00E53F25"/>
    <w:sectPr w:rsidR="00E53F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A3" w:rsidRDefault="003B5AA3" w:rsidP="004C0570">
      <w:pPr>
        <w:spacing w:after="0" w:line="240" w:lineRule="auto"/>
      </w:pPr>
      <w:r>
        <w:separator/>
      </w:r>
    </w:p>
  </w:endnote>
  <w:endnote w:type="continuationSeparator" w:id="0">
    <w:p w:rsidR="003B5AA3" w:rsidRDefault="003B5AA3" w:rsidP="004C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A3" w:rsidRDefault="003B5AA3" w:rsidP="004C0570">
      <w:pPr>
        <w:spacing w:after="0" w:line="240" w:lineRule="auto"/>
      </w:pPr>
      <w:r>
        <w:separator/>
      </w:r>
    </w:p>
  </w:footnote>
  <w:footnote w:type="continuationSeparator" w:id="0">
    <w:p w:rsidR="003B5AA3" w:rsidRDefault="003B5AA3" w:rsidP="004C0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260"/>
    <w:multiLevelType w:val="multilevel"/>
    <w:tmpl w:val="506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A7719"/>
    <w:multiLevelType w:val="multilevel"/>
    <w:tmpl w:val="336E58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56DC4"/>
    <w:multiLevelType w:val="multilevel"/>
    <w:tmpl w:val="8F5C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4008D"/>
    <w:multiLevelType w:val="multilevel"/>
    <w:tmpl w:val="86C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142F1"/>
    <w:multiLevelType w:val="multilevel"/>
    <w:tmpl w:val="A35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A7062"/>
    <w:multiLevelType w:val="multilevel"/>
    <w:tmpl w:val="758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CB3BC5"/>
    <w:multiLevelType w:val="multilevel"/>
    <w:tmpl w:val="7A4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25"/>
    <w:rsid w:val="000A10A9"/>
    <w:rsid w:val="00170091"/>
    <w:rsid w:val="001926C0"/>
    <w:rsid w:val="001F294B"/>
    <w:rsid w:val="00253A32"/>
    <w:rsid w:val="003B5AA3"/>
    <w:rsid w:val="00425606"/>
    <w:rsid w:val="004C0570"/>
    <w:rsid w:val="00567BC9"/>
    <w:rsid w:val="007D0B5C"/>
    <w:rsid w:val="007F323A"/>
    <w:rsid w:val="0081373A"/>
    <w:rsid w:val="008F214D"/>
    <w:rsid w:val="00AA1E5D"/>
    <w:rsid w:val="00B76CA4"/>
    <w:rsid w:val="00BA3B4F"/>
    <w:rsid w:val="00DC2A64"/>
    <w:rsid w:val="00E53F25"/>
    <w:rsid w:val="00E54030"/>
    <w:rsid w:val="00E558E0"/>
    <w:rsid w:val="00FC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68568">
      <w:bodyDiv w:val="1"/>
      <w:marLeft w:val="0"/>
      <w:marRight w:val="0"/>
      <w:marTop w:val="0"/>
      <w:marBottom w:val="0"/>
      <w:divBdr>
        <w:top w:val="none" w:sz="0" w:space="0" w:color="auto"/>
        <w:left w:val="none" w:sz="0" w:space="0" w:color="auto"/>
        <w:bottom w:val="none" w:sz="0" w:space="0" w:color="auto"/>
        <w:right w:val="none" w:sz="0" w:space="0" w:color="auto"/>
      </w:divBdr>
    </w:div>
    <w:div w:id="205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Mariatu Timbo Bangura</dc:creator>
  <cp:keywords/>
  <dc:description/>
  <cp:lastModifiedBy>qwert</cp:lastModifiedBy>
  <cp:revision>13</cp:revision>
  <dcterms:created xsi:type="dcterms:W3CDTF">2026-05-06T13:28:00Z</dcterms:created>
  <dcterms:modified xsi:type="dcterms:W3CDTF">2026-05-08T07:48:00Z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974c0a98-d929-47de-805a-58804aa9305d</vt:lpwstr>
  </property>
</Properties>
</file>