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93396" w:rsidRPr="00493396" w:rsidRDefault="00493396" w:rsidP="00E558E0">
      <w:pPr>
        <w:spacing w:before="100" w:beforeAutospacing="1" w:after="100" w:afterAutospacing="1" w:line="480" w:lineRule="auto"/>
        <w:jc w:val="both"/>
        <w:rPr>
          <w:rFonts w:ascii="Times New Roman" w:hAnsi="Times New Roman" w:cs="Times New Roman"/>
          <w:b/>
          <w:sz w:val="24"/>
        </w:rPr>
      </w:pPr>
      <w:r w:rsidRPr="00493396">
        <w:rPr>
          <w:rFonts w:ascii="Times New Roman" w:hAnsi="Times New Roman" w:cs="Times New Roman"/>
          <w:b/>
          <w:sz w:val="24"/>
        </w:rPr>
        <w:t>Reclaiming Numeracy: Evaluating the Impact of the Culturo-Techno-Contextual Approach (Ctca) On Mathematical Perception in Sierra Leonean Higher Education</w:t>
      </w:r>
    </w:p>
    <w:p w:rsidR="00493396" w:rsidRPr="00493396" w:rsidRDefault="00493396" w:rsidP="00493396">
      <w:pPr>
        <w:spacing w:before="100" w:beforeAutospacing="1" w:after="100" w:afterAutospacing="1" w:line="480" w:lineRule="auto"/>
        <w:jc w:val="both"/>
        <w:outlineLvl w:val="2"/>
        <w:rPr>
          <w:rFonts w:ascii="Times New Roman" w:eastAsia="Times New Roman" w:hAnsi="Times New Roman" w:cs="Times New Roman"/>
          <w:b/>
          <w:bCs/>
          <w:sz w:val="24"/>
          <w:szCs w:val="24"/>
          <w:lang w:val="en-US"/>
        </w:rPr>
      </w:pPr>
      <w:bookmarkStart w:id="0" w:name="_GoBack"/>
      <w:bookmarkEnd w:id="0"/>
      <w:r w:rsidRPr="00493396">
        <w:rPr>
          <w:rFonts w:ascii="Times New Roman" w:eastAsia="Times New Roman" w:hAnsi="Times New Roman" w:cs="Times New Roman"/>
          <w:b/>
          <w:bCs/>
          <w:sz w:val="24"/>
          <w:szCs w:val="24"/>
          <w:lang w:val="en-US"/>
        </w:rPr>
        <w:t>Abstract</w:t>
      </w:r>
    </w:p>
    <w:p w:rsidR="00493396" w:rsidRDefault="00493396" w:rsidP="00493396">
      <w:pPr>
        <w:spacing w:before="100" w:beforeAutospacing="1" w:after="100" w:afterAutospacing="1" w:line="480" w:lineRule="auto"/>
        <w:jc w:val="both"/>
        <w:rPr>
          <w:rFonts w:ascii="Times New Roman" w:eastAsia="Times New Roman" w:hAnsi="Times New Roman" w:cs="Times New Roman"/>
          <w:sz w:val="24"/>
          <w:szCs w:val="24"/>
          <w:lang w:val="en-US"/>
        </w:rPr>
      </w:pPr>
      <w:r w:rsidRPr="00493396">
        <w:rPr>
          <w:rFonts w:ascii="Times New Roman" w:eastAsia="Times New Roman" w:hAnsi="Times New Roman" w:cs="Times New Roman"/>
          <w:sz w:val="24"/>
          <w:szCs w:val="24"/>
          <w:lang w:val="en-US"/>
        </w:rPr>
        <w:t xml:space="preserve">Negative perception is a significant barrier to mathematical proficiency among tertiary students in West Africa. This study evaluates the impact of the Culturo-Techno-Contextual Approach (CTCA) on the cognitive and affective dispositions of 376 first-year students at the University </w:t>
      </w:r>
      <w:proofErr w:type="gramStart"/>
      <w:r w:rsidRPr="00493396">
        <w:rPr>
          <w:rFonts w:ascii="Times New Roman" w:eastAsia="Times New Roman" w:hAnsi="Times New Roman" w:cs="Times New Roman"/>
          <w:sz w:val="24"/>
          <w:szCs w:val="24"/>
          <w:lang w:val="en-US"/>
        </w:rPr>
        <w:t>of</w:t>
      </w:r>
      <w:proofErr w:type="gramEnd"/>
      <w:r w:rsidRPr="00493396">
        <w:rPr>
          <w:rFonts w:ascii="Times New Roman" w:eastAsia="Times New Roman" w:hAnsi="Times New Roman" w:cs="Times New Roman"/>
          <w:sz w:val="24"/>
          <w:szCs w:val="24"/>
          <w:lang w:val="en-US"/>
        </w:rPr>
        <w:t xml:space="preserve"> Makeni (UNIMAK), Sierra Leone. Findings from a quasi-experimental analysis demonstrate that CTCA significantly enhances student confidence, participation, and conceptual clarity. The study concludes that by centering instruction on the "Culturo-Techno" axis, educators can effectively dismantle "math anxiety" and improve academic performance. </w:t>
      </w:r>
    </w:p>
    <w:p w:rsidR="00A11E67" w:rsidRPr="00493396" w:rsidRDefault="00A11E67" w:rsidP="00493396">
      <w:pPr>
        <w:spacing w:before="100" w:beforeAutospacing="1" w:after="100" w:afterAutospacing="1" w:line="480" w:lineRule="auto"/>
        <w:jc w:val="both"/>
        <w:rPr>
          <w:rFonts w:ascii="Times New Roman" w:eastAsia="Times New Roman" w:hAnsi="Times New Roman" w:cs="Times New Roman"/>
          <w:sz w:val="24"/>
          <w:szCs w:val="24"/>
          <w:lang w:val="en-US"/>
        </w:rPr>
      </w:pPr>
      <w:r w:rsidRPr="00A11E67">
        <w:rPr>
          <w:rFonts w:ascii="Times New Roman" w:eastAsia="Times New Roman" w:hAnsi="Times New Roman" w:cs="Times New Roman"/>
          <w:b/>
          <w:bCs/>
          <w:sz w:val="24"/>
          <w:szCs w:val="24"/>
        </w:rPr>
        <w:t>Keywords:</w:t>
      </w:r>
      <w:r w:rsidRPr="00A11E67">
        <w:rPr>
          <w:rFonts w:ascii="Times New Roman" w:eastAsia="Times New Roman" w:hAnsi="Times New Roman" w:cs="Times New Roman"/>
          <w:sz w:val="24"/>
          <w:szCs w:val="24"/>
        </w:rPr>
        <w:t xml:space="preserve"> CTCA, student perception, STEM education, culturally responsive pedagogy, math anxiety, ICT in education, Sierra Leone, pedagogical innovation, self-efficacy, learner engagement.</w:t>
      </w:r>
    </w:p>
    <w:p w:rsidR="00493396" w:rsidRPr="00493396" w:rsidRDefault="00493396" w:rsidP="00493396">
      <w:pPr>
        <w:spacing w:before="100" w:beforeAutospacing="1" w:after="100" w:afterAutospacing="1" w:line="480" w:lineRule="auto"/>
        <w:jc w:val="both"/>
        <w:outlineLvl w:val="2"/>
        <w:rPr>
          <w:rFonts w:ascii="Times New Roman" w:eastAsia="Times New Roman" w:hAnsi="Times New Roman" w:cs="Times New Roman"/>
          <w:b/>
          <w:bCs/>
          <w:sz w:val="24"/>
          <w:szCs w:val="24"/>
          <w:lang w:val="en-US"/>
        </w:rPr>
      </w:pPr>
      <w:r w:rsidRPr="00493396">
        <w:rPr>
          <w:rFonts w:ascii="Times New Roman" w:eastAsia="Times New Roman" w:hAnsi="Times New Roman" w:cs="Times New Roman"/>
          <w:b/>
          <w:bCs/>
          <w:sz w:val="24"/>
          <w:szCs w:val="24"/>
          <w:lang w:val="en-US"/>
        </w:rPr>
        <w:t>1. Introduction</w:t>
      </w:r>
    </w:p>
    <w:p w:rsidR="00493396" w:rsidRPr="00493396" w:rsidRDefault="00493396" w:rsidP="00493396">
      <w:pPr>
        <w:spacing w:before="100" w:beforeAutospacing="1" w:after="100" w:afterAutospacing="1" w:line="480" w:lineRule="auto"/>
        <w:jc w:val="both"/>
        <w:rPr>
          <w:rFonts w:ascii="Times New Roman" w:eastAsia="Times New Roman" w:hAnsi="Times New Roman" w:cs="Times New Roman"/>
          <w:sz w:val="24"/>
          <w:szCs w:val="24"/>
          <w:lang w:val="en-US"/>
        </w:rPr>
      </w:pPr>
      <w:r w:rsidRPr="00493396">
        <w:rPr>
          <w:rFonts w:ascii="Times New Roman" w:eastAsia="Times New Roman" w:hAnsi="Times New Roman" w:cs="Times New Roman"/>
          <w:sz w:val="24"/>
          <w:szCs w:val="24"/>
          <w:lang w:val="en-US"/>
        </w:rPr>
        <w:t xml:space="preserve">Despite the Sierra Leonean government’s </w:t>
      </w:r>
      <w:r w:rsidRPr="00493396">
        <w:rPr>
          <w:rFonts w:ascii="Times New Roman" w:eastAsia="Times New Roman" w:hAnsi="Times New Roman" w:cs="Times New Roman"/>
          <w:b/>
          <w:bCs/>
          <w:sz w:val="24"/>
          <w:szCs w:val="24"/>
          <w:lang w:val="en-US"/>
        </w:rPr>
        <w:t>Radical Inclusion Policy (2021)</w:t>
      </w:r>
      <w:r w:rsidRPr="00493396">
        <w:rPr>
          <w:rFonts w:ascii="Times New Roman" w:eastAsia="Times New Roman" w:hAnsi="Times New Roman" w:cs="Times New Roman"/>
          <w:sz w:val="24"/>
          <w:szCs w:val="24"/>
          <w:lang w:val="en-US"/>
        </w:rPr>
        <w:t xml:space="preserve">, many students enter university with deep-seated negative perceptions of mathematics, viewing it as an abstract and alien discipline. This disconnect is often a byproduct of instructional methods that ignore the learner's cultural background and technological reality. The </w:t>
      </w:r>
      <w:r w:rsidRPr="00493396">
        <w:rPr>
          <w:rFonts w:ascii="Times New Roman" w:eastAsia="Times New Roman" w:hAnsi="Times New Roman" w:cs="Times New Roman"/>
          <w:b/>
          <w:bCs/>
          <w:sz w:val="24"/>
          <w:szCs w:val="24"/>
          <w:lang w:val="en-US"/>
        </w:rPr>
        <w:t>Culturo-Techno-Contextual Approach (CTCA)</w:t>
      </w:r>
      <w:r w:rsidRPr="00493396">
        <w:rPr>
          <w:rFonts w:ascii="Times New Roman" w:eastAsia="Times New Roman" w:hAnsi="Times New Roman" w:cs="Times New Roman"/>
          <w:sz w:val="24"/>
          <w:szCs w:val="24"/>
          <w:lang w:val="en-US"/>
        </w:rPr>
        <w:t xml:space="preserve"> was developed to bridge this gap by integrating indigenous knowledge systems with modern technological tools. This paper evaluates the specific extent to which this approach enhances student perception. </w:t>
      </w:r>
    </w:p>
    <w:p w:rsidR="00F923AB" w:rsidRDefault="00F923AB" w:rsidP="00493396">
      <w:pPr>
        <w:spacing w:before="100" w:beforeAutospacing="1" w:after="100" w:afterAutospacing="1" w:line="480" w:lineRule="auto"/>
        <w:jc w:val="both"/>
        <w:outlineLvl w:val="2"/>
        <w:rPr>
          <w:rFonts w:ascii="Times New Roman" w:eastAsia="Times New Roman" w:hAnsi="Times New Roman" w:cs="Times New Roman"/>
          <w:b/>
          <w:bCs/>
          <w:sz w:val="24"/>
          <w:szCs w:val="24"/>
          <w:lang w:val="en-US"/>
        </w:rPr>
      </w:pPr>
    </w:p>
    <w:p w:rsidR="00493396" w:rsidRPr="00493396" w:rsidRDefault="00493396" w:rsidP="00493396">
      <w:pPr>
        <w:spacing w:before="100" w:beforeAutospacing="1" w:after="100" w:afterAutospacing="1" w:line="480" w:lineRule="auto"/>
        <w:jc w:val="both"/>
        <w:outlineLvl w:val="2"/>
        <w:rPr>
          <w:rFonts w:ascii="Times New Roman" w:eastAsia="Times New Roman" w:hAnsi="Times New Roman" w:cs="Times New Roman"/>
          <w:b/>
          <w:bCs/>
          <w:sz w:val="24"/>
          <w:szCs w:val="24"/>
          <w:lang w:val="en-US"/>
        </w:rPr>
      </w:pPr>
      <w:r w:rsidRPr="00493396">
        <w:rPr>
          <w:rFonts w:ascii="Times New Roman" w:eastAsia="Times New Roman" w:hAnsi="Times New Roman" w:cs="Times New Roman"/>
          <w:b/>
          <w:bCs/>
          <w:sz w:val="24"/>
          <w:szCs w:val="24"/>
          <w:lang w:val="en-US"/>
        </w:rPr>
        <w:lastRenderedPageBreak/>
        <w:t>2. Theoretical Framework</w:t>
      </w:r>
    </w:p>
    <w:p w:rsidR="00493396" w:rsidRPr="00493396" w:rsidRDefault="00493396" w:rsidP="00493396">
      <w:pPr>
        <w:spacing w:before="100" w:beforeAutospacing="1" w:after="100" w:afterAutospacing="1" w:line="480" w:lineRule="auto"/>
        <w:jc w:val="both"/>
        <w:rPr>
          <w:rFonts w:ascii="Times New Roman" w:eastAsia="Times New Roman" w:hAnsi="Times New Roman" w:cs="Times New Roman"/>
          <w:sz w:val="24"/>
          <w:szCs w:val="24"/>
          <w:lang w:val="en-US"/>
        </w:rPr>
      </w:pPr>
      <w:r w:rsidRPr="00493396">
        <w:rPr>
          <w:rFonts w:ascii="Times New Roman" w:eastAsia="Times New Roman" w:hAnsi="Times New Roman" w:cs="Times New Roman"/>
          <w:sz w:val="24"/>
          <w:szCs w:val="24"/>
          <w:lang w:val="en-US"/>
        </w:rPr>
        <w:t xml:space="preserve">This study is underpinned by </w:t>
      </w:r>
      <w:r w:rsidRPr="00493396">
        <w:rPr>
          <w:rFonts w:ascii="Times New Roman" w:eastAsia="Times New Roman" w:hAnsi="Times New Roman" w:cs="Times New Roman"/>
          <w:b/>
          <w:bCs/>
          <w:sz w:val="24"/>
          <w:szCs w:val="24"/>
          <w:lang w:val="en-US"/>
        </w:rPr>
        <w:t>Self-Efficacy Theory (Bandura, 1997)</w:t>
      </w:r>
      <w:r w:rsidRPr="00493396">
        <w:rPr>
          <w:rFonts w:ascii="Times New Roman" w:eastAsia="Times New Roman" w:hAnsi="Times New Roman" w:cs="Times New Roman"/>
          <w:sz w:val="24"/>
          <w:szCs w:val="24"/>
          <w:lang w:val="en-US"/>
        </w:rPr>
        <w:t xml:space="preserve"> and </w:t>
      </w:r>
      <w:r w:rsidRPr="00493396">
        <w:rPr>
          <w:rFonts w:ascii="Times New Roman" w:eastAsia="Times New Roman" w:hAnsi="Times New Roman" w:cs="Times New Roman"/>
          <w:b/>
          <w:bCs/>
          <w:sz w:val="24"/>
          <w:szCs w:val="24"/>
          <w:lang w:val="en-US"/>
        </w:rPr>
        <w:t>Situated Learning Theory (Lave &amp; Wenger, 1991)</w:t>
      </w:r>
      <w:r w:rsidRPr="00493396">
        <w:rPr>
          <w:rFonts w:ascii="Times New Roman" w:eastAsia="Times New Roman" w:hAnsi="Times New Roman" w:cs="Times New Roman"/>
          <w:sz w:val="24"/>
          <w:szCs w:val="24"/>
          <w:lang w:val="en-US"/>
        </w:rPr>
        <w:t>. These theories suggest that learning is most effective when students feel capable (efficacy) and when the knowledge is grounded in authentic, relatable environments</w:t>
      </w:r>
      <w:r>
        <w:rPr>
          <w:rFonts w:ascii="Times New Roman" w:eastAsia="Times New Roman" w:hAnsi="Times New Roman" w:cs="Times New Roman"/>
          <w:sz w:val="24"/>
          <w:szCs w:val="24"/>
          <w:lang w:val="en-US"/>
        </w:rPr>
        <w:t>.</w:t>
      </w:r>
      <w:r w:rsidRPr="00493396">
        <w:rPr>
          <w:rFonts w:ascii="Times New Roman" w:eastAsia="Times New Roman" w:hAnsi="Times New Roman" w:cs="Times New Roman"/>
          <w:sz w:val="24"/>
          <w:szCs w:val="24"/>
          <w:lang w:val="en-US"/>
        </w:rPr>
        <w:t xml:space="preserve"> CTCA operationalizes these theories by utilizing local Sierra Leonean contexts and digital affordances to make mathematics "visible" and attainable. </w:t>
      </w:r>
    </w:p>
    <w:p w:rsidR="00493396" w:rsidRPr="00493396" w:rsidRDefault="00493396" w:rsidP="00493396">
      <w:pPr>
        <w:spacing w:before="100" w:beforeAutospacing="1" w:after="100" w:afterAutospacing="1" w:line="480" w:lineRule="auto"/>
        <w:jc w:val="both"/>
        <w:outlineLvl w:val="2"/>
        <w:rPr>
          <w:rFonts w:ascii="Times New Roman" w:eastAsia="Times New Roman" w:hAnsi="Times New Roman" w:cs="Times New Roman"/>
          <w:b/>
          <w:bCs/>
          <w:sz w:val="24"/>
          <w:szCs w:val="24"/>
          <w:lang w:val="en-US"/>
        </w:rPr>
      </w:pPr>
      <w:r w:rsidRPr="00493396">
        <w:rPr>
          <w:rFonts w:ascii="Times New Roman" w:eastAsia="Times New Roman" w:hAnsi="Times New Roman" w:cs="Times New Roman"/>
          <w:b/>
          <w:bCs/>
          <w:sz w:val="24"/>
          <w:szCs w:val="24"/>
          <w:lang w:val="en-US"/>
        </w:rPr>
        <w:t>3. Methodology</w:t>
      </w:r>
    </w:p>
    <w:p w:rsidR="00493396" w:rsidRPr="00493396" w:rsidRDefault="00493396" w:rsidP="00493396">
      <w:pPr>
        <w:spacing w:before="100" w:beforeAutospacing="1" w:after="100" w:afterAutospacing="1" w:line="480" w:lineRule="auto"/>
        <w:jc w:val="both"/>
        <w:rPr>
          <w:rFonts w:ascii="Times New Roman" w:eastAsia="Times New Roman" w:hAnsi="Times New Roman" w:cs="Times New Roman"/>
          <w:sz w:val="24"/>
          <w:szCs w:val="24"/>
          <w:lang w:val="en-US"/>
        </w:rPr>
      </w:pPr>
      <w:r w:rsidRPr="00493396">
        <w:rPr>
          <w:rFonts w:ascii="Times New Roman" w:eastAsia="Times New Roman" w:hAnsi="Times New Roman" w:cs="Times New Roman"/>
          <w:sz w:val="24"/>
          <w:szCs w:val="24"/>
          <w:lang w:val="en-US"/>
        </w:rPr>
        <w:t xml:space="preserve">Using a mixed-methods approach, 376 students were exposed to CTCA-based instruction. Data were gathered through structured questionnaires measuring perception levels across three domains: </w:t>
      </w:r>
      <w:r w:rsidRPr="00493396">
        <w:rPr>
          <w:rFonts w:ascii="Times New Roman" w:eastAsia="Times New Roman" w:hAnsi="Times New Roman" w:cs="Times New Roman"/>
          <w:b/>
          <w:bCs/>
          <w:sz w:val="24"/>
          <w:szCs w:val="24"/>
          <w:lang w:val="en-US"/>
        </w:rPr>
        <w:t>Engagement</w:t>
      </w:r>
      <w:r w:rsidRPr="00493396">
        <w:rPr>
          <w:rFonts w:ascii="Times New Roman" w:eastAsia="Times New Roman" w:hAnsi="Times New Roman" w:cs="Times New Roman"/>
          <w:sz w:val="24"/>
          <w:szCs w:val="24"/>
          <w:lang w:val="en-US"/>
        </w:rPr>
        <w:t xml:space="preserve">, </w:t>
      </w:r>
      <w:r w:rsidRPr="00493396">
        <w:rPr>
          <w:rFonts w:ascii="Times New Roman" w:eastAsia="Times New Roman" w:hAnsi="Times New Roman" w:cs="Times New Roman"/>
          <w:b/>
          <w:bCs/>
          <w:sz w:val="24"/>
          <w:szCs w:val="24"/>
          <w:lang w:val="en-US"/>
        </w:rPr>
        <w:t>Confidence</w:t>
      </w:r>
      <w:r w:rsidRPr="00493396">
        <w:rPr>
          <w:rFonts w:ascii="Times New Roman" w:eastAsia="Times New Roman" w:hAnsi="Times New Roman" w:cs="Times New Roman"/>
          <w:sz w:val="24"/>
          <w:szCs w:val="24"/>
          <w:lang w:val="en-US"/>
        </w:rPr>
        <w:t xml:space="preserve">, and </w:t>
      </w:r>
      <w:r w:rsidRPr="00493396">
        <w:rPr>
          <w:rFonts w:ascii="Times New Roman" w:eastAsia="Times New Roman" w:hAnsi="Times New Roman" w:cs="Times New Roman"/>
          <w:b/>
          <w:bCs/>
          <w:sz w:val="24"/>
          <w:szCs w:val="24"/>
          <w:lang w:val="en-US"/>
        </w:rPr>
        <w:t>Conceptual Understanding</w:t>
      </w:r>
      <w:r w:rsidRPr="00493396">
        <w:rPr>
          <w:rFonts w:ascii="Times New Roman" w:eastAsia="Times New Roman" w:hAnsi="Times New Roman" w:cs="Times New Roman"/>
          <w:sz w:val="24"/>
          <w:szCs w:val="24"/>
          <w:lang w:val="en-US"/>
        </w:rPr>
        <w:t xml:space="preserve">. Inferential analysis was conducted using the independent-samples t-test to measure the significance of the shift in perception. </w:t>
      </w:r>
    </w:p>
    <w:p w:rsidR="00493396" w:rsidRPr="00493396" w:rsidRDefault="00493396" w:rsidP="00493396">
      <w:pPr>
        <w:spacing w:before="100" w:beforeAutospacing="1" w:after="100" w:afterAutospacing="1" w:line="480" w:lineRule="auto"/>
        <w:jc w:val="both"/>
        <w:outlineLvl w:val="2"/>
        <w:rPr>
          <w:rFonts w:ascii="Times New Roman" w:eastAsia="Times New Roman" w:hAnsi="Times New Roman" w:cs="Times New Roman"/>
          <w:b/>
          <w:bCs/>
          <w:sz w:val="24"/>
          <w:szCs w:val="24"/>
          <w:lang w:val="en-US"/>
        </w:rPr>
      </w:pPr>
      <w:r w:rsidRPr="00493396">
        <w:rPr>
          <w:rFonts w:ascii="Times New Roman" w:eastAsia="Times New Roman" w:hAnsi="Times New Roman" w:cs="Times New Roman"/>
          <w:b/>
          <w:bCs/>
          <w:sz w:val="24"/>
          <w:szCs w:val="24"/>
          <w:lang w:val="en-US"/>
        </w:rPr>
        <w:t>4. Discussion of Findings: The "Culturo-Techno" Impact</w:t>
      </w:r>
    </w:p>
    <w:p w:rsidR="00493396" w:rsidRPr="00493396" w:rsidRDefault="00493396" w:rsidP="00493396">
      <w:pPr>
        <w:spacing w:before="100" w:beforeAutospacing="1" w:after="100" w:afterAutospacing="1" w:line="480" w:lineRule="auto"/>
        <w:jc w:val="both"/>
        <w:rPr>
          <w:rFonts w:ascii="Times New Roman" w:eastAsia="Times New Roman" w:hAnsi="Times New Roman" w:cs="Times New Roman"/>
          <w:sz w:val="24"/>
          <w:szCs w:val="24"/>
          <w:lang w:val="en-US"/>
        </w:rPr>
      </w:pPr>
      <w:r w:rsidRPr="00493396">
        <w:rPr>
          <w:rFonts w:ascii="Times New Roman" w:eastAsia="Times New Roman" w:hAnsi="Times New Roman" w:cs="Times New Roman"/>
          <w:sz w:val="24"/>
          <w:szCs w:val="24"/>
          <w:lang w:val="en-US"/>
        </w:rPr>
        <w:t>The results provide empirical evidence that CTCA significantly enhances student perception (</w:t>
      </w:r>
      <w:proofErr w:type="gramStart"/>
      <w:r>
        <w:rPr>
          <w:rFonts w:ascii="Times New Roman" w:eastAsia="Times New Roman" w:hAnsi="Times New Roman" w:cs="Times New Roman"/>
          <w:sz w:val="24"/>
          <w:szCs w:val="24"/>
          <w:lang w:val="en-US"/>
        </w:rPr>
        <w:t>t(</w:t>
      </w:r>
      <w:proofErr w:type="gramEnd"/>
      <w:r>
        <w:rPr>
          <w:rFonts w:ascii="Times New Roman" w:eastAsia="Times New Roman" w:hAnsi="Times New Roman" w:cs="Times New Roman"/>
          <w:sz w:val="24"/>
          <w:szCs w:val="24"/>
          <w:lang w:val="en-US"/>
        </w:rPr>
        <w:t>373.815) = 40.807, p &lt; 0.05</w:t>
      </w:r>
      <w:r w:rsidRPr="00493396">
        <w:rPr>
          <w:rFonts w:ascii="Times New Roman" w:eastAsia="Times New Roman" w:hAnsi="Times New Roman" w:cs="Times New Roman"/>
          <w:sz w:val="24"/>
          <w:szCs w:val="24"/>
          <w:lang w:val="en-US"/>
        </w:rPr>
        <w:t xml:space="preserve">). </w:t>
      </w:r>
    </w:p>
    <w:p w:rsidR="00493396" w:rsidRPr="00493396" w:rsidRDefault="00493396" w:rsidP="00493396">
      <w:pPr>
        <w:spacing w:before="100" w:beforeAutospacing="1" w:after="100" w:afterAutospacing="1" w:line="480" w:lineRule="auto"/>
        <w:jc w:val="both"/>
        <w:outlineLvl w:val="3"/>
        <w:rPr>
          <w:rFonts w:ascii="Times New Roman" w:eastAsia="Times New Roman" w:hAnsi="Times New Roman" w:cs="Times New Roman"/>
          <w:b/>
          <w:bCs/>
          <w:sz w:val="24"/>
          <w:szCs w:val="24"/>
          <w:lang w:val="en-US"/>
        </w:rPr>
      </w:pPr>
      <w:r w:rsidRPr="00493396">
        <w:rPr>
          <w:rFonts w:ascii="Times New Roman" w:eastAsia="Times New Roman" w:hAnsi="Times New Roman" w:cs="Times New Roman"/>
          <w:b/>
          <w:bCs/>
          <w:sz w:val="24"/>
          <w:szCs w:val="24"/>
          <w:lang w:val="en-US"/>
        </w:rPr>
        <w:t>4.1 Enhancing Affective Disposition and Confidence</w:t>
      </w:r>
    </w:p>
    <w:p w:rsidR="00493396" w:rsidRPr="00493396" w:rsidRDefault="00493396" w:rsidP="00493396">
      <w:pPr>
        <w:spacing w:before="100" w:beforeAutospacing="1" w:after="100" w:afterAutospacing="1" w:line="480" w:lineRule="auto"/>
        <w:jc w:val="both"/>
        <w:rPr>
          <w:rFonts w:ascii="Times New Roman" w:eastAsia="Times New Roman" w:hAnsi="Times New Roman" w:cs="Times New Roman"/>
          <w:sz w:val="24"/>
          <w:szCs w:val="24"/>
          <w:lang w:val="en-US"/>
        </w:rPr>
      </w:pPr>
      <w:r w:rsidRPr="00493396">
        <w:rPr>
          <w:rFonts w:ascii="Times New Roman" w:eastAsia="Times New Roman" w:hAnsi="Times New Roman" w:cs="Times New Roman"/>
          <w:sz w:val="24"/>
          <w:szCs w:val="24"/>
          <w:lang w:val="en-US"/>
        </w:rPr>
        <w:t xml:space="preserve">The "Culturo" component of CTCA leverages local traditions and community knowledge to explain mathematical concepts. Findings indicate that this reduces the "threat" of mathematics, leading to higher mean scores in student confidence. When students see their own culture reflected in the logic of the curriculum, their intrinsic motivation increases, supporting the tenets of </w:t>
      </w:r>
      <w:r w:rsidRPr="00493396">
        <w:rPr>
          <w:rFonts w:ascii="Times New Roman" w:eastAsia="Times New Roman" w:hAnsi="Times New Roman" w:cs="Times New Roman"/>
          <w:b/>
          <w:bCs/>
          <w:sz w:val="24"/>
          <w:szCs w:val="24"/>
          <w:lang w:val="en-US"/>
        </w:rPr>
        <w:t>Self-Determination Theory</w:t>
      </w:r>
      <w:r w:rsidRPr="00493396">
        <w:rPr>
          <w:rFonts w:ascii="Times New Roman" w:eastAsia="Times New Roman" w:hAnsi="Times New Roman" w:cs="Times New Roman"/>
          <w:sz w:val="24"/>
          <w:szCs w:val="24"/>
          <w:lang w:val="en-US"/>
        </w:rPr>
        <w:t xml:space="preserve">. </w:t>
      </w:r>
    </w:p>
    <w:p w:rsidR="00493396" w:rsidRDefault="00493396" w:rsidP="00493396">
      <w:pPr>
        <w:spacing w:before="100" w:beforeAutospacing="1" w:after="100" w:afterAutospacing="1" w:line="480" w:lineRule="auto"/>
        <w:jc w:val="both"/>
        <w:outlineLvl w:val="3"/>
        <w:rPr>
          <w:rFonts w:ascii="Times New Roman" w:eastAsia="Times New Roman" w:hAnsi="Times New Roman" w:cs="Times New Roman"/>
          <w:b/>
          <w:bCs/>
          <w:sz w:val="24"/>
          <w:szCs w:val="24"/>
          <w:lang w:val="en-US"/>
        </w:rPr>
      </w:pPr>
    </w:p>
    <w:p w:rsidR="00493396" w:rsidRPr="00493396" w:rsidRDefault="00493396" w:rsidP="00493396">
      <w:pPr>
        <w:spacing w:before="100" w:beforeAutospacing="1" w:after="100" w:afterAutospacing="1" w:line="480" w:lineRule="auto"/>
        <w:jc w:val="both"/>
        <w:outlineLvl w:val="3"/>
        <w:rPr>
          <w:rFonts w:ascii="Times New Roman" w:eastAsia="Times New Roman" w:hAnsi="Times New Roman" w:cs="Times New Roman"/>
          <w:b/>
          <w:bCs/>
          <w:sz w:val="24"/>
          <w:szCs w:val="24"/>
          <w:lang w:val="en-US"/>
        </w:rPr>
      </w:pPr>
      <w:r w:rsidRPr="00493396">
        <w:rPr>
          <w:rFonts w:ascii="Times New Roman" w:eastAsia="Times New Roman" w:hAnsi="Times New Roman" w:cs="Times New Roman"/>
          <w:b/>
          <w:bCs/>
          <w:sz w:val="24"/>
          <w:szCs w:val="24"/>
          <w:lang w:val="en-US"/>
        </w:rPr>
        <w:t>4.2 Technological Affordances and Participation</w:t>
      </w:r>
    </w:p>
    <w:p w:rsidR="00493396" w:rsidRPr="00493396" w:rsidRDefault="00493396" w:rsidP="00493396">
      <w:pPr>
        <w:spacing w:before="100" w:beforeAutospacing="1" w:after="100" w:afterAutospacing="1" w:line="480" w:lineRule="auto"/>
        <w:jc w:val="both"/>
        <w:rPr>
          <w:rFonts w:ascii="Times New Roman" w:eastAsia="Times New Roman" w:hAnsi="Times New Roman" w:cs="Times New Roman"/>
          <w:sz w:val="24"/>
          <w:szCs w:val="24"/>
          <w:lang w:val="en-US"/>
        </w:rPr>
      </w:pPr>
      <w:r w:rsidRPr="00493396">
        <w:rPr>
          <w:rFonts w:ascii="Times New Roman" w:eastAsia="Times New Roman" w:hAnsi="Times New Roman" w:cs="Times New Roman"/>
          <w:sz w:val="24"/>
          <w:szCs w:val="24"/>
          <w:lang w:val="en-US"/>
        </w:rPr>
        <w:t xml:space="preserve">The "Techno" aspect addresses the digital realities of contemporary learners. Integrating technological tools—ranging from mobile devices to interactive software—promotes active participation and transforms students from passive recipients into active discoverers of knowledge. The study found that this technological integration was a primary driver for the "Perception Level" increase observed in the experimental group. </w:t>
      </w:r>
    </w:p>
    <w:p w:rsidR="00493396" w:rsidRPr="00493396" w:rsidRDefault="00493396" w:rsidP="00493396">
      <w:pPr>
        <w:spacing w:before="100" w:beforeAutospacing="1" w:after="100" w:afterAutospacing="1" w:line="480" w:lineRule="auto"/>
        <w:jc w:val="both"/>
        <w:outlineLvl w:val="3"/>
        <w:rPr>
          <w:rFonts w:ascii="Times New Roman" w:eastAsia="Times New Roman" w:hAnsi="Times New Roman" w:cs="Times New Roman"/>
          <w:b/>
          <w:bCs/>
          <w:sz w:val="24"/>
          <w:szCs w:val="24"/>
          <w:lang w:val="en-US"/>
        </w:rPr>
      </w:pPr>
      <w:r w:rsidRPr="00493396">
        <w:rPr>
          <w:rFonts w:ascii="Times New Roman" w:eastAsia="Times New Roman" w:hAnsi="Times New Roman" w:cs="Times New Roman"/>
          <w:b/>
          <w:bCs/>
          <w:sz w:val="24"/>
          <w:szCs w:val="24"/>
          <w:lang w:val="en-US"/>
        </w:rPr>
        <w:t>4.3 Contextual Relevance and Conceptual Clarity</w:t>
      </w:r>
    </w:p>
    <w:p w:rsidR="00493396" w:rsidRPr="00493396" w:rsidRDefault="00493396" w:rsidP="00493396">
      <w:pPr>
        <w:spacing w:before="100" w:beforeAutospacing="1" w:after="100" w:afterAutospacing="1" w:line="480" w:lineRule="auto"/>
        <w:jc w:val="both"/>
        <w:rPr>
          <w:rFonts w:ascii="Times New Roman" w:eastAsia="Times New Roman" w:hAnsi="Times New Roman" w:cs="Times New Roman"/>
          <w:sz w:val="24"/>
          <w:szCs w:val="24"/>
          <w:lang w:val="en-US"/>
        </w:rPr>
      </w:pPr>
      <w:r w:rsidRPr="00493396">
        <w:rPr>
          <w:rFonts w:ascii="Times New Roman" w:eastAsia="Times New Roman" w:hAnsi="Times New Roman" w:cs="Times New Roman"/>
          <w:sz w:val="24"/>
          <w:szCs w:val="24"/>
          <w:lang w:val="en-US"/>
        </w:rPr>
        <w:t>By situating abstract problems within the "Contextual" realities of Sierra Leone—such as local trade, architecture, or agriculture—CTCA enhances conceptual clarity. Students reported that mathematics felt "less abstract" and "more</w:t>
      </w:r>
      <w:r>
        <w:rPr>
          <w:rFonts w:ascii="Times New Roman" w:eastAsia="Times New Roman" w:hAnsi="Times New Roman" w:cs="Times New Roman"/>
          <w:sz w:val="24"/>
          <w:szCs w:val="24"/>
          <w:lang w:val="en-US"/>
        </w:rPr>
        <w:t xml:space="preserve"> </w:t>
      </w:r>
      <w:r w:rsidRPr="00493396">
        <w:rPr>
          <w:rFonts w:ascii="Times New Roman" w:eastAsia="Times New Roman" w:hAnsi="Times New Roman" w:cs="Times New Roman"/>
          <w:sz w:val="24"/>
          <w:szCs w:val="24"/>
          <w:lang w:val="en-US"/>
        </w:rPr>
        <w:t xml:space="preserve">Relatable," leading to better retention and performance. </w:t>
      </w:r>
    </w:p>
    <w:p w:rsidR="00493396" w:rsidRPr="00493396" w:rsidRDefault="00493396" w:rsidP="00493396">
      <w:pPr>
        <w:spacing w:before="100" w:beforeAutospacing="1" w:after="100" w:afterAutospacing="1" w:line="480" w:lineRule="auto"/>
        <w:jc w:val="both"/>
        <w:outlineLvl w:val="2"/>
        <w:rPr>
          <w:rFonts w:ascii="Times New Roman" w:eastAsia="Times New Roman" w:hAnsi="Times New Roman" w:cs="Times New Roman"/>
          <w:b/>
          <w:bCs/>
          <w:sz w:val="24"/>
          <w:szCs w:val="24"/>
          <w:lang w:val="en-US"/>
        </w:rPr>
      </w:pPr>
      <w:r w:rsidRPr="00493396">
        <w:rPr>
          <w:rFonts w:ascii="Times New Roman" w:eastAsia="Times New Roman" w:hAnsi="Times New Roman" w:cs="Times New Roman"/>
          <w:b/>
          <w:bCs/>
          <w:sz w:val="24"/>
          <w:szCs w:val="24"/>
          <w:lang w:val="en-US"/>
        </w:rPr>
        <w:t>5. Conclusion and Recommendations</w:t>
      </w:r>
    </w:p>
    <w:p w:rsidR="00493396" w:rsidRPr="00493396" w:rsidRDefault="00493396" w:rsidP="00493396">
      <w:pPr>
        <w:spacing w:before="100" w:beforeAutospacing="1" w:after="100" w:afterAutospacing="1" w:line="480" w:lineRule="auto"/>
        <w:jc w:val="both"/>
        <w:rPr>
          <w:rFonts w:ascii="Times New Roman" w:eastAsia="Times New Roman" w:hAnsi="Times New Roman" w:cs="Times New Roman"/>
          <w:sz w:val="24"/>
          <w:szCs w:val="24"/>
          <w:lang w:val="en-US"/>
        </w:rPr>
      </w:pPr>
      <w:r w:rsidRPr="00493396">
        <w:rPr>
          <w:rFonts w:ascii="Times New Roman" w:eastAsia="Times New Roman" w:hAnsi="Times New Roman" w:cs="Times New Roman"/>
          <w:sz w:val="24"/>
          <w:szCs w:val="24"/>
          <w:lang w:val="en-US"/>
        </w:rPr>
        <w:t xml:space="preserve">The Culturo-Techno-Contextual Approach (CTCA) is more than an instructional strategy; it is a tool for educational equity. By significantly improving students’ perceptions, CTCA provides a scalable model for improving STEM education in Sierra Leone. </w:t>
      </w:r>
    </w:p>
    <w:p w:rsidR="00493396" w:rsidRPr="00493396" w:rsidRDefault="00493396" w:rsidP="00493396">
      <w:pPr>
        <w:numPr>
          <w:ilvl w:val="0"/>
          <w:numId w:val="8"/>
        </w:numPr>
        <w:spacing w:before="100" w:beforeAutospacing="1" w:after="100" w:afterAutospacing="1" w:line="480" w:lineRule="auto"/>
        <w:jc w:val="both"/>
        <w:rPr>
          <w:rFonts w:ascii="Times New Roman" w:eastAsia="Times New Roman" w:hAnsi="Times New Roman" w:cs="Times New Roman"/>
          <w:sz w:val="24"/>
          <w:szCs w:val="24"/>
          <w:lang w:val="en-US"/>
        </w:rPr>
      </w:pPr>
      <w:r w:rsidRPr="00493396">
        <w:rPr>
          <w:rFonts w:ascii="Times New Roman" w:eastAsia="Times New Roman" w:hAnsi="Times New Roman" w:cs="Times New Roman"/>
          <w:b/>
          <w:bCs/>
          <w:sz w:val="24"/>
          <w:szCs w:val="24"/>
          <w:lang w:val="en-US"/>
        </w:rPr>
        <w:t>Institutional Adoption:</w:t>
      </w:r>
      <w:r w:rsidRPr="00493396">
        <w:rPr>
          <w:rFonts w:ascii="Times New Roman" w:eastAsia="Times New Roman" w:hAnsi="Times New Roman" w:cs="Times New Roman"/>
          <w:sz w:val="24"/>
          <w:szCs w:val="24"/>
          <w:lang w:val="en-US"/>
        </w:rPr>
        <w:t xml:space="preserve"> UNIMAK and similar institutions should integrate CTCA into their teacher-training curricula. </w:t>
      </w:r>
    </w:p>
    <w:p w:rsidR="00493396" w:rsidRPr="00493396" w:rsidRDefault="00493396" w:rsidP="00493396">
      <w:pPr>
        <w:numPr>
          <w:ilvl w:val="0"/>
          <w:numId w:val="8"/>
        </w:numPr>
        <w:spacing w:before="100" w:beforeAutospacing="1" w:after="100" w:afterAutospacing="1" w:line="480" w:lineRule="auto"/>
        <w:jc w:val="both"/>
        <w:rPr>
          <w:rFonts w:ascii="Times New Roman" w:eastAsia="Times New Roman" w:hAnsi="Times New Roman" w:cs="Times New Roman"/>
          <w:sz w:val="24"/>
          <w:szCs w:val="24"/>
          <w:lang w:val="en-US"/>
        </w:rPr>
      </w:pPr>
      <w:r w:rsidRPr="00493396">
        <w:rPr>
          <w:rFonts w:ascii="Times New Roman" w:eastAsia="Times New Roman" w:hAnsi="Times New Roman" w:cs="Times New Roman"/>
          <w:b/>
          <w:bCs/>
          <w:sz w:val="24"/>
          <w:szCs w:val="24"/>
          <w:lang w:val="en-US"/>
        </w:rPr>
        <w:t>Policy Integration:</w:t>
      </w:r>
      <w:r w:rsidRPr="00493396">
        <w:rPr>
          <w:rFonts w:ascii="Times New Roman" w:eastAsia="Times New Roman" w:hAnsi="Times New Roman" w:cs="Times New Roman"/>
          <w:sz w:val="24"/>
          <w:szCs w:val="24"/>
          <w:lang w:val="en-US"/>
        </w:rPr>
        <w:t xml:space="preserve"> The Ministry of Technical and Higher Education should endorse context-driven pedagogies to fulfill the promise of the Radical Inclusion Policy. </w:t>
      </w:r>
    </w:p>
    <w:p w:rsidR="00493396" w:rsidRPr="00493396" w:rsidRDefault="00493396" w:rsidP="00493396">
      <w:pPr>
        <w:spacing w:before="100" w:beforeAutospacing="1" w:after="100" w:afterAutospacing="1" w:line="480" w:lineRule="auto"/>
        <w:jc w:val="both"/>
        <w:outlineLvl w:val="2"/>
        <w:rPr>
          <w:rFonts w:ascii="Times New Roman" w:eastAsia="Times New Roman" w:hAnsi="Times New Roman" w:cs="Times New Roman"/>
          <w:b/>
          <w:bCs/>
          <w:sz w:val="24"/>
          <w:szCs w:val="24"/>
          <w:lang w:val="en-US"/>
        </w:rPr>
      </w:pPr>
      <w:r w:rsidRPr="00493396">
        <w:rPr>
          <w:rFonts w:ascii="Times New Roman" w:eastAsia="Times New Roman" w:hAnsi="Times New Roman" w:cs="Times New Roman"/>
          <w:b/>
          <w:bCs/>
          <w:sz w:val="24"/>
          <w:szCs w:val="24"/>
          <w:lang w:val="en-US"/>
        </w:rPr>
        <w:t>References</w:t>
      </w:r>
    </w:p>
    <w:p w:rsidR="00493396" w:rsidRPr="00493396" w:rsidRDefault="00493396" w:rsidP="00493396">
      <w:pPr>
        <w:numPr>
          <w:ilvl w:val="0"/>
          <w:numId w:val="10"/>
        </w:numPr>
        <w:spacing w:before="100" w:beforeAutospacing="1" w:after="100" w:afterAutospacing="1" w:line="480" w:lineRule="auto"/>
        <w:jc w:val="both"/>
        <w:rPr>
          <w:rFonts w:ascii="Times New Roman" w:eastAsia="Times New Roman" w:hAnsi="Times New Roman" w:cs="Times New Roman"/>
          <w:sz w:val="24"/>
          <w:szCs w:val="24"/>
          <w:lang w:val="en-US"/>
        </w:rPr>
      </w:pPr>
      <w:r w:rsidRPr="00493396">
        <w:rPr>
          <w:rFonts w:ascii="Times New Roman" w:eastAsia="Times New Roman" w:hAnsi="Times New Roman" w:cs="Times New Roman"/>
          <w:sz w:val="24"/>
          <w:szCs w:val="24"/>
          <w:lang w:val="en-US"/>
        </w:rPr>
        <w:lastRenderedPageBreak/>
        <w:t xml:space="preserve">Bandura, A. (1997). </w:t>
      </w:r>
      <w:r w:rsidRPr="00493396">
        <w:rPr>
          <w:rFonts w:ascii="Times New Roman" w:eastAsia="Times New Roman" w:hAnsi="Times New Roman" w:cs="Times New Roman"/>
          <w:i/>
          <w:iCs/>
          <w:sz w:val="24"/>
          <w:szCs w:val="24"/>
          <w:lang w:val="en-US"/>
        </w:rPr>
        <w:t>Self-efficacy: The exercise of control</w:t>
      </w:r>
      <w:r w:rsidRPr="00493396">
        <w:rPr>
          <w:rFonts w:ascii="Times New Roman" w:eastAsia="Times New Roman" w:hAnsi="Times New Roman" w:cs="Times New Roman"/>
          <w:sz w:val="24"/>
          <w:szCs w:val="24"/>
          <w:lang w:val="en-US"/>
        </w:rPr>
        <w:t xml:space="preserve">. Freeman. </w:t>
      </w:r>
    </w:p>
    <w:p w:rsidR="00493396" w:rsidRPr="00493396" w:rsidRDefault="00493396" w:rsidP="00493396">
      <w:pPr>
        <w:numPr>
          <w:ilvl w:val="0"/>
          <w:numId w:val="10"/>
        </w:numPr>
        <w:spacing w:before="100" w:beforeAutospacing="1" w:after="100" w:afterAutospacing="1" w:line="480" w:lineRule="auto"/>
        <w:jc w:val="both"/>
        <w:rPr>
          <w:rFonts w:ascii="Times New Roman" w:eastAsia="Times New Roman" w:hAnsi="Times New Roman" w:cs="Times New Roman"/>
          <w:sz w:val="24"/>
          <w:szCs w:val="24"/>
          <w:lang w:val="en-US"/>
        </w:rPr>
      </w:pPr>
      <w:r w:rsidRPr="00493396">
        <w:rPr>
          <w:rFonts w:ascii="Times New Roman" w:eastAsia="Times New Roman" w:hAnsi="Times New Roman" w:cs="Times New Roman"/>
          <w:sz w:val="24"/>
          <w:szCs w:val="24"/>
          <w:lang w:val="en-US"/>
        </w:rPr>
        <w:t xml:space="preserve">Bruner, J. S. (1961). The act of discovery. </w:t>
      </w:r>
      <w:r w:rsidRPr="00493396">
        <w:rPr>
          <w:rFonts w:ascii="Times New Roman" w:eastAsia="Times New Roman" w:hAnsi="Times New Roman" w:cs="Times New Roman"/>
          <w:i/>
          <w:iCs/>
          <w:sz w:val="24"/>
          <w:szCs w:val="24"/>
          <w:lang w:val="en-US"/>
        </w:rPr>
        <w:t>Harvard Educational Review</w:t>
      </w:r>
      <w:r w:rsidRPr="00493396">
        <w:rPr>
          <w:rFonts w:ascii="Times New Roman" w:eastAsia="Times New Roman" w:hAnsi="Times New Roman" w:cs="Times New Roman"/>
          <w:sz w:val="24"/>
          <w:szCs w:val="24"/>
          <w:lang w:val="en-US"/>
        </w:rPr>
        <w:t xml:space="preserve">, 31(1), 21–32. </w:t>
      </w:r>
    </w:p>
    <w:p w:rsidR="00493396" w:rsidRPr="00493396" w:rsidRDefault="00493396" w:rsidP="00493396">
      <w:pPr>
        <w:numPr>
          <w:ilvl w:val="0"/>
          <w:numId w:val="10"/>
        </w:numPr>
        <w:spacing w:before="100" w:beforeAutospacing="1" w:after="100" w:afterAutospacing="1" w:line="480" w:lineRule="auto"/>
        <w:jc w:val="both"/>
        <w:rPr>
          <w:rFonts w:ascii="Times New Roman" w:eastAsia="Times New Roman" w:hAnsi="Times New Roman" w:cs="Times New Roman"/>
          <w:sz w:val="24"/>
          <w:szCs w:val="24"/>
          <w:lang w:val="en-US"/>
        </w:rPr>
      </w:pPr>
      <w:r w:rsidRPr="00493396">
        <w:rPr>
          <w:rFonts w:ascii="Times New Roman" w:eastAsia="Times New Roman" w:hAnsi="Times New Roman" w:cs="Times New Roman"/>
          <w:sz w:val="24"/>
          <w:szCs w:val="24"/>
          <w:lang w:val="en-US"/>
        </w:rPr>
        <w:t xml:space="preserve">Deci, E. L., &amp; Ryan, R. M. (2000). The "what" and "why" of goal pursuits. </w:t>
      </w:r>
      <w:r w:rsidRPr="00493396">
        <w:rPr>
          <w:rFonts w:ascii="Times New Roman" w:eastAsia="Times New Roman" w:hAnsi="Times New Roman" w:cs="Times New Roman"/>
          <w:i/>
          <w:iCs/>
          <w:sz w:val="24"/>
          <w:szCs w:val="24"/>
          <w:lang w:val="en-US"/>
        </w:rPr>
        <w:t>Psychological Inquiry</w:t>
      </w:r>
      <w:r w:rsidRPr="00493396">
        <w:rPr>
          <w:rFonts w:ascii="Times New Roman" w:eastAsia="Times New Roman" w:hAnsi="Times New Roman" w:cs="Times New Roman"/>
          <w:sz w:val="24"/>
          <w:szCs w:val="24"/>
          <w:lang w:val="en-US"/>
        </w:rPr>
        <w:t xml:space="preserve">, 11(4), 227–268. </w:t>
      </w:r>
    </w:p>
    <w:p w:rsidR="00493396" w:rsidRPr="00493396" w:rsidRDefault="00493396" w:rsidP="00493396">
      <w:pPr>
        <w:numPr>
          <w:ilvl w:val="0"/>
          <w:numId w:val="10"/>
        </w:numPr>
        <w:spacing w:before="100" w:beforeAutospacing="1" w:after="100" w:afterAutospacing="1" w:line="480" w:lineRule="auto"/>
        <w:jc w:val="both"/>
        <w:rPr>
          <w:rFonts w:ascii="Times New Roman" w:eastAsia="Times New Roman" w:hAnsi="Times New Roman" w:cs="Times New Roman"/>
          <w:sz w:val="24"/>
          <w:szCs w:val="24"/>
          <w:lang w:val="en-US"/>
        </w:rPr>
      </w:pPr>
      <w:proofErr w:type="gramStart"/>
      <w:r w:rsidRPr="00493396">
        <w:rPr>
          <w:rFonts w:ascii="Times New Roman" w:eastAsia="Times New Roman" w:hAnsi="Times New Roman" w:cs="Times New Roman"/>
          <w:sz w:val="24"/>
          <w:szCs w:val="24"/>
          <w:lang w:val="en-US"/>
        </w:rPr>
        <w:t>Lave,</w:t>
      </w:r>
      <w:proofErr w:type="gramEnd"/>
      <w:r w:rsidRPr="00493396">
        <w:rPr>
          <w:rFonts w:ascii="Times New Roman" w:eastAsia="Times New Roman" w:hAnsi="Times New Roman" w:cs="Times New Roman"/>
          <w:sz w:val="24"/>
          <w:szCs w:val="24"/>
          <w:lang w:val="en-US"/>
        </w:rPr>
        <w:t xml:space="preserve"> J., &amp; Wenger, E. (1991). </w:t>
      </w:r>
      <w:r w:rsidRPr="00493396">
        <w:rPr>
          <w:rFonts w:ascii="Times New Roman" w:eastAsia="Times New Roman" w:hAnsi="Times New Roman" w:cs="Times New Roman"/>
          <w:i/>
          <w:iCs/>
          <w:sz w:val="24"/>
          <w:szCs w:val="24"/>
          <w:lang w:val="en-US"/>
        </w:rPr>
        <w:t>Situated learning</w:t>
      </w:r>
      <w:r w:rsidRPr="00493396">
        <w:rPr>
          <w:rFonts w:ascii="Times New Roman" w:eastAsia="Times New Roman" w:hAnsi="Times New Roman" w:cs="Times New Roman"/>
          <w:sz w:val="24"/>
          <w:szCs w:val="24"/>
          <w:lang w:val="en-US"/>
        </w:rPr>
        <w:t xml:space="preserve">. Cambridge University Press. </w:t>
      </w:r>
    </w:p>
    <w:p w:rsidR="00493396" w:rsidRPr="00493396" w:rsidRDefault="00493396" w:rsidP="00493396">
      <w:pPr>
        <w:numPr>
          <w:ilvl w:val="0"/>
          <w:numId w:val="10"/>
        </w:numPr>
        <w:spacing w:before="100" w:beforeAutospacing="1" w:after="100" w:afterAutospacing="1" w:line="480" w:lineRule="auto"/>
        <w:jc w:val="both"/>
        <w:rPr>
          <w:rFonts w:ascii="Times New Roman" w:eastAsia="Times New Roman" w:hAnsi="Times New Roman" w:cs="Times New Roman"/>
          <w:sz w:val="24"/>
          <w:szCs w:val="24"/>
          <w:lang w:val="en-US"/>
        </w:rPr>
      </w:pPr>
      <w:r w:rsidRPr="00493396">
        <w:rPr>
          <w:rFonts w:ascii="Times New Roman" w:eastAsia="Times New Roman" w:hAnsi="Times New Roman" w:cs="Times New Roman"/>
          <w:sz w:val="24"/>
          <w:szCs w:val="24"/>
          <w:lang w:val="en-US"/>
        </w:rPr>
        <w:t xml:space="preserve">Piaget, J. (1954). </w:t>
      </w:r>
      <w:r w:rsidRPr="00493396">
        <w:rPr>
          <w:rFonts w:ascii="Times New Roman" w:eastAsia="Times New Roman" w:hAnsi="Times New Roman" w:cs="Times New Roman"/>
          <w:i/>
          <w:iCs/>
          <w:sz w:val="24"/>
          <w:szCs w:val="24"/>
          <w:lang w:val="en-US"/>
        </w:rPr>
        <w:t>The construction of reality in the child</w:t>
      </w:r>
      <w:r w:rsidRPr="00493396">
        <w:rPr>
          <w:rFonts w:ascii="Times New Roman" w:eastAsia="Times New Roman" w:hAnsi="Times New Roman" w:cs="Times New Roman"/>
          <w:sz w:val="24"/>
          <w:szCs w:val="24"/>
          <w:lang w:val="en-US"/>
        </w:rPr>
        <w:t xml:space="preserve">. Basic Books. </w:t>
      </w:r>
    </w:p>
    <w:p w:rsidR="00493396" w:rsidRPr="00493396" w:rsidRDefault="00493396" w:rsidP="00493396">
      <w:pPr>
        <w:numPr>
          <w:ilvl w:val="0"/>
          <w:numId w:val="10"/>
        </w:numPr>
        <w:spacing w:before="100" w:beforeAutospacing="1" w:after="100" w:afterAutospacing="1" w:line="480" w:lineRule="auto"/>
        <w:jc w:val="both"/>
        <w:rPr>
          <w:rFonts w:ascii="Times New Roman" w:eastAsia="Times New Roman" w:hAnsi="Times New Roman" w:cs="Times New Roman"/>
          <w:sz w:val="24"/>
          <w:szCs w:val="24"/>
          <w:lang w:val="en-US"/>
        </w:rPr>
      </w:pPr>
      <w:r w:rsidRPr="00493396">
        <w:rPr>
          <w:rFonts w:ascii="Times New Roman" w:eastAsia="Times New Roman" w:hAnsi="Times New Roman" w:cs="Times New Roman"/>
          <w:sz w:val="24"/>
          <w:szCs w:val="24"/>
          <w:lang w:val="en-US"/>
        </w:rPr>
        <w:t xml:space="preserve">Sierra Leone Ministry of Basic and Senior Secondary Education. (2021). </w:t>
      </w:r>
      <w:r w:rsidRPr="00493396">
        <w:rPr>
          <w:rFonts w:ascii="Times New Roman" w:eastAsia="Times New Roman" w:hAnsi="Times New Roman" w:cs="Times New Roman"/>
          <w:i/>
          <w:iCs/>
          <w:sz w:val="24"/>
          <w:szCs w:val="24"/>
          <w:lang w:val="en-US"/>
        </w:rPr>
        <w:t>Radical Inclusion Policy</w:t>
      </w:r>
      <w:r w:rsidRPr="00493396">
        <w:rPr>
          <w:rFonts w:ascii="Times New Roman" w:eastAsia="Times New Roman" w:hAnsi="Times New Roman" w:cs="Times New Roman"/>
          <w:sz w:val="24"/>
          <w:szCs w:val="24"/>
          <w:lang w:val="en-US"/>
        </w:rPr>
        <w:t xml:space="preserve">. </w:t>
      </w:r>
    </w:p>
    <w:p w:rsidR="00493396" w:rsidRPr="00493396" w:rsidRDefault="00493396" w:rsidP="00493396">
      <w:pPr>
        <w:numPr>
          <w:ilvl w:val="0"/>
          <w:numId w:val="10"/>
        </w:numPr>
        <w:spacing w:before="100" w:beforeAutospacing="1" w:after="100" w:afterAutospacing="1" w:line="480" w:lineRule="auto"/>
        <w:jc w:val="both"/>
        <w:rPr>
          <w:rFonts w:ascii="Times New Roman" w:eastAsia="Times New Roman" w:hAnsi="Times New Roman" w:cs="Times New Roman"/>
          <w:sz w:val="24"/>
          <w:szCs w:val="24"/>
          <w:lang w:val="en-US"/>
        </w:rPr>
      </w:pPr>
      <w:r w:rsidRPr="00493396">
        <w:rPr>
          <w:rFonts w:ascii="Times New Roman" w:eastAsia="Times New Roman" w:hAnsi="Times New Roman" w:cs="Times New Roman"/>
          <w:sz w:val="24"/>
          <w:szCs w:val="24"/>
          <w:lang w:val="en-US"/>
        </w:rPr>
        <w:t xml:space="preserve">UNESCO. (2020). </w:t>
      </w:r>
      <w:r w:rsidRPr="00493396">
        <w:rPr>
          <w:rFonts w:ascii="Times New Roman" w:eastAsia="Times New Roman" w:hAnsi="Times New Roman" w:cs="Times New Roman"/>
          <w:i/>
          <w:iCs/>
          <w:sz w:val="24"/>
          <w:szCs w:val="24"/>
          <w:lang w:val="en-US"/>
        </w:rPr>
        <w:t>Global education monitoring report</w:t>
      </w:r>
      <w:r w:rsidRPr="00493396">
        <w:rPr>
          <w:rFonts w:ascii="Times New Roman" w:eastAsia="Times New Roman" w:hAnsi="Times New Roman" w:cs="Times New Roman"/>
          <w:sz w:val="24"/>
          <w:szCs w:val="24"/>
          <w:lang w:val="en-US"/>
        </w:rPr>
        <w:t xml:space="preserve">. </w:t>
      </w:r>
    </w:p>
    <w:p w:rsidR="00493396" w:rsidRPr="00493396" w:rsidRDefault="00493396" w:rsidP="00493396">
      <w:pPr>
        <w:numPr>
          <w:ilvl w:val="0"/>
          <w:numId w:val="10"/>
        </w:numPr>
        <w:spacing w:before="100" w:beforeAutospacing="1" w:after="100" w:afterAutospacing="1" w:line="480" w:lineRule="auto"/>
        <w:jc w:val="both"/>
        <w:rPr>
          <w:rFonts w:ascii="Times New Roman" w:eastAsia="Times New Roman" w:hAnsi="Times New Roman" w:cs="Times New Roman"/>
          <w:sz w:val="24"/>
          <w:szCs w:val="24"/>
          <w:lang w:val="en-US"/>
        </w:rPr>
      </w:pPr>
      <w:r w:rsidRPr="00493396">
        <w:rPr>
          <w:rFonts w:ascii="Times New Roman" w:eastAsia="Times New Roman" w:hAnsi="Times New Roman" w:cs="Times New Roman"/>
          <w:sz w:val="24"/>
          <w:szCs w:val="24"/>
          <w:lang w:val="en-US"/>
        </w:rPr>
        <w:t xml:space="preserve">Vygotsky, L. S. (1978). </w:t>
      </w:r>
      <w:r w:rsidRPr="00493396">
        <w:rPr>
          <w:rFonts w:ascii="Times New Roman" w:eastAsia="Times New Roman" w:hAnsi="Times New Roman" w:cs="Times New Roman"/>
          <w:i/>
          <w:iCs/>
          <w:sz w:val="24"/>
          <w:szCs w:val="24"/>
          <w:lang w:val="en-US"/>
        </w:rPr>
        <w:t>Mind in society</w:t>
      </w:r>
      <w:r w:rsidRPr="00493396">
        <w:rPr>
          <w:rFonts w:ascii="Times New Roman" w:eastAsia="Times New Roman" w:hAnsi="Times New Roman" w:cs="Times New Roman"/>
          <w:sz w:val="24"/>
          <w:szCs w:val="24"/>
          <w:lang w:val="en-US"/>
        </w:rPr>
        <w:t xml:space="preserve">. Harvard University Press. </w:t>
      </w:r>
    </w:p>
    <w:p w:rsidR="00493396" w:rsidRPr="00493396" w:rsidRDefault="00493396" w:rsidP="00493396">
      <w:pPr>
        <w:numPr>
          <w:ilvl w:val="0"/>
          <w:numId w:val="10"/>
        </w:numPr>
        <w:spacing w:before="100" w:beforeAutospacing="1" w:after="100" w:afterAutospacing="1" w:line="480" w:lineRule="auto"/>
        <w:jc w:val="both"/>
        <w:rPr>
          <w:rFonts w:ascii="Times New Roman" w:eastAsia="Times New Roman" w:hAnsi="Times New Roman" w:cs="Times New Roman"/>
          <w:sz w:val="24"/>
          <w:szCs w:val="24"/>
          <w:lang w:val="en-US"/>
        </w:rPr>
      </w:pPr>
      <w:r w:rsidRPr="00493396">
        <w:rPr>
          <w:rFonts w:ascii="Times New Roman" w:eastAsia="Times New Roman" w:hAnsi="Times New Roman" w:cs="Times New Roman"/>
          <w:sz w:val="24"/>
          <w:szCs w:val="24"/>
          <w:lang w:val="en-US"/>
        </w:rPr>
        <w:t xml:space="preserve">World Bank. (2019). </w:t>
      </w:r>
      <w:r w:rsidRPr="00493396">
        <w:rPr>
          <w:rFonts w:ascii="Times New Roman" w:eastAsia="Times New Roman" w:hAnsi="Times New Roman" w:cs="Times New Roman"/>
          <w:i/>
          <w:iCs/>
          <w:sz w:val="24"/>
          <w:szCs w:val="24"/>
          <w:lang w:val="en-US"/>
        </w:rPr>
        <w:t>World Development Report</w:t>
      </w:r>
      <w:r w:rsidRPr="00493396">
        <w:rPr>
          <w:rFonts w:ascii="Times New Roman" w:eastAsia="Times New Roman" w:hAnsi="Times New Roman" w:cs="Times New Roman"/>
          <w:sz w:val="24"/>
          <w:szCs w:val="24"/>
          <w:lang w:val="en-US"/>
        </w:rPr>
        <w:t xml:space="preserve">. </w:t>
      </w:r>
    </w:p>
    <w:p w:rsidR="00E53F25" w:rsidRDefault="00E53F25"/>
    <w:sectPr w:rsidR="00E53F25">
      <w:pgSz w:w="11906" w:h="1683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85509" w:rsidRDefault="00C85509" w:rsidP="004C0570">
      <w:pPr>
        <w:spacing w:after="0" w:line="240" w:lineRule="auto"/>
      </w:pPr>
      <w:r>
        <w:separator/>
      </w:r>
    </w:p>
  </w:endnote>
  <w:endnote w:type="continuationSeparator" w:id="0">
    <w:p w:rsidR="00C85509" w:rsidRDefault="00C85509" w:rsidP="004C057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85509" w:rsidRDefault="00C85509" w:rsidP="004C0570">
      <w:pPr>
        <w:spacing w:after="0" w:line="240" w:lineRule="auto"/>
      </w:pPr>
      <w:r>
        <w:separator/>
      </w:r>
    </w:p>
  </w:footnote>
  <w:footnote w:type="continuationSeparator" w:id="0">
    <w:p w:rsidR="00C85509" w:rsidRDefault="00C85509" w:rsidP="004C0570">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F51260"/>
    <w:multiLevelType w:val="multilevel"/>
    <w:tmpl w:val="506CB9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00A7719"/>
    <w:multiLevelType w:val="multilevel"/>
    <w:tmpl w:val="336E583C"/>
    <w:lvl w:ilvl="0">
      <w:start w:val="1"/>
      <w:numFmt w:val="decimal"/>
      <w:lvlText w:val="%1."/>
      <w:lvlJc w:val="left"/>
      <w:pPr>
        <w:tabs>
          <w:tab w:val="num" w:pos="720"/>
        </w:tabs>
        <w:ind w:left="720" w:hanging="360"/>
      </w:pPr>
      <w:rPr>
        <w:rFonts w:hint="default"/>
        <w:sz w:val="24"/>
        <w:szCs w:val="24"/>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1C97C17"/>
    <w:multiLevelType w:val="multilevel"/>
    <w:tmpl w:val="A8B0D7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1A056DC4"/>
    <w:multiLevelType w:val="multilevel"/>
    <w:tmpl w:val="8F5C692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21237D70"/>
    <w:multiLevelType w:val="multilevel"/>
    <w:tmpl w:val="8A2C313E"/>
    <w:lvl w:ilvl="0">
      <w:start w:val="1"/>
      <w:numFmt w:val="decimal"/>
      <w:lvlText w:val="%1."/>
      <w:lvlJc w:val="left"/>
      <w:pPr>
        <w:tabs>
          <w:tab w:val="num" w:pos="720"/>
        </w:tabs>
        <w:ind w:left="720" w:hanging="360"/>
      </w:pPr>
      <w:rPr>
        <w:rFonts w:hint="default"/>
        <w:sz w:val="24"/>
        <w:szCs w:val="24"/>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2B54008D"/>
    <w:multiLevelType w:val="multilevel"/>
    <w:tmpl w:val="86C220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3062686B"/>
    <w:multiLevelType w:val="multilevel"/>
    <w:tmpl w:val="6276DD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367142F1"/>
    <w:multiLevelType w:val="multilevel"/>
    <w:tmpl w:val="A3543F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48FA7062"/>
    <w:multiLevelType w:val="multilevel"/>
    <w:tmpl w:val="75802F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7DCB3BC5"/>
    <w:multiLevelType w:val="multilevel"/>
    <w:tmpl w:val="7A48869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3"/>
  </w:num>
  <w:num w:numId="2">
    <w:abstractNumId w:val="9"/>
  </w:num>
  <w:num w:numId="3">
    <w:abstractNumId w:val="7"/>
  </w:num>
  <w:num w:numId="4">
    <w:abstractNumId w:val="5"/>
  </w:num>
  <w:num w:numId="5">
    <w:abstractNumId w:val="0"/>
  </w:num>
  <w:num w:numId="6">
    <w:abstractNumId w:val="8"/>
  </w:num>
  <w:num w:numId="7">
    <w:abstractNumId w:val="1"/>
  </w:num>
  <w:num w:numId="8">
    <w:abstractNumId w:val="2"/>
  </w:num>
  <w:num w:numId="9">
    <w:abstractNumId w:val="6"/>
  </w:num>
  <w:num w:numId="1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53F25"/>
    <w:rsid w:val="000943AD"/>
    <w:rsid w:val="000A10A9"/>
    <w:rsid w:val="001926C0"/>
    <w:rsid w:val="00306960"/>
    <w:rsid w:val="0032478E"/>
    <w:rsid w:val="003C2187"/>
    <w:rsid w:val="0049209F"/>
    <w:rsid w:val="00493396"/>
    <w:rsid w:val="004C0570"/>
    <w:rsid w:val="00567BC9"/>
    <w:rsid w:val="006A4076"/>
    <w:rsid w:val="008F214D"/>
    <w:rsid w:val="00A11E67"/>
    <w:rsid w:val="00C85509"/>
    <w:rsid w:val="00DC2A64"/>
    <w:rsid w:val="00E53F25"/>
    <w:rsid w:val="00E558E0"/>
    <w:rsid w:val="00E62654"/>
    <w:rsid w:val="00F923A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E53F25"/>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n-GB"/>
    </w:rPr>
  </w:style>
  <w:style w:type="paragraph" w:styleId="Heading2">
    <w:name w:val="heading 2"/>
    <w:basedOn w:val="Normal"/>
    <w:link w:val="Heading2Char"/>
    <w:uiPriority w:val="9"/>
    <w:qFormat/>
    <w:rsid w:val="00E53F25"/>
    <w:pPr>
      <w:spacing w:before="100" w:beforeAutospacing="1" w:after="100" w:afterAutospacing="1" w:line="240" w:lineRule="auto"/>
      <w:outlineLvl w:val="1"/>
    </w:pPr>
    <w:rPr>
      <w:rFonts w:ascii="Times New Roman" w:eastAsia="Times New Roman" w:hAnsi="Times New Roman" w:cs="Times New Roman"/>
      <w:b/>
      <w:bCs/>
      <w:sz w:val="36"/>
      <w:szCs w:val="36"/>
      <w:lang w:eastAsia="en-GB"/>
    </w:rPr>
  </w:style>
  <w:style w:type="paragraph" w:styleId="Heading3">
    <w:name w:val="heading 3"/>
    <w:basedOn w:val="Normal"/>
    <w:link w:val="Heading3Char"/>
    <w:uiPriority w:val="9"/>
    <w:qFormat/>
    <w:rsid w:val="00E53F25"/>
    <w:pPr>
      <w:spacing w:before="100" w:beforeAutospacing="1" w:after="100" w:afterAutospacing="1" w:line="240" w:lineRule="auto"/>
      <w:outlineLvl w:val="2"/>
    </w:pPr>
    <w:rPr>
      <w:rFonts w:ascii="Times New Roman" w:eastAsia="Times New Roman" w:hAnsi="Times New Roman" w:cs="Times New Roman"/>
      <w:b/>
      <w:bCs/>
      <w:sz w:val="27"/>
      <w:szCs w:val="27"/>
      <w:lang w:eastAsia="en-GB"/>
    </w:rPr>
  </w:style>
  <w:style w:type="paragraph" w:styleId="Heading4">
    <w:name w:val="heading 4"/>
    <w:basedOn w:val="Normal"/>
    <w:next w:val="Normal"/>
    <w:link w:val="Heading4Char"/>
    <w:uiPriority w:val="9"/>
    <w:semiHidden/>
    <w:unhideWhenUsed/>
    <w:qFormat/>
    <w:rsid w:val="00E558E0"/>
    <w:pPr>
      <w:keepNext/>
      <w:keepLines/>
      <w:spacing w:before="200" w:after="0"/>
      <w:outlineLvl w:val="3"/>
    </w:pPr>
    <w:rPr>
      <w:rFonts w:asciiTheme="majorHAnsi" w:eastAsiaTheme="majorEastAsia" w:hAnsiTheme="majorHAnsi" w:cstheme="majorBidi"/>
      <w:b/>
      <w:bCs/>
      <w:i/>
      <w:iCs/>
      <w:color w:val="4472C4"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53F25"/>
    <w:rPr>
      <w:rFonts w:ascii="Times New Roman" w:eastAsia="Times New Roman" w:hAnsi="Times New Roman" w:cs="Times New Roman"/>
      <w:b/>
      <w:bCs/>
      <w:kern w:val="36"/>
      <w:sz w:val="48"/>
      <w:szCs w:val="48"/>
      <w:lang w:eastAsia="en-GB"/>
    </w:rPr>
  </w:style>
  <w:style w:type="character" w:customStyle="1" w:styleId="Heading2Char">
    <w:name w:val="Heading 2 Char"/>
    <w:basedOn w:val="DefaultParagraphFont"/>
    <w:link w:val="Heading2"/>
    <w:uiPriority w:val="9"/>
    <w:rsid w:val="00E53F25"/>
    <w:rPr>
      <w:rFonts w:ascii="Times New Roman" w:eastAsia="Times New Roman" w:hAnsi="Times New Roman" w:cs="Times New Roman"/>
      <w:b/>
      <w:bCs/>
      <w:sz w:val="36"/>
      <w:szCs w:val="36"/>
      <w:lang w:eastAsia="en-GB"/>
    </w:rPr>
  </w:style>
  <w:style w:type="character" w:customStyle="1" w:styleId="Heading3Char">
    <w:name w:val="Heading 3 Char"/>
    <w:basedOn w:val="DefaultParagraphFont"/>
    <w:link w:val="Heading3"/>
    <w:uiPriority w:val="9"/>
    <w:rsid w:val="00E53F25"/>
    <w:rPr>
      <w:rFonts w:ascii="Times New Roman" w:eastAsia="Times New Roman" w:hAnsi="Times New Roman" w:cs="Times New Roman"/>
      <w:b/>
      <w:bCs/>
      <w:sz w:val="27"/>
      <w:szCs w:val="27"/>
      <w:lang w:eastAsia="en-GB"/>
    </w:rPr>
  </w:style>
  <w:style w:type="character" w:styleId="Strong">
    <w:name w:val="Strong"/>
    <w:basedOn w:val="DefaultParagraphFont"/>
    <w:uiPriority w:val="22"/>
    <w:qFormat/>
    <w:rsid w:val="00E53F25"/>
    <w:rPr>
      <w:b/>
      <w:bCs/>
    </w:rPr>
  </w:style>
  <w:style w:type="paragraph" w:styleId="NormalWeb">
    <w:name w:val="Normal (Web)"/>
    <w:basedOn w:val="Normal"/>
    <w:uiPriority w:val="99"/>
    <w:semiHidden/>
    <w:unhideWhenUsed/>
    <w:rsid w:val="00E53F25"/>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Emphasis">
    <w:name w:val="Emphasis"/>
    <w:basedOn w:val="DefaultParagraphFont"/>
    <w:uiPriority w:val="20"/>
    <w:qFormat/>
    <w:rsid w:val="00E53F25"/>
    <w:rPr>
      <w:i/>
      <w:iCs/>
    </w:rPr>
  </w:style>
  <w:style w:type="paragraph" w:styleId="Header">
    <w:name w:val="header"/>
    <w:basedOn w:val="Normal"/>
    <w:link w:val="HeaderChar"/>
    <w:uiPriority w:val="99"/>
    <w:unhideWhenUsed/>
    <w:rsid w:val="004C0570"/>
    <w:pPr>
      <w:tabs>
        <w:tab w:val="center" w:pos="4513"/>
        <w:tab w:val="right" w:pos="9026"/>
      </w:tabs>
      <w:spacing w:after="0" w:line="240" w:lineRule="auto"/>
    </w:pPr>
  </w:style>
  <w:style w:type="character" w:customStyle="1" w:styleId="HeaderChar">
    <w:name w:val="Header Char"/>
    <w:basedOn w:val="DefaultParagraphFont"/>
    <w:link w:val="Header"/>
    <w:uiPriority w:val="99"/>
    <w:rsid w:val="004C0570"/>
  </w:style>
  <w:style w:type="paragraph" w:styleId="Footer">
    <w:name w:val="footer"/>
    <w:basedOn w:val="Normal"/>
    <w:link w:val="FooterChar"/>
    <w:uiPriority w:val="99"/>
    <w:unhideWhenUsed/>
    <w:rsid w:val="004C0570"/>
    <w:pPr>
      <w:tabs>
        <w:tab w:val="center" w:pos="4513"/>
        <w:tab w:val="right" w:pos="9026"/>
      </w:tabs>
      <w:spacing w:after="0" w:line="240" w:lineRule="auto"/>
    </w:pPr>
  </w:style>
  <w:style w:type="character" w:customStyle="1" w:styleId="FooterChar">
    <w:name w:val="Footer Char"/>
    <w:basedOn w:val="DefaultParagraphFont"/>
    <w:link w:val="Footer"/>
    <w:uiPriority w:val="99"/>
    <w:rsid w:val="004C0570"/>
  </w:style>
  <w:style w:type="character" w:customStyle="1" w:styleId="Heading4Char">
    <w:name w:val="Heading 4 Char"/>
    <w:basedOn w:val="DefaultParagraphFont"/>
    <w:link w:val="Heading4"/>
    <w:uiPriority w:val="9"/>
    <w:semiHidden/>
    <w:rsid w:val="00E558E0"/>
    <w:rPr>
      <w:rFonts w:asciiTheme="majorHAnsi" w:eastAsiaTheme="majorEastAsia" w:hAnsiTheme="majorHAnsi" w:cstheme="majorBidi"/>
      <w:b/>
      <w:bCs/>
      <w:i/>
      <w:iCs/>
      <w:color w:val="4472C4" w:themeColor="accent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E53F25"/>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n-GB"/>
    </w:rPr>
  </w:style>
  <w:style w:type="paragraph" w:styleId="Heading2">
    <w:name w:val="heading 2"/>
    <w:basedOn w:val="Normal"/>
    <w:link w:val="Heading2Char"/>
    <w:uiPriority w:val="9"/>
    <w:qFormat/>
    <w:rsid w:val="00E53F25"/>
    <w:pPr>
      <w:spacing w:before="100" w:beforeAutospacing="1" w:after="100" w:afterAutospacing="1" w:line="240" w:lineRule="auto"/>
      <w:outlineLvl w:val="1"/>
    </w:pPr>
    <w:rPr>
      <w:rFonts w:ascii="Times New Roman" w:eastAsia="Times New Roman" w:hAnsi="Times New Roman" w:cs="Times New Roman"/>
      <w:b/>
      <w:bCs/>
      <w:sz w:val="36"/>
      <w:szCs w:val="36"/>
      <w:lang w:eastAsia="en-GB"/>
    </w:rPr>
  </w:style>
  <w:style w:type="paragraph" w:styleId="Heading3">
    <w:name w:val="heading 3"/>
    <w:basedOn w:val="Normal"/>
    <w:link w:val="Heading3Char"/>
    <w:uiPriority w:val="9"/>
    <w:qFormat/>
    <w:rsid w:val="00E53F25"/>
    <w:pPr>
      <w:spacing w:before="100" w:beforeAutospacing="1" w:after="100" w:afterAutospacing="1" w:line="240" w:lineRule="auto"/>
      <w:outlineLvl w:val="2"/>
    </w:pPr>
    <w:rPr>
      <w:rFonts w:ascii="Times New Roman" w:eastAsia="Times New Roman" w:hAnsi="Times New Roman" w:cs="Times New Roman"/>
      <w:b/>
      <w:bCs/>
      <w:sz w:val="27"/>
      <w:szCs w:val="27"/>
      <w:lang w:eastAsia="en-GB"/>
    </w:rPr>
  </w:style>
  <w:style w:type="paragraph" w:styleId="Heading4">
    <w:name w:val="heading 4"/>
    <w:basedOn w:val="Normal"/>
    <w:next w:val="Normal"/>
    <w:link w:val="Heading4Char"/>
    <w:uiPriority w:val="9"/>
    <w:semiHidden/>
    <w:unhideWhenUsed/>
    <w:qFormat/>
    <w:rsid w:val="00E558E0"/>
    <w:pPr>
      <w:keepNext/>
      <w:keepLines/>
      <w:spacing w:before="200" w:after="0"/>
      <w:outlineLvl w:val="3"/>
    </w:pPr>
    <w:rPr>
      <w:rFonts w:asciiTheme="majorHAnsi" w:eastAsiaTheme="majorEastAsia" w:hAnsiTheme="majorHAnsi" w:cstheme="majorBidi"/>
      <w:b/>
      <w:bCs/>
      <w:i/>
      <w:iCs/>
      <w:color w:val="4472C4"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53F25"/>
    <w:rPr>
      <w:rFonts w:ascii="Times New Roman" w:eastAsia="Times New Roman" w:hAnsi="Times New Roman" w:cs="Times New Roman"/>
      <w:b/>
      <w:bCs/>
      <w:kern w:val="36"/>
      <w:sz w:val="48"/>
      <w:szCs w:val="48"/>
      <w:lang w:eastAsia="en-GB"/>
    </w:rPr>
  </w:style>
  <w:style w:type="character" w:customStyle="1" w:styleId="Heading2Char">
    <w:name w:val="Heading 2 Char"/>
    <w:basedOn w:val="DefaultParagraphFont"/>
    <w:link w:val="Heading2"/>
    <w:uiPriority w:val="9"/>
    <w:rsid w:val="00E53F25"/>
    <w:rPr>
      <w:rFonts w:ascii="Times New Roman" w:eastAsia="Times New Roman" w:hAnsi="Times New Roman" w:cs="Times New Roman"/>
      <w:b/>
      <w:bCs/>
      <w:sz w:val="36"/>
      <w:szCs w:val="36"/>
      <w:lang w:eastAsia="en-GB"/>
    </w:rPr>
  </w:style>
  <w:style w:type="character" w:customStyle="1" w:styleId="Heading3Char">
    <w:name w:val="Heading 3 Char"/>
    <w:basedOn w:val="DefaultParagraphFont"/>
    <w:link w:val="Heading3"/>
    <w:uiPriority w:val="9"/>
    <w:rsid w:val="00E53F25"/>
    <w:rPr>
      <w:rFonts w:ascii="Times New Roman" w:eastAsia="Times New Roman" w:hAnsi="Times New Roman" w:cs="Times New Roman"/>
      <w:b/>
      <w:bCs/>
      <w:sz w:val="27"/>
      <w:szCs w:val="27"/>
      <w:lang w:eastAsia="en-GB"/>
    </w:rPr>
  </w:style>
  <w:style w:type="character" w:styleId="Strong">
    <w:name w:val="Strong"/>
    <w:basedOn w:val="DefaultParagraphFont"/>
    <w:uiPriority w:val="22"/>
    <w:qFormat/>
    <w:rsid w:val="00E53F25"/>
    <w:rPr>
      <w:b/>
      <w:bCs/>
    </w:rPr>
  </w:style>
  <w:style w:type="paragraph" w:styleId="NormalWeb">
    <w:name w:val="Normal (Web)"/>
    <w:basedOn w:val="Normal"/>
    <w:uiPriority w:val="99"/>
    <w:semiHidden/>
    <w:unhideWhenUsed/>
    <w:rsid w:val="00E53F25"/>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Emphasis">
    <w:name w:val="Emphasis"/>
    <w:basedOn w:val="DefaultParagraphFont"/>
    <w:uiPriority w:val="20"/>
    <w:qFormat/>
    <w:rsid w:val="00E53F25"/>
    <w:rPr>
      <w:i/>
      <w:iCs/>
    </w:rPr>
  </w:style>
  <w:style w:type="paragraph" w:styleId="Header">
    <w:name w:val="header"/>
    <w:basedOn w:val="Normal"/>
    <w:link w:val="HeaderChar"/>
    <w:uiPriority w:val="99"/>
    <w:unhideWhenUsed/>
    <w:rsid w:val="004C0570"/>
    <w:pPr>
      <w:tabs>
        <w:tab w:val="center" w:pos="4513"/>
        <w:tab w:val="right" w:pos="9026"/>
      </w:tabs>
      <w:spacing w:after="0" w:line="240" w:lineRule="auto"/>
    </w:pPr>
  </w:style>
  <w:style w:type="character" w:customStyle="1" w:styleId="HeaderChar">
    <w:name w:val="Header Char"/>
    <w:basedOn w:val="DefaultParagraphFont"/>
    <w:link w:val="Header"/>
    <w:uiPriority w:val="99"/>
    <w:rsid w:val="004C0570"/>
  </w:style>
  <w:style w:type="paragraph" w:styleId="Footer">
    <w:name w:val="footer"/>
    <w:basedOn w:val="Normal"/>
    <w:link w:val="FooterChar"/>
    <w:uiPriority w:val="99"/>
    <w:unhideWhenUsed/>
    <w:rsid w:val="004C0570"/>
    <w:pPr>
      <w:tabs>
        <w:tab w:val="center" w:pos="4513"/>
        <w:tab w:val="right" w:pos="9026"/>
      </w:tabs>
      <w:spacing w:after="0" w:line="240" w:lineRule="auto"/>
    </w:pPr>
  </w:style>
  <w:style w:type="character" w:customStyle="1" w:styleId="FooterChar">
    <w:name w:val="Footer Char"/>
    <w:basedOn w:val="DefaultParagraphFont"/>
    <w:link w:val="Footer"/>
    <w:uiPriority w:val="99"/>
    <w:rsid w:val="004C0570"/>
  </w:style>
  <w:style w:type="character" w:customStyle="1" w:styleId="Heading4Char">
    <w:name w:val="Heading 4 Char"/>
    <w:basedOn w:val="DefaultParagraphFont"/>
    <w:link w:val="Heading4"/>
    <w:uiPriority w:val="9"/>
    <w:semiHidden/>
    <w:rsid w:val="00E558E0"/>
    <w:rPr>
      <w:rFonts w:asciiTheme="majorHAnsi" w:eastAsiaTheme="majorEastAsia" w:hAnsiTheme="majorHAnsi" w:cstheme="majorBidi"/>
      <w:b/>
      <w:bCs/>
      <w:i/>
      <w:iCs/>
      <w:color w:val="4472C4" w:themeColor="accent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66390982">
      <w:bodyDiv w:val="1"/>
      <w:marLeft w:val="0"/>
      <w:marRight w:val="0"/>
      <w:marTop w:val="0"/>
      <w:marBottom w:val="0"/>
      <w:divBdr>
        <w:top w:val="none" w:sz="0" w:space="0" w:color="auto"/>
        <w:left w:val="none" w:sz="0" w:space="0" w:color="auto"/>
        <w:bottom w:val="none" w:sz="0" w:space="0" w:color="auto"/>
        <w:right w:val="none" w:sz="0" w:space="0" w:color="auto"/>
      </w:divBdr>
    </w:div>
    <w:div w:id="1780368568">
      <w:bodyDiv w:val="1"/>
      <w:marLeft w:val="0"/>
      <w:marRight w:val="0"/>
      <w:marTop w:val="0"/>
      <w:marBottom w:val="0"/>
      <w:divBdr>
        <w:top w:val="none" w:sz="0" w:space="0" w:color="auto"/>
        <w:left w:val="none" w:sz="0" w:space="0" w:color="auto"/>
        <w:bottom w:val="none" w:sz="0" w:space="0" w:color="auto"/>
        <w:right w:val="none" w:sz="0" w:space="0" w:color="auto"/>
      </w:divBdr>
    </w:div>
    <w:div w:id="20594341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51</TotalTime>
  <Pages>4</Pages>
  <Words>768</Words>
  <Characters>4384</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Mariatu Timbo Bangura</dc:creator>
  <cp:keywords/>
  <dc:description/>
  <cp:lastModifiedBy>qwert</cp:lastModifiedBy>
  <cp:revision>12</cp:revision>
  <dcterms:created xsi:type="dcterms:W3CDTF">2026-05-06T13:28:00Z</dcterms:created>
  <dcterms:modified xsi:type="dcterms:W3CDTF">2026-05-08T07:51:00Z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974c0a98-d929-47de-805a-58804aa9305d</vt:lpwstr>
  </property>
</Properties>
</file>