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D8F" w:rsidRDefault="006251CF">
      <w:pPr>
        <w:pStyle w:val="NormalWeb"/>
        <w:spacing w:before="240" w:beforeAutospacing="0" w:after="240" w:afterAutospacing="0"/>
        <w:jc w:val="center"/>
        <w:rPr>
          <w:sz w:val="36"/>
          <w:szCs w:val="36"/>
        </w:rPr>
      </w:pPr>
      <w:r>
        <w:rPr>
          <w:b/>
          <w:bCs/>
          <w:color w:val="000000"/>
          <w:sz w:val="36"/>
          <w:szCs w:val="36"/>
        </w:rPr>
        <w:t>Title</w:t>
      </w:r>
    </w:p>
    <w:p w:rsidR="00884D8F" w:rsidRDefault="006251CF">
      <w:pPr>
        <w:pStyle w:val="NormalWeb"/>
        <w:spacing w:before="240" w:beforeAutospacing="0" w:after="240" w:afterAutospacing="0"/>
        <w:jc w:val="center"/>
        <w:rPr>
          <w:b/>
          <w:bCs/>
          <w:color w:val="000000"/>
          <w:sz w:val="36"/>
          <w:szCs w:val="36"/>
        </w:rPr>
      </w:pPr>
      <w:r>
        <w:rPr>
          <w:b/>
          <w:bCs/>
          <w:color w:val="000000"/>
          <w:sz w:val="36"/>
          <w:szCs w:val="36"/>
        </w:rPr>
        <w:t>Human-Centric Skills in the Age of AI: Teacher Practices and Institutional Constraints in Rural Secondary Science Education in Bangladesh</w:t>
      </w:r>
    </w:p>
    <w:p w:rsidR="00884D8F" w:rsidRDefault="006251CF">
      <w:pPr>
        <w:jc w:val="both"/>
        <w:rPr>
          <w:rFonts w:ascii="Times New Roman" w:hAnsi="Times New Roman"/>
          <w:b/>
          <w:bCs/>
          <w:color w:val="000000"/>
          <w:sz w:val="24"/>
          <w:szCs w:val="24"/>
        </w:rPr>
      </w:pPr>
      <w:bookmarkStart w:id="0" w:name="_GoBack"/>
      <w:bookmarkEnd w:id="0"/>
      <w:r>
        <w:rPr>
          <w:rFonts w:ascii="Times New Roman" w:hAnsi="Times New Roman"/>
          <w:b/>
          <w:bCs/>
          <w:color w:val="000000"/>
          <w:sz w:val="28"/>
          <w:szCs w:val="28"/>
        </w:rPr>
        <w:t>ABSTRACT</w:t>
      </w:r>
    </w:p>
    <w:p w:rsidR="00884D8F" w:rsidRDefault="006251CF">
      <w:pPr>
        <w:pStyle w:val="NormalWeb"/>
        <w:spacing w:before="240" w:beforeAutospacing="0" w:after="240" w:afterAutospacing="0"/>
        <w:jc w:val="both"/>
        <w:rPr>
          <w:color w:val="000000"/>
        </w:rPr>
      </w:pPr>
      <w:r>
        <w:rPr>
          <w:color w:val="000000"/>
        </w:rPr>
        <w:t>Amid the rapid evolution of artificial intelligence (AI), the demand for human-centr</w:t>
      </w:r>
      <w:r>
        <w:rPr>
          <w:color w:val="000000"/>
        </w:rPr>
        <w:t>ic</w:t>
      </w:r>
      <w:r>
        <w:rPr>
          <w:color w:val="000000"/>
        </w:rPr>
        <w:t xml:space="preserve"> skills such as critical thinking, creativity, and collaboration has intensified. Teachers play a crucial role in translating these competencies into classroom practice, particularly in resource-constrained rural contexts. However, limited research has exa</w:t>
      </w:r>
      <w:r>
        <w:rPr>
          <w:color w:val="000000"/>
        </w:rPr>
        <w:t xml:space="preserve">mined how these skills are enacted in rural science classrooms, especially in relation to the interaction between teacher practices and institutional constraints. This study investigates how science teachers in rural secondary schools in Bangladesh foster </w:t>
      </w:r>
      <w:r>
        <w:rPr>
          <w:color w:val="000000"/>
        </w:rPr>
        <w:t>human-centric skill development and how institutional factors shape their pedagogical practices. Drawing on Self-Determination Theory</w:t>
      </w:r>
      <w:r>
        <w:rPr>
          <w:color w:val="000000"/>
        </w:rPr>
        <w:t xml:space="preserve"> (SDT)</w:t>
      </w:r>
      <w:r>
        <w:rPr>
          <w:color w:val="000000"/>
        </w:rPr>
        <w:t xml:space="preserve"> and the 21st Century Skills Framework, a qualitative </w:t>
      </w:r>
      <w:r>
        <w:rPr>
          <w:color w:val="000000"/>
        </w:rPr>
        <w:t>multiple-case</w:t>
      </w:r>
      <w:r>
        <w:rPr>
          <w:color w:val="000000"/>
        </w:rPr>
        <w:t xml:space="preserve"> study design within an interpretivist paradigm was employed. Data were collected through semi-structured interviews and classroom observations with eight purposively selected teachers across four rural schools. Thematic analysis, following Braun and Clark</w:t>
      </w:r>
      <w:r>
        <w:rPr>
          <w:color w:val="000000"/>
        </w:rPr>
        <w:t>e, identified patterns and contextual barriers in instructional practices. Findings indicate that teachers adopt adaptive</w:t>
      </w:r>
      <w:r>
        <w:rPr>
          <w:color w:val="000000"/>
        </w:rPr>
        <w:t xml:space="preserve">, </w:t>
      </w:r>
      <w:r>
        <w:rPr>
          <w:color w:val="000000"/>
        </w:rPr>
        <w:t xml:space="preserve">student-centred strategies to support autonomy, competence, and </w:t>
      </w:r>
      <w:r>
        <w:rPr>
          <w:color w:val="000000"/>
        </w:rPr>
        <w:t>relatedness</w:t>
      </w:r>
      <w:r>
        <w:rPr>
          <w:color w:val="000000"/>
        </w:rPr>
        <w:t xml:space="preserve"> despite structural constraints such as limited resources </w:t>
      </w:r>
      <w:r>
        <w:rPr>
          <w:color w:val="000000"/>
        </w:rPr>
        <w:t xml:space="preserve">and rigid curricula. The study highlights teacher agency, understood as their capacity to make pedagogical decisions, and offers context-sensitive insights for policy and practice in science </w:t>
      </w:r>
      <w:r>
        <w:rPr>
          <w:color w:val="000000"/>
        </w:rPr>
        <w:t>education.</w:t>
      </w:r>
    </w:p>
    <w:p w:rsidR="00884D8F" w:rsidRDefault="006251CF">
      <w:pPr>
        <w:pStyle w:val="NormalWeb"/>
        <w:spacing w:before="240" w:beforeAutospacing="0" w:after="240" w:afterAutospacing="0"/>
        <w:jc w:val="both"/>
      </w:pPr>
      <w:r>
        <w:rPr>
          <w:b/>
          <w:bCs/>
          <w:color w:val="000000"/>
        </w:rPr>
        <w:t>Keywords</w:t>
      </w:r>
      <w:r>
        <w:rPr>
          <w:b/>
          <w:bCs/>
          <w:i/>
          <w:iCs/>
          <w:color w:val="000000"/>
        </w:rPr>
        <w:t>-</w:t>
      </w:r>
      <w:r>
        <w:rPr>
          <w:color w:val="000000"/>
        </w:rPr>
        <w:t xml:space="preserve"> Human-centric skills; Science education; Rur</w:t>
      </w:r>
      <w:r>
        <w:rPr>
          <w:color w:val="000000"/>
        </w:rPr>
        <w:t xml:space="preserve">al secondary </w:t>
      </w:r>
      <w:r>
        <w:rPr>
          <w:color w:val="000000"/>
        </w:rPr>
        <w:t xml:space="preserve">education; </w:t>
      </w:r>
      <w:r>
        <w:rPr>
          <w:color w:val="000000"/>
        </w:rPr>
        <w:t xml:space="preserve">Self-Determination </w:t>
      </w:r>
      <w:r>
        <w:rPr>
          <w:color w:val="000000"/>
        </w:rPr>
        <w:t>Theory</w:t>
      </w:r>
      <w:r>
        <w:rPr>
          <w:color w:val="000000"/>
        </w:rPr>
        <w:t>; Bangladesh</w:t>
      </w:r>
    </w:p>
    <w:p w:rsidR="00884D8F" w:rsidRDefault="006251CF">
      <w:pPr>
        <w:numPr>
          <w:ilvl w:val="0"/>
          <w:numId w:val="1"/>
        </w:numPr>
        <w:spacing w:before="240" w:after="240"/>
        <w:textAlignment w:val="baseline"/>
        <w:rPr>
          <w:rFonts w:ascii="Times New Roman" w:hAnsi="Times New Roman"/>
          <w:b/>
          <w:bCs/>
          <w:color w:val="000000"/>
          <w:sz w:val="28"/>
          <w:szCs w:val="28"/>
        </w:rPr>
      </w:pPr>
      <w:r>
        <w:rPr>
          <w:rFonts w:ascii="Times New Roman" w:hAnsi="Times New Roman"/>
          <w:b/>
          <w:bCs/>
          <w:color w:val="000000"/>
          <w:sz w:val="28"/>
          <w:szCs w:val="28"/>
        </w:rPr>
        <w:t>INTRODUCTION</w:t>
      </w:r>
    </w:p>
    <w:p w:rsidR="00884D8F" w:rsidRDefault="006251CF">
      <w:pPr>
        <w:pStyle w:val="NormalWeb"/>
        <w:spacing w:before="240" w:beforeAutospacing="0" w:after="240" w:afterAutospacing="0"/>
        <w:jc w:val="both"/>
      </w:pPr>
      <w:r>
        <w:rPr>
          <w:color w:val="000000"/>
        </w:rPr>
        <w:t>The rapid advancement of digital technologies, including artificial intelligence (AI), is reshaping educational priorities by redefining the competencies required for future learner</w:t>
      </w:r>
      <w:r>
        <w:rPr>
          <w:color w:val="000000"/>
        </w:rPr>
        <w:t>s. Within this technological context, education systems are increasingly expected to move beyond knowledge transmission. Instead, greater emphasis is placed on human-centric skills such as critical thinking, creativity, collaboration, and problem-solving t</w:t>
      </w:r>
      <w:r>
        <w:rPr>
          <w:color w:val="000000"/>
        </w:rPr>
        <w:t>hat complement automated technologies (World Economic Forum, 2020; UNESCO, 2024). This signals a broader shift in how learners are prepared for increasingly complex, technology-driven environments. </w:t>
      </w:r>
    </w:p>
    <w:p w:rsidR="00884D8F" w:rsidRDefault="006251CF">
      <w:pPr>
        <w:pStyle w:val="NormalWeb"/>
        <w:spacing w:before="240" w:beforeAutospacing="0" w:after="240" w:afterAutospacing="0"/>
        <w:jc w:val="both"/>
      </w:pPr>
      <w:r>
        <w:rPr>
          <w:color w:val="000000"/>
        </w:rPr>
        <w:t>Within science education, this transformation is particul</w:t>
      </w:r>
      <w:r>
        <w:rPr>
          <w:color w:val="000000"/>
        </w:rPr>
        <w:t xml:space="preserve">arly significant due to the subject’s emphasis on inquiry, reasoning, and problem-solving. Evidence indicates that student engagement and deeper learning are enhanced through </w:t>
      </w:r>
      <w:r>
        <w:rPr>
          <w:color w:val="000000"/>
        </w:rPr>
        <w:t xml:space="preserve">interactive, </w:t>
      </w:r>
      <w:r>
        <w:rPr>
          <w:color w:val="000000"/>
        </w:rPr>
        <w:t xml:space="preserve">learner-centred pedagogies (Reeve &amp; Cheon, 2024; Tao et al., 2025). </w:t>
      </w:r>
      <w:r>
        <w:rPr>
          <w:color w:val="000000"/>
        </w:rPr>
        <w:t>However, classroom practices in many contexts remain dominated by examination-oriented approaches, limiting opportunities for higher-order skill development (Voogt &amp; Roblin, 2012).</w:t>
      </w:r>
    </w:p>
    <w:p w:rsidR="00884D8F" w:rsidRDefault="006251CF">
      <w:pPr>
        <w:pStyle w:val="NormalWeb"/>
        <w:spacing w:before="240" w:beforeAutospacing="0" w:after="240" w:afterAutospacing="0"/>
        <w:jc w:val="both"/>
      </w:pPr>
      <w:r>
        <w:rPr>
          <w:color w:val="000000"/>
        </w:rPr>
        <w:t>These pedagogical challenges are closely linked to institutional conditions</w:t>
      </w:r>
      <w:r>
        <w:rPr>
          <w:color w:val="000000"/>
        </w:rPr>
        <w:t>. Teaching practices continue to be shaped by structural constraints, including limited resources, infrastructural challenges, and rigid curricula (World Bank, 2023; OECD, 2023). In rural secondary schools in Bangladesh, such constraints are especially pro</w:t>
      </w:r>
      <w:r>
        <w:rPr>
          <w:color w:val="000000"/>
        </w:rPr>
        <w:t>nounced, contributing to disparities in instructional quality and learning opportunities. Although policy agendas increasingly promote competency-based education aligned with contemporary skill demands, implementation remains uneven.</w:t>
      </w:r>
    </w:p>
    <w:p w:rsidR="00884D8F" w:rsidRDefault="006251CF">
      <w:pPr>
        <w:pStyle w:val="Heading2"/>
        <w:numPr>
          <w:ilvl w:val="0"/>
          <w:numId w:val="1"/>
        </w:numPr>
        <w:tabs>
          <w:tab w:val="clear" w:pos="425"/>
        </w:tabs>
        <w:spacing w:before="240" w:beforeAutospacing="0" w:after="240" w:afterAutospacing="0"/>
        <w:jc w:val="both"/>
        <w:rPr>
          <w:rFonts w:ascii="Times New Roman" w:hAnsi="Times New Roman" w:hint="default"/>
          <w:color w:val="000000"/>
          <w:sz w:val="28"/>
          <w:szCs w:val="28"/>
        </w:rPr>
      </w:pPr>
      <w:r>
        <w:rPr>
          <w:rFonts w:ascii="Times New Roman" w:hAnsi="Times New Roman" w:hint="default"/>
          <w:color w:val="000000"/>
          <w:sz w:val="28"/>
          <w:szCs w:val="28"/>
        </w:rPr>
        <w:t>STATEMENT OF</w:t>
      </w:r>
      <w:r>
        <w:rPr>
          <w:rFonts w:ascii="Times New Roman" w:hAnsi="Times New Roman" w:hint="default"/>
          <w:color w:val="000000"/>
          <w:sz w:val="28"/>
          <w:szCs w:val="28"/>
        </w:rPr>
        <w:t xml:space="preserve"> </w:t>
      </w:r>
      <w:r>
        <w:rPr>
          <w:rFonts w:ascii="Times New Roman" w:hAnsi="Times New Roman" w:hint="default"/>
          <w:color w:val="000000"/>
          <w:sz w:val="28"/>
          <w:szCs w:val="28"/>
        </w:rPr>
        <w:t>PROBLEM </w:t>
      </w:r>
    </w:p>
    <w:p w:rsidR="00884D8F" w:rsidRDefault="006251CF">
      <w:pPr>
        <w:pStyle w:val="Heading2"/>
        <w:spacing w:before="240" w:beforeAutospacing="0" w:after="240" w:afterAutospacing="0"/>
        <w:jc w:val="both"/>
        <w:rPr>
          <w:rFonts w:ascii="Times New Roman" w:hAnsi="Times New Roman" w:hint="default"/>
          <w:b w:val="0"/>
          <w:bCs w:val="0"/>
          <w:sz w:val="24"/>
          <w:szCs w:val="24"/>
        </w:rPr>
      </w:pPr>
      <w:r>
        <w:rPr>
          <w:rFonts w:ascii="Times New Roman" w:hAnsi="Times New Roman" w:hint="default"/>
          <w:b w:val="0"/>
          <w:bCs w:val="0"/>
          <w:color w:val="000000"/>
          <w:sz w:val="24"/>
          <w:szCs w:val="24"/>
        </w:rPr>
        <w:lastRenderedPageBreak/>
        <w:t>Despite growing global and policy emphasis on human-centric skills, how these skills are enacted in classrooms remains under</w:t>
      </w:r>
      <w:r>
        <w:rPr>
          <w:rFonts w:ascii="Times New Roman" w:hAnsi="Times New Roman" w:hint="default"/>
          <w:b w:val="0"/>
          <w:bCs w:val="0"/>
          <w:color w:val="000000"/>
          <w:sz w:val="24"/>
          <w:szCs w:val="24"/>
        </w:rPr>
        <w:t>-</w:t>
      </w:r>
      <w:r>
        <w:rPr>
          <w:rFonts w:ascii="Times New Roman" w:hAnsi="Times New Roman" w:hint="default"/>
          <w:b w:val="0"/>
          <w:bCs w:val="0"/>
          <w:color w:val="000000"/>
          <w:sz w:val="24"/>
          <w:szCs w:val="24"/>
        </w:rPr>
        <w:t>explored in context-specific ways. Existing theoretical frameworks, including Self-Determination Theory and 21st-century skills mod</w:t>
      </w:r>
      <w:r>
        <w:rPr>
          <w:rFonts w:ascii="Times New Roman" w:hAnsi="Times New Roman" w:hint="default"/>
          <w:b w:val="0"/>
          <w:bCs w:val="0"/>
          <w:color w:val="000000"/>
          <w:sz w:val="24"/>
          <w:szCs w:val="24"/>
        </w:rPr>
        <w:t xml:space="preserve">els, advocate for </w:t>
      </w:r>
      <w:r>
        <w:rPr>
          <w:rFonts w:ascii="Times New Roman" w:hAnsi="Times New Roman" w:hint="default"/>
          <w:b w:val="0"/>
          <w:bCs w:val="0"/>
          <w:color w:val="000000"/>
          <w:sz w:val="24"/>
          <w:szCs w:val="24"/>
        </w:rPr>
        <w:t xml:space="preserve">learner-centred, </w:t>
      </w:r>
      <w:r>
        <w:rPr>
          <w:rFonts w:ascii="Times New Roman" w:hAnsi="Times New Roman" w:hint="default"/>
          <w:b w:val="0"/>
          <w:bCs w:val="0"/>
          <w:color w:val="000000"/>
          <w:sz w:val="24"/>
          <w:szCs w:val="24"/>
        </w:rPr>
        <w:t>autonomy-supportive pedagogies. However, responses to technological change, including AI, often remain weakly grounded in human-centr</w:t>
      </w:r>
      <w:r>
        <w:rPr>
          <w:rFonts w:ascii="Times New Roman" w:hAnsi="Times New Roman" w:hint="default"/>
          <w:b w:val="0"/>
          <w:bCs w:val="0"/>
          <w:color w:val="000000"/>
          <w:sz w:val="24"/>
          <w:szCs w:val="24"/>
        </w:rPr>
        <w:t>ic,</w:t>
      </w:r>
      <w:r>
        <w:rPr>
          <w:rFonts w:ascii="Times New Roman" w:hAnsi="Times New Roman" w:hint="default"/>
          <w:b w:val="0"/>
          <w:bCs w:val="0"/>
          <w:color w:val="000000"/>
          <w:sz w:val="24"/>
          <w:szCs w:val="24"/>
        </w:rPr>
        <w:t xml:space="preserve"> </w:t>
      </w:r>
      <w:r>
        <w:rPr>
          <w:rFonts w:ascii="Times New Roman" w:hAnsi="Times New Roman" w:hint="default"/>
          <w:b w:val="0"/>
          <w:bCs w:val="0"/>
          <w:color w:val="000000"/>
          <w:sz w:val="24"/>
          <w:szCs w:val="24"/>
        </w:rPr>
        <w:t xml:space="preserve">and </w:t>
      </w:r>
      <w:r>
        <w:rPr>
          <w:rFonts w:ascii="Times New Roman" w:hAnsi="Times New Roman" w:hint="default"/>
          <w:b w:val="0"/>
          <w:bCs w:val="0"/>
          <w:color w:val="000000"/>
          <w:sz w:val="24"/>
          <w:szCs w:val="24"/>
        </w:rPr>
        <w:t>context-sensitive approaches (Topali et al., 2025; Hu &amp; Chan, 2025).</w:t>
      </w:r>
    </w:p>
    <w:p w:rsidR="00884D8F" w:rsidRDefault="006251CF">
      <w:pPr>
        <w:pStyle w:val="NormalWeb"/>
        <w:spacing w:before="240" w:beforeAutospacing="0" w:after="240" w:afterAutospacing="0"/>
        <w:jc w:val="both"/>
      </w:pPr>
      <w:r>
        <w:rPr>
          <w:color w:val="000000"/>
        </w:rPr>
        <w:t>At the same</w:t>
      </w:r>
      <w:r>
        <w:rPr>
          <w:color w:val="000000"/>
        </w:rPr>
        <w:t xml:space="preserve"> time, empirical studies frequently examine teacher practices or institutional constraints in isolation, providing limited insight into how these dimensions interact in shaping classroom processes. This limitation is particularly critical in rural and reso</w:t>
      </w:r>
      <w:r>
        <w:rPr>
          <w:color w:val="000000"/>
        </w:rPr>
        <w:t>urce-constrained settings, where contextual factors play a decisive role in mediating pedagogical possibilities. While contemporary technological developments are reshaping educational expectations, the implementation of human-centric pedagogies remains hi</w:t>
      </w:r>
      <w:r>
        <w:rPr>
          <w:color w:val="000000"/>
        </w:rPr>
        <w:t>ghly dependent on local institutional conditions (González-Rico &amp; Lluch Sintes, 2024).</w:t>
      </w:r>
    </w:p>
    <w:p w:rsidR="00884D8F" w:rsidRDefault="006251CF">
      <w:pPr>
        <w:pStyle w:val="NormalWeb"/>
        <w:spacing w:before="240" w:beforeAutospacing="0" w:after="240" w:afterAutospacing="0"/>
        <w:jc w:val="both"/>
      </w:pPr>
      <w:r>
        <w:rPr>
          <w:color w:val="000000"/>
        </w:rPr>
        <w:t>Accordingly, a key gap remains in understanding how teachers interpret, negotiate, and enact human-centric skills within structurally constrained environments. Addressin</w:t>
      </w:r>
      <w:r>
        <w:rPr>
          <w:color w:val="000000"/>
        </w:rPr>
        <w:t>g this gap is essential for developing contextually grounded and theoretically informed accounts of science teaching and learning in contemporary education systems.</w:t>
      </w:r>
      <w:r>
        <w:rPr>
          <w:color w:val="000000"/>
        </w:rPr>
        <w:t xml:space="preserve"> </w:t>
      </w:r>
      <w:r>
        <w:t>This study addresses the following research questions:</w:t>
      </w:r>
    </w:p>
    <w:p w:rsidR="00884D8F" w:rsidRDefault="006251CF">
      <w:pPr>
        <w:pStyle w:val="NormalWeb"/>
        <w:numPr>
          <w:ilvl w:val="0"/>
          <w:numId w:val="2"/>
        </w:numPr>
        <w:spacing w:before="240" w:beforeAutospacing="0" w:after="240" w:afterAutospacing="0"/>
        <w:jc w:val="both"/>
      </w:pPr>
      <w:r>
        <w:rPr>
          <w:color w:val="000000"/>
        </w:rPr>
        <w:t>How do science teachers conceptualiz</w:t>
      </w:r>
      <w:r>
        <w:rPr>
          <w:color w:val="000000"/>
        </w:rPr>
        <w:t>e and enact human-centric skills within rural secondary classrooms?</w:t>
      </w:r>
    </w:p>
    <w:p w:rsidR="00884D8F" w:rsidRDefault="006251CF">
      <w:pPr>
        <w:pStyle w:val="NormalWeb"/>
        <w:numPr>
          <w:ilvl w:val="0"/>
          <w:numId w:val="2"/>
        </w:numPr>
        <w:spacing w:before="240" w:beforeAutospacing="0" w:after="240" w:afterAutospacing="0"/>
        <w:jc w:val="both"/>
      </w:pPr>
      <w:r>
        <w:rPr>
          <w:color w:val="000000"/>
        </w:rPr>
        <w:t>How do institutional and structural conditions enable or constrain the enactment of these skills?</w:t>
      </w:r>
    </w:p>
    <w:p w:rsidR="00884D8F" w:rsidRDefault="006251CF">
      <w:pPr>
        <w:pStyle w:val="NormalWeb"/>
        <w:numPr>
          <w:ilvl w:val="0"/>
          <w:numId w:val="2"/>
        </w:numPr>
        <w:spacing w:before="240" w:beforeAutospacing="0" w:after="240" w:afterAutospacing="0"/>
        <w:jc w:val="both"/>
      </w:pPr>
      <w:r>
        <w:rPr>
          <w:color w:val="000000"/>
        </w:rPr>
        <w:t>How do teachers navigate and mediate these constraints in practice?</w:t>
      </w:r>
    </w:p>
    <w:p w:rsidR="00884D8F" w:rsidRDefault="006251CF">
      <w:pPr>
        <w:pStyle w:val="NormalWeb"/>
        <w:numPr>
          <w:ilvl w:val="0"/>
          <w:numId w:val="2"/>
        </w:numPr>
        <w:spacing w:before="240" w:beforeAutospacing="0" w:after="240" w:afterAutospacing="0"/>
        <w:jc w:val="both"/>
        <w:rPr>
          <w:color w:val="000000"/>
        </w:rPr>
      </w:pPr>
      <w:r>
        <w:rPr>
          <w:color w:val="000000"/>
        </w:rPr>
        <w:t xml:space="preserve">How do these dynamics </w:t>
      </w:r>
      <w:r>
        <w:rPr>
          <w:color w:val="000000"/>
        </w:rPr>
        <w:t>shape the realization of human-centric skill</w:t>
      </w:r>
      <w:r>
        <w:rPr>
          <w:color w:val="000000"/>
        </w:rPr>
        <w:t>s</w:t>
      </w:r>
      <w:r>
        <w:rPr>
          <w:color w:val="000000"/>
        </w:rPr>
        <w:t xml:space="preserve"> development in science education?</w:t>
      </w:r>
      <w:r>
        <w:rPr>
          <w:color w:val="000000"/>
        </w:rPr>
        <w:t xml:space="preserve"> </w:t>
      </w:r>
    </w:p>
    <w:p w:rsidR="00884D8F" w:rsidRDefault="006251CF">
      <w:pPr>
        <w:pStyle w:val="Heading1"/>
        <w:numPr>
          <w:ilvl w:val="0"/>
          <w:numId w:val="1"/>
        </w:numPr>
        <w:spacing w:before="240" w:beforeAutospacing="0" w:after="240" w:afterAutospacing="0"/>
        <w:jc w:val="both"/>
        <w:rPr>
          <w:rFonts w:ascii="Times New Roman" w:hAnsi="Times New Roman" w:hint="default"/>
          <w:sz w:val="28"/>
          <w:szCs w:val="28"/>
        </w:rPr>
      </w:pPr>
      <w:r>
        <w:rPr>
          <w:rFonts w:ascii="Times New Roman" w:hAnsi="Times New Roman" w:hint="default"/>
          <w:color w:val="000000"/>
          <w:sz w:val="28"/>
          <w:szCs w:val="28"/>
        </w:rPr>
        <w:t>LITERATURE REVIEW</w:t>
      </w:r>
    </w:p>
    <w:p w:rsidR="00884D8F" w:rsidRDefault="006251CF">
      <w:pPr>
        <w:pStyle w:val="Heading1"/>
        <w:spacing w:before="240" w:beforeAutospacing="0" w:after="240" w:afterAutospacing="0"/>
        <w:jc w:val="both"/>
        <w:rPr>
          <w:rFonts w:ascii="Times New Roman" w:hAnsi="Times New Roman" w:hint="default"/>
          <w:sz w:val="24"/>
          <w:szCs w:val="24"/>
        </w:rPr>
      </w:pPr>
      <w:r>
        <w:rPr>
          <w:rFonts w:ascii="Times New Roman" w:hAnsi="Times New Roman" w:hint="default"/>
          <w:color w:val="000000"/>
          <w:sz w:val="24"/>
          <w:szCs w:val="24"/>
        </w:rPr>
        <w:t>3.</w:t>
      </w:r>
      <w:r>
        <w:rPr>
          <w:rFonts w:ascii="Times New Roman" w:hAnsi="Times New Roman" w:hint="default"/>
          <w:color w:val="000000"/>
          <w:sz w:val="24"/>
          <w:szCs w:val="24"/>
        </w:rPr>
        <w:t xml:space="preserve">1 </w:t>
      </w:r>
      <w:r>
        <w:rPr>
          <w:rFonts w:ascii="Times New Roman" w:hAnsi="Times New Roman" w:hint="default"/>
          <w:color w:val="000000"/>
          <w:sz w:val="24"/>
          <w:szCs w:val="24"/>
        </w:rPr>
        <w:t>Human-Centric Skills in Contemporary Education</w:t>
      </w:r>
    </w:p>
    <w:p w:rsidR="00884D8F" w:rsidRDefault="006251CF">
      <w:pPr>
        <w:pStyle w:val="Heading1"/>
        <w:spacing w:before="240" w:beforeAutospacing="0" w:after="240" w:afterAutospacing="0"/>
        <w:jc w:val="both"/>
        <w:rPr>
          <w:rFonts w:ascii="Times New Roman" w:hAnsi="Times New Roman" w:hint="default"/>
          <w:b w:val="0"/>
          <w:bCs w:val="0"/>
          <w:sz w:val="24"/>
          <w:szCs w:val="24"/>
        </w:rPr>
      </w:pPr>
      <w:r>
        <w:rPr>
          <w:rFonts w:ascii="Times New Roman" w:hAnsi="Times New Roman" w:hint="default"/>
          <w:b w:val="0"/>
          <w:bCs w:val="0"/>
          <w:color w:val="000000"/>
          <w:sz w:val="24"/>
          <w:szCs w:val="24"/>
        </w:rPr>
        <w:t>Human-centric skills refer to a broad set of cognitive, social, emotional, and ethical competencies that e</w:t>
      </w:r>
      <w:r>
        <w:rPr>
          <w:rFonts w:ascii="Times New Roman" w:hAnsi="Times New Roman" w:hint="default"/>
          <w:b w:val="0"/>
          <w:bCs w:val="0"/>
          <w:color w:val="000000"/>
          <w:sz w:val="24"/>
          <w:szCs w:val="24"/>
        </w:rPr>
        <w:t>nable individuals to function effectively in increasingly complex, technology-mediated societies. These include critical thinking, creativity, collaboration, communication, empathy, adaptability, and ethical reasoning. In contemporary educational discourse</w:t>
      </w:r>
      <w:r>
        <w:rPr>
          <w:rFonts w:ascii="Times New Roman" w:hAnsi="Times New Roman" w:hint="default"/>
          <w:b w:val="0"/>
          <w:bCs w:val="0"/>
          <w:color w:val="000000"/>
          <w:sz w:val="24"/>
          <w:szCs w:val="24"/>
        </w:rPr>
        <w:t>, these skills are increasingly positioned as essential learning outcomes in response to global digital transformation and changing labor market demands (World Economic Forum, 2020; OECD, 2023).</w:t>
      </w:r>
    </w:p>
    <w:p w:rsidR="00884D8F" w:rsidRDefault="006251CF">
      <w:pPr>
        <w:pStyle w:val="Heading1"/>
        <w:spacing w:before="240" w:beforeAutospacing="0" w:after="240" w:afterAutospacing="0"/>
        <w:jc w:val="both"/>
        <w:rPr>
          <w:rFonts w:ascii="Times New Roman" w:hAnsi="Times New Roman" w:hint="default"/>
          <w:b w:val="0"/>
          <w:bCs w:val="0"/>
          <w:sz w:val="24"/>
          <w:szCs w:val="24"/>
        </w:rPr>
      </w:pPr>
      <w:r>
        <w:rPr>
          <w:rFonts w:ascii="Times New Roman" w:hAnsi="Times New Roman" w:hint="default"/>
          <w:b w:val="0"/>
          <w:bCs w:val="0"/>
          <w:color w:val="000000"/>
          <w:sz w:val="24"/>
          <w:szCs w:val="24"/>
        </w:rPr>
        <w:t>Unlike traditional academic achievement, human-centric skills</w:t>
      </w:r>
      <w:r>
        <w:rPr>
          <w:rFonts w:ascii="Times New Roman" w:hAnsi="Times New Roman" w:hint="default"/>
          <w:b w:val="0"/>
          <w:bCs w:val="0"/>
          <w:color w:val="000000"/>
          <w:sz w:val="24"/>
          <w:szCs w:val="24"/>
        </w:rPr>
        <w:t xml:space="preserve"> emphasize agency, interaction, and relational capability. They require pedagogical environments that foster active engagement, autonomy, and meaningful participation. International frameworks such as the OECD Learning Compass 2030 and the Partnership for </w:t>
      </w:r>
      <w:r>
        <w:rPr>
          <w:rFonts w:ascii="Times New Roman" w:hAnsi="Times New Roman" w:hint="default"/>
          <w:b w:val="0"/>
          <w:bCs w:val="0"/>
          <w:color w:val="000000"/>
          <w:sz w:val="24"/>
          <w:szCs w:val="24"/>
        </w:rPr>
        <w:t>21st Century Learning (P21) emphasize a shift from knowledge transmission toward competency-based learning models (OECD, 2019).</w:t>
      </w:r>
    </w:p>
    <w:p w:rsidR="00884D8F" w:rsidRDefault="006251CF">
      <w:pPr>
        <w:pStyle w:val="Heading1"/>
        <w:spacing w:before="240" w:beforeAutospacing="0" w:after="240" w:afterAutospacing="0"/>
        <w:jc w:val="both"/>
        <w:rPr>
          <w:rFonts w:ascii="Times New Roman" w:hAnsi="Times New Roman" w:hint="default"/>
          <w:sz w:val="24"/>
          <w:szCs w:val="24"/>
        </w:rPr>
      </w:pPr>
      <w:r>
        <w:rPr>
          <w:rFonts w:ascii="Times New Roman" w:hAnsi="Times New Roman" w:hint="default"/>
          <w:color w:val="000000"/>
          <w:sz w:val="24"/>
          <w:szCs w:val="24"/>
        </w:rPr>
        <w:t>3.2</w:t>
      </w:r>
      <w:r>
        <w:rPr>
          <w:rFonts w:ascii="Times New Roman" w:hAnsi="Times New Roman" w:hint="default"/>
          <w:color w:val="000000"/>
          <w:sz w:val="24"/>
          <w:szCs w:val="24"/>
        </w:rPr>
        <w:t xml:space="preserve"> </w:t>
      </w:r>
      <w:r>
        <w:rPr>
          <w:rFonts w:ascii="Times New Roman" w:hAnsi="Times New Roman" w:hint="default"/>
          <w:color w:val="000000"/>
          <w:sz w:val="24"/>
          <w:szCs w:val="24"/>
        </w:rPr>
        <w:t>Self-Determination Theory (SDT)</w:t>
      </w:r>
    </w:p>
    <w:p w:rsidR="00884D8F" w:rsidRDefault="006251CF">
      <w:pPr>
        <w:pStyle w:val="Heading1"/>
        <w:spacing w:before="240" w:beforeAutospacing="0" w:after="240" w:afterAutospacing="0"/>
        <w:jc w:val="both"/>
        <w:rPr>
          <w:rFonts w:ascii="Times New Roman" w:hAnsi="Times New Roman" w:hint="default"/>
          <w:b w:val="0"/>
          <w:bCs w:val="0"/>
          <w:sz w:val="24"/>
          <w:szCs w:val="24"/>
        </w:rPr>
      </w:pPr>
      <w:r>
        <w:rPr>
          <w:rFonts w:ascii="Times New Roman" w:hAnsi="Times New Roman" w:hint="default"/>
          <w:b w:val="0"/>
          <w:bCs w:val="0"/>
          <w:color w:val="000000"/>
          <w:sz w:val="24"/>
          <w:szCs w:val="24"/>
        </w:rPr>
        <w:t>Self-Determination Theory (SDT), developed by Deci and Ryan, provides a foundational framewo</w:t>
      </w:r>
      <w:r>
        <w:rPr>
          <w:rFonts w:ascii="Times New Roman" w:hAnsi="Times New Roman" w:hint="default"/>
          <w:b w:val="0"/>
          <w:bCs w:val="0"/>
          <w:color w:val="000000"/>
          <w:sz w:val="24"/>
          <w:szCs w:val="24"/>
        </w:rPr>
        <w:t>rk for understanding human motivation and psychological development. SDT proposes that optimal functioning occurs when three basic psychological needs are satisfied: autonomy, competence, and relatedness (Ryan &amp; Deci, 2017).</w:t>
      </w:r>
    </w:p>
    <w:p w:rsidR="00884D8F" w:rsidRDefault="006251CF">
      <w:pPr>
        <w:pStyle w:val="Heading1"/>
        <w:spacing w:before="240" w:beforeAutospacing="0" w:after="240" w:afterAutospacing="0"/>
        <w:jc w:val="both"/>
        <w:rPr>
          <w:rFonts w:ascii="Times New Roman" w:hAnsi="Times New Roman" w:hint="default"/>
          <w:b w:val="0"/>
          <w:bCs w:val="0"/>
          <w:sz w:val="24"/>
          <w:szCs w:val="24"/>
        </w:rPr>
      </w:pPr>
      <w:r>
        <w:rPr>
          <w:rFonts w:ascii="Times New Roman" w:hAnsi="Times New Roman" w:hint="default"/>
          <w:b w:val="0"/>
          <w:bCs w:val="0"/>
          <w:color w:val="000000"/>
          <w:sz w:val="24"/>
          <w:szCs w:val="24"/>
        </w:rPr>
        <w:t xml:space="preserve">Autonomy-supportive teaching </w:t>
      </w:r>
      <w:r>
        <w:rPr>
          <w:rFonts w:ascii="Times New Roman" w:hAnsi="Times New Roman" w:hint="default"/>
          <w:b w:val="0"/>
          <w:bCs w:val="0"/>
          <w:color w:val="000000"/>
          <w:sz w:val="24"/>
          <w:szCs w:val="24"/>
        </w:rPr>
        <w:t>pr</w:t>
      </w:r>
      <w:r>
        <w:rPr>
          <w:rFonts w:ascii="Times New Roman" w:hAnsi="Times New Roman" w:hint="default"/>
          <w:b w:val="0"/>
          <w:bCs w:val="0"/>
          <w:color w:val="000000"/>
          <w:sz w:val="24"/>
          <w:szCs w:val="24"/>
        </w:rPr>
        <w:t>actices,</w:t>
      </w:r>
      <w:r>
        <w:rPr>
          <w:rFonts w:ascii="Times New Roman" w:hAnsi="Times New Roman" w:hint="default"/>
          <w:b w:val="0"/>
          <w:bCs w:val="0"/>
          <w:color w:val="000000"/>
          <w:sz w:val="24"/>
          <w:szCs w:val="24"/>
        </w:rPr>
        <w:t xml:space="preserve"> such as offering choice, encouraging reflection, and promoting </w:t>
      </w:r>
      <w:r>
        <w:rPr>
          <w:rFonts w:ascii="Times New Roman" w:hAnsi="Times New Roman" w:hint="default"/>
          <w:b w:val="0"/>
          <w:bCs w:val="0"/>
          <w:color w:val="000000"/>
          <w:sz w:val="24"/>
          <w:szCs w:val="24"/>
        </w:rPr>
        <w:t>classroom dialogue,</w:t>
      </w:r>
      <w:r>
        <w:rPr>
          <w:rFonts w:ascii="Times New Roman" w:hAnsi="Times New Roman" w:hint="default"/>
          <w:b w:val="0"/>
          <w:bCs w:val="0"/>
          <w:color w:val="000000"/>
          <w:sz w:val="24"/>
          <w:szCs w:val="24"/>
        </w:rPr>
        <w:t xml:space="preserve"> enhance intrinsic motivation and engagement. Empirical research shows that SDT-based pedagogical approaches improve students’ self-regulation, engagement, and socio</w:t>
      </w:r>
      <w:r>
        <w:rPr>
          <w:rFonts w:ascii="Times New Roman" w:hAnsi="Times New Roman" w:hint="default"/>
          <w:b w:val="0"/>
          <w:bCs w:val="0"/>
          <w:color w:val="000000"/>
          <w:sz w:val="24"/>
          <w:szCs w:val="24"/>
        </w:rPr>
        <w:t>-emotional outcomes across contexts (Aelterman et al., 2024; Patall et al., 20</w:t>
      </w:r>
      <w:r>
        <w:rPr>
          <w:rFonts w:ascii="Times New Roman" w:hAnsi="Times New Roman" w:hint="default"/>
          <w:b w:val="0"/>
          <w:bCs w:val="0"/>
          <w:color w:val="000000"/>
          <w:sz w:val="24"/>
          <w:szCs w:val="24"/>
        </w:rPr>
        <w:t>19</w:t>
      </w:r>
      <w:r>
        <w:rPr>
          <w:rFonts w:ascii="Times New Roman" w:hAnsi="Times New Roman" w:hint="default"/>
          <w:b w:val="0"/>
          <w:bCs w:val="0"/>
          <w:color w:val="000000"/>
          <w:sz w:val="24"/>
          <w:szCs w:val="24"/>
        </w:rPr>
        <w:t>). In science education, SDT is widely used to explain how teacher behaviors influence deeper learning, including conceptual understanding and collaborative engagement.</w:t>
      </w:r>
    </w:p>
    <w:p w:rsidR="00884D8F" w:rsidRDefault="006251CF">
      <w:pPr>
        <w:pStyle w:val="Heading2"/>
        <w:spacing w:before="240" w:beforeAutospacing="0" w:after="240" w:afterAutospacing="0"/>
        <w:jc w:val="both"/>
        <w:rPr>
          <w:rFonts w:ascii="Times New Roman" w:hAnsi="Times New Roman" w:hint="default"/>
          <w:sz w:val="24"/>
          <w:szCs w:val="24"/>
        </w:rPr>
      </w:pPr>
      <w:r>
        <w:rPr>
          <w:rFonts w:ascii="Times New Roman" w:hAnsi="Times New Roman" w:hint="default"/>
          <w:color w:val="000000"/>
          <w:sz w:val="24"/>
          <w:szCs w:val="24"/>
        </w:rPr>
        <w:lastRenderedPageBreak/>
        <w:t>3.3</w:t>
      </w:r>
      <w:r>
        <w:rPr>
          <w:rFonts w:ascii="Times New Roman" w:hAnsi="Times New Roman" w:hint="default"/>
          <w:color w:val="000000"/>
          <w:sz w:val="24"/>
          <w:szCs w:val="24"/>
        </w:rPr>
        <w:t xml:space="preserve"> </w:t>
      </w:r>
      <w:r>
        <w:rPr>
          <w:rFonts w:ascii="Times New Roman" w:hAnsi="Times New Roman" w:hint="default"/>
          <w:color w:val="000000"/>
          <w:sz w:val="24"/>
          <w:szCs w:val="24"/>
        </w:rPr>
        <w:t>The</w:t>
      </w:r>
      <w:r>
        <w:rPr>
          <w:rFonts w:ascii="Times New Roman" w:hAnsi="Times New Roman" w:hint="default"/>
          <w:color w:val="000000"/>
          <w:sz w:val="24"/>
          <w:szCs w:val="24"/>
        </w:rPr>
        <w:t xml:space="preserve"> 21st Century Skills Framework</w:t>
      </w:r>
    </w:p>
    <w:p w:rsidR="00884D8F" w:rsidRDefault="006251CF">
      <w:pPr>
        <w:pStyle w:val="Heading1"/>
        <w:spacing w:before="240" w:beforeAutospacing="0" w:after="240" w:afterAutospacing="0"/>
        <w:jc w:val="both"/>
        <w:rPr>
          <w:rFonts w:ascii="Times New Roman" w:hAnsi="Times New Roman" w:hint="default"/>
          <w:b w:val="0"/>
          <w:bCs w:val="0"/>
          <w:sz w:val="24"/>
          <w:szCs w:val="24"/>
        </w:rPr>
      </w:pPr>
      <w:r>
        <w:rPr>
          <w:rFonts w:ascii="Times New Roman" w:hAnsi="Times New Roman" w:hint="default"/>
          <w:b w:val="0"/>
          <w:bCs w:val="0"/>
          <w:color w:val="000000"/>
          <w:sz w:val="24"/>
          <w:szCs w:val="24"/>
        </w:rPr>
        <w:t>The 21st Century Skills Framework identifies competencies required for learners in contemporary societies. These are grouped into learning and innovation skills, digital literacy, and life and career skills (Partnership for 2</w:t>
      </w:r>
      <w:r>
        <w:rPr>
          <w:rFonts w:ascii="Times New Roman" w:hAnsi="Times New Roman" w:hint="default"/>
          <w:b w:val="0"/>
          <w:bCs w:val="0"/>
          <w:color w:val="000000"/>
          <w:sz w:val="24"/>
          <w:szCs w:val="24"/>
        </w:rPr>
        <w:t>1st Century Learning, 2019).</w:t>
      </w:r>
    </w:p>
    <w:p w:rsidR="00884D8F" w:rsidRDefault="006251CF">
      <w:pPr>
        <w:pStyle w:val="Heading1"/>
        <w:spacing w:before="240" w:beforeAutospacing="0" w:after="240" w:afterAutospacing="0"/>
        <w:jc w:val="both"/>
        <w:rPr>
          <w:rFonts w:ascii="Times New Roman" w:hAnsi="Times New Roman" w:hint="default"/>
          <w:b w:val="0"/>
          <w:bCs w:val="0"/>
          <w:sz w:val="24"/>
          <w:szCs w:val="24"/>
        </w:rPr>
      </w:pPr>
      <w:r>
        <w:rPr>
          <w:rFonts w:ascii="Times New Roman" w:hAnsi="Times New Roman" w:hint="default"/>
          <w:b w:val="0"/>
          <w:bCs w:val="0"/>
          <w:color w:val="000000"/>
          <w:sz w:val="24"/>
          <w:szCs w:val="24"/>
        </w:rPr>
        <w:t>Learning and innovation skills include critical thinking, creativity, communication, and collaboration. Life and career skills emphasize adaptability, leadership, initiative, and social responsibility. The OECD Learning Compass</w:t>
      </w:r>
      <w:r>
        <w:rPr>
          <w:rFonts w:ascii="Times New Roman" w:hAnsi="Times New Roman" w:hint="default"/>
          <w:b w:val="0"/>
          <w:bCs w:val="0"/>
          <w:color w:val="000000"/>
          <w:sz w:val="24"/>
          <w:szCs w:val="24"/>
        </w:rPr>
        <w:t xml:space="preserve"> 2030 further extends this framework by emphasizing student agency, co-agency, and trans</w:t>
      </w:r>
      <w:r>
        <w:rPr>
          <w:rFonts w:ascii="Times New Roman" w:hAnsi="Times New Roman" w:hint="default"/>
          <w:b w:val="0"/>
          <w:bCs w:val="0"/>
          <w:color w:val="000000"/>
          <w:sz w:val="24"/>
          <w:szCs w:val="24"/>
        </w:rPr>
        <w:t>-</w:t>
      </w:r>
      <w:r>
        <w:rPr>
          <w:rFonts w:ascii="Times New Roman" w:hAnsi="Times New Roman" w:hint="default"/>
          <w:b w:val="0"/>
          <w:bCs w:val="0"/>
          <w:color w:val="000000"/>
          <w:sz w:val="24"/>
          <w:szCs w:val="24"/>
        </w:rPr>
        <w:t>formative competencies</w:t>
      </w:r>
      <w:r>
        <w:rPr>
          <w:rFonts w:ascii="Times New Roman" w:hAnsi="Times New Roman" w:hint="default"/>
          <w:b w:val="0"/>
          <w:bCs w:val="0"/>
          <w:color w:val="000000"/>
          <w:sz w:val="24"/>
          <w:szCs w:val="24"/>
        </w:rPr>
        <w:t>,</w:t>
      </w:r>
      <w:r>
        <w:rPr>
          <w:rFonts w:ascii="Times New Roman" w:hAnsi="Times New Roman" w:hint="default"/>
          <w:b w:val="0"/>
          <w:bCs w:val="0"/>
          <w:color w:val="000000"/>
          <w:sz w:val="24"/>
          <w:szCs w:val="24"/>
        </w:rPr>
        <w:t xml:space="preserve"> such as creating new valu</w:t>
      </w:r>
      <w:r>
        <w:rPr>
          <w:rFonts w:ascii="Times New Roman" w:hAnsi="Times New Roman" w:hint="default"/>
          <w:b w:val="0"/>
          <w:bCs w:val="0"/>
          <w:color w:val="000000"/>
          <w:sz w:val="24"/>
          <w:szCs w:val="24"/>
        </w:rPr>
        <w:t xml:space="preserve">e </w:t>
      </w:r>
      <w:r>
        <w:rPr>
          <w:rFonts w:ascii="Times New Roman" w:hAnsi="Times New Roman" w:hint="default"/>
          <w:b w:val="0"/>
          <w:bCs w:val="0"/>
          <w:color w:val="000000"/>
          <w:sz w:val="24"/>
          <w:szCs w:val="24"/>
        </w:rPr>
        <w:t>and reconciling tensions (OECD, 2019).</w:t>
      </w:r>
    </w:p>
    <w:p w:rsidR="00884D8F" w:rsidRDefault="006251CF">
      <w:pPr>
        <w:pStyle w:val="Heading1"/>
        <w:spacing w:before="240" w:beforeAutospacing="0" w:after="240" w:afterAutospacing="0"/>
        <w:jc w:val="both"/>
        <w:rPr>
          <w:rFonts w:ascii="Times New Roman" w:hAnsi="Times New Roman" w:hint="default"/>
          <w:b w:val="0"/>
          <w:bCs w:val="0"/>
          <w:sz w:val="24"/>
          <w:szCs w:val="24"/>
        </w:rPr>
      </w:pPr>
      <w:r>
        <w:rPr>
          <w:rFonts w:ascii="Times New Roman" w:hAnsi="Times New Roman" w:hint="default"/>
          <w:b w:val="0"/>
          <w:bCs w:val="0"/>
          <w:color w:val="000000"/>
          <w:sz w:val="24"/>
          <w:szCs w:val="24"/>
        </w:rPr>
        <w:t>Together, these frameworks reflect a shift from rote learning toward learner-</w:t>
      </w:r>
      <w:r>
        <w:rPr>
          <w:rFonts w:ascii="Times New Roman" w:hAnsi="Times New Roman" w:hint="default"/>
          <w:b w:val="0"/>
          <w:bCs w:val="0"/>
          <w:color w:val="000000"/>
          <w:sz w:val="24"/>
          <w:szCs w:val="24"/>
        </w:rPr>
        <w:t>centered, competency-based education systems.</w:t>
      </w:r>
    </w:p>
    <w:p w:rsidR="00884D8F" w:rsidRDefault="006251CF">
      <w:pPr>
        <w:pStyle w:val="Heading1"/>
        <w:spacing w:before="240" w:beforeAutospacing="0" w:after="240" w:afterAutospacing="0"/>
        <w:jc w:val="both"/>
        <w:rPr>
          <w:rFonts w:ascii="Times New Roman" w:hAnsi="Times New Roman" w:hint="default"/>
          <w:sz w:val="24"/>
          <w:szCs w:val="24"/>
        </w:rPr>
      </w:pPr>
      <w:r>
        <w:rPr>
          <w:rFonts w:ascii="Times New Roman" w:hAnsi="Times New Roman" w:hint="default"/>
          <w:color w:val="000000"/>
          <w:sz w:val="24"/>
          <w:szCs w:val="24"/>
        </w:rPr>
        <w:t>3.4</w:t>
      </w:r>
      <w:r>
        <w:rPr>
          <w:rFonts w:ascii="Times New Roman" w:hAnsi="Times New Roman" w:hint="default"/>
          <w:color w:val="000000"/>
          <w:sz w:val="24"/>
          <w:szCs w:val="24"/>
        </w:rPr>
        <w:t xml:space="preserve"> </w:t>
      </w:r>
      <w:r>
        <w:rPr>
          <w:rFonts w:ascii="Times New Roman" w:hAnsi="Times New Roman" w:hint="default"/>
          <w:color w:val="000000"/>
          <w:sz w:val="24"/>
          <w:szCs w:val="24"/>
        </w:rPr>
        <w:t>Integration of SDT and 21st Century Skills</w:t>
      </w:r>
    </w:p>
    <w:p w:rsidR="00884D8F" w:rsidRDefault="006251CF">
      <w:pPr>
        <w:pStyle w:val="Heading1"/>
        <w:spacing w:before="240" w:beforeAutospacing="0" w:after="240" w:afterAutospacing="0"/>
        <w:jc w:val="both"/>
        <w:rPr>
          <w:rFonts w:ascii="Times New Roman" w:hAnsi="Times New Roman" w:hint="default"/>
          <w:b w:val="0"/>
          <w:bCs w:val="0"/>
          <w:sz w:val="24"/>
          <w:szCs w:val="24"/>
        </w:rPr>
      </w:pPr>
      <w:r>
        <w:rPr>
          <w:rFonts w:ascii="Times New Roman" w:hAnsi="Times New Roman" w:hint="default"/>
          <w:b w:val="0"/>
          <w:bCs w:val="0"/>
          <w:color w:val="000000"/>
          <w:sz w:val="24"/>
          <w:szCs w:val="24"/>
        </w:rPr>
        <w:t xml:space="preserve">The integration of Self-Determination Theory and the 21st Century Skills Framework provides a comprehensive lens for understanding human-centric learning. SDT explains </w:t>
      </w:r>
      <w:r>
        <w:rPr>
          <w:rFonts w:ascii="Times New Roman" w:hAnsi="Times New Roman" w:hint="default"/>
          <w:b w:val="0"/>
          <w:bCs w:val="0"/>
          <w:color w:val="000000"/>
          <w:sz w:val="24"/>
          <w:szCs w:val="24"/>
        </w:rPr>
        <w:t>the motivational</w:t>
      </w:r>
      <w:r>
        <w:rPr>
          <w:rFonts w:ascii="Times New Roman" w:hAnsi="Times New Roman" w:hint="default"/>
          <w:b w:val="0"/>
          <w:bCs w:val="0"/>
          <w:color w:val="000000"/>
          <w:sz w:val="24"/>
          <w:szCs w:val="24"/>
        </w:rPr>
        <w:t xml:space="preserve"> </w:t>
      </w:r>
      <w:r>
        <w:rPr>
          <w:rFonts w:ascii="Times New Roman" w:hAnsi="Times New Roman" w:hint="default"/>
          <w:b w:val="0"/>
          <w:bCs w:val="0"/>
          <w:color w:val="000000"/>
          <w:sz w:val="24"/>
          <w:szCs w:val="24"/>
        </w:rPr>
        <w:t xml:space="preserve">processes for </w:t>
      </w:r>
      <w:r>
        <w:rPr>
          <w:rFonts w:ascii="Times New Roman" w:hAnsi="Times New Roman" w:hint="default"/>
          <w:b w:val="0"/>
          <w:bCs w:val="0"/>
          <w:color w:val="000000"/>
          <w:sz w:val="24"/>
          <w:szCs w:val="24"/>
        </w:rPr>
        <w:t xml:space="preserve">why students </w:t>
      </w:r>
      <w:r>
        <w:rPr>
          <w:rFonts w:ascii="Times New Roman" w:hAnsi="Times New Roman" w:hint="default"/>
          <w:b w:val="0"/>
          <w:bCs w:val="0"/>
          <w:color w:val="000000"/>
          <w:sz w:val="24"/>
          <w:szCs w:val="24"/>
        </w:rPr>
        <w:t>engage,</w:t>
      </w:r>
      <w:r>
        <w:rPr>
          <w:rFonts w:ascii="Times New Roman" w:hAnsi="Times New Roman" w:hint="default"/>
          <w:b w:val="0"/>
          <w:bCs w:val="0"/>
          <w:color w:val="000000"/>
          <w:sz w:val="24"/>
          <w:szCs w:val="24"/>
        </w:rPr>
        <w:t xml:space="preserve"> while the 21st Century Skills Framew</w:t>
      </w:r>
      <w:r>
        <w:rPr>
          <w:rFonts w:ascii="Times New Roman" w:hAnsi="Times New Roman" w:hint="default"/>
          <w:b w:val="0"/>
          <w:bCs w:val="0"/>
          <w:color w:val="000000"/>
          <w:sz w:val="24"/>
          <w:szCs w:val="24"/>
        </w:rPr>
        <w:t>ork defines expected competencies.</w:t>
      </w:r>
    </w:p>
    <w:p w:rsidR="00884D8F" w:rsidRDefault="006251CF">
      <w:pPr>
        <w:pStyle w:val="Heading1"/>
        <w:spacing w:before="240" w:beforeAutospacing="0" w:after="240" w:afterAutospacing="0"/>
        <w:jc w:val="both"/>
        <w:rPr>
          <w:rFonts w:ascii="Times New Roman" w:hAnsi="Times New Roman" w:hint="default"/>
          <w:sz w:val="24"/>
          <w:szCs w:val="24"/>
        </w:rPr>
      </w:pPr>
      <w:r>
        <w:rPr>
          <w:rFonts w:ascii="Times New Roman" w:hAnsi="Times New Roman" w:hint="default"/>
          <w:b w:val="0"/>
          <w:bCs w:val="0"/>
          <w:color w:val="000000"/>
          <w:sz w:val="24"/>
          <w:szCs w:val="24"/>
        </w:rPr>
        <w:t>When combined, they suggest that human-centric skills emerge most effectively in environments that support autonomy, competence, and relatedness while fostering collaboration and inquiry. Teachers act as key mediators bet</w:t>
      </w:r>
      <w:r>
        <w:rPr>
          <w:rFonts w:ascii="Times New Roman" w:hAnsi="Times New Roman" w:hint="default"/>
          <w:b w:val="0"/>
          <w:bCs w:val="0"/>
          <w:color w:val="000000"/>
          <w:sz w:val="24"/>
          <w:szCs w:val="24"/>
        </w:rPr>
        <w:t>ween motivational conditions and competency development. Recent studies confirm that SDT-based instructional approaches also enhance 21st-century competencies such as collaboration and critical thinking (Aelterman et al., 2024; Schmid et al., 2024).</w:t>
      </w:r>
    </w:p>
    <w:p w:rsidR="00884D8F" w:rsidRDefault="006251CF">
      <w:pPr>
        <w:pStyle w:val="Heading2"/>
        <w:spacing w:before="240" w:beforeAutospacing="0" w:after="240" w:afterAutospacing="0"/>
        <w:jc w:val="both"/>
        <w:rPr>
          <w:rFonts w:ascii="Times New Roman" w:hAnsi="Times New Roman" w:hint="default"/>
          <w:sz w:val="24"/>
          <w:szCs w:val="24"/>
        </w:rPr>
      </w:pPr>
      <w:r>
        <w:rPr>
          <w:rFonts w:ascii="Times New Roman" w:hAnsi="Times New Roman" w:hint="default"/>
          <w:color w:val="000000"/>
          <w:sz w:val="24"/>
          <w:szCs w:val="24"/>
        </w:rPr>
        <w:t>3.5</w:t>
      </w:r>
      <w:r>
        <w:rPr>
          <w:rFonts w:ascii="Times New Roman" w:hAnsi="Times New Roman" w:hint="default"/>
          <w:color w:val="000000"/>
          <w:sz w:val="24"/>
          <w:szCs w:val="24"/>
        </w:rPr>
        <w:t xml:space="preserve"> </w:t>
      </w:r>
      <w:r>
        <w:rPr>
          <w:rFonts w:ascii="Times New Roman" w:hAnsi="Times New Roman" w:hint="default"/>
          <w:color w:val="000000"/>
          <w:sz w:val="24"/>
          <w:szCs w:val="24"/>
        </w:rPr>
        <w:t>Teacher Practices and Institutional Constraints</w:t>
      </w:r>
    </w:p>
    <w:p w:rsidR="00884D8F" w:rsidRDefault="006251CF">
      <w:pPr>
        <w:pStyle w:val="Heading2"/>
        <w:spacing w:before="240" w:beforeAutospacing="0" w:after="240" w:afterAutospacing="0"/>
        <w:jc w:val="both"/>
        <w:rPr>
          <w:rFonts w:ascii="Times New Roman" w:hAnsi="Times New Roman" w:hint="default"/>
          <w:b w:val="0"/>
          <w:bCs w:val="0"/>
          <w:sz w:val="24"/>
          <w:szCs w:val="24"/>
        </w:rPr>
      </w:pPr>
      <w:r>
        <w:rPr>
          <w:rFonts w:ascii="Times New Roman" w:hAnsi="Times New Roman" w:hint="default"/>
          <w:b w:val="0"/>
          <w:bCs w:val="0"/>
          <w:color w:val="000000"/>
          <w:sz w:val="24"/>
          <w:szCs w:val="24"/>
        </w:rPr>
        <w:t>Teacher practices play a central role in human-centric skill development. Constructivist approaches such as inquiry-based learning, project-based learning, and collaborative activities are strongly associated</w:t>
      </w:r>
      <w:r>
        <w:rPr>
          <w:rFonts w:ascii="Times New Roman" w:hAnsi="Times New Roman" w:hint="default"/>
          <w:b w:val="0"/>
          <w:bCs w:val="0"/>
          <w:color w:val="000000"/>
          <w:sz w:val="24"/>
          <w:szCs w:val="24"/>
        </w:rPr>
        <w:t xml:space="preserve"> with improved critical thinking, creativity, and communication skills (Voogt &amp; Roblin, 2012).</w:t>
      </w:r>
    </w:p>
    <w:p w:rsidR="00884D8F" w:rsidRDefault="006251CF">
      <w:pPr>
        <w:pStyle w:val="Heading1"/>
        <w:spacing w:before="240" w:beforeAutospacing="0" w:after="240" w:afterAutospacing="0"/>
        <w:jc w:val="both"/>
        <w:rPr>
          <w:rFonts w:ascii="Times New Roman" w:hAnsi="Times New Roman" w:hint="default"/>
          <w:b w:val="0"/>
          <w:bCs w:val="0"/>
          <w:sz w:val="24"/>
          <w:szCs w:val="24"/>
        </w:rPr>
      </w:pPr>
      <w:r>
        <w:rPr>
          <w:rFonts w:ascii="Times New Roman" w:hAnsi="Times New Roman" w:hint="default"/>
          <w:b w:val="0"/>
          <w:bCs w:val="0"/>
          <w:color w:val="000000"/>
          <w:sz w:val="24"/>
          <w:szCs w:val="24"/>
        </w:rPr>
        <w:t>From an SDT perspective, autonomy-supportive teaching enhances intrinsic motivation and engagement in higher-order learning. However, implementation is often con</w:t>
      </w:r>
      <w:r>
        <w:rPr>
          <w:rFonts w:ascii="Times New Roman" w:hAnsi="Times New Roman" w:hint="default"/>
          <w:b w:val="0"/>
          <w:bCs w:val="0"/>
          <w:color w:val="000000"/>
          <w:sz w:val="24"/>
          <w:szCs w:val="24"/>
        </w:rPr>
        <w:t>strained by curriculum rigidity, high-stakes examinations, and limited resources. In low-resource rural contexts, these constraints lead to teacher-centered instruction focused on exam preparation, limiting pedagogical innovation (World Bank, 2023; OECD, 2</w:t>
      </w:r>
      <w:r>
        <w:rPr>
          <w:rFonts w:ascii="Times New Roman" w:hAnsi="Times New Roman" w:hint="default"/>
          <w:b w:val="0"/>
          <w:bCs w:val="0"/>
          <w:color w:val="000000"/>
          <w:sz w:val="24"/>
          <w:szCs w:val="24"/>
        </w:rPr>
        <w:t>023).</w:t>
      </w:r>
    </w:p>
    <w:p w:rsidR="00884D8F" w:rsidRDefault="006251CF">
      <w:pPr>
        <w:pStyle w:val="Heading2"/>
        <w:spacing w:before="240" w:beforeAutospacing="0" w:after="240" w:afterAutospacing="0"/>
        <w:jc w:val="both"/>
        <w:rPr>
          <w:rFonts w:ascii="Times New Roman" w:hAnsi="Times New Roman" w:hint="default"/>
          <w:sz w:val="24"/>
          <w:szCs w:val="24"/>
        </w:rPr>
      </w:pPr>
      <w:r>
        <w:rPr>
          <w:rFonts w:ascii="Times New Roman" w:hAnsi="Times New Roman" w:hint="default"/>
          <w:color w:val="000000"/>
          <w:sz w:val="24"/>
          <w:szCs w:val="24"/>
        </w:rPr>
        <w:t>3.</w:t>
      </w:r>
      <w:r>
        <w:rPr>
          <w:rFonts w:ascii="Times New Roman" w:hAnsi="Times New Roman" w:hint="default"/>
          <w:color w:val="000000"/>
          <w:sz w:val="24"/>
          <w:szCs w:val="24"/>
        </w:rPr>
        <w:t xml:space="preserve">6 </w:t>
      </w:r>
      <w:r>
        <w:rPr>
          <w:rFonts w:ascii="Times New Roman" w:hAnsi="Times New Roman" w:hint="default"/>
          <w:color w:val="000000"/>
          <w:sz w:val="24"/>
          <w:szCs w:val="24"/>
        </w:rPr>
        <w:t>Synthesis and Research Gap</w:t>
      </w:r>
    </w:p>
    <w:p w:rsidR="00884D8F" w:rsidRDefault="006251CF">
      <w:pPr>
        <w:pStyle w:val="Heading1"/>
        <w:spacing w:before="240" w:beforeAutospacing="0" w:after="240" w:afterAutospacing="0"/>
        <w:jc w:val="both"/>
        <w:rPr>
          <w:rFonts w:ascii="Times New Roman" w:hAnsi="Times New Roman" w:hint="default"/>
          <w:b w:val="0"/>
          <w:bCs w:val="0"/>
          <w:sz w:val="24"/>
          <w:szCs w:val="24"/>
        </w:rPr>
      </w:pPr>
      <w:r>
        <w:rPr>
          <w:rFonts w:ascii="Times New Roman" w:hAnsi="Times New Roman" w:hint="default"/>
          <w:b w:val="0"/>
          <w:bCs w:val="0"/>
          <w:color w:val="000000"/>
          <w:sz w:val="24"/>
          <w:szCs w:val="24"/>
        </w:rPr>
        <w:t xml:space="preserve">Although SDT and the 21st Century Skills Framework are widely studied, limited research integrates them to explain human-centric skill development in rural, resource-constrained contexts. Most studies focus on urban or </w:t>
      </w:r>
      <w:r>
        <w:rPr>
          <w:rFonts w:ascii="Times New Roman" w:hAnsi="Times New Roman" w:hint="default"/>
          <w:b w:val="0"/>
          <w:bCs w:val="0"/>
          <w:color w:val="000000"/>
          <w:sz w:val="24"/>
          <w:szCs w:val="24"/>
        </w:rPr>
        <w:t>well-resourced settings, leaving a gap in understanding how institutional constraints shape teacher practices in rural schools.</w:t>
      </w:r>
    </w:p>
    <w:p w:rsidR="00884D8F" w:rsidRDefault="006251CF">
      <w:pPr>
        <w:pStyle w:val="Heading1"/>
        <w:spacing w:before="240" w:beforeAutospacing="0" w:after="240" w:afterAutospacing="0"/>
        <w:jc w:val="both"/>
        <w:rPr>
          <w:rFonts w:ascii="Times New Roman" w:hAnsi="Times New Roman" w:hint="default"/>
          <w:b w:val="0"/>
          <w:bCs w:val="0"/>
          <w:sz w:val="24"/>
          <w:szCs w:val="24"/>
        </w:rPr>
      </w:pPr>
      <w:r>
        <w:rPr>
          <w:rFonts w:ascii="Times New Roman" w:hAnsi="Times New Roman" w:hint="default"/>
          <w:b w:val="0"/>
          <w:bCs w:val="0"/>
          <w:color w:val="000000"/>
          <w:sz w:val="24"/>
          <w:szCs w:val="24"/>
        </w:rPr>
        <w:t xml:space="preserve">Furthermore, there is insufficient qualitative evidence on how teachers operationalize SDT constructs autonomy, competence, and </w:t>
      </w:r>
      <w:r>
        <w:rPr>
          <w:rFonts w:ascii="Times New Roman" w:hAnsi="Times New Roman" w:hint="default"/>
          <w:b w:val="0"/>
          <w:bCs w:val="0"/>
          <w:color w:val="000000"/>
          <w:sz w:val="24"/>
          <w:szCs w:val="24"/>
        </w:rPr>
        <w:t>relatedness under structural limitations. The interaction between teacher agency and institutional constraints remains under</w:t>
      </w:r>
      <w:r>
        <w:rPr>
          <w:rFonts w:ascii="Times New Roman" w:hAnsi="Times New Roman" w:hint="default"/>
          <w:b w:val="0"/>
          <w:bCs w:val="0"/>
          <w:color w:val="000000"/>
          <w:sz w:val="24"/>
          <w:szCs w:val="24"/>
        </w:rPr>
        <w:t>-</w:t>
      </w:r>
      <w:r>
        <w:rPr>
          <w:rFonts w:ascii="Times New Roman" w:hAnsi="Times New Roman" w:hint="default"/>
          <w:b w:val="0"/>
          <w:bCs w:val="0"/>
          <w:color w:val="000000"/>
          <w:sz w:val="24"/>
          <w:szCs w:val="24"/>
        </w:rPr>
        <w:t>explored in</w:t>
      </w:r>
      <w:r>
        <w:rPr>
          <w:rFonts w:ascii="Times New Roman" w:hAnsi="Times New Roman" w:hint="default"/>
          <w:b w:val="0"/>
          <w:bCs w:val="0"/>
          <w:color w:val="000000"/>
          <w:sz w:val="24"/>
          <w:szCs w:val="24"/>
        </w:rPr>
        <w:t xml:space="preserve"> </w:t>
      </w:r>
      <w:r>
        <w:rPr>
          <w:rFonts w:ascii="Times New Roman" w:hAnsi="Times New Roman" w:hint="default"/>
          <w:b w:val="0"/>
          <w:bCs w:val="0"/>
          <w:color w:val="000000"/>
          <w:sz w:val="24"/>
          <w:szCs w:val="24"/>
        </w:rPr>
        <w:t>relation to human-centric skill development.</w:t>
      </w:r>
    </w:p>
    <w:p w:rsidR="00884D8F" w:rsidRDefault="006251CF">
      <w:pPr>
        <w:pStyle w:val="Heading1"/>
        <w:spacing w:before="240" w:beforeAutospacing="0" w:after="240" w:afterAutospacing="0"/>
        <w:jc w:val="both"/>
        <w:rPr>
          <w:rFonts w:ascii="Times New Roman" w:hAnsi="Times New Roman" w:hint="default"/>
          <w:b w:val="0"/>
          <w:bCs w:val="0"/>
          <w:sz w:val="24"/>
          <w:szCs w:val="24"/>
        </w:rPr>
      </w:pPr>
      <w:r>
        <w:rPr>
          <w:rFonts w:ascii="Times New Roman" w:hAnsi="Times New Roman" w:hint="default"/>
          <w:b w:val="0"/>
          <w:bCs w:val="0"/>
          <w:color w:val="000000"/>
          <w:sz w:val="24"/>
          <w:szCs w:val="24"/>
        </w:rPr>
        <w:t>Addressing this gap is essential for developing a context-sensitive unders</w:t>
      </w:r>
      <w:r>
        <w:rPr>
          <w:rFonts w:ascii="Times New Roman" w:hAnsi="Times New Roman" w:hint="default"/>
          <w:b w:val="0"/>
          <w:bCs w:val="0"/>
          <w:color w:val="000000"/>
          <w:sz w:val="24"/>
          <w:szCs w:val="24"/>
        </w:rPr>
        <w:t>tanding of how human-centric skills are fostered in rural secondary education systems, particularly in science education contexts such as Bangladesh.</w:t>
      </w:r>
    </w:p>
    <w:p w:rsidR="00884D8F" w:rsidRDefault="006251CF">
      <w:pPr>
        <w:pStyle w:val="Heading1"/>
        <w:numPr>
          <w:ilvl w:val="0"/>
          <w:numId w:val="1"/>
        </w:numPr>
        <w:spacing w:before="240" w:beforeAutospacing="0" w:after="240" w:afterAutospacing="0"/>
        <w:jc w:val="both"/>
        <w:rPr>
          <w:rFonts w:ascii="Times New Roman" w:hAnsi="Times New Roman" w:hint="default"/>
          <w:sz w:val="28"/>
          <w:szCs w:val="28"/>
        </w:rPr>
      </w:pPr>
      <w:r>
        <w:rPr>
          <w:rFonts w:ascii="Times New Roman" w:hAnsi="Times New Roman" w:hint="default"/>
          <w:color w:val="000000"/>
          <w:sz w:val="28"/>
          <w:szCs w:val="28"/>
        </w:rPr>
        <w:t>METHODOLOGY</w:t>
      </w:r>
    </w:p>
    <w:p w:rsidR="00884D8F" w:rsidRDefault="006251CF">
      <w:pPr>
        <w:pStyle w:val="NormalWeb"/>
        <w:spacing w:before="240" w:beforeAutospacing="0" w:after="240" w:afterAutospacing="0"/>
        <w:jc w:val="both"/>
      </w:pPr>
      <w:r>
        <w:rPr>
          <w:color w:val="000000"/>
        </w:rPr>
        <w:t>This study adopted a qualitative multiple</w:t>
      </w:r>
      <w:r>
        <w:rPr>
          <w:color w:val="000000"/>
        </w:rPr>
        <w:t>-</w:t>
      </w:r>
      <w:r>
        <w:rPr>
          <w:color w:val="000000"/>
        </w:rPr>
        <w:t>case study design within an interpretivist paradigm</w:t>
      </w:r>
      <w:r>
        <w:rPr>
          <w:color w:val="000000"/>
        </w:rPr>
        <w:t>.</w:t>
      </w:r>
      <w:r>
        <w:rPr>
          <w:color w:val="000000"/>
        </w:rPr>
        <w:t xml:space="preserve"> It was</w:t>
      </w:r>
      <w:r>
        <w:rPr>
          <w:color w:val="000000"/>
        </w:rPr>
        <w:t xml:space="preserve"> informed by Self-Determination Theory (SDT) and the 21st Century Skills Framework</w:t>
      </w:r>
      <w:r>
        <w:rPr>
          <w:color w:val="000000"/>
        </w:rPr>
        <w:t xml:space="preserve"> </w:t>
      </w:r>
      <w:r>
        <w:rPr>
          <w:color w:val="000000"/>
        </w:rPr>
        <w:t xml:space="preserve">to explore how teachers enact </w:t>
      </w:r>
      <w:r>
        <w:rPr>
          <w:color w:val="000000"/>
        </w:rPr>
        <w:lastRenderedPageBreak/>
        <w:t>human-centric skills in classroom contexts. The study was conducted in four rural secondary schools in Bangladesh, selected to represent</w:t>
      </w:r>
      <w:r>
        <w:rPr>
          <w:color w:val="000000"/>
        </w:rPr>
        <w:t xml:space="preserve"> resource-constrained educational settings. These schools operate under similar curricular structures and examination-oriented assessment systems, providing a relevant context for examining institutional constraints on pedagogical practices.</w:t>
      </w:r>
    </w:p>
    <w:p w:rsidR="00884D8F" w:rsidRDefault="006251CF">
      <w:pPr>
        <w:pStyle w:val="NormalWeb"/>
        <w:spacing w:before="240" w:beforeAutospacing="0" w:after="240" w:afterAutospacing="0"/>
        <w:jc w:val="both"/>
      </w:pPr>
      <w:r>
        <w:rPr>
          <w:color w:val="000000"/>
        </w:rPr>
        <w:t>A purposive sa</w:t>
      </w:r>
      <w:r>
        <w:rPr>
          <w:color w:val="000000"/>
        </w:rPr>
        <w:t>mpling strategy was used to select eight science teachers based on teaching experience, subject specialization, and willingness to participate. This ensured that participants could provide rich, contextually grounded insights into rural science teaching.</w:t>
      </w:r>
    </w:p>
    <w:p w:rsidR="00884D8F" w:rsidRDefault="006251CF">
      <w:pPr>
        <w:pStyle w:val="NormalWeb"/>
        <w:spacing w:before="240" w:beforeAutospacing="0" w:after="240" w:afterAutospacing="0"/>
        <w:jc w:val="both"/>
      </w:pPr>
      <w:r>
        <w:rPr>
          <w:color w:val="000000"/>
        </w:rPr>
        <w:t>D</w:t>
      </w:r>
      <w:r>
        <w:rPr>
          <w:color w:val="000000"/>
        </w:rPr>
        <w:t>ata were collected through semi-structured interviews and classroom observations. Interviews focused on teachers’ understanding of human-centric skills, instructional strategies, and challenges in implementing student-centred pedagogies. Classroom observat</w:t>
      </w:r>
      <w:r>
        <w:rPr>
          <w:color w:val="000000"/>
        </w:rPr>
        <w:t>ions captured actual teaching practices, particularly the extent to which autonomy, collaboration, and inquiry-based learning were enacted.</w:t>
      </w:r>
    </w:p>
    <w:p w:rsidR="00884D8F" w:rsidRDefault="006251CF">
      <w:pPr>
        <w:pStyle w:val="NormalWeb"/>
        <w:spacing w:before="240" w:beforeAutospacing="0" w:after="240" w:afterAutospacing="0"/>
        <w:jc w:val="both"/>
      </w:pPr>
      <w:r>
        <w:rPr>
          <w:color w:val="000000"/>
        </w:rPr>
        <w:t>Interviews were audio-recorded and transcribed verbatim, while observation notes were documented during and after cl</w:t>
      </w:r>
      <w:r>
        <w:rPr>
          <w:color w:val="000000"/>
        </w:rPr>
        <w:t>assroom sessions to ensure accuracy. Data were analyzed using thematic analysis following Braun and Clarke’s (2006) framework, including familiarization, coding, theme development, and reporting. This enabled identification of patterns related to teacher p</w:t>
      </w:r>
      <w:r>
        <w:rPr>
          <w:color w:val="000000"/>
        </w:rPr>
        <w:t>ractices, institutional constraints, and human-centric skill development.</w:t>
      </w:r>
    </w:p>
    <w:p w:rsidR="00884D8F" w:rsidRDefault="006251CF">
      <w:pPr>
        <w:pStyle w:val="NormalWeb"/>
        <w:spacing w:before="240" w:beforeAutospacing="0" w:after="240" w:afterAutospacing="0"/>
        <w:jc w:val="both"/>
      </w:pPr>
      <w:r>
        <w:rPr>
          <w:color w:val="000000"/>
        </w:rPr>
        <w:t>To enhance trustworthiness, data triangulation was achieved by comparing interview and observation data. Member checking was also conducted with selected participants to ensure credi</w:t>
      </w:r>
      <w:r>
        <w:rPr>
          <w:color w:val="000000"/>
        </w:rPr>
        <w:t>bility. The study adhered to ethical standards, including informed consent, voluntary participation, and confidentiality.</w:t>
      </w:r>
    </w:p>
    <w:p w:rsidR="00884D8F" w:rsidRDefault="006251CF">
      <w:pPr>
        <w:pStyle w:val="Heading2"/>
        <w:numPr>
          <w:ilvl w:val="0"/>
          <w:numId w:val="1"/>
        </w:numPr>
        <w:spacing w:before="240" w:beforeAutospacing="0" w:after="240" w:afterAutospacing="0"/>
        <w:jc w:val="both"/>
        <w:rPr>
          <w:rFonts w:ascii="Times New Roman" w:hAnsi="Times New Roman" w:hint="default"/>
          <w:sz w:val="28"/>
          <w:szCs w:val="28"/>
        </w:rPr>
      </w:pPr>
      <w:r>
        <w:rPr>
          <w:rFonts w:ascii="Times New Roman" w:hAnsi="Times New Roman" w:hint="default"/>
          <w:color w:val="000000"/>
          <w:sz w:val="28"/>
          <w:szCs w:val="28"/>
        </w:rPr>
        <w:t>FINDINGS</w:t>
      </w:r>
    </w:p>
    <w:p w:rsidR="00884D8F" w:rsidRDefault="006251CF">
      <w:pPr>
        <w:pStyle w:val="NormalWeb"/>
        <w:spacing w:before="240" w:beforeAutospacing="0" w:after="240" w:afterAutospacing="0"/>
        <w:jc w:val="both"/>
      </w:pPr>
      <w:r>
        <w:rPr>
          <w:color w:val="000000"/>
        </w:rPr>
        <w:t>The analysis generated four key themes explaining how human-centric skills are enacted and constrained in rural secondary sci</w:t>
      </w:r>
      <w:r>
        <w:rPr>
          <w:color w:val="000000"/>
        </w:rPr>
        <w:t>ence classrooms.</w:t>
      </w:r>
    </w:p>
    <w:p w:rsidR="00884D8F" w:rsidRDefault="006251CF">
      <w:pPr>
        <w:pStyle w:val="Heading3"/>
        <w:spacing w:before="240" w:beforeAutospacing="0" w:after="240" w:afterAutospacing="0"/>
        <w:jc w:val="both"/>
        <w:rPr>
          <w:rFonts w:ascii="Times New Roman" w:hAnsi="Times New Roman" w:hint="default"/>
          <w:sz w:val="24"/>
          <w:szCs w:val="24"/>
        </w:rPr>
      </w:pPr>
      <w:r>
        <w:rPr>
          <w:rFonts w:ascii="Times New Roman" w:hAnsi="Times New Roman" w:hint="default"/>
          <w:color w:val="000000"/>
          <w:sz w:val="24"/>
          <w:szCs w:val="24"/>
        </w:rPr>
        <w:t>Theme 1: Examination Pressure Limits Human-Centric Practices</w:t>
      </w:r>
    </w:p>
    <w:p w:rsidR="00884D8F" w:rsidRDefault="006251CF">
      <w:pPr>
        <w:pStyle w:val="NormalWeb"/>
        <w:spacing w:before="240" w:beforeAutospacing="0" w:after="240" w:afterAutospacing="0"/>
        <w:jc w:val="both"/>
      </w:pPr>
      <w:r>
        <w:rPr>
          <w:color w:val="000000"/>
        </w:rPr>
        <w:t>Teaching is largely shaped by exam preparation, which limits opportunities for creativity, discussion, and inquiry-based learning. Instruction is primarily directed toward memori</w:t>
      </w:r>
      <w:r>
        <w:rPr>
          <w:color w:val="000000"/>
        </w:rPr>
        <w:t>zation and syllabus completion, reducing space for higher-order thinking and student engagement.</w:t>
      </w:r>
    </w:p>
    <w:p w:rsidR="00884D8F" w:rsidRDefault="006251CF">
      <w:pPr>
        <w:pStyle w:val="NormalWeb"/>
        <w:spacing w:before="240" w:beforeAutospacing="0" w:after="240" w:afterAutospacing="0"/>
        <w:ind w:left="600" w:right="600"/>
        <w:jc w:val="both"/>
      </w:pPr>
      <w:r>
        <w:rPr>
          <w:color w:val="000000"/>
        </w:rPr>
        <w:t>“We focus on memorization because exams decide everything.” (T3)</w:t>
      </w:r>
    </w:p>
    <w:p w:rsidR="00884D8F" w:rsidRDefault="006251CF">
      <w:pPr>
        <w:pStyle w:val="NormalWeb"/>
        <w:spacing w:before="240" w:beforeAutospacing="0" w:after="240" w:afterAutospacing="0"/>
        <w:jc w:val="both"/>
      </w:pPr>
      <w:r>
        <w:rPr>
          <w:color w:val="000000"/>
        </w:rPr>
        <w:t xml:space="preserve">Classroom observations further confirmed a predominantly teacher-centered approach with </w:t>
      </w:r>
      <w:r>
        <w:rPr>
          <w:color w:val="000000"/>
        </w:rPr>
        <w:t>minimal student interaction or exploratory learning.</w:t>
      </w:r>
    </w:p>
    <w:p w:rsidR="00884D8F" w:rsidRDefault="006251CF">
      <w:pPr>
        <w:pStyle w:val="Heading3"/>
        <w:spacing w:before="240" w:beforeAutospacing="0" w:after="240" w:afterAutospacing="0"/>
        <w:jc w:val="both"/>
        <w:rPr>
          <w:rFonts w:ascii="Times New Roman" w:hAnsi="Times New Roman" w:hint="default"/>
          <w:sz w:val="24"/>
          <w:szCs w:val="24"/>
        </w:rPr>
      </w:pPr>
      <w:r>
        <w:rPr>
          <w:rFonts w:ascii="Times New Roman" w:hAnsi="Times New Roman" w:hint="default"/>
          <w:color w:val="000000"/>
          <w:sz w:val="24"/>
          <w:szCs w:val="24"/>
        </w:rPr>
        <w:t>Theme 2: Resource Constraints Restrict Active Learning</w:t>
      </w:r>
    </w:p>
    <w:p w:rsidR="00884D8F" w:rsidRDefault="006251CF">
      <w:pPr>
        <w:pStyle w:val="NormalWeb"/>
        <w:spacing w:before="240" w:beforeAutospacing="0" w:after="240" w:afterAutospacing="0"/>
        <w:jc w:val="both"/>
      </w:pPr>
      <w:r>
        <w:rPr>
          <w:color w:val="000000"/>
        </w:rPr>
        <w:t>Limited instructional resources, large class sizes, and inadequate infrastructure significantly constrain the implementation of student-centered ped</w:t>
      </w:r>
      <w:r>
        <w:rPr>
          <w:color w:val="000000"/>
        </w:rPr>
        <w:t>agogies. These structural limitations reduce opportunities for hands-on learning, experimentation, and collaborative activities.</w:t>
      </w:r>
    </w:p>
    <w:p w:rsidR="00884D8F" w:rsidRDefault="006251CF">
      <w:pPr>
        <w:pStyle w:val="NormalWeb"/>
        <w:spacing w:before="240" w:beforeAutospacing="0" w:after="240" w:afterAutospacing="0"/>
        <w:ind w:left="600" w:right="600"/>
        <w:jc w:val="both"/>
      </w:pPr>
      <w:r>
        <w:rPr>
          <w:color w:val="000000"/>
        </w:rPr>
        <w:t>“We cannot do practical work properly due to</w:t>
      </w:r>
      <w:r>
        <w:rPr>
          <w:color w:val="000000"/>
        </w:rPr>
        <w:t xml:space="preserve"> a</w:t>
      </w:r>
      <w:r>
        <w:rPr>
          <w:color w:val="000000"/>
        </w:rPr>
        <w:t xml:space="preserve"> lack of equipment.” (T1)</w:t>
      </w:r>
    </w:p>
    <w:p w:rsidR="00884D8F" w:rsidRDefault="006251CF">
      <w:pPr>
        <w:pStyle w:val="NormalWeb"/>
        <w:spacing w:before="240" w:beforeAutospacing="0" w:after="240" w:afterAutospacing="0"/>
        <w:jc w:val="both"/>
      </w:pPr>
      <w:r>
        <w:rPr>
          <w:color w:val="000000"/>
        </w:rPr>
        <w:t>As a result, meaningful engagement in science inquiry a</w:t>
      </w:r>
      <w:r>
        <w:rPr>
          <w:color w:val="000000"/>
        </w:rPr>
        <w:t>nd group-based learning remains restricted.</w:t>
      </w:r>
    </w:p>
    <w:p w:rsidR="00884D8F" w:rsidRDefault="006251CF">
      <w:pPr>
        <w:pStyle w:val="Heading3"/>
        <w:spacing w:before="240" w:beforeAutospacing="0" w:after="240" w:afterAutospacing="0"/>
        <w:jc w:val="both"/>
        <w:rPr>
          <w:rFonts w:ascii="Times New Roman" w:hAnsi="Times New Roman" w:hint="default"/>
          <w:sz w:val="24"/>
          <w:szCs w:val="24"/>
        </w:rPr>
      </w:pPr>
      <w:r>
        <w:rPr>
          <w:rFonts w:ascii="Times New Roman" w:hAnsi="Times New Roman" w:hint="default"/>
          <w:color w:val="000000"/>
          <w:sz w:val="24"/>
          <w:szCs w:val="24"/>
        </w:rPr>
        <w:t>Theme 3: Teacher Efforts to Support Human-Centric Skills</w:t>
      </w:r>
    </w:p>
    <w:p w:rsidR="00884D8F" w:rsidRDefault="006251CF">
      <w:pPr>
        <w:pStyle w:val="NormalWeb"/>
        <w:spacing w:before="240" w:beforeAutospacing="0" w:after="240" w:afterAutospacing="0"/>
        <w:jc w:val="both"/>
      </w:pPr>
      <w:r>
        <w:rPr>
          <w:color w:val="000000"/>
        </w:rPr>
        <w:t>Despite structural constraints, teachers demonstrate partial pedagogical agency by incorporating small-scale strategies to support student engagement. Thes</w:t>
      </w:r>
      <w:r>
        <w:rPr>
          <w:color w:val="000000"/>
        </w:rPr>
        <w:t>e include questioning techniques, peer discussions, and contextual examples to promote understanding.</w:t>
      </w:r>
    </w:p>
    <w:p w:rsidR="00884D8F" w:rsidRDefault="006251CF">
      <w:pPr>
        <w:pStyle w:val="NormalWeb"/>
        <w:spacing w:before="240" w:beforeAutospacing="0" w:after="240" w:afterAutospacing="0"/>
        <w:ind w:left="600" w:right="600"/>
        <w:jc w:val="both"/>
      </w:pPr>
      <w:r>
        <w:rPr>
          <w:color w:val="000000"/>
        </w:rPr>
        <w:lastRenderedPageBreak/>
        <w:t>“I try to let students discuss in pairs when possible.” (T2)</w:t>
      </w:r>
    </w:p>
    <w:p w:rsidR="00884D8F" w:rsidRDefault="006251CF">
      <w:pPr>
        <w:pStyle w:val="NormalWeb"/>
        <w:spacing w:before="240" w:beforeAutospacing="0" w:after="240" w:afterAutospacing="0"/>
        <w:jc w:val="both"/>
      </w:pPr>
      <w:r>
        <w:rPr>
          <w:color w:val="000000"/>
        </w:rPr>
        <w:t xml:space="preserve">However, these practices are informal and depend largely on individual teacher initiative </w:t>
      </w:r>
      <w:r>
        <w:rPr>
          <w:color w:val="000000"/>
        </w:rPr>
        <w:t>rather than structured instructional design.</w:t>
      </w:r>
    </w:p>
    <w:p w:rsidR="00884D8F" w:rsidRDefault="006251CF">
      <w:pPr>
        <w:pStyle w:val="Heading3"/>
        <w:spacing w:before="240" w:beforeAutospacing="0" w:after="240" w:afterAutospacing="0"/>
        <w:jc w:val="both"/>
        <w:rPr>
          <w:rFonts w:ascii="Times New Roman" w:hAnsi="Times New Roman" w:hint="default"/>
          <w:sz w:val="24"/>
          <w:szCs w:val="24"/>
        </w:rPr>
      </w:pPr>
      <w:r>
        <w:rPr>
          <w:rFonts w:ascii="Times New Roman" w:hAnsi="Times New Roman" w:hint="default"/>
          <w:color w:val="000000"/>
          <w:sz w:val="24"/>
          <w:szCs w:val="24"/>
        </w:rPr>
        <w:t>Theme 4: Inconsistent Development of Human-Centric Skills</w:t>
      </w:r>
    </w:p>
    <w:p w:rsidR="00884D8F" w:rsidRDefault="006251CF">
      <w:pPr>
        <w:pStyle w:val="NormalWeb"/>
        <w:spacing w:before="240" w:beforeAutospacing="0" w:after="240" w:afterAutospacing="0"/>
        <w:jc w:val="both"/>
      </w:pPr>
      <w:r>
        <w:rPr>
          <w:color w:val="000000"/>
        </w:rPr>
        <w:t>Human-centric skills such as critical thinking, collaboration, and communication are not systematically developed in classroom practice. Instead, they em</w:t>
      </w:r>
      <w:r>
        <w:rPr>
          <w:color w:val="000000"/>
        </w:rPr>
        <w:t>erge sporadically during teaching depending on time, content, and teacher effort.</w:t>
      </w:r>
    </w:p>
    <w:p w:rsidR="00884D8F" w:rsidRDefault="006251CF">
      <w:pPr>
        <w:pStyle w:val="NormalWeb"/>
        <w:spacing w:before="240" w:beforeAutospacing="0" w:after="240" w:afterAutospacing="0"/>
        <w:ind w:left="600" w:right="600"/>
        <w:jc w:val="both"/>
      </w:pPr>
      <w:r>
        <w:rPr>
          <w:color w:val="000000"/>
        </w:rPr>
        <w:t>“We don’t have structured time to develop these skills.” (T4)</w:t>
      </w:r>
    </w:p>
    <w:p w:rsidR="00884D8F" w:rsidRDefault="006251CF">
      <w:pPr>
        <w:pStyle w:val="NormalWeb"/>
        <w:spacing w:before="240" w:beforeAutospacing="0" w:after="240" w:afterAutospacing="0"/>
        <w:jc w:val="both"/>
      </w:pPr>
      <w:r>
        <w:rPr>
          <w:color w:val="000000"/>
        </w:rPr>
        <w:t>This indicates a fragmented approach to skill development that is not embedded within the curriculum or assessme</w:t>
      </w:r>
      <w:r>
        <w:rPr>
          <w:color w:val="000000"/>
        </w:rPr>
        <w:t>nt system.</w:t>
      </w:r>
    </w:p>
    <w:p w:rsidR="00884D8F" w:rsidRDefault="006251CF">
      <w:pPr>
        <w:pStyle w:val="NormalWeb"/>
        <w:spacing w:before="240" w:beforeAutospacing="0" w:after="240" w:afterAutospacing="0"/>
        <w:jc w:val="both"/>
      </w:pPr>
      <w:r>
        <w:rPr>
          <w:b/>
          <w:bCs/>
          <w:color w:val="000000"/>
        </w:rPr>
        <w:t>Summary of Findings</w:t>
      </w:r>
    </w:p>
    <w:p w:rsidR="00884D8F" w:rsidRDefault="006251CF">
      <w:pPr>
        <w:pStyle w:val="NormalWeb"/>
        <w:spacing w:before="240" w:beforeAutospacing="0" w:after="240" w:afterAutospacing="0"/>
        <w:jc w:val="both"/>
      </w:pPr>
      <w:r>
        <w:rPr>
          <w:color w:val="000000"/>
        </w:rPr>
        <w:t>Overall, the findings reveal that institutional constraints, particularly examination pressure, resource limitations, and structural conditions strongly shape classroom practices and restrict the systematic development of hum</w:t>
      </w:r>
      <w:r>
        <w:rPr>
          <w:color w:val="000000"/>
        </w:rPr>
        <w:t>an-centric skills. Nevertheless, teachers exercise limited but meaningful agency by integrating informal strategies that partially support student engagement and interaction. This results in an uneven and inconsistent development of human-centric skills ac</w:t>
      </w:r>
      <w:r>
        <w:rPr>
          <w:color w:val="000000"/>
        </w:rPr>
        <w:t>ross rural secondary science classrooms.</w:t>
      </w:r>
    </w:p>
    <w:p w:rsidR="00884D8F" w:rsidRDefault="006251CF">
      <w:pPr>
        <w:pStyle w:val="Heading2"/>
        <w:numPr>
          <w:ilvl w:val="0"/>
          <w:numId w:val="1"/>
        </w:numPr>
        <w:spacing w:before="240" w:beforeAutospacing="0" w:after="240" w:afterAutospacing="0"/>
        <w:jc w:val="both"/>
        <w:rPr>
          <w:rFonts w:ascii="Times New Roman" w:hAnsi="Times New Roman" w:hint="default"/>
          <w:sz w:val="28"/>
          <w:szCs w:val="28"/>
        </w:rPr>
      </w:pPr>
      <w:r>
        <w:rPr>
          <w:rFonts w:ascii="Times New Roman" w:hAnsi="Times New Roman" w:hint="default"/>
          <w:color w:val="000000"/>
          <w:sz w:val="28"/>
          <w:szCs w:val="28"/>
        </w:rPr>
        <w:t>DISCUSSION</w:t>
      </w:r>
    </w:p>
    <w:p w:rsidR="00884D8F" w:rsidRDefault="006251CF">
      <w:pPr>
        <w:pStyle w:val="NormalWeb"/>
        <w:spacing w:before="240" w:beforeAutospacing="0" w:after="240" w:afterAutospacing="0"/>
        <w:jc w:val="both"/>
      </w:pPr>
      <w:r>
        <w:rPr>
          <w:color w:val="000000"/>
        </w:rPr>
        <w:t xml:space="preserve">This study explored human-centric skill development in rural secondary science classrooms using Self-Determination Theory (SDT) and the 21st Century Skills Framework. Findings show that both motivational </w:t>
      </w:r>
      <w:r>
        <w:rPr>
          <w:color w:val="000000"/>
        </w:rPr>
        <w:t>conditions and institutional constraints jointly shape classroom practices.</w:t>
      </w:r>
    </w:p>
    <w:p w:rsidR="00884D8F" w:rsidRDefault="006251CF">
      <w:pPr>
        <w:pStyle w:val="NormalWeb"/>
        <w:spacing w:before="240" w:beforeAutospacing="0" w:after="240" w:afterAutospacing="0"/>
        <w:jc w:val="both"/>
      </w:pPr>
      <w:r>
        <w:rPr>
          <w:color w:val="000000"/>
        </w:rPr>
        <w:t>Viewed through SDT, the basic psychological needs of autonomy, competence, and relatedness are only partially supported (Ryan &amp; Deci, 2017). This is reflected in examination pressu</w:t>
      </w:r>
      <w:r>
        <w:rPr>
          <w:color w:val="000000"/>
        </w:rPr>
        <w:t>re that reduces teacher autonomy and limits autonomy-supportive practices (Aelterman et al., 2024). Resource shortages and large class sizes further restrict inquiry-based learning and weaken competence development. Classroom interaction remains largely te</w:t>
      </w:r>
      <w:r>
        <w:rPr>
          <w:color w:val="000000"/>
        </w:rPr>
        <w:t>acher-centered, limiting collaboration and relatedness.</w:t>
      </w:r>
    </w:p>
    <w:p w:rsidR="00884D8F" w:rsidRDefault="006251CF">
      <w:pPr>
        <w:pStyle w:val="NormalWeb"/>
        <w:spacing w:before="240" w:beforeAutospacing="0" w:after="240" w:afterAutospacing="0"/>
        <w:jc w:val="both"/>
      </w:pPr>
      <w:r>
        <w:rPr>
          <w:color w:val="000000"/>
        </w:rPr>
        <w:t>Through the lens of the 21st Century Skills Framework, critical thinking, creativity, and collaboration are not systematically developed, but appear inconsistently in practice (OECD, 2019; P21, 2019).</w:t>
      </w:r>
      <w:r>
        <w:rPr>
          <w:color w:val="000000"/>
        </w:rPr>
        <w:t xml:space="preserve"> Instead, teaching remains focused on examination preparation, aligning with findings from previous research on exam-driven systems (Voogt &amp; Roblin, 2012).</w:t>
      </w:r>
    </w:p>
    <w:p w:rsidR="00884D8F" w:rsidRDefault="006251CF">
      <w:pPr>
        <w:pStyle w:val="NormalWeb"/>
        <w:spacing w:before="240" w:beforeAutospacing="0" w:after="240" w:afterAutospacing="0"/>
        <w:jc w:val="both"/>
      </w:pPr>
      <w:r>
        <w:rPr>
          <w:color w:val="000000"/>
        </w:rPr>
        <w:t>Despite these constraints, teachers show limited agency by using questioning, peer discussion, and c</w:t>
      </w:r>
      <w:r>
        <w:rPr>
          <w:color w:val="000000"/>
        </w:rPr>
        <w:t>ontextual examples to support engagement, reflecting partial alignment with SDT-based autonomy-supportive practices (Patall et al., 2024).</w:t>
      </w:r>
    </w:p>
    <w:p w:rsidR="00884D8F" w:rsidRDefault="006251CF">
      <w:pPr>
        <w:pStyle w:val="NormalWeb"/>
        <w:spacing w:before="240" w:beforeAutospacing="0" w:after="240" w:afterAutospacing="0"/>
        <w:jc w:val="both"/>
      </w:pPr>
      <w:r>
        <w:rPr>
          <w:color w:val="000000"/>
        </w:rPr>
        <w:t>Overall, curriculum rigidity and assessment pressure strongly constrain the development of human-centric skills, lead</w:t>
      </w:r>
      <w:r>
        <w:rPr>
          <w:color w:val="000000"/>
        </w:rPr>
        <w:t>ing to inconsistent implementation in rural classrooms (World Bank, 2023; OECD, 2023).</w:t>
      </w:r>
    </w:p>
    <w:p w:rsidR="00884D8F" w:rsidRDefault="006251CF">
      <w:pPr>
        <w:pStyle w:val="Heading2"/>
        <w:numPr>
          <w:ilvl w:val="0"/>
          <w:numId w:val="1"/>
        </w:numPr>
        <w:spacing w:before="240" w:beforeAutospacing="0" w:after="240" w:afterAutospacing="0"/>
        <w:jc w:val="both"/>
        <w:rPr>
          <w:rFonts w:ascii="Times New Roman" w:hAnsi="Times New Roman" w:hint="default"/>
          <w:sz w:val="28"/>
          <w:szCs w:val="28"/>
        </w:rPr>
      </w:pPr>
      <w:r>
        <w:rPr>
          <w:rFonts w:ascii="Times New Roman" w:hAnsi="Times New Roman" w:hint="default"/>
          <w:color w:val="000000"/>
          <w:sz w:val="28"/>
          <w:szCs w:val="28"/>
        </w:rPr>
        <w:t>CONCLUSION</w:t>
      </w:r>
    </w:p>
    <w:p w:rsidR="00884D8F" w:rsidRDefault="006251CF">
      <w:pPr>
        <w:pStyle w:val="NormalWeb"/>
        <w:spacing w:before="240" w:beforeAutospacing="0" w:after="240" w:afterAutospacing="0"/>
        <w:jc w:val="both"/>
      </w:pPr>
      <w:r>
        <w:rPr>
          <w:color w:val="000000"/>
        </w:rPr>
        <w:t xml:space="preserve">This study shows that the development of human-centric skills in rural secondary science classrooms is shaped by the interaction of teacher practices and </w:t>
      </w:r>
      <w:r>
        <w:rPr>
          <w:color w:val="000000"/>
        </w:rPr>
        <w:t>institutional constraints, interpreted through SDT and the 21st Century Skills Framework. Findings indicate that examination pressure, limited resources,</w:t>
      </w:r>
      <w:r>
        <w:rPr>
          <w:color w:val="000000"/>
        </w:rPr>
        <w:t xml:space="preserve"> </w:t>
      </w:r>
      <w:r>
        <w:rPr>
          <w:color w:val="000000"/>
        </w:rPr>
        <w:t xml:space="preserve">structural barriers restrict autonomy-supportive and student-centered teaching, leading to fragmented </w:t>
      </w:r>
      <w:r>
        <w:rPr>
          <w:color w:val="000000"/>
        </w:rPr>
        <w:t>development of skills such as critical thinking, collaboration, and creativity.</w:t>
      </w:r>
    </w:p>
    <w:p w:rsidR="00884D8F" w:rsidRDefault="006251CF">
      <w:pPr>
        <w:pStyle w:val="NormalWeb"/>
        <w:spacing w:before="240" w:beforeAutospacing="0" w:after="240" w:afterAutospacing="0"/>
        <w:jc w:val="both"/>
      </w:pPr>
      <w:r>
        <w:rPr>
          <w:color w:val="000000"/>
        </w:rPr>
        <w:lastRenderedPageBreak/>
        <w:t>Despite these challenges, teachers demonstrate limited agency through informal strategies like questioning and peer discussion. Overall, human-centric skill development remains</w:t>
      </w:r>
      <w:r>
        <w:rPr>
          <w:color w:val="000000"/>
        </w:rPr>
        <w:t xml:space="preserve"> inconsistent, highlighting the need for stronger alignment between curriculum expectations and classroom realities in rural contexts.</w:t>
      </w:r>
    </w:p>
    <w:p w:rsidR="00884D8F" w:rsidRDefault="006251CF">
      <w:pPr>
        <w:pStyle w:val="Heading3"/>
        <w:numPr>
          <w:ilvl w:val="0"/>
          <w:numId w:val="1"/>
        </w:numPr>
        <w:spacing w:before="240" w:beforeAutospacing="0" w:after="240" w:afterAutospacing="0"/>
        <w:jc w:val="both"/>
        <w:rPr>
          <w:rFonts w:ascii="Times New Roman" w:hAnsi="Times New Roman" w:hint="default"/>
          <w:sz w:val="28"/>
          <w:szCs w:val="28"/>
        </w:rPr>
      </w:pPr>
      <w:r>
        <w:rPr>
          <w:rFonts w:ascii="Times New Roman" w:hAnsi="Times New Roman" w:hint="default"/>
          <w:color w:val="000000"/>
          <w:sz w:val="28"/>
          <w:szCs w:val="28"/>
        </w:rPr>
        <w:t>DATA AVAILABILITY STATEMENT</w:t>
      </w:r>
    </w:p>
    <w:p w:rsidR="00884D8F" w:rsidRDefault="006251CF">
      <w:pPr>
        <w:pStyle w:val="NormalWeb"/>
        <w:spacing w:before="240" w:beforeAutospacing="0" w:after="240" w:afterAutospacing="0"/>
        <w:jc w:val="both"/>
      </w:pPr>
      <w:r>
        <w:rPr>
          <w:color w:val="000000"/>
        </w:rPr>
        <w:t>The data generated and analysed during this study are not publicly available due to ethical r</w:t>
      </w:r>
      <w:r>
        <w:rPr>
          <w:color w:val="000000"/>
        </w:rPr>
        <w:t>estrictions and participant confidentiality. Requests for anonymized data may be considered by the corresponding author upon reasonable request.</w:t>
      </w:r>
    </w:p>
    <w:p w:rsidR="00884D8F" w:rsidRDefault="006251CF">
      <w:pPr>
        <w:pStyle w:val="Heading3"/>
        <w:numPr>
          <w:ilvl w:val="0"/>
          <w:numId w:val="1"/>
        </w:numPr>
        <w:spacing w:before="240" w:beforeAutospacing="0" w:after="240" w:afterAutospacing="0"/>
        <w:jc w:val="both"/>
        <w:rPr>
          <w:rFonts w:ascii="Times New Roman" w:hAnsi="Times New Roman" w:hint="default"/>
          <w:sz w:val="28"/>
          <w:szCs w:val="28"/>
        </w:rPr>
      </w:pPr>
      <w:r>
        <w:rPr>
          <w:rFonts w:ascii="Times New Roman" w:hAnsi="Times New Roman" w:hint="default"/>
          <w:color w:val="000000"/>
          <w:sz w:val="28"/>
          <w:szCs w:val="28"/>
        </w:rPr>
        <w:t>ETHICAL APPROVAL</w:t>
      </w:r>
    </w:p>
    <w:p w:rsidR="00884D8F" w:rsidRDefault="006251CF">
      <w:pPr>
        <w:pStyle w:val="NormalWeb"/>
        <w:spacing w:before="240" w:beforeAutospacing="0" w:after="240" w:afterAutospacing="0"/>
        <w:ind w:left="605" w:right="605"/>
        <w:jc w:val="both"/>
      </w:pPr>
      <w:r>
        <w:rPr>
          <w:color w:val="000000"/>
        </w:rPr>
        <w:t xml:space="preserve">Ethical approval for this study was obtained from the relevant institutional ethics committee </w:t>
      </w:r>
      <w:r>
        <w:rPr>
          <w:color w:val="000000"/>
        </w:rPr>
        <w:t>prior to data collection.</w:t>
      </w:r>
    </w:p>
    <w:p w:rsidR="00884D8F" w:rsidRDefault="006251CF">
      <w:pPr>
        <w:pStyle w:val="Heading3"/>
        <w:numPr>
          <w:ilvl w:val="0"/>
          <w:numId w:val="1"/>
        </w:numPr>
        <w:spacing w:before="240" w:beforeAutospacing="0" w:after="240" w:afterAutospacing="0"/>
        <w:jc w:val="both"/>
        <w:rPr>
          <w:rFonts w:ascii="Times New Roman" w:hAnsi="Times New Roman" w:hint="default"/>
          <w:sz w:val="28"/>
          <w:szCs w:val="28"/>
        </w:rPr>
      </w:pPr>
      <w:r>
        <w:rPr>
          <w:rFonts w:ascii="Times New Roman" w:hAnsi="Times New Roman" w:hint="default"/>
          <w:color w:val="000000"/>
          <w:sz w:val="28"/>
          <w:szCs w:val="28"/>
        </w:rPr>
        <w:t xml:space="preserve"> </w:t>
      </w:r>
      <w:r>
        <w:rPr>
          <w:rFonts w:ascii="Times New Roman" w:hAnsi="Times New Roman" w:hint="default"/>
          <w:color w:val="000000"/>
          <w:sz w:val="28"/>
          <w:szCs w:val="28"/>
        </w:rPr>
        <w:t>CONFLICT OF INTEREST</w:t>
      </w:r>
    </w:p>
    <w:p w:rsidR="00884D8F" w:rsidRDefault="006251CF">
      <w:pPr>
        <w:pStyle w:val="NormalWeb"/>
        <w:spacing w:before="240" w:beforeAutospacing="0" w:after="240" w:afterAutospacing="0"/>
        <w:ind w:left="605" w:right="605"/>
        <w:jc w:val="both"/>
      </w:pPr>
      <w:r>
        <w:rPr>
          <w:color w:val="000000"/>
        </w:rPr>
        <w:t>The authors declare no conflict of interest.</w:t>
      </w:r>
    </w:p>
    <w:p w:rsidR="00884D8F" w:rsidRDefault="006251CF">
      <w:pPr>
        <w:pStyle w:val="Heading1"/>
        <w:numPr>
          <w:ilvl w:val="0"/>
          <w:numId w:val="1"/>
        </w:numPr>
        <w:spacing w:before="240" w:beforeAutospacing="0" w:after="240" w:afterAutospacing="0"/>
        <w:jc w:val="both"/>
        <w:rPr>
          <w:rFonts w:ascii="Times New Roman" w:hAnsi="Times New Roman" w:hint="default"/>
          <w:sz w:val="28"/>
          <w:szCs w:val="28"/>
        </w:rPr>
      </w:pPr>
      <w:r>
        <w:rPr>
          <w:rFonts w:ascii="Times New Roman" w:hAnsi="Times New Roman" w:hint="default"/>
          <w:color w:val="000000"/>
          <w:sz w:val="28"/>
          <w:szCs w:val="28"/>
        </w:rPr>
        <w:t>REFERENCE</w:t>
      </w:r>
    </w:p>
    <w:p w:rsidR="00884D8F" w:rsidRDefault="006251CF">
      <w:pPr>
        <w:pStyle w:val="NormalWeb"/>
        <w:numPr>
          <w:ilvl w:val="0"/>
          <w:numId w:val="3"/>
        </w:numPr>
        <w:tabs>
          <w:tab w:val="clear" w:pos="425"/>
        </w:tabs>
        <w:spacing w:before="240" w:beforeAutospacing="0" w:after="240" w:afterAutospacing="0"/>
        <w:jc w:val="both"/>
      </w:pPr>
      <w:r>
        <w:rPr>
          <w:color w:val="000000"/>
        </w:rPr>
        <w:t xml:space="preserve">World Economic Forum. (2020). </w:t>
      </w:r>
      <w:r>
        <w:rPr>
          <w:i/>
          <w:iCs/>
          <w:color w:val="000000"/>
        </w:rPr>
        <w:t>The future of jobs report 2020</w:t>
      </w:r>
      <w:r>
        <w:rPr>
          <w:color w:val="000000"/>
        </w:rPr>
        <w:t>. WEF.</w:t>
      </w:r>
      <w:r>
        <w:rPr>
          <w:color w:val="000000"/>
        </w:rPr>
        <w:t xml:space="preserve"> </w:t>
      </w:r>
    </w:p>
    <w:p w:rsidR="00884D8F" w:rsidRDefault="006251CF">
      <w:pPr>
        <w:pStyle w:val="NormalWeb"/>
        <w:numPr>
          <w:ilvl w:val="0"/>
          <w:numId w:val="3"/>
        </w:numPr>
        <w:tabs>
          <w:tab w:val="clear" w:pos="425"/>
        </w:tabs>
        <w:spacing w:before="240" w:beforeAutospacing="0" w:after="240" w:afterAutospacing="0"/>
        <w:jc w:val="both"/>
      </w:pPr>
      <w:r>
        <w:rPr>
          <w:color w:val="000000"/>
        </w:rPr>
        <w:t xml:space="preserve">UNESCO. (2024). </w:t>
      </w:r>
      <w:r>
        <w:rPr>
          <w:i/>
          <w:iCs/>
          <w:color w:val="000000"/>
        </w:rPr>
        <w:t>Reimagining education in the age of AI</w:t>
      </w:r>
      <w:r>
        <w:rPr>
          <w:color w:val="000000"/>
        </w:rPr>
        <w:t>. UNESCO Publishing. </w:t>
      </w:r>
    </w:p>
    <w:p w:rsidR="00884D8F" w:rsidRDefault="006251CF">
      <w:pPr>
        <w:pStyle w:val="NormalWeb"/>
        <w:numPr>
          <w:ilvl w:val="0"/>
          <w:numId w:val="3"/>
        </w:numPr>
        <w:tabs>
          <w:tab w:val="clear" w:pos="425"/>
        </w:tabs>
        <w:spacing w:before="240" w:beforeAutospacing="0" w:after="240" w:afterAutospacing="0"/>
        <w:jc w:val="both"/>
      </w:pPr>
      <w:r>
        <w:rPr>
          <w:color w:val="000000"/>
        </w:rPr>
        <w:t xml:space="preserve">Reeve, J., &amp; Cheon, S. H. (2024). Learning how to become an autonomy-supportive teacher begins with perspective taking: A randomized control trial and model test. </w:t>
      </w:r>
      <w:r>
        <w:rPr>
          <w:i/>
          <w:iCs/>
          <w:color w:val="000000"/>
        </w:rPr>
        <w:t>Teaching and Teacher Education, 14</w:t>
      </w:r>
      <w:r>
        <w:rPr>
          <w:i/>
          <w:iCs/>
          <w:color w:val="000000"/>
        </w:rPr>
        <w:t>8</w:t>
      </w:r>
      <w:r>
        <w:rPr>
          <w:color w:val="000000"/>
        </w:rPr>
        <w:t>, 104702.</w:t>
      </w:r>
      <w:hyperlink r:id="rId9" w:history="1">
        <w:r>
          <w:rPr>
            <w:rStyle w:val="Hyperlink"/>
            <w:color w:val="000000"/>
            <w:u w:val="none"/>
          </w:rPr>
          <w:t xml:space="preserve"> </w:t>
        </w:r>
        <w:r>
          <w:rPr>
            <w:rStyle w:val="Hyperlink"/>
            <w:color w:val="1155CC"/>
          </w:rPr>
          <w:t>https://doi.org/10.1016/j.tate.2024.104702</w:t>
        </w:r>
      </w:hyperlink>
      <w:r>
        <w:rPr>
          <w:color w:val="000000"/>
        </w:rPr>
        <w:t> </w:t>
      </w:r>
    </w:p>
    <w:p w:rsidR="00884D8F" w:rsidRDefault="006251CF">
      <w:pPr>
        <w:pStyle w:val="NormalWeb"/>
        <w:numPr>
          <w:ilvl w:val="0"/>
          <w:numId w:val="3"/>
        </w:numPr>
        <w:tabs>
          <w:tab w:val="clear" w:pos="425"/>
        </w:tabs>
        <w:spacing w:before="240" w:beforeAutospacing="0" w:after="240" w:afterAutospacing="0"/>
        <w:jc w:val="both"/>
      </w:pPr>
      <w:r>
        <w:rPr>
          <w:color w:val="000000"/>
        </w:rPr>
        <w:t xml:space="preserve">Tao, Y., Wang, D., &amp; Chen, G. (2025). How does dialogic teaching facilitate students’ creative thinking? Evidence from a sequential analysis of teacher–student dialogue in primary language classrooms. </w:t>
      </w:r>
      <w:r>
        <w:rPr>
          <w:i/>
          <w:iCs/>
          <w:color w:val="000000"/>
        </w:rPr>
        <w:t>British Educational Research Journal, 52</w:t>
      </w:r>
      <w:r>
        <w:rPr>
          <w:color w:val="000000"/>
        </w:rPr>
        <w:t>(1), 776–805.</w:t>
      </w:r>
      <w:hyperlink r:id="rId10" w:history="1">
        <w:r>
          <w:rPr>
            <w:rStyle w:val="Hyperlink"/>
            <w:color w:val="000000"/>
            <w:u w:val="none"/>
          </w:rPr>
          <w:t xml:space="preserve"> </w:t>
        </w:r>
        <w:r>
          <w:rPr>
            <w:rStyle w:val="Hyperlink"/>
            <w:color w:val="1155CC"/>
          </w:rPr>
          <w:t>https://doi.org/10.1002/berj.70031</w:t>
        </w:r>
      </w:hyperlink>
      <w:r>
        <w:rPr>
          <w:color w:val="000000"/>
        </w:rPr>
        <w:t> </w:t>
      </w:r>
    </w:p>
    <w:p w:rsidR="00884D8F" w:rsidRDefault="006251CF">
      <w:pPr>
        <w:pStyle w:val="NormalWeb"/>
        <w:numPr>
          <w:ilvl w:val="0"/>
          <w:numId w:val="3"/>
        </w:numPr>
        <w:tabs>
          <w:tab w:val="clear" w:pos="425"/>
        </w:tabs>
        <w:spacing w:before="240" w:beforeAutospacing="0" w:after="240" w:afterAutospacing="0"/>
        <w:jc w:val="both"/>
      </w:pPr>
      <w:r>
        <w:rPr>
          <w:color w:val="000000"/>
        </w:rPr>
        <w:t>Voogt, J., &amp; Roblin, N. P. (2012). A comparative analysis of international frameworks for 21st century competences.</w:t>
      </w:r>
      <w:r>
        <w:rPr>
          <w:color w:val="000000"/>
        </w:rPr>
        <w:t xml:space="preserve"> </w:t>
      </w:r>
      <w:r>
        <w:rPr>
          <w:i/>
          <w:iCs/>
          <w:color w:val="000000"/>
        </w:rPr>
        <w:t>Journal of Curriculum Studies, 44</w:t>
      </w:r>
      <w:r>
        <w:rPr>
          <w:color w:val="000000"/>
        </w:rPr>
        <w:t xml:space="preserve">(3), 299–321. </w:t>
      </w:r>
      <w:hyperlink r:id="rId11" w:history="1">
        <w:r>
          <w:rPr>
            <w:rStyle w:val="Hyperlink"/>
          </w:rPr>
          <w:t>https://doi.org/10.1080/00220272.2012.668938</w:t>
        </w:r>
      </w:hyperlink>
      <w:r>
        <w:rPr>
          <w:color w:val="000000"/>
        </w:rPr>
        <w:t xml:space="preserve"> </w:t>
      </w:r>
    </w:p>
    <w:p w:rsidR="00884D8F" w:rsidRDefault="006251CF">
      <w:pPr>
        <w:pStyle w:val="NormalWeb"/>
        <w:numPr>
          <w:ilvl w:val="0"/>
          <w:numId w:val="3"/>
        </w:numPr>
        <w:tabs>
          <w:tab w:val="clear" w:pos="425"/>
        </w:tabs>
        <w:spacing w:before="240" w:beforeAutospacing="0" w:after="240" w:afterAutospacing="0"/>
        <w:jc w:val="both"/>
      </w:pPr>
      <w:r>
        <w:rPr>
          <w:color w:val="000000"/>
        </w:rPr>
        <w:t xml:space="preserve">Organisation for Economic Co-operation and Development (OECD). (2023). </w:t>
      </w:r>
      <w:r>
        <w:rPr>
          <w:i/>
          <w:iCs/>
          <w:color w:val="000000"/>
        </w:rPr>
        <w:t>Education at a Glance 2023: OE</w:t>
      </w:r>
      <w:r>
        <w:rPr>
          <w:i/>
          <w:iCs/>
          <w:color w:val="000000"/>
        </w:rPr>
        <w:t>CD indicators</w:t>
      </w:r>
      <w:r>
        <w:rPr>
          <w:color w:val="000000"/>
        </w:rPr>
        <w:t>. OECD Publishing.</w:t>
      </w:r>
      <w:hyperlink r:id="rId12" w:history="1">
        <w:r>
          <w:rPr>
            <w:rStyle w:val="Hyperlink"/>
            <w:color w:val="000000"/>
            <w:u w:val="none"/>
          </w:rPr>
          <w:t xml:space="preserve"> </w:t>
        </w:r>
        <w:r>
          <w:rPr>
            <w:rStyle w:val="Hyperlink"/>
            <w:color w:val="1155CC"/>
          </w:rPr>
          <w:t>https://doi.org/10.1787/e13bef63-en</w:t>
        </w:r>
      </w:hyperlink>
      <w:r>
        <w:rPr>
          <w:color w:val="000000"/>
        </w:rPr>
        <w:t> </w:t>
      </w:r>
    </w:p>
    <w:p w:rsidR="00884D8F" w:rsidRDefault="006251CF">
      <w:pPr>
        <w:pStyle w:val="NormalWeb"/>
        <w:numPr>
          <w:ilvl w:val="0"/>
          <w:numId w:val="3"/>
        </w:numPr>
        <w:tabs>
          <w:tab w:val="clear" w:pos="425"/>
        </w:tabs>
        <w:spacing w:before="240" w:beforeAutospacing="0" w:after="240" w:afterAutospacing="0"/>
        <w:jc w:val="both"/>
      </w:pPr>
      <w:r>
        <w:rPr>
          <w:color w:val="000000"/>
        </w:rPr>
        <w:t>Topali, P., Ortega-Arranz, A., Rodríguez-Triana, M. J., Er, E., Khalil, M., &amp; Akçapınar, G. (2024). Designing human-centered learning a</w:t>
      </w:r>
      <w:r>
        <w:rPr>
          <w:color w:val="000000"/>
        </w:rPr>
        <w:t xml:space="preserve">nalytics and artificial intelligence in education solutions: A systematic literature review. </w:t>
      </w:r>
      <w:r>
        <w:rPr>
          <w:i/>
          <w:iCs/>
          <w:color w:val="000000"/>
        </w:rPr>
        <w:t>Behaviour &amp; Information Technology, 44</w:t>
      </w:r>
      <w:r>
        <w:rPr>
          <w:color w:val="000000"/>
        </w:rPr>
        <w:t xml:space="preserve">(5), 1071–1098. </w:t>
      </w:r>
      <w:hyperlink r:id="rId13" w:history="1">
        <w:r>
          <w:rPr>
            <w:rStyle w:val="Hyperlink"/>
          </w:rPr>
          <w:t>https://doi.org/10.1080/0144929X.2024.2345295</w:t>
        </w:r>
      </w:hyperlink>
      <w:r>
        <w:rPr>
          <w:color w:val="000000"/>
        </w:rPr>
        <w:t xml:space="preserve"> </w:t>
      </w:r>
      <w:r>
        <w:rPr>
          <w:color w:val="000000"/>
        </w:rPr>
        <w:t> </w:t>
      </w:r>
    </w:p>
    <w:p w:rsidR="00884D8F" w:rsidRDefault="006251CF">
      <w:pPr>
        <w:pStyle w:val="NormalWeb"/>
        <w:numPr>
          <w:ilvl w:val="0"/>
          <w:numId w:val="3"/>
        </w:numPr>
        <w:tabs>
          <w:tab w:val="clear" w:pos="425"/>
        </w:tabs>
        <w:spacing w:before="240" w:beforeAutospacing="0" w:after="240" w:afterAutospacing="0"/>
        <w:jc w:val="both"/>
      </w:pPr>
      <w:r>
        <w:rPr>
          <w:color w:val="000000"/>
        </w:rPr>
        <w:t xml:space="preserve">Hu, W., &amp; Chan, C. K. Y. (2025). From user needs to AI solutions: A human-centered design approach for AI-powered virtual teamwork competency training. </w:t>
      </w:r>
      <w:r>
        <w:rPr>
          <w:i/>
          <w:iCs/>
          <w:color w:val="000000"/>
        </w:rPr>
        <w:t>International Journal of Educational Technology in Higher Education, 22</w:t>
      </w:r>
      <w:r>
        <w:rPr>
          <w:i/>
          <w:iCs/>
          <w:color w:val="000000"/>
        </w:rPr>
        <w:t xml:space="preserve"> </w:t>
      </w:r>
      <w:r>
        <w:rPr>
          <w:color w:val="000000"/>
        </w:rPr>
        <w:t>(1)</w:t>
      </w:r>
      <w:r>
        <w:rPr>
          <w:color w:val="000000"/>
        </w:rPr>
        <w:t>,</w:t>
      </w:r>
      <w:r>
        <w:rPr>
          <w:color w:val="000000"/>
        </w:rPr>
        <w:t xml:space="preserve"> </w:t>
      </w:r>
      <w:r>
        <w:rPr>
          <w:color w:val="000000"/>
        </w:rPr>
        <w:t xml:space="preserve">52. </w:t>
      </w:r>
      <w:hyperlink r:id="rId14" w:history="1">
        <w:r>
          <w:rPr>
            <w:rStyle w:val="Hyperlink"/>
            <w:color w:val="1155CC"/>
          </w:rPr>
          <w:t>https://doi.org/10.1186/s41239-025-00551-z</w:t>
        </w:r>
      </w:hyperlink>
      <w:r>
        <w:rPr>
          <w:color w:val="000000"/>
        </w:rPr>
        <w:t> </w:t>
      </w:r>
    </w:p>
    <w:p w:rsidR="00884D8F" w:rsidRDefault="006251CF">
      <w:pPr>
        <w:pStyle w:val="NormalWeb"/>
        <w:numPr>
          <w:ilvl w:val="0"/>
          <w:numId w:val="3"/>
        </w:numPr>
        <w:tabs>
          <w:tab w:val="clear" w:pos="425"/>
        </w:tabs>
        <w:spacing w:before="240" w:beforeAutospacing="0" w:after="240" w:afterAutospacing="0"/>
        <w:jc w:val="both"/>
      </w:pPr>
      <w:r>
        <w:rPr>
          <w:color w:val="000000"/>
        </w:rPr>
        <w:t xml:space="preserve">González-Rico, P., &amp; Lluch Sintes, J. (2024). Educational innovation and contextual constraints in digital transformation. </w:t>
      </w:r>
      <w:r>
        <w:rPr>
          <w:i/>
          <w:iCs/>
          <w:color w:val="000000"/>
        </w:rPr>
        <w:t>Educational Technology Research and Development, 72</w:t>
      </w:r>
      <w:r>
        <w:rPr>
          <w:color w:val="000000"/>
        </w:rPr>
        <w:t xml:space="preserve">(2), 345–362. </w:t>
      </w:r>
      <w:hyperlink r:id="rId15" w:history="1">
        <w:r>
          <w:rPr>
            <w:rStyle w:val="Hyperlink"/>
          </w:rPr>
          <w:t>https://doi.org/10.1007/s11423-024-10234-8</w:t>
        </w:r>
      </w:hyperlink>
      <w:r>
        <w:rPr>
          <w:color w:val="000000"/>
        </w:rPr>
        <w:t xml:space="preserve"> </w:t>
      </w:r>
    </w:p>
    <w:p w:rsidR="00884D8F" w:rsidRDefault="006251CF">
      <w:pPr>
        <w:pStyle w:val="NormalWeb"/>
        <w:numPr>
          <w:ilvl w:val="0"/>
          <w:numId w:val="3"/>
        </w:numPr>
        <w:tabs>
          <w:tab w:val="clear" w:pos="425"/>
        </w:tabs>
        <w:spacing w:before="240" w:beforeAutospacing="0" w:after="240" w:afterAutospacing="0"/>
        <w:jc w:val="both"/>
      </w:pPr>
      <w:r>
        <w:rPr>
          <w:color w:val="000000"/>
        </w:rPr>
        <w:t xml:space="preserve">OECD. (2019). </w:t>
      </w:r>
      <w:r>
        <w:rPr>
          <w:i/>
          <w:iCs/>
          <w:color w:val="000000"/>
        </w:rPr>
        <w:t>OECD learning compass 2030: A framework for future learning</w:t>
      </w:r>
      <w:r>
        <w:rPr>
          <w:color w:val="000000"/>
        </w:rPr>
        <w:t>. Organisation for Economic Co-operation and Development.</w:t>
      </w:r>
      <w:hyperlink r:id="rId16" w:history="1">
        <w:r>
          <w:rPr>
            <w:rStyle w:val="Hyperlink"/>
            <w:color w:val="000000"/>
            <w:u w:val="none"/>
          </w:rPr>
          <w:t xml:space="preserve"> </w:t>
        </w:r>
      </w:hyperlink>
      <w:hyperlink r:id="rId17" w:history="1">
        <w:r>
          <w:rPr>
            <w:rStyle w:val="Hyperlink"/>
            <w:color w:val="1155CC"/>
          </w:rPr>
          <w:t>https://www.oecd.org/education/2030-project</w:t>
        </w:r>
      </w:hyperlink>
    </w:p>
    <w:p w:rsidR="00884D8F" w:rsidRDefault="006251CF">
      <w:pPr>
        <w:pStyle w:val="NormalWeb"/>
        <w:numPr>
          <w:ilvl w:val="0"/>
          <w:numId w:val="3"/>
        </w:numPr>
        <w:tabs>
          <w:tab w:val="clear" w:pos="425"/>
        </w:tabs>
        <w:spacing w:before="240" w:beforeAutospacing="0" w:after="240" w:afterAutospacing="0"/>
        <w:jc w:val="both"/>
      </w:pPr>
      <w:r>
        <w:rPr>
          <w:color w:val="333333"/>
          <w:shd w:val="clear" w:color="auto" w:fill="FFFFFF"/>
        </w:rPr>
        <w:lastRenderedPageBreak/>
        <w:t xml:space="preserve">Ryan, R. M., &amp; Deci, E. L. (2017). </w:t>
      </w:r>
      <w:r>
        <w:rPr>
          <w:i/>
          <w:iCs/>
          <w:color w:val="333333"/>
          <w:shd w:val="clear" w:color="auto" w:fill="FFFFFF"/>
        </w:rPr>
        <w:t>Self-determination theory: Basic psychological needs in</w:t>
      </w:r>
      <w:r>
        <w:rPr>
          <w:i/>
          <w:iCs/>
          <w:color w:val="333333"/>
          <w:shd w:val="clear" w:color="auto" w:fill="FFFFFF"/>
        </w:rPr>
        <w:t xml:space="preserve"> motivation, development, and wellness.</w:t>
      </w:r>
      <w:r>
        <w:rPr>
          <w:color w:val="333333"/>
          <w:shd w:val="clear" w:color="auto" w:fill="FFFFFF"/>
        </w:rPr>
        <w:t xml:space="preserve"> The Guilford Press. </w:t>
      </w:r>
      <w:hyperlink r:id="rId18" w:history="1">
        <w:r>
          <w:rPr>
            <w:rStyle w:val="Hyperlink"/>
            <w:color w:val="2C72B7"/>
            <w:u w:val="none"/>
            <w:shd w:val="clear" w:color="auto" w:fill="FFFFFF"/>
          </w:rPr>
          <w:t>https://doi.org/10.1521/978.14625/28806</w:t>
        </w:r>
      </w:hyperlink>
      <w:r>
        <w:rPr>
          <w:color w:val="000000"/>
        </w:rPr>
        <w:t> </w:t>
      </w:r>
    </w:p>
    <w:p w:rsidR="00884D8F" w:rsidRDefault="006251CF">
      <w:pPr>
        <w:pStyle w:val="NormalWeb"/>
        <w:numPr>
          <w:ilvl w:val="0"/>
          <w:numId w:val="3"/>
        </w:numPr>
        <w:tabs>
          <w:tab w:val="clear" w:pos="425"/>
        </w:tabs>
        <w:spacing w:before="240" w:beforeAutospacing="0" w:after="240" w:afterAutospacing="0"/>
        <w:jc w:val="both"/>
      </w:pPr>
      <w:r>
        <w:rPr>
          <w:color w:val="000000"/>
        </w:rPr>
        <w:t xml:space="preserve">Aelterman, N., Vansteenkiste, M., Haerens, L., Soenens, B., Fontaine, J. R. J., &amp; </w:t>
      </w:r>
      <w:r>
        <w:rPr>
          <w:color w:val="000000"/>
        </w:rPr>
        <w:t>Reeve, J. (20</w:t>
      </w:r>
      <w:r>
        <w:rPr>
          <w:color w:val="000000"/>
        </w:rPr>
        <w:t>19</w:t>
      </w:r>
      <w:r>
        <w:rPr>
          <w:color w:val="000000"/>
        </w:rPr>
        <w:t>). Toward an integrative and fine-grained insight in motivating and demotivating teaching styles: The merits of a circumplex approach</w:t>
      </w:r>
      <w:r>
        <w:rPr>
          <w:color w:val="000000"/>
        </w:rPr>
        <w:t xml:space="preserve">. </w:t>
      </w:r>
      <w:r>
        <w:rPr>
          <w:rStyle w:val="Emphasis"/>
          <w:rFonts w:ascii="SimSun" w:hAnsi="SimSun" w:cs="SimSun"/>
        </w:rPr>
        <w:t>J</w:t>
      </w:r>
      <w:r>
        <w:rPr>
          <w:rStyle w:val="Emphasis"/>
        </w:rPr>
        <w:t>ournal of Educational</w:t>
      </w:r>
      <w:r>
        <w:rPr>
          <w:rStyle w:val="Emphasis"/>
        </w:rPr>
        <w:t xml:space="preserve"> </w:t>
      </w:r>
      <w:r>
        <w:rPr>
          <w:rStyle w:val="Emphasis"/>
        </w:rPr>
        <w:t>Psychology, 111</w:t>
      </w:r>
      <w:r>
        <w:t>(3), 497–521</w:t>
      </w:r>
      <w:r>
        <w:rPr>
          <w:rFonts w:ascii="SimSun" w:hAnsi="SimSun" w:cs="SimSun"/>
        </w:rPr>
        <w:t xml:space="preserve">. </w:t>
      </w:r>
      <w:hyperlink r:id="rId19" w:tgtFrame="_new" w:history="1">
        <w:r>
          <w:rPr>
            <w:rStyle w:val="Hyperlink"/>
            <w:rFonts w:ascii="SimSun" w:hAnsi="SimSun" w:cs="SimSun"/>
          </w:rPr>
          <w:t>https://doi.org/10.1037/edu000029</w:t>
        </w:r>
      </w:hyperlink>
      <w:r>
        <w:rPr>
          <w:rFonts w:ascii="SimSun" w:hAnsi="SimSun" w:cs="SimSun"/>
        </w:rPr>
        <w:t>3</w:t>
      </w:r>
    </w:p>
    <w:p w:rsidR="00884D8F" w:rsidRDefault="006251CF">
      <w:pPr>
        <w:pStyle w:val="NormalWeb"/>
        <w:numPr>
          <w:ilvl w:val="0"/>
          <w:numId w:val="3"/>
        </w:numPr>
        <w:tabs>
          <w:tab w:val="clear" w:pos="425"/>
        </w:tabs>
        <w:spacing w:before="240" w:beforeAutospacing="0" w:after="240" w:afterAutospacing="0"/>
        <w:jc w:val="both"/>
      </w:pPr>
      <w:r>
        <w:rPr>
          <w:color w:val="000000"/>
        </w:rPr>
        <w:t xml:space="preserve">Patall, E. A., Cooper, H., &amp; Wynn, S. R. (2024). Autonomy-supportive instruction and student motivation: A meta-analytic review. </w:t>
      </w:r>
      <w:r>
        <w:rPr>
          <w:i/>
          <w:iCs/>
          <w:color w:val="000000"/>
        </w:rPr>
        <w:t>Scientific Reports, 14</w:t>
      </w:r>
      <w:r>
        <w:rPr>
          <w:color w:val="000000"/>
        </w:rPr>
        <w:t>, Article 74878.</w:t>
      </w:r>
      <w:hyperlink r:id="rId20" w:history="1">
        <w:r>
          <w:rPr>
            <w:rStyle w:val="Hyperlink"/>
            <w:color w:val="000000"/>
            <w:u w:val="none"/>
          </w:rPr>
          <w:t xml:space="preserve"> </w:t>
        </w:r>
        <w:r>
          <w:rPr>
            <w:rStyle w:val="Hyperlink"/>
            <w:color w:val="1155CC"/>
          </w:rPr>
          <w:t>https://doi.org/10.1038/s41598-024-74878-4</w:t>
        </w:r>
      </w:hyperlink>
    </w:p>
    <w:p w:rsidR="00884D8F" w:rsidRDefault="006251CF">
      <w:pPr>
        <w:pStyle w:val="NormalWeb"/>
        <w:numPr>
          <w:ilvl w:val="0"/>
          <w:numId w:val="3"/>
        </w:numPr>
        <w:tabs>
          <w:tab w:val="clear" w:pos="425"/>
        </w:tabs>
        <w:spacing w:before="240" w:beforeAutospacing="0" w:after="240" w:afterAutospacing="0"/>
        <w:jc w:val="both"/>
      </w:pPr>
      <w:r>
        <w:rPr>
          <w:color w:val="000000"/>
        </w:rPr>
        <w:t xml:space="preserve">Partnership for 21st Century Learning. (2019). </w:t>
      </w:r>
      <w:r>
        <w:rPr>
          <w:i/>
          <w:iCs/>
          <w:color w:val="000000"/>
        </w:rPr>
        <w:t>Framework for 21st century learning</w:t>
      </w:r>
      <w:r>
        <w:rPr>
          <w:color w:val="000000"/>
        </w:rPr>
        <w:t xml:space="preserve">. </w:t>
      </w:r>
      <w:hyperlink r:id="rId21" w:history="1">
        <w:r>
          <w:rPr>
            <w:rStyle w:val="Hyperlink"/>
          </w:rPr>
          <w:t>http://www.battelleforkids.org</w:t>
        </w:r>
      </w:hyperlink>
      <w:r>
        <w:rPr>
          <w:color w:val="000000"/>
        </w:rPr>
        <w:t xml:space="preserve"> </w:t>
      </w:r>
    </w:p>
    <w:p w:rsidR="00884D8F" w:rsidRDefault="006251CF">
      <w:pPr>
        <w:pStyle w:val="NormalWeb"/>
        <w:numPr>
          <w:ilvl w:val="0"/>
          <w:numId w:val="3"/>
        </w:numPr>
        <w:tabs>
          <w:tab w:val="clear" w:pos="425"/>
        </w:tabs>
        <w:spacing w:before="240" w:beforeAutospacing="0" w:after="240" w:afterAutospacing="0"/>
        <w:jc w:val="both"/>
      </w:pPr>
      <w:r>
        <w:rPr>
          <w:color w:val="000000"/>
        </w:rPr>
        <w:t xml:space="preserve">Schmid, R., Brianza, E., &amp; Petko, D. (2024). Developing 21st-century skills through digital learning: A meta-analysis. </w:t>
      </w:r>
      <w:r>
        <w:rPr>
          <w:i/>
          <w:iCs/>
          <w:color w:val="000000"/>
        </w:rPr>
        <w:t>Computers &amp; Education, 200</w:t>
      </w:r>
      <w:r>
        <w:rPr>
          <w:color w:val="000000"/>
        </w:rPr>
        <w:t xml:space="preserve">, 104828. </w:t>
      </w:r>
      <w:hyperlink r:id="rId22" w:history="1">
        <w:r>
          <w:rPr>
            <w:rStyle w:val="Hyperlink"/>
          </w:rPr>
          <w:t>https://doi.org/10.1016/j.compedu.2023.104</w:t>
        </w:r>
        <w:r>
          <w:rPr>
            <w:rStyle w:val="Hyperlink"/>
          </w:rPr>
          <w:t>828</w:t>
        </w:r>
      </w:hyperlink>
      <w:r>
        <w:rPr>
          <w:color w:val="000000"/>
        </w:rPr>
        <w:t xml:space="preserve"> </w:t>
      </w:r>
      <w:r>
        <w:rPr>
          <w:color w:val="000000"/>
        </w:rPr>
        <w:t> </w:t>
      </w:r>
    </w:p>
    <w:p w:rsidR="00884D8F" w:rsidRDefault="006251CF">
      <w:pPr>
        <w:pStyle w:val="NormalWeb"/>
        <w:numPr>
          <w:ilvl w:val="0"/>
          <w:numId w:val="3"/>
        </w:numPr>
        <w:tabs>
          <w:tab w:val="clear" w:pos="425"/>
        </w:tabs>
        <w:spacing w:before="240" w:beforeAutospacing="0" w:after="240" w:afterAutospacing="0"/>
        <w:jc w:val="both"/>
      </w:pPr>
      <w:r>
        <w:rPr>
          <w:color w:val="000000"/>
        </w:rPr>
        <w:t xml:space="preserve">Braun, V., &amp; Clarke, V. (2006). Using thematic analysis in psychology. </w:t>
      </w:r>
      <w:r>
        <w:rPr>
          <w:i/>
          <w:iCs/>
          <w:color w:val="000000"/>
        </w:rPr>
        <w:t>Qualitative Research in Psychology, 3</w:t>
      </w:r>
      <w:r>
        <w:rPr>
          <w:color w:val="000000"/>
        </w:rPr>
        <w:t>(2), 77–101.</w:t>
      </w:r>
      <w:hyperlink r:id="rId23" w:history="1">
        <w:r>
          <w:rPr>
            <w:rStyle w:val="Hyperlink"/>
            <w:color w:val="000000"/>
            <w:u w:val="none"/>
          </w:rPr>
          <w:t xml:space="preserve"> </w:t>
        </w:r>
        <w:r>
          <w:rPr>
            <w:rStyle w:val="Hyperlink"/>
            <w:color w:val="1155CC"/>
            <w:u w:val="none"/>
          </w:rPr>
          <w:t>https://doi.org/10.1191/1478088706qp063oa</w:t>
        </w:r>
      </w:hyperlink>
      <w:r>
        <w:t xml:space="preserve"> </w:t>
      </w:r>
      <w:r>
        <w:rPr>
          <w:color w:val="000000"/>
        </w:rPr>
        <w:t> </w:t>
      </w:r>
    </w:p>
    <w:sectPr w:rsidR="00884D8F">
      <w:footerReference w:type="default" r:id="rId24"/>
      <w:pgSz w:w="11906" w:h="16838"/>
      <w:pgMar w:top="1094"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1CF" w:rsidRDefault="006251CF">
      <w:r>
        <w:separator/>
      </w:r>
    </w:p>
  </w:endnote>
  <w:endnote w:type="continuationSeparator" w:id="0">
    <w:p w:rsidR="006251CF" w:rsidRDefault="0062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D8F" w:rsidRDefault="006251CF">
    <w:pPr>
      <w:pStyle w:val="Footer"/>
    </w:pPr>
    <w:r>
      <w:rPr>
        <w:noProof/>
        <w:lang w:val="en-IN" w:eastAsia="en-I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84D8F" w:rsidRDefault="006251CF">
                          <w:pPr>
                            <w:pStyle w:val="Footer"/>
                          </w:pPr>
                          <w:r>
                            <w:fldChar w:fldCharType="begin"/>
                          </w:r>
                          <w:r>
                            <w:instrText xml:space="preserve"> PAGE  \* MERGEFORMAT</w:instrText>
                          </w:r>
                          <w:r>
                            <w:instrText xml:space="preserve"> </w:instrText>
                          </w:r>
                          <w:r>
                            <w:fldChar w:fldCharType="separate"/>
                          </w:r>
                          <w:r w:rsidR="007B2EDD">
                            <w:rPr>
                              <w:noProof/>
                            </w:rPr>
                            <w:t>1</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MFsgEAAGMDAAAOAAAAZHJzL2Uyb0RvYy54bWysU02P2yAQvVfqf0DcG5wcqsiKs2q72qpS&#10;1Vba7Q8gGGIkYBDDxk5/fQdsZ/txq3rBw8zw5r2Z8eFu8o5ddEILoePbTcOZDgp6G84d//708GbP&#10;GWYZeukg6I5fNfK74+tXhzG2egcDuF4nRiAB2zF2fMg5tkKgGrSXuIGoAwUNJC8zXdNZ9EmOhO6d&#10;2DXNWzFC6mMCpRHJez8H+bHiG6NV/moM6sxcx4lbrmeq56mc4niQ7TnJOFi10JD/wMJLG6joDepe&#10;Zsmek/0LyluVAMHkjQIvwBirdNVAarbNH2oeBxl11ULNwXhrE/4/WPXl8i0x29PsOAvS04ie9JTZ&#10;e5jYtnRnjNhS0mOktDyRu2QufiRnET2Z5MuX5DCKU5+vt94WMFUe7Xf7fUMhRbH1Qjji5XlMmD9q&#10;8KwYHU80vNpTefmMeU5dU0q1AA/WOfLL1oXfHIRZPKJwnzkWK0+naSF+gv5Kemhvqc4A6QdnI+1A&#10;xwMtKWfuU6AWl3VZjbQap9WQQdHDjmfOZvNDrmtViGB895yJXSVdSs/1FkY0ySp72bqyKr/ea9bL&#10;v3H8CQ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ADAjMFsgEAAGMDAAAOAAAAAAAAAAAAAAAAAC4CAABkcnMvZTJvRG9jLnhtbFBLAQIt&#10;ABQABgAIAAAAIQAMSvDu1gAAAAUBAAAPAAAAAAAAAAAAAAAAAAwEAABkcnMvZG93bnJldi54bWxQ&#10;SwUGAAAAAAQABADzAAAADwUAAAAA&#10;" filled="f" stroked="f">
              <v:textbox style="mso-fit-shape-to-text:t" inset="0,0,0,0">
                <w:txbxContent>
                  <w:p w:rsidR="00884D8F" w:rsidRDefault="006251CF">
                    <w:pPr>
                      <w:pStyle w:val="Footer"/>
                    </w:pPr>
                    <w:r>
                      <w:fldChar w:fldCharType="begin"/>
                    </w:r>
                    <w:r>
                      <w:instrText xml:space="preserve"> PAGE  \* MERGEFORMAT</w:instrText>
                    </w:r>
                    <w:r>
                      <w:instrText xml:space="preserve"> </w:instrText>
                    </w:r>
                    <w:r>
                      <w:fldChar w:fldCharType="separate"/>
                    </w:r>
                    <w:r w:rsidR="007B2EDD">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1CF" w:rsidRDefault="006251CF">
      <w:r>
        <w:separator/>
      </w:r>
    </w:p>
  </w:footnote>
  <w:footnote w:type="continuationSeparator" w:id="0">
    <w:p w:rsidR="006251CF" w:rsidRDefault="006251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69F94"/>
    <w:multiLevelType w:val="singleLevel"/>
    <w:tmpl w:val="36169F94"/>
    <w:lvl w:ilvl="0">
      <w:start w:val="1"/>
      <w:numFmt w:val="decimal"/>
      <w:lvlText w:val="%1."/>
      <w:lvlJc w:val="left"/>
      <w:pPr>
        <w:tabs>
          <w:tab w:val="left" w:pos="425"/>
        </w:tabs>
        <w:ind w:left="425" w:hanging="425"/>
      </w:pPr>
      <w:rPr>
        <w:rFonts w:hint="default"/>
      </w:rPr>
    </w:lvl>
  </w:abstractNum>
  <w:abstractNum w:abstractNumId="1">
    <w:nsid w:val="5C662BD2"/>
    <w:multiLevelType w:val="singleLevel"/>
    <w:tmpl w:val="5C662BD2"/>
    <w:lvl w:ilvl="0">
      <w:start w:val="1"/>
      <w:numFmt w:val="decimal"/>
      <w:lvlText w:val="%1."/>
      <w:lvlJc w:val="left"/>
      <w:pPr>
        <w:tabs>
          <w:tab w:val="left" w:pos="425"/>
        </w:tabs>
        <w:ind w:left="425" w:hanging="425"/>
      </w:pPr>
      <w:rPr>
        <w:rFonts w:hint="default"/>
      </w:rPr>
    </w:lvl>
  </w:abstractNum>
  <w:abstractNum w:abstractNumId="2">
    <w:nsid w:val="7B127036"/>
    <w:multiLevelType w:val="singleLevel"/>
    <w:tmpl w:val="7B127036"/>
    <w:lvl w:ilvl="0">
      <w:start w:val="1"/>
      <w:numFmt w:val="decimal"/>
      <w:lvlText w:val="%1."/>
      <w:lvlJc w:val="left"/>
      <w:pPr>
        <w:tabs>
          <w:tab w:val="left" w:pos="425"/>
        </w:tabs>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D74971"/>
    <w:rsid w:val="006251CF"/>
    <w:rsid w:val="007B2EDD"/>
    <w:rsid w:val="00884D8F"/>
    <w:rsid w:val="09ED3AD6"/>
    <w:rsid w:val="0D8920C3"/>
    <w:rsid w:val="0EFE76A6"/>
    <w:rsid w:val="14057D41"/>
    <w:rsid w:val="17D74971"/>
    <w:rsid w:val="202C1558"/>
    <w:rsid w:val="22866336"/>
    <w:rsid w:val="247321DC"/>
    <w:rsid w:val="5FEA0F76"/>
    <w:rsid w:val="67F14C93"/>
    <w:rsid w:val="6B365819"/>
    <w:rsid w:val="73E44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lang w:val="en-US" w:eastAsia="zh-CN"/>
    </w:rPr>
  </w:style>
  <w:style w:type="paragraph" w:styleId="Heading1">
    <w:name w:val="heading 1"/>
    <w:next w:val="Normal"/>
    <w:qFormat/>
    <w:pPr>
      <w:spacing w:before="100" w:beforeAutospacing="1" w:after="100" w:afterAutospacing="1"/>
      <w:outlineLvl w:val="0"/>
    </w:pPr>
    <w:rPr>
      <w:rFonts w:ascii="SimSun" w:hAnsi="SimSun" w:hint="eastAsia"/>
      <w:b/>
      <w:bCs/>
      <w:kern w:val="44"/>
      <w:sz w:val="48"/>
      <w:szCs w:val="48"/>
      <w:lang w:val="en-US" w:eastAsia="zh-CN"/>
    </w:rPr>
  </w:style>
  <w:style w:type="paragraph" w:styleId="Heading2">
    <w:name w:val="heading 2"/>
    <w:next w:val="Normal"/>
    <w:unhideWhenUsed/>
    <w:qFormat/>
    <w:pPr>
      <w:spacing w:before="100" w:beforeAutospacing="1" w:after="100" w:afterAutospacing="1"/>
      <w:outlineLvl w:val="1"/>
    </w:pPr>
    <w:rPr>
      <w:rFonts w:ascii="SimSun" w:hAnsi="SimSun" w:hint="eastAsia"/>
      <w:b/>
      <w:bCs/>
      <w:sz w:val="36"/>
      <w:szCs w:val="36"/>
      <w:lang w:val="en-US" w:eastAsia="zh-CN"/>
    </w:rPr>
  </w:style>
  <w:style w:type="paragraph" w:styleId="Heading3">
    <w:name w:val="heading 3"/>
    <w:next w:val="Normal"/>
    <w:unhideWhenUsed/>
    <w:qFormat/>
    <w:pPr>
      <w:spacing w:before="100" w:beforeAutospacing="1" w:after="100"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qFormat/>
    <w:pPr>
      <w:spacing w:before="100" w:beforeAutospacing="1" w:after="100" w:afterAutospacing="1"/>
    </w:pPr>
    <w:rPr>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lang w:val="en-US" w:eastAsia="zh-CN"/>
    </w:rPr>
  </w:style>
  <w:style w:type="paragraph" w:styleId="Heading1">
    <w:name w:val="heading 1"/>
    <w:next w:val="Normal"/>
    <w:qFormat/>
    <w:pPr>
      <w:spacing w:before="100" w:beforeAutospacing="1" w:after="100" w:afterAutospacing="1"/>
      <w:outlineLvl w:val="0"/>
    </w:pPr>
    <w:rPr>
      <w:rFonts w:ascii="SimSun" w:hAnsi="SimSun" w:hint="eastAsia"/>
      <w:b/>
      <w:bCs/>
      <w:kern w:val="44"/>
      <w:sz w:val="48"/>
      <w:szCs w:val="48"/>
      <w:lang w:val="en-US" w:eastAsia="zh-CN"/>
    </w:rPr>
  </w:style>
  <w:style w:type="paragraph" w:styleId="Heading2">
    <w:name w:val="heading 2"/>
    <w:next w:val="Normal"/>
    <w:unhideWhenUsed/>
    <w:qFormat/>
    <w:pPr>
      <w:spacing w:before="100" w:beforeAutospacing="1" w:after="100" w:afterAutospacing="1"/>
      <w:outlineLvl w:val="1"/>
    </w:pPr>
    <w:rPr>
      <w:rFonts w:ascii="SimSun" w:hAnsi="SimSun" w:hint="eastAsia"/>
      <w:b/>
      <w:bCs/>
      <w:sz w:val="36"/>
      <w:szCs w:val="36"/>
      <w:lang w:val="en-US" w:eastAsia="zh-CN"/>
    </w:rPr>
  </w:style>
  <w:style w:type="paragraph" w:styleId="Heading3">
    <w:name w:val="heading 3"/>
    <w:next w:val="Normal"/>
    <w:unhideWhenUsed/>
    <w:qFormat/>
    <w:pPr>
      <w:spacing w:before="100" w:beforeAutospacing="1" w:after="100"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qFormat/>
    <w:pPr>
      <w:spacing w:before="100" w:beforeAutospacing="1" w:after="100" w:afterAutospacing="1"/>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80/0144929X.2024.2345295" TargetMode="External"/><Relationship Id="rId18" Type="http://schemas.openxmlformats.org/officeDocument/2006/relationships/hyperlink" Target="https://psycnet.apa.org/doi/10.1521/978.14625/2880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attelleforkids.org" TargetMode="External"/><Relationship Id="rId7" Type="http://schemas.openxmlformats.org/officeDocument/2006/relationships/footnotes" Target="footnotes.xml"/><Relationship Id="rId12" Type="http://schemas.openxmlformats.org/officeDocument/2006/relationships/hyperlink" Target="https://doi.org/10.1787/e13bef63-en" TargetMode="External"/><Relationship Id="rId17" Type="http://schemas.openxmlformats.org/officeDocument/2006/relationships/hyperlink" Target="https://www.oecd.org/education/2030-projec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ecd.org/education/2030-project/" TargetMode="External"/><Relationship Id="rId20" Type="http://schemas.openxmlformats.org/officeDocument/2006/relationships/hyperlink" Target="https://doi.org/10.1038/s41598-024-74878-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80/00220272.2012.668938"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1007/s11423-024-10234-8" TargetMode="External"/><Relationship Id="rId23" Type="http://schemas.openxmlformats.org/officeDocument/2006/relationships/hyperlink" Target="https://doi.org/10.1191/1478088706qp063oa" TargetMode="External"/><Relationship Id="rId10" Type="http://schemas.openxmlformats.org/officeDocument/2006/relationships/hyperlink" Target="https://doi.org/10.1002/berj.70031" TargetMode="External"/><Relationship Id="rId19" Type="http://schemas.openxmlformats.org/officeDocument/2006/relationships/hyperlink" Target="https://doi.org/10.1037/edu0000293" TargetMode="External"/><Relationship Id="rId4" Type="http://schemas.microsoft.com/office/2007/relationships/stylesWithEffects" Target="stylesWithEffects.xml"/><Relationship Id="rId9" Type="http://schemas.openxmlformats.org/officeDocument/2006/relationships/hyperlink" Target="https://doi.org/10.1016/j.tate.2024.104702" TargetMode="External"/><Relationship Id="rId14" Type="http://schemas.openxmlformats.org/officeDocument/2006/relationships/hyperlink" Target="https://doi.org/10.1186/s41239-025-00551-z" TargetMode="External"/><Relationship Id="rId22" Type="http://schemas.openxmlformats.org/officeDocument/2006/relationships/hyperlink" Target="https://doi.org/10.1016/j.compedu.2023.104828"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Pages>
  <Words>3351</Words>
  <Characters>19103</Characters>
  <Application>Microsoft Office Word</Application>
  <DocSecurity>0</DocSecurity>
  <Lines>159</Lines>
  <Paragraphs>44</Paragraphs>
  <ScaleCrop>false</ScaleCrop>
  <Company/>
  <LinksUpToDate>false</LinksUpToDate>
  <CharactersWithSpaces>22410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2</cp:revision>
  <dcterms:created xsi:type="dcterms:W3CDTF">2026-05-05T15:35:00Z</dcterms:created>
  <dcterms:modified xsi:type="dcterms:W3CDTF">2026-05-09T13:57:00Z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38A3F2ADAFFC41C48D386B3EF33A33BD_13</vt:lpwstr>
  </property>
  <property fmtid="{D5CDD505-2E9C-101B-9397-08002B2CF9AE}" pid="4" name="KSOTemplateDocerSaveRecord">
    <vt:lpwstr>eyJoZGlkIjoiZDBhMDFkMTA2MDQyOTkwYWI1YThjMTlkYzZlYjBhNjAiLCJ1c2VySWQiOiI4ODEzOTUyNjE0NjYzIn0=</vt:lpwstr>
  </property>
</Properties>
</file>