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23F" w:rsidRPr="009F50A8" w:rsidRDefault="009F50A8" w:rsidP="009F50A8">
      <w:pPr>
        <w:spacing w:after="0"/>
        <w:jc w:val="center"/>
        <w:rPr>
          <w:rFonts w:ascii="Times New Roman" w:hAnsi="Times New Roman" w:cs="Times New Roman"/>
          <w:b/>
          <w:sz w:val="28"/>
          <w:szCs w:val="24"/>
        </w:rPr>
      </w:pPr>
      <w:r>
        <w:rPr>
          <w:rFonts w:ascii="Times New Roman" w:hAnsi="Times New Roman" w:cs="Times New Roman"/>
          <w:b/>
          <w:sz w:val="28"/>
          <w:szCs w:val="24"/>
        </w:rPr>
        <w:t>Cultural CyberMath System in E</w:t>
      </w:r>
      <w:r w:rsidRPr="009F50A8">
        <w:rPr>
          <w:rFonts w:ascii="Times New Roman" w:hAnsi="Times New Roman" w:cs="Times New Roman"/>
          <w:b/>
          <w:sz w:val="28"/>
          <w:szCs w:val="24"/>
        </w:rPr>
        <w:t>nhanci</w:t>
      </w:r>
      <w:r>
        <w:rPr>
          <w:rFonts w:ascii="Times New Roman" w:hAnsi="Times New Roman" w:cs="Times New Roman"/>
          <w:b/>
          <w:sz w:val="28"/>
          <w:szCs w:val="24"/>
        </w:rPr>
        <w:t>ng S</w:t>
      </w:r>
      <w:r w:rsidRPr="009F50A8">
        <w:rPr>
          <w:rFonts w:ascii="Times New Roman" w:hAnsi="Times New Roman" w:cs="Times New Roman"/>
          <w:b/>
          <w:sz w:val="28"/>
          <w:szCs w:val="24"/>
        </w:rPr>
        <w:t>tudents’</w:t>
      </w:r>
      <w:r>
        <w:rPr>
          <w:rFonts w:ascii="Times New Roman" w:hAnsi="Times New Roman" w:cs="Times New Roman"/>
          <w:b/>
          <w:sz w:val="28"/>
          <w:szCs w:val="24"/>
        </w:rPr>
        <w:t xml:space="preserve"> Mathematical C</w:t>
      </w:r>
      <w:r w:rsidRPr="009F50A8">
        <w:rPr>
          <w:rFonts w:ascii="Times New Roman" w:hAnsi="Times New Roman" w:cs="Times New Roman"/>
          <w:b/>
          <w:sz w:val="28"/>
          <w:szCs w:val="24"/>
        </w:rPr>
        <w:t>reativity</w:t>
      </w:r>
    </w:p>
    <w:p w:rsidR="009F50A8" w:rsidRDefault="009F50A8" w:rsidP="009F50A8">
      <w:pPr>
        <w:spacing w:after="0"/>
        <w:jc w:val="center"/>
        <w:rPr>
          <w:rFonts w:ascii="Times New Roman" w:hAnsi="Times New Roman" w:cs="Times New Roman"/>
          <w:b/>
          <w:sz w:val="24"/>
          <w:szCs w:val="24"/>
        </w:rPr>
      </w:pPr>
    </w:p>
    <w:p w:rsidR="00A31D67" w:rsidRPr="009F50A8" w:rsidRDefault="00A31D67" w:rsidP="009F50A8">
      <w:pPr>
        <w:spacing w:after="0"/>
        <w:jc w:val="center"/>
        <w:rPr>
          <w:rFonts w:ascii="Times New Roman" w:hAnsi="Times New Roman" w:cs="Times New Roman"/>
          <w:b/>
          <w:sz w:val="24"/>
          <w:szCs w:val="24"/>
        </w:rPr>
      </w:pPr>
      <w:bookmarkStart w:id="0" w:name="_GoBack"/>
      <w:bookmarkEnd w:id="0"/>
    </w:p>
    <w:p w:rsidR="001F206C" w:rsidRPr="009F50A8" w:rsidRDefault="001F206C" w:rsidP="009F50A8">
      <w:pPr>
        <w:spacing w:before="240" w:after="240"/>
        <w:rPr>
          <w:rFonts w:ascii="Times New Roman" w:hAnsi="Times New Roman" w:cs="Times New Roman"/>
          <w:b/>
          <w:sz w:val="24"/>
          <w:szCs w:val="24"/>
        </w:rPr>
      </w:pPr>
      <w:r w:rsidRPr="009F50A8">
        <w:rPr>
          <w:rFonts w:ascii="Times New Roman" w:hAnsi="Times New Roman" w:cs="Times New Roman"/>
          <w:b/>
          <w:sz w:val="24"/>
          <w:szCs w:val="24"/>
        </w:rPr>
        <w:t>ABSTRACT</w:t>
      </w:r>
    </w:p>
    <w:p w:rsidR="001F206C" w:rsidRPr="009F50A8" w:rsidRDefault="001F206C"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The study investigates the effectiveness of the Cultural CyberMath System (CCMS), a culturally embedded cyber</w:t>
      </w:r>
      <w:r w:rsidRPr="009F50A8">
        <w:rPr>
          <w:rFonts w:ascii="Times New Roman" w:hAnsi="Times New Roman" w:cs="Times New Roman"/>
          <w:sz w:val="24"/>
          <w:szCs w:val="24"/>
        </w:rPr>
        <w:noBreakHyphen/>
        <w:t>learning environment grounded in the 5I’s learning path (Impress–Identify–Inspire–Inspect–Invoke), in enhancing students’ mathematical creativity. Drawing on gaps in technology</w:t>
      </w:r>
      <w:r w:rsidRPr="009F50A8">
        <w:rPr>
          <w:rFonts w:ascii="Times New Roman" w:hAnsi="Times New Roman" w:cs="Times New Roman"/>
          <w:sz w:val="24"/>
          <w:szCs w:val="24"/>
        </w:rPr>
        <w:noBreakHyphen/>
        <w:t>enhanced, culturally responsive mathematics education, the study focuses on three indicators of creativity: fluency, flexibility, and originality. A quasi</w:t>
      </w:r>
      <w:r w:rsidRPr="009F50A8">
        <w:rPr>
          <w:rFonts w:ascii="Times New Roman" w:hAnsi="Times New Roman" w:cs="Times New Roman"/>
          <w:sz w:val="24"/>
          <w:szCs w:val="24"/>
        </w:rPr>
        <w:noBreakHyphen/>
        <w:t>experimental pretest–posttest control group design was implemented with 62 first</w:t>
      </w:r>
      <w:r w:rsidRPr="009F50A8">
        <w:rPr>
          <w:rFonts w:ascii="Times New Roman" w:hAnsi="Times New Roman" w:cs="Times New Roman"/>
          <w:sz w:val="24"/>
          <w:szCs w:val="24"/>
        </w:rPr>
        <w:noBreakHyphen/>
        <w:t>year hospitality management students enrolled in Mathematics in the Modern World at a Philippine state university, randomly assigned by class to an experimental group (CCMS) and a control group (contextualized blended instruction). Mathematical creativity was measured using a validated, rubric</w:t>
      </w:r>
      <w:r w:rsidRPr="009F50A8">
        <w:rPr>
          <w:rFonts w:ascii="Times New Roman" w:hAnsi="Times New Roman" w:cs="Times New Roman"/>
          <w:sz w:val="24"/>
          <w:szCs w:val="24"/>
        </w:rPr>
        <w:noBreakHyphen/>
        <w:t>scored Mathematical Creativity Test composed of open</w:t>
      </w:r>
      <w:r w:rsidRPr="009F50A8">
        <w:rPr>
          <w:rFonts w:ascii="Times New Roman" w:hAnsi="Times New Roman" w:cs="Times New Roman"/>
          <w:sz w:val="24"/>
          <w:szCs w:val="24"/>
        </w:rPr>
        <w:noBreakHyphen/>
        <w:t>ended, multiple</w:t>
      </w:r>
      <w:r w:rsidRPr="009F50A8">
        <w:rPr>
          <w:rFonts w:ascii="Times New Roman" w:hAnsi="Times New Roman" w:cs="Times New Roman"/>
          <w:sz w:val="24"/>
          <w:szCs w:val="24"/>
        </w:rPr>
        <w:noBreakHyphen/>
        <w:t>solution tasks. Data were analyzed using descriptive statistics and ANCOVA with pretest scores as covariates. Results showed substantial gains in fluency, flexibility, and originality in both groups, with no significant differences in posttest fluency and flexibility. However, CCMS produced a statistically higher level of originality, indicating stronger support for generating uncommon and innovative solutions. Overall, the findings position CCMS as a viable alternative to contextualized blended instruction for fostering broad mathematical creativity, with added value for originality, and highlight the potential of culturally grounded cyber</w:t>
      </w:r>
      <w:r w:rsidRPr="009F50A8">
        <w:rPr>
          <w:rFonts w:ascii="Times New Roman" w:hAnsi="Times New Roman" w:cs="Times New Roman"/>
          <w:sz w:val="24"/>
          <w:szCs w:val="24"/>
        </w:rPr>
        <w:noBreakHyphen/>
        <w:t>learning designs to cultivate creative mathematical thinking.</w:t>
      </w:r>
    </w:p>
    <w:p w:rsidR="001F206C" w:rsidRPr="009F50A8" w:rsidRDefault="00DF3A0F" w:rsidP="009F50A8">
      <w:pPr>
        <w:spacing w:before="240" w:after="240"/>
        <w:rPr>
          <w:rFonts w:ascii="Times New Roman" w:hAnsi="Times New Roman" w:cs="Times New Roman"/>
          <w:i/>
          <w:sz w:val="24"/>
          <w:szCs w:val="24"/>
        </w:rPr>
      </w:pPr>
      <w:r>
        <w:rPr>
          <w:rFonts w:ascii="Times New Roman" w:hAnsi="Times New Roman" w:cs="Times New Roman"/>
          <w:i/>
          <w:sz w:val="24"/>
          <w:szCs w:val="24"/>
        </w:rPr>
        <w:t>K</w:t>
      </w:r>
      <w:r w:rsidR="009F50A8" w:rsidRPr="009F50A8">
        <w:rPr>
          <w:rFonts w:ascii="Times New Roman" w:hAnsi="Times New Roman" w:cs="Times New Roman"/>
          <w:i/>
          <w:sz w:val="24"/>
          <w:szCs w:val="24"/>
        </w:rPr>
        <w:t>eywords: Cultural CyberMath System, Mathematical Creativity, Fluency, Flexibility, Originality</w:t>
      </w:r>
    </w:p>
    <w:p w:rsidR="002B7B34" w:rsidRPr="009F50A8" w:rsidRDefault="001F206C" w:rsidP="009F50A8">
      <w:pPr>
        <w:spacing w:before="240" w:after="240"/>
        <w:rPr>
          <w:rFonts w:ascii="Times New Roman" w:hAnsi="Times New Roman" w:cs="Times New Roman"/>
          <w:b/>
          <w:sz w:val="28"/>
          <w:szCs w:val="24"/>
        </w:rPr>
      </w:pPr>
      <w:r w:rsidRPr="009F50A8">
        <w:rPr>
          <w:rFonts w:ascii="Times New Roman" w:hAnsi="Times New Roman" w:cs="Times New Roman"/>
          <w:b/>
          <w:sz w:val="28"/>
          <w:szCs w:val="24"/>
        </w:rPr>
        <w:t>INTRODUCTION</w:t>
      </w:r>
    </w:p>
    <w:p w:rsidR="002B7B34" w:rsidRPr="009F50A8" w:rsidRDefault="002B7B3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Mathematics education continues to face the pressing challenge that many students experience mathematics as rigid, procedural, and disconnected from their lived realities, which suppresses creativity and engagement despite curriculum calls for higher-order thinking and problem solving. Traditional instruction in many classrooms still emphasizes routine exercises, algorithmic practice, and preparation for high-stakes tests, leaving little space for open-ended exploration, multiple solution paths, and creative reasoning. At the same time, the rapid expansion of digital technologies has not been fully leveraged to design culturally responsive learning environments that integrate learners’ cultural practices, local contexts, and digital experiences into mathematical activity. This gap is especially critical in diverse societies where students’ cultural knowledge and digital habits could be powerful resources for creative mathematical thinking but often remain untapped in conventional lessons. A Cultural Cyber Math System directly responds to this issue by using technology to embed culturally meaningful tasks and interactive features that invite students to experiment, represent ideas in varied ways, and collaboratively construct solutions, thereby positioning creativity as central rather than peripheral to learning mathematics.</w:t>
      </w:r>
    </w:p>
    <w:p w:rsidR="00231B34" w:rsidRPr="009F50A8" w:rsidRDefault="0098282D"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Indeed, </w:t>
      </w:r>
      <w:r w:rsidR="00231B34" w:rsidRPr="009F50A8">
        <w:rPr>
          <w:rFonts w:ascii="Times New Roman" w:hAnsi="Times New Roman" w:cs="Times New Roman"/>
          <w:sz w:val="24"/>
          <w:szCs w:val="24"/>
        </w:rPr>
        <w:t>mathematics education often underutilizes technology’s potential to connect formal mathematics with students’ cultural experiences and higher-order thinking, especially creativity. Technology-enhanced, culturally responsive models are shown to improve problem solving, numeracy, engagement, and identity, yet they remain relatively rare and fragmented in practice (Fitri et al., 2025; Hidayat &amp; Firmanti, 2024; Nursyahidah et al., 2025; Sunzuma &amp; Umbara, 2025; Viberg et al., 2020). These studies highlight that digital tools such as GeoGebra, AR/VR, interactive slides, and game-based platforms can mediate culturally grounded tasks that promote mathematical reasoning, discovery, and student agency, but most implementations focus on content mastery and motivation rather than systematically nurturing creativity in mathematics (Bertrand et al., 2024; Sianipar et al., 2025; Dosinaeng et al., 2025; Salsabila et al., 2025). This body of work therefore substantiates the need for intentional designs that link culture, technology, and creative mathematical activity, aligning closely with the rationale for developing a Cultural Cyber Math System.</w:t>
      </w:r>
    </w:p>
    <w:p w:rsidR="00231B34" w:rsidRPr="009F50A8" w:rsidRDefault="00231B3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lastRenderedPageBreak/>
        <w:t>From a global perspective, research in Indonesia, Sweden, and other international contexts illustrates both promising practices and persistent gaps in technology-supported, culturally responsive mathematics teaching. In Indonesia, systematic reviews and intervention studies document growing use of ethnomathematics-based technologies and digital media that embed local wisdom and cultural narratives, leading to gains in mathematical understanding, motivation, and appreciation of culture (Sunzuma &amp; Umbara, 2025; Dosinaeng et al., 2025; Hasbi et al., 2025). In Sweden, case studies show that digital tools can support conceptual understanding and engagement, but also reveal that teacher practices and school cultures often limit deep integration of technology into inquiry-based, collaborative learning (Viberg et al., 2020). Within the Philippine setting, phenomenological findings indicate that mathematics teachers recognize the value of culturally responsive pedagogy yet face challenges related to resources, training, and systemic support, resulting in uneven implementation of culture- and technology-infused approaches (Madriaga &amp; Cajandig, 2025). These scenarios point to a shared international struggle: moving from isolated, tool-centered innovations to coherent, culturally grounded, technology-rich ecosystems that consistently support creative mathematical thinking (Bertrand et al., 2024; Hendri et al., 2025; Hu, 2025).</w:t>
      </w:r>
    </w:p>
    <w:p w:rsidR="00231B34" w:rsidRPr="009F50A8" w:rsidRDefault="00231B3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A closer look at these studies reveals several critical gaps that justify and shape the present investigation. First, existing models often foreground achievement, numeracy, or computational skills, while creativity in mathematics—such as generating multiple strategies, posing problems, and producing novel representations—is seldom treated as a primary outcome or systematically assessed (Fitri et al., 2025; Kurniasi et al., 2025; Hidayat &amp; Firmanti, 2024). Second, many interventions are short-term, tool-specific, or topic-bound (for example, algebra units, exponent lessons, or particular AR/VR activities), which limits understanding of how sustained, technology-mediated, culturally responsive environments can transform students’ broader mathematical dispositions and creative practices (Bertrand et al., 2024; Sianipar et al., 2025; Dosinaeng et al., 2025; Salsabila et al., 2025). Third, there is a lack of integrated system designs that intentionally weave together culture, cyber-technology, and creativity within a coherent pedagogical framework, particularly in the Philippine context where teacher beliefs and contextual constraints strongly shape implementation (Madriaga &amp; Cajandig, 2025; Singh, 2025; Hasbi et al., 2025). These gaps underscore the need for a Cultural Cyber Math System that is not merely a collection of digital tools, but a structured environment explicitly aimed at enhancing students’ creativity in mathematics through culturally meaningful, technology-rich learning experiences.</w:t>
      </w:r>
    </w:p>
    <w:p w:rsidR="00D27487" w:rsidRPr="009F50A8" w:rsidRDefault="00BF50FE"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Present situations </w:t>
      </w:r>
      <w:r w:rsidR="00D27487" w:rsidRPr="009F50A8">
        <w:rPr>
          <w:rFonts w:ascii="Times New Roman" w:hAnsi="Times New Roman" w:cs="Times New Roman"/>
          <w:sz w:val="24"/>
          <w:szCs w:val="24"/>
        </w:rPr>
        <w:t>consistently show that when instruction is intentionally designed to be rich in problem solving, problem posing, open-ended tasks, games, and real-world contexts, students’ mathematical creativity and related outcomes improve, yet such practices are still exceptions rather than norms in typical classrooms (Bicer, 2021; Khalid et al., 2020; Nilimaa, 2023; Zioga &amp; Desli, 2025). Interventions such as creative problem solving lessons, differentiated curricula, lateral-thinking problems, game-based activities like Bachet’s game, flipped and problem-based environments, and creativity-oriented assessments demonstrate positive effects on students’ creative thinking, problem-solving, motivation, and self-efficacy in mathematics (Applebaum, 2025; Mariani et al., 2025; Shodiq et al., 2025; Bingol &amp; Ozyaprak, 2025; Bicer et al., 2020). However, systematic reviews and empirical work also reveal that many teachers still prioritize procedural fluency and exam performance, that creativity-promoting tasks are unevenly implemented, and that classroom practices frequently lag behind policy aspirations to foster creativity in mathematics education (Susilawati et al., 2024; Istikomah et al., 2024; Zioga &amp; Desli, 2025; Khalil et al., 2023).</w:t>
      </w:r>
    </w:p>
    <w:p w:rsidR="00D27487" w:rsidRPr="009F50A8" w:rsidRDefault="00D27487"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Aligned with this body of work, the present study adopts mathematical creativity indicators that capture how students generate, vary, and innovate in their mathematical thinking, focusing on fluency, flexibility, and originality. Fluency typically refers to producing a large number of relevant mathematical ideas, strategies, or solutions; flexibility reflects the ability to shift perspectives and use diverse approaches or representations; and originality captures the production of uncommon or novel responses compared to peers (Susilawati et al., 2024; Istikomah et al., 2024). These three indicators are widely used in mathematics education research on creative thinking and are frequently operationalized through problem-solving and problem-posing tasks, where </w:t>
      </w:r>
      <w:r w:rsidRPr="009F50A8">
        <w:rPr>
          <w:rFonts w:ascii="Times New Roman" w:hAnsi="Times New Roman" w:cs="Times New Roman"/>
          <w:sz w:val="24"/>
          <w:szCs w:val="24"/>
        </w:rPr>
        <w:lastRenderedPageBreak/>
        <w:t>students are expected to generate multiple solutions, change conditions, or construct new problems in non-routine ways (Bicer, 2021; Bicer et al., 2020; Nilimaa, 2023). Reviews and empirical studies emphasize that nurturing fluency, flexibility, and originality requires learning environments with rich, open tasks, space for exploration, and supportive assessment practices</w:t>
      </w:r>
      <w:r w:rsidR="00BF50FE" w:rsidRPr="009F50A8">
        <w:rPr>
          <w:rFonts w:ascii="Times New Roman" w:hAnsi="Times New Roman" w:cs="Times New Roman"/>
          <w:sz w:val="24"/>
          <w:szCs w:val="24"/>
        </w:rPr>
        <w:t xml:space="preserve"> (Khalid et al., 2020; Susilawati et al., 2024; Istikomah et al., 2024) </w:t>
      </w:r>
      <w:r w:rsidRPr="009F50A8">
        <w:rPr>
          <w:rFonts w:ascii="Times New Roman" w:hAnsi="Times New Roman" w:cs="Times New Roman"/>
          <w:sz w:val="24"/>
          <w:szCs w:val="24"/>
        </w:rPr>
        <w:t xml:space="preserve">reinforcing their suitability as core creativity indicators for evaluating the impact </w:t>
      </w:r>
      <w:r w:rsidR="00BF50FE" w:rsidRPr="009F50A8">
        <w:rPr>
          <w:rFonts w:ascii="Times New Roman" w:hAnsi="Times New Roman" w:cs="Times New Roman"/>
          <w:sz w:val="24"/>
          <w:szCs w:val="24"/>
        </w:rPr>
        <w:t>of a Cultural Cyber MathSystem,</w:t>
      </w:r>
    </w:p>
    <w:p w:rsidR="00F32ECD" w:rsidRPr="009F50A8" w:rsidRDefault="00F32ECD" w:rsidP="009F50A8">
      <w:pPr>
        <w:spacing w:before="240" w:after="240"/>
        <w:ind w:firstLine="720"/>
        <w:jc w:val="both"/>
        <w:rPr>
          <w:rFonts w:ascii="Times New Roman" w:hAnsi="Times New Roman" w:cs="Times New Roman"/>
          <w:color w:val="27251E"/>
          <w:sz w:val="24"/>
          <w:szCs w:val="24"/>
        </w:rPr>
      </w:pPr>
      <w:r w:rsidRPr="009F50A8">
        <w:rPr>
          <w:rFonts w:ascii="Times New Roman" w:hAnsi="Times New Roman" w:cs="Times New Roman"/>
          <w:color w:val="27251E"/>
          <w:sz w:val="24"/>
          <w:szCs w:val="24"/>
        </w:rPr>
        <w:t>The Cultural CyberMath System builds directly on the work of Cajandig and Lomibao (2020), which designed and tested a 5I’s learning path—impress, identify, inspire, inspect, and invoke—with a cultural approach embedded in computer-aided instruction (CAI) to enhance students’ conceptual understanding in mathematics. In that study, culturally grounded problem situations and contexts familiar to first-year hospitality management students were carefully integrated into an interactive digital environment, allowing learners to encounter, explore, and make sense of mathematical ideas through locally meaningful scenarios rather than decontextualized exercises. Using a quasi-experimental design with control and experimental groups, and measuring performance through a Conceptual Understanding Test analyzed via ANCOVA, the authors found that students who experienced the culturally embedded 5I’s CAI showed markedly greater gains in conceptual understanding than those taught with conventional CAI, highlighting the pedagogical value of aligning digital tools with students’ cultural backgrounds. In the present research, this culturally and digitally enriched 5I’s framework is re-conceptualized and extended as the Cultural CyberMath System, positioning it not only as a vehicle for conceptual understanding but also as a structured cyber-learning environment intended to deliberately cultivate students’ mathematical creativity.</w:t>
      </w:r>
    </w:p>
    <w:p w:rsidR="00A6413A" w:rsidRPr="009F50A8" w:rsidRDefault="00A6413A" w:rsidP="009F50A8">
      <w:pPr>
        <w:spacing w:before="240" w:after="240"/>
        <w:rPr>
          <w:rFonts w:ascii="Times New Roman" w:hAnsi="Times New Roman" w:cs="Times New Roman"/>
          <w:sz w:val="24"/>
          <w:szCs w:val="24"/>
        </w:rPr>
      </w:pPr>
      <w:r w:rsidRPr="009F50A8">
        <w:rPr>
          <w:rFonts w:ascii="Times New Roman" w:hAnsi="Times New Roman" w:cs="Times New Roman"/>
          <w:sz w:val="24"/>
          <w:szCs w:val="24"/>
        </w:rPr>
        <w:t>The purpose of the present study is to test the effectiveness of the Cultural CyberMath System—an extension of the 5I’s learning path with a cultural approach embedded in computer-aided instruction—in enhancing students’ mathematical creativity, specifically in terms of fluency, flexibility, and originality in generating and represeting mathematical ideas.</w:t>
      </w:r>
    </w:p>
    <w:p w:rsidR="00A6413A" w:rsidRPr="009F50A8" w:rsidRDefault="009F50A8" w:rsidP="009F50A8">
      <w:pPr>
        <w:spacing w:before="240" w:after="240"/>
        <w:jc w:val="both"/>
        <w:rPr>
          <w:rFonts w:ascii="Times New Roman" w:hAnsi="Times New Roman" w:cs="Times New Roman"/>
          <w:b/>
          <w:sz w:val="28"/>
          <w:szCs w:val="24"/>
        </w:rPr>
      </w:pPr>
      <w:r w:rsidRPr="009F50A8">
        <w:rPr>
          <w:rFonts w:ascii="Times New Roman" w:hAnsi="Times New Roman" w:cs="Times New Roman"/>
          <w:b/>
          <w:sz w:val="28"/>
          <w:szCs w:val="24"/>
        </w:rPr>
        <w:t>METHODOLOGY</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Research design</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This study adopted a quasi-experimental pretest–posttest control group design to examine the effectiveness of the Cultural CyberMath System on students’ conceptual understanding, mathematical creativity, and self</w:t>
      </w:r>
      <w:r w:rsidRPr="009F50A8">
        <w:rPr>
          <w:rFonts w:ascii="Times New Roman" w:hAnsi="Times New Roman" w:cs="Times New Roman"/>
          <w:sz w:val="24"/>
          <w:szCs w:val="24"/>
        </w:rPr>
        <w:noBreakHyphen/>
        <w:t>concept in mathematics. Two intact first</w:t>
      </w:r>
      <w:r w:rsidRPr="009F50A8">
        <w:rPr>
          <w:rFonts w:ascii="Times New Roman" w:hAnsi="Times New Roman" w:cs="Times New Roman"/>
          <w:sz w:val="24"/>
          <w:szCs w:val="24"/>
        </w:rPr>
        <w:noBreakHyphen/>
        <w:t>year Bachelor of Science in Hospitality Management classes were randomly assigned at the section level to either an experimental group or a control group. Both groups completed pretests before the intervention and po</w:t>
      </w:r>
      <w:r w:rsidR="00C10687" w:rsidRPr="009F50A8">
        <w:rPr>
          <w:rFonts w:ascii="Times New Roman" w:hAnsi="Times New Roman" w:cs="Times New Roman"/>
          <w:sz w:val="24"/>
          <w:szCs w:val="24"/>
        </w:rPr>
        <w:t xml:space="preserve">sttests after the intervention. </w:t>
      </w:r>
      <w:r w:rsidRPr="009F50A8">
        <w:rPr>
          <w:rFonts w:ascii="Times New Roman" w:hAnsi="Times New Roman" w:cs="Times New Roman"/>
          <w:sz w:val="24"/>
          <w:szCs w:val="24"/>
        </w:rPr>
        <w:t xml:space="preserve">The experimental group received instruction via the Cultural CyberMath System, whereas the control group received a contextual approach with blended instruction. </w:t>
      </w:r>
      <w:r w:rsidR="00C10687" w:rsidRPr="009F50A8">
        <w:rPr>
          <w:rFonts w:ascii="Times New Roman" w:hAnsi="Times New Roman" w:cs="Times New Roman"/>
          <w:sz w:val="24"/>
          <w:szCs w:val="24"/>
        </w:rPr>
        <w:t>Mathematical creativity</w:t>
      </w:r>
      <w:r w:rsidRPr="009F50A8">
        <w:rPr>
          <w:rFonts w:ascii="Times New Roman" w:hAnsi="Times New Roman" w:cs="Times New Roman"/>
          <w:sz w:val="24"/>
          <w:szCs w:val="24"/>
        </w:rPr>
        <w:t xml:space="preserve"> was measured using a rubric</w:t>
      </w:r>
      <w:r w:rsidRPr="009F50A8">
        <w:rPr>
          <w:rFonts w:ascii="Times New Roman" w:hAnsi="Times New Roman" w:cs="Times New Roman"/>
          <w:sz w:val="24"/>
          <w:szCs w:val="24"/>
        </w:rPr>
        <w:noBreakHyphen/>
        <w:t>based Mathematical Creativity Test (MCT), Descriptive statistics (mean, standard deviation) and one</w:t>
      </w:r>
      <w:r w:rsidRPr="009F50A8">
        <w:rPr>
          <w:rFonts w:ascii="Times New Roman" w:hAnsi="Times New Roman" w:cs="Times New Roman"/>
          <w:sz w:val="24"/>
          <w:szCs w:val="24"/>
        </w:rPr>
        <w:noBreakHyphen/>
        <w:t>way analysis of covariance (ANCOVA) were employed to compare posttest scores between groups while controlling for pretest scores at a 0.05 significance level.</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Setting</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The research was conducted at Sultan Kudarat State University (SKSU) – Tacurong Campus, Tacurong City, Sultan Kudarat, Philippines. SKSU is a state university mandated to provide advanced instruction and professional training in science, technology, agriculture, fisheries, education and related fields, along with research and extension services. The Tacurong Campus, located in Barangay Poblacion, comprises three colleges: Arts and Science, Hospitality Management, and Business Administration. The intervention took place in the Mathematics in the Modern World course offered under the College of Hospitality Management.</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Participants</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lastRenderedPageBreak/>
        <w:t>Participants were 62 first</w:t>
      </w:r>
      <w:r w:rsidRPr="009F50A8">
        <w:rPr>
          <w:rFonts w:ascii="Times New Roman" w:hAnsi="Times New Roman" w:cs="Times New Roman"/>
          <w:sz w:val="24"/>
          <w:szCs w:val="24"/>
        </w:rPr>
        <w:noBreakHyphen/>
        <w:t>year students enrolled in the Bachelor of Science in Hospitality Management program during the</w:t>
      </w:r>
      <w:r w:rsidR="00C10687" w:rsidRPr="009F50A8">
        <w:rPr>
          <w:rFonts w:ascii="Times New Roman" w:hAnsi="Times New Roman" w:cs="Times New Roman"/>
          <w:sz w:val="24"/>
          <w:szCs w:val="24"/>
        </w:rPr>
        <w:t xml:space="preserve"> second</w:t>
      </w:r>
      <w:r w:rsidRPr="009F50A8">
        <w:rPr>
          <w:rFonts w:ascii="Times New Roman" w:hAnsi="Times New Roman" w:cs="Times New Roman"/>
          <w:sz w:val="24"/>
          <w:szCs w:val="24"/>
        </w:rPr>
        <w:t xml:space="preserve"> sem</w:t>
      </w:r>
      <w:r w:rsidR="00C10687" w:rsidRPr="009F50A8">
        <w:rPr>
          <w:rFonts w:ascii="Times New Roman" w:hAnsi="Times New Roman" w:cs="Times New Roman"/>
          <w:sz w:val="24"/>
          <w:szCs w:val="24"/>
        </w:rPr>
        <w:t>ester of Academic Year 2025–2026</w:t>
      </w:r>
      <w:r w:rsidRPr="009F50A8">
        <w:rPr>
          <w:rFonts w:ascii="Times New Roman" w:hAnsi="Times New Roman" w:cs="Times New Roman"/>
          <w:sz w:val="24"/>
          <w:szCs w:val="24"/>
        </w:rPr>
        <w:t>. The two existing sections of Mathematics in the Modern World were heterogeneous in prior academic performance and were randomly assigned, using a lottery procedure, to the experimental and control conditions. Section BSHM1A (31 students) served as the experimental group and was taught using the Cultural CyberMath System; section BSHM1B (31 students) served as the control group and was taught using a contextual approach with blended instruction. In addition, 20 experts (10 mathematics education experts and 10 information technology experts) were purposively selected to evaluate the acceptability and quality of the Cultural CyberMath System.</w:t>
      </w:r>
    </w:p>
    <w:p w:rsidR="00A6413A" w:rsidRPr="009F50A8" w:rsidRDefault="009F50A8" w:rsidP="009F50A8">
      <w:pPr>
        <w:spacing w:before="240" w:after="240"/>
        <w:jc w:val="both"/>
        <w:rPr>
          <w:rFonts w:ascii="Times New Roman" w:hAnsi="Times New Roman" w:cs="Times New Roman"/>
          <w:b/>
          <w:sz w:val="24"/>
          <w:szCs w:val="24"/>
        </w:rPr>
      </w:pPr>
      <w:r>
        <w:rPr>
          <w:rFonts w:ascii="Times New Roman" w:hAnsi="Times New Roman" w:cs="Times New Roman"/>
          <w:b/>
          <w:sz w:val="24"/>
          <w:szCs w:val="24"/>
        </w:rPr>
        <w:t>Instrument</w:t>
      </w:r>
    </w:p>
    <w:p w:rsidR="00A6413A" w:rsidRPr="009F50A8" w:rsidRDefault="00A6413A" w:rsidP="009F50A8">
      <w:pPr>
        <w:spacing w:before="240" w:after="240"/>
        <w:jc w:val="both"/>
        <w:rPr>
          <w:rFonts w:ascii="Times New Roman" w:hAnsi="Times New Roman" w:cs="Times New Roman"/>
          <w:sz w:val="24"/>
          <w:szCs w:val="24"/>
        </w:rPr>
      </w:pPr>
      <w:r w:rsidRPr="009F50A8">
        <w:rPr>
          <w:rFonts w:ascii="Times New Roman" w:hAnsi="Times New Roman" w:cs="Times New Roman"/>
          <w:sz w:val="24"/>
          <w:szCs w:val="24"/>
        </w:rPr>
        <w:t>M</w:t>
      </w:r>
      <w:r w:rsidR="00C10687" w:rsidRPr="009F50A8">
        <w:rPr>
          <w:rFonts w:ascii="Times New Roman" w:hAnsi="Times New Roman" w:cs="Times New Roman"/>
          <w:sz w:val="24"/>
          <w:szCs w:val="24"/>
        </w:rPr>
        <w:t xml:space="preserve">athematical Creativity Test (MCT) was a </w:t>
      </w:r>
      <w:r w:rsidRPr="009F50A8">
        <w:rPr>
          <w:rFonts w:ascii="Times New Roman" w:hAnsi="Times New Roman" w:cs="Times New Roman"/>
          <w:sz w:val="24"/>
          <w:szCs w:val="24"/>
        </w:rPr>
        <w:t>researcher</w:t>
      </w:r>
      <w:r w:rsidRPr="009F50A8">
        <w:rPr>
          <w:rFonts w:ascii="Times New Roman" w:hAnsi="Times New Roman" w:cs="Times New Roman"/>
          <w:sz w:val="24"/>
          <w:szCs w:val="24"/>
        </w:rPr>
        <w:noBreakHyphen/>
        <w:t>developed and underwent content validation by panels of e</w:t>
      </w:r>
      <w:r w:rsidR="00C10687" w:rsidRPr="009F50A8">
        <w:rPr>
          <w:rFonts w:ascii="Times New Roman" w:hAnsi="Times New Roman" w:cs="Times New Roman"/>
          <w:sz w:val="24"/>
          <w:szCs w:val="24"/>
        </w:rPr>
        <w:t>xperts in mathematics education</w:t>
      </w:r>
      <w:r w:rsidRPr="009F50A8">
        <w:rPr>
          <w:rFonts w:ascii="Times New Roman" w:hAnsi="Times New Roman" w:cs="Times New Roman"/>
          <w:sz w:val="24"/>
          <w:szCs w:val="24"/>
        </w:rPr>
        <w:t>. Inter</w:t>
      </w:r>
      <w:r w:rsidRPr="009F50A8">
        <w:rPr>
          <w:rFonts w:ascii="Times New Roman" w:hAnsi="Times New Roman" w:cs="Times New Roman"/>
          <w:sz w:val="24"/>
          <w:szCs w:val="24"/>
        </w:rPr>
        <w:noBreakHyphen/>
        <w:t>rater agreement for expert ratings was assessed using Krippendorff’s alpha, which is suitable for nominal data and can handle missing values. The MCT is an open</w:t>
      </w:r>
      <w:r w:rsidRPr="009F50A8">
        <w:rPr>
          <w:rFonts w:ascii="Times New Roman" w:hAnsi="Times New Roman" w:cs="Times New Roman"/>
          <w:sz w:val="24"/>
          <w:szCs w:val="24"/>
        </w:rPr>
        <w:noBreakHyphen/>
        <w:t>ended test designed to assess students’ mathematical creativity in terms of fluency, flexibility and originality. Its development was informed by prior work on mathematical creativity and creative thinking (e.g., Balka, 1974; Walia, 2017; Kattou et al., 2012; Torrance Test of Creative Thinking). Consistent with the literature, the test consists of open</w:t>
      </w:r>
      <w:r w:rsidRPr="009F50A8">
        <w:rPr>
          <w:rFonts w:ascii="Times New Roman" w:hAnsi="Times New Roman" w:cs="Times New Roman"/>
          <w:sz w:val="24"/>
          <w:szCs w:val="24"/>
        </w:rPr>
        <w:noBreakHyphen/>
        <w:t>ended, multiple</w:t>
      </w:r>
      <w:r w:rsidRPr="009F50A8">
        <w:rPr>
          <w:rFonts w:ascii="Times New Roman" w:hAnsi="Times New Roman" w:cs="Times New Roman"/>
          <w:sz w:val="24"/>
          <w:szCs w:val="24"/>
        </w:rPr>
        <w:noBreakHyphen/>
        <w:t>solution tasks intended to elicit a range of valid responses. An initial pool of nine items (three items per component) was drafted and reviewed by five experts in mathematical creativity for relevance and coverage of the three dimensions. Based on expert feedback, items with weaker ratings were removed, resulting in a final version comprising six items (two items per component). Students were prompted to generate as many distinct solutions as possible and to produce responses that differed from those of their peers. Three experienced mathematics teachers, including the researcher, independently scored responses using an analytic rubric. Krippendorff’s alpha for the MCT scores was 0.5467, indicating moderate inter</w:t>
      </w:r>
      <w:r w:rsidRPr="009F50A8">
        <w:rPr>
          <w:rFonts w:ascii="Times New Roman" w:hAnsi="Times New Roman" w:cs="Times New Roman"/>
          <w:sz w:val="24"/>
          <w:szCs w:val="24"/>
        </w:rPr>
        <w:noBreakHyphen/>
        <w:t>rater agreement.</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Procedure</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The procedure comprised four main stages: development of lessons, preparation of instructional materials, implementation of the intervention and administration of pre</w:t>
      </w:r>
      <w:r w:rsidRPr="009F50A8">
        <w:rPr>
          <w:rFonts w:ascii="Times New Roman" w:hAnsi="Times New Roman" w:cs="Times New Roman"/>
          <w:sz w:val="24"/>
          <w:szCs w:val="24"/>
        </w:rPr>
        <w:noBreakHyphen/>
        <w:t xml:space="preserve"> and posttests.</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First, lessons for both conditions were designed through an extensive review of the literature and iterative consultation with the adviser and content experts. For each group, lesson plans specified the sequence of topics, learning outcomes, assessment activities and use of cultural contexts relevant to students’ life and hospitality</w:t>
      </w:r>
      <w:r w:rsidRPr="009F50A8">
        <w:rPr>
          <w:rFonts w:ascii="Times New Roman" w:hAnsi="Times New Roman" w:cs="Times New Roman"/>
          <w:sz w:val="24"/>
          <w:szCs w:val="24"/>
        </w:rPr>
        <w:noBreakHyphen/>
        <w:t>related experiences. Second, instructional materials were prepared. For the experimental group, the Cultural CyberMath System was installed and tested in the computer laboratory; computers, software, seating arrangement, lighting and equipment layout were checked to ensure a suitable learning environment. For the control group, classroom facilities such as projectors and speakers were prepared to support contextualized blended instruction using slide presentations and videos.</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Third, the intervention was implemented over ten weeks (</w:t>
      </w:r>
      <w:r w:rsidR="00F24E89" w:rsidRPr="009F50A8">
        <w:rPr>
          <w:rFonts w:ascii="Times New Roman" w:hAnsi="Times New Roman" w:cs="Times New Roman"/>
          <w:sz w:val="24"/>
          <w:szCs w:val="24"/>
        </w:rPr>
        <w:t>January</w:t>
      </w:r>
      <w:r w:rsidRPr="009F50A8">
        <w:rPr>
          <w:rFonts w:ascii="Times New Roman" w:hAnsi="Times New Roman" w:cs="Times New Roman"/>
          <w:sz w:val="24"/>
          <w:szCs w:val="24"/>
        </w:rPr>
        <w:t>–</w:t>
      </w:r>
      <w:r w:rsidR="00F24E89" w:rsidRPr="009F50A8">
        <w:rPr>
          <w:rFonts w:ascii="Times New Roman" w:hAnsi="Times New Roman" w:cs="Times New Roman"/>
          <w:sz w:val="24"/>
          <w:szCs w:val="24"/>
        </w:rPr>
        <w:t>April 2026</w:t>
      </w:r>
      <w:r w:rsidRPr="009F50A8">
        <w:rPr>
          <w:rFonts w:ascii="Times New Roman" w:hAnsi="Times New Roman" w:cs="Times New Roman"/>
          <w:sz w:val="24"/>
          <w:szCs w:val="24"/>
        </w:rPr>
        <w:t>) with two sessions per week. To reduce teacher</w:t>
      </w:r>
      <w:r w:rsidRPr="009F50A8">
        <w:rPr>
          <w:rFonts w:ascii="Times New Roman" w:hAnsi="Times New Roman" w:cs="Times New Roman"/>
          <w:sz w:val="24"/>
          <w:szCs w:val="24"/>
        </w:rPr>
        <w:noBreakHyphen/>
        <w:t>related variability, the same teacher</w:t>
      </w:r>
      <w:r w:rsidRPr="009F50A8">
        <w:rPr>
          <w:rFonts w:ascii="Times New Roman" w:hAnsi="Times New Roman" w:cs="Times New Roman"/>
          <w:sz w:val="24"/>
          <w:szCs w:val="24"/>
        </w:rPr>
        <w:noBreakHyphen/>
        <w:t>researcher taught both classes. The experimental group used the Cultural CyberMath System structured around the 5I’s learning path: Impress, Identify, Inspire, Inspect and Invoke. After logging in, students accessed an instruction guide, watched a motivational video and engaged with a culturally contextualized problem of the day (Impress). They then completed diagnostic review and drill tasks with automated feedback and identified prerequisite skills (Identify). In the Inspire phase, students interacted with multimedia resources (video lessons, audiovisual presentations, illustrated texts) for concept development. In the Inspect phase, they revised their solutions to the problem of the day and reflected on the skills and concepts applied and the learning outcomes achieved. Finally, in the Invoke phase, they worked on transfer tasks and self</w:t>
      </w:r>
      <w:r w:rsidRPr="009F50A8">
        <w:rPr>
          <w:rFonts w:ascii="Times New Roman" w:hAnsi="Times New Roman" w:cs="Times New Roman"/>
          <w:sz w:val="24"/>
          <w:szCs w:val="24"/>
        </w:rPr>
        <w:noBreakHyphen/>
        <w:t>reflection activities designed to extend learning and stimulate creative mathematical thinking.</w:t>
      </w:r>
    </w:p>
    <w:p w:rsidR="00A6413A" w:rsidRPr="009F50A8" w:rsidRDefault="00A6413A"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lastRenderedPageBreak/>
        <w:t>In the control group, the teacher implemented a contextual approach with blended instruction, also following the 5I’s logic but delivered through teacher</w:t>
      </w:r>
      <w:r w:rsidRPr="009F50A8">
        <w:rPr>
          <w:rFonts w:ascii="Times New Roman" w:hAnsi="Times New Roman" w:cs="Times New Roman"/>
          <w:sz w:val="24"/>
          <w:szCs w:val="24"/>
        </w:rPr>
        <w:noBreakHyphen/>
        <w:t>led activities and general educational technologies. The Impress phase included audiovisual motivation and a problem of the day. In the Identify phase, students articulated learning outcomes and completed review and drill exercises to activate prior knowledge. The Inspire phase involved teacher</w:t>
      </w:r>
      <w:r w:rsidRPr="009F50A8">
        <w:rPr>
          <w:rFonts w:ascii="Times New Roman" w:hAnsi="Times New Roman" w:cs="Times New Roman"/>
          <w:sz w:val="24"/>
          <w:szCs w:val="24"/>
        </w:rPr>
        <w:noBreakHyphen/>
        <w:t>led concept instruction supported by slide presentations and video lessons. During the Inspect phase, students revised their initial solutions and identified the skills and concepts used. In the Invoke phase, they completed application exercises and written reflections. Fidelity of implementation in both groups was monitored through periodic classroom observations by the course professor and the program chair.</w:t>
      </w:r>
    </w:p>
    <w:p w:rsidR="00A6413A" w:rsidRPr="009F50A8" w:rsidRDefault="00F24E89"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Finally, pretests (</w:t>
      </w:r>
      <w:r w:rsidR="00A6413A" w:rsidRPr="009F50A8">
        <w:rPr>
          <w:rFonts w:ascii="Times New Roman" w:hAnsi="Times New Roman" w:cs="Times New Roman"/>
          <w:sz w:val="24"/>
          <w:szCs w:val="24"/>
        </w:rPr>
        <w:t>MCT</w:t>
      </w:r>
      <w:r w:rsidRPr="009F50A8">
        <w:rPr>
          <w:rFonts w:ascii="Times New Roman" w:hAnsi="Times New Roman" w:cs="Times New Roman"/>
          <w:sz w:val="24"/>
          <w:szCs w:val="24"/>
        </w:rPr>
        <w:t xml:space="preserve"> was</w:t>
      </w:r>
      <w:r w:rsidR="00A6413A" w:rsidRPr="009F50A8">
        <w:rPr>
          <w:rFonts w:ascii="Times New Roman" w:hAnsi="Times New Roman" w:cs="Times New Roman"/>
          <w:sz w:val="24"/>
          <w:szCs w:val="24"/>
        </w:rPr>
        <w:t xml:space="preserve"> administered to both groups before the start of the interventio</w:t>
      </w:r>
      <w:r w:rsidRPr="009F50A8">
        <w:rPr>
          <w:rFonts w:ascii="Times New Roman" w:hAnsi="Times New Roman" w:cs="Times New Roman"/>
          <w:sz w:val="24"/>
          <w:szCs w:val="24"/>
        </w:rPr>
        <w:t>n, and the same instrument was</w:t>
      </w:r>
      <w:r w:rsidR="00A6413A" w:rsidRPr="009F50A8">
        <w:rPr>
          <w:rFonts w:ascii="Times New Roman" w:hAnsi="Times New Roman" w:cs="Times New Roman"/>
          <w:sz w:val="24"/>
          <w:szCs w:val="24"/>
        </w:rPr>
        <w:t xml:space="preserve"> administered as posttests after completion of the ten</w:t>
      </w:r>
      <w:r w:rsidR="00A6413A" w:rsidRPr="009F50A8">
        <w:rPr>
          <w:rFonts w:ascii="Times New Roman" w:hAnsi="Times New Roman" w:cs="Times New Roman"/>
          <w:sz w:val="24"/>
          <w:szCs w:val="24"/>
        </w:rPr>
        <w:noBreakHyphen/>
        <w:t>week sequence. Standardized procedures for instructions, time allocation and testing conditions were followed. Responses w</w:t>
      </w:r>
      <w:r w:rsidRPr="009F50A8">
        <w:rPr>
          <w:rFonts w:ascii="Times New Roman" w:hAnsi="Times New Roman" w:cs="Times New Roman"/>
          <w:sz w:val="24"/>
          <w:szCs w:val="24"/>
        </w:rPr>
        <w:t>ere collected, scored through an</w:t>
      </w:r>
      <w:r w:rsidR="00A6413A" w:rsidRPr="009F50A8">
        <w:rPr>
          <w:rFonts w:ascii="Times New Roman" w:hAnsi="Times New Roman" w:cs="Times New Roman"/>
          <w:sz w:val="24"/>
          <w:szCs w:val="24"/>
        </w:rPr>
        <w:t xml:space="preserve"> independent scoring o</w:t>
      </w:r>
      <w:r w:rsidRPr="009F50A8">
        <w:rPr>
          <w:rFonts w:ascii="Times New Roman" w:hAnsi="Times New Roman" w:cs="Times New Roman"/>
          <w:sz w:val="24"/>
          <w:szCs w:val="24"/>
        </w:rPr>
        <w:t>f MCT responses by three raters</w:t>
      </w:r>
      <w:r w:rsidR="00A6413A" w:rsidRPr="009F50A8">
        <w:rPr>
          <w:rFonts w:ascii="Times New Roman" w:hAnsi="Times New Roman" w:cs="Times New Roman"/>
          <w:sz w:val="24"/>
          <w:szCs w:val="24"/>
        </w:rPr>
        <w:t xml:space="preserve"> and entered into a database for analysis.</w:t>
      </w:r>
    </w:p>
    <w:p w:rsidR="00A6413A" w:rsidRPr="009F50A8" w:rsidRDefault="00A6413A" w:rsidP="009F50A8">
      <w:pPr>
        <w:spacing w:before="240" w:after="240"/>
        <w:jc w:val="both"/>
        <w:rPr>
          <w:rFonts w:ascii="Times New Roman" w:hAnsi="Times New Roman" w:cs="Times New Roman"/>
          <w:b/>
          <w:sz w:val="24"/>
          <w:szCs w:val="24"/>
        </w:rPr>
      </w:pPr>
      <w:r w:rsidRPr="009F50A8">
        <w:rPr>
          <w:rFonts w:ascii="Times New Roman" w:hAnsi="Times New Roman" w:cs="Times New Roman"/>
          <w:b/>
          <w:sz w:val="24"/>
          <w:szCs w:val="24"/>
        </w:rPr>
        <w:t>Data analysis</w:t>
      </w:r>
    </w:p>
    <w:p w:rsidR="00A6413A" w:rsidRPr="009F50A8" w:rsidRDefault="00A6413A" w:rsidP="009F50A8">
      <w:pPr>
        <w:spacing w:before="240" w:after="240"/>
        <w:jc w:val="both"/>
        <w:rPr>
          <w:rFonts w:ascii="Times New Roman" w:hAnsi="Times New Roman" w:cs="Times New Roman"/>
          <w:sz w:val="24"/>
          <w:szCs w:val="24"/>
        </w:rPr>
      </w:pPr>
      <w:r w:rsidRPr="009F50A8">
        <w:rPr>
          <w:rFonts w:ascii="Times New Roman" w:hAnsi="Times New Roman" w:cs="Times New Roman"/>
          <w:sz w:val="24"/>
          <w:szCs w:val="24"/>
        </w:rPr>
        <w:t>Descriptive statistics (mean and standard deviation) were computed for pretest and posttest scores on mathematical creativity (overall and by fluency, flexibility and originality) for both groups. To estimate the effect of the Cultural CyberMath System compared with the contextual blended approach, one</w:t>
      </w:r>
      <w:r w:rsidRPr="009F50A8">
        <w:rPr>
          <w:rFonts w:ascii="Times New Roman" w:hAnsi="Times New Roman" w:cs="Times New Roman"/>
          <w:sz w:val="24"/>
          <w:szCs w:val="24"/>
        </w:rPr>
        <w:noBreakHyphen/>
        <w:t>way ANCOVA was conducted for each dependent variable, with instructional group (experimental vs. control) as the fixed factor, posttest scores as dependent variables and pretest scores as covariates. ANCOVA was used to adjust for initial group differences and to increase statistical precision. Assumptions of ANCOVA, including linearity, homogeneity of regression slopes and normality of residuals, were assessed prior to interpreting results. All statistical tests were performed at a 5% significance level using two</w:t>
      </w:r>
      <w:r w:rsidRPr="009F50A8">
        <w:rPr>
          <w:rFonts w:ascii="Times New Roman" w:hAnsi="Times New Roman" w:cs="Times New Roman"/>
          <w:sz w:val="24"/>
          <w:szCs w:val="24"/>
        </w:rPr>
        <w:noBreakHyphen/>
        <w:t>tailed criteria.</w:t>
      </w:r>
    </w:p>
    <w:p w:rsidR="00A6413A" w:rsidRPr="009F50A8" w:rsidRDefault="00ED505D" w:rsidP="009F50A8">
      <w:pPr>
        <w:spacing w:before="240" w:after="240"/>
        <w:jc w:val="both"/>
        <w:rPr>
          <w:rFonts w:ascii="Times New Roman" w:hAnsi="Times New Roman" w:cs="Times New Roman"/>
          <w:b/>
          <w:sz w:val="28"/>
          <w:szCs w:val="24"/>
        </w:rPr>
      </w:pPr>
      <w:r w:rsidRPr="009F50A8">
        <w:rPr>
          <w:rFonts w:ascii="Times New Roman" w:hAnsi="Times New Roman" w:cs="Times New Roman"/>
          <w:b/>
          <w:sz w:val="28"/>
          <w:szCs w:val="24"/>
        </w:rPr>
        <w:t>RESULTS AND DISCUSSION</w:t>
      </w:r>
    </w:p>
    <w:p w:rsidR="00ED505D" w:rsidRPr="009F50A8" w:rsidRDefault="00ED505D" w:rsidP="009F50A8">
      <w:pPr>
        <w:spacing w:before="240" w:after="240" w:line="240" w:lineRule="auto"/>
        <w:rPr>
          <w:rFonts w:ascii="Times New Roman" w:eastAsia="Times New Roman" w:hAnsi="Times New Roman" w:cs="Times New Roman"/>
          <w:b/>
          <w:bCs/>
          <w:color w:val="000000"/>
          <w:sz w:val="24"/>
          <w:szCs w:val="24"/>
        </w:rPr>
      </w:pPr>
      <w:r w:rsidRPr="009F50A8">
        <w:rPr>
          <w:rFonts w:ascii="Times New Roman" w:eastAsia="Times New Roman" w:hAnsi="Times New Roman" w:cs="Times New Roman"/>
          <w:b/>
          <w:bCs/>
          <w:color w:val="000000"/>
          <w:sz w:val="24"/>
          <w:szCs w:val="24"/>
        </w:rPr>
        <w:t>Students’ Level of Mathematical Creativity</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The level of performance in terms of students’ mathematical creativity during pre-test is the score in the examination conducted before the start of the class and post-test after the covered lessons were given.</w:t>
      </w:r>
    </w:p>
    <w:p w:rsidR="00ED505D" w:rsidRPr="009F50A8" w:rsidRDefault="00ED505D" w:rsidP="009F50A8">
      <w:pPr>
        <w:spacing w:before="240" w:after="240" w:line="240" w:lineRule="auto"/>
        <w:jc w:val="both"/>
        <w:rPr>
          <w:rFonts w:ascii="Times New Roman" w:hAnsi="Times New Roman" w:cs="Times New Roman"/>
          <w:sz w:val="24"/>
          <w:szCs w:val="24"/>
        </w:rPr>
      </w:pPr>
      <w:r w:rsidRPr="009F50A8">
        <w:rPr>
          <w:rFonts w:ascii="Times New Roman" w:hAnsi="Times New Roman" w:cs="Times New Roman"/>
          <w:sz w:val="24"/>
          <w:szCs w:val="24"/>
        </w:rPr>
        <w:tab/>
        <w:t>Table 1 reveals the performance of students on Mathematical Creativity during pre-test and post-test both under the Control and Experimental Groups in terms fluency.</w:t>
      </w:r>
    </w:p>
    <w:p w:rsidR="00ED505D" w:rsidRPr="009F50A8" w:rsidRDefault="00ED505D" w:rsidP="009F50A8">
      <w:pPr>
        <w:spacing w:after="0" w:line="240" w:lineRule="auto"/>
        <w:rPr>
          <w:rFonts w:ascii="Times New Roman" w:hAnsi="Times New Roman" w:cs="Times New Roman"/>
          <w:b/>
          <w:sz w:val="24"/>
          <w:szCs w:val="24"/>
        </w:rPr>
      </w:pPr>
      <w:r w:rsidRPr="009F50A8">
        <w:rPr>
          <w:rFonts w:ascii="Times New Roman" w:hAnsi="Times New Roman" w:cs="Times New Roman"/>
          <w:b/>
          <w:sz w:val="24"/>
          <w:szCs w:val="24"/>
        </w:rPr>
        <w:t xml:space="preserve">Table 1. </w:t>
      </w:r>
    </w:p>
    <w:p w:rsidR="00ED505D" w:rsidRPr="009F50A8" w:rsidRDefault="00ED505D" w:rsidP="009F50A8">
      <w:pPr>
        <w:spacing w:after="0" w:line="240" w:lineRule="auto"/>
        <w:rPr>
          <w:rFonts w:ascii="Times New Roman" w:hAnsi="Times New Roman" w:cs="Times New Roman"/>
          <w:i/>
          <w:sz w:val="24"/>
          <w:szCs w:val="24"/>
        </w:rPr>
      </w:pPr>
      <w:r w:rsidRPr="009F50A8">
        <w:rPr>
          <w:rFonts w:ascii="Times New Roman" w:hAnsi="Times New Roman" w:cs="Times New Roman"/>
          <w:i/>
          <w:sz w:val="24"/>
          <w:szCs w:val="24"/>
        </w:rPr>
        <w:t xml:space="preserve">Mean Scores and Standard Deviation of Students’ Mathematical Fluency </w:t>
      </w:r>
    </w:p>
    <w:tbl>
      <w:tblPr>
        <w:tblW w:w="0" w:type="auto"/>
        <w:tblBorders>
          <w:top w:val="double" w:sz="4" w:space="0" w:color="auto"/>
          <w:bottom w:val="double" w:sz="4" w:space="0" w:color="auto"/>
        </w:tblBorders>
        <w:tblLook w:val="04A0" w:firstRow="1" w:lastRow="0" w:firstColumn="1" w:lastColumn="0" w:noHBand="0" w:noVBand="1"/>
      </w:tblPr>
      <w:tblGrid>
        <w:gridCol w:w="2187"/>
        <w:gridCol w:w="2157"/>
        <w:gridCol w:w="2204"/>
        <w:gridCol w:w="2114"/>
        <w:gridCol w:w="2251"/>
      </w:tblGrid>
      <w:tr w:rsidR="00ED505D" w:rsidRPr="009F50A8" w:rsidTr="00ED505D">
        <w:trPr>
          <w:trHeight w:val="265"/>
        </w:trPr>
        <w:tc>
          <w:tcPr>
            <w:tcW w:w="2205" w:type="dxa"/>
            <w:vMerge w:val="restart"/>
            <w:tcBorders>
              <w:top w:val="double" w:sz="4" w:space="0" w:color="auto"/>
              <w:bottom w:val="single" w:sz="4" w:space="0" w:color="000000"/>
            </w:tcBorders>
            <w:vAlign w:val="center"/>
          </w:tcPr>
          <w:p w:rsidR="00ED505D" w:rsidRPr="009F50A8" w:rsidRDefault="00ED505D" w:rsidP="009F50A8">
            <w:pPr>
              <w:spacing w:after="0" w:line="240" w:lineRule="auto"/>
              <w:jc w:val="center"/>
              <w:rPr>
                <w:rFonts w:ascii="Times New Roman" w:hAnsi="Times New Roman" w:cs="Times New Roman"/>
                <w:b/>
                <w:color w:val="FF0000"/>
                <w:sz w:val="24"/>
                <w:szCs w:val="24"/>
              </w:rPr>
            </w:pPr>
          </w:p>
        </w:tc>
        <w:tc>
          <w:tcPr>
            <w:tcW w:w="4411" w:type="dxa"/>
            <w:gridSpan w:val="2"/>
            <w:tcBorders>
              <w:top w:val="double" w:sz="4" w:space="0" w:color="auto"/>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Control Group</w:t>
            </w:r>
          </w:p>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c>
          <w:tcPr>
            <w:tcW w:w="4412" w:type="dxa"/>
            <w:gridSpan w:val="2"/>
            <w:tcBorders>
              <w:top w:val="double" w:sz="4" w:space="0" w:color="auto"/>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Experimental Group</w:t>
            </w:r>
          </w:p>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r>
      <w:tr w:rsidR="00ED505D" w:rsidRPr="009F50A8" w:rsidTr="00ED505D">
        <w:trPr>
          <w:trHeight w:val="141"/>
        </w:trPr>
        <w:tc>
          <w:tcPr>
            <w:tcW w:w="2205" w:type="dxa"/>
            <w:vMerge/>
            <w:tcBorders>
              <w:top w:val="nil"/>
              <w:bottom w:val="single" w:sz="4" w:space="0" w:color="000000"/>
            </w:tcBorders>
          </w:tcPr>
          <w:p w:rsidR="00ED505D" w:rsidRPr="009F50A8" w:rsidRDefault="00ED505D" w:rsidP="009F50A8">
            <w:pPr>
              <w:spacing w:after="0" w:line="240" w:lineRule="auto"/>
              <w:rPr>
                <w:rFonts w:ascii="Times New Roman" w:hAnsi="Times New Roman" w:cs="Times New Roman"/>
                <w:color w:val="FF0000"/>
                <w:sz w:val="24"/>
                <w:szCs w:val="24"/>
              </w:rPr>
            </w:pPr>
          </w:p>
        </w:tc>
        <w:tc>
          <w:tcPr>
            <w:tcW w:w="2182"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29"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c>
          <w:tcPr>
            <w:tcW w:w="2136"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75"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r>
      <w:tr w:rsidR="00ED505D" w:rsidRPr="009F50A8" w:rsidTr="00ED505D">
        <w:trPr>
          <w:trHeight w:val="265"/>
        </w:trPr>
        <w:tc>
          <w:tcPr>
            <w:tcW w:w="2205" w:type="dxa"/>
            <w:tcBorders>
              <w:top w:val="single" w:sz="4" w:space="0" w:color="000000"/>
            </w:tcBorders>
          </w:tcPr>
          <w:p w:rsidR="00ED505D" w:rsidRPr="009F50A8" w:rsidRDefault="00ED505D" w:rsidP="009F50A8">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Mean</w:t>
            </w:r>
          </w:p>
        </w:tc>
        <w:tc>
          <w:tcPr>
            <w:tcW w:w="2182"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2.89</w:t>
            </w:r>
          </w:p>
        </w:tc>
        <w:tc>
          <w:tcPr>
            <w:tcW w:w="2229"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4.95</w:t>
            </w:r>
          </w:p>
        </w:tc>
        <w:tc>
          <w:tcPr>
            <w:tcW w:w="2136"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2.90</w:t>
            </w:r>
          </w:p>
        </w:tc>
        <w:tc>
          <w:tcPr>
            <w:tcW w:w="2275"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5.12</w:t>
            </w:r>
          </w:p>
        </w:tc>
      </w:tr>
      <w:tr w:rsidR="00ED505D" w:rsidRPr="009F50A8" w:rsidTr="00ED505D">
        <w:trPr>
          <w:trHeight w:val="265"/>
        </w:trPr>
        <w:tc>
          <w:tcPr>
            <w:tcW w:w="2205" w:type="dxa"/>
          </w:tcPr>
          <w:p w:rsidR="00ED505D" w:rsidRPr="009F50A8" w:rsidRDefault="00ED505D" w:rsidP="009F50A8">
            <w:pPr>
              <w:spacing w:after="0" w:line="240" w:lineRule="auto"/>
              <w:ind w:left="450"/>
              <w:rPr>
                <w:rFonts w:ascii="Times New Roman" w:hAnsi="Times New Roman" w:cs="Times New Roman"/>
                <w:sz w:val="24"/>
                <w:szCs w:val="24"/>
              </w:rPr>
            </w:pPr>
          </w:p>
        </w:tc>
        <w:tc>
          <w:tcPr>
            <w:tcW w:w="2182"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229"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136"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275" w:type="dxa"/>
          </w:tcPr>
          <w:p w:rsidR="00ED505D" w:rsidRPr="009F50A8" w:rsidRDefault="00ED505D" w:rsidP="009F50A8">
            <w:pPr>
              <w:spacing w:after="0" w:line="240" w:lineRule="auto"/>
              <w:jc w:val="center"/>
              <w:rPr>
                <w:rFonts w:ascii="Times New Roman" w:hAnsi="Times New Roman" w:cs="Times New Roman"/>
                <w:sz w:val="24"/>
                <w:szCs w:val="24"/>
              </w:rPr>
            </w:pPr>
          </w:p>
        </w:tc>
      </w:tr>
      <w:tr w:rsidR="00ED505D" w:rsidRPr="009F50A8" w:rsidTr="00ED505D">
        <w:trPr>
          <w:trHeight w:val="280"/>
        </w:trPr>
        <w:tc>
          <w:tcPr>
            <w:tcW w:w="2205" w:type="dxa"/>
          </w:tcPr>
          <w:p w:rsidR="00ED505D" w:rsidRPr="009F50A8" w:rsidRDefault="00ED505D" w:rsidP="009F50A8">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SD</w:t>
            </w:r>
          </w:p>
        </w:tc>
        <w:tc>
          <w:tcPr>
            <w:tcW w:w="2182"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0994</w:t>
            </w:r>
          </w:p>
        </w:tc>
        <w:tc>
          <w:tcPr>
            <w:tcW w:w="2229"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1.055</w:t>
            </w:r>
          </w:p>
        </w:tc>
        <w:tc>
          <w:tcPr>
            <w:tcW w:w="2136"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0.794</w:t>
            </w:r>
          </w:p>
        </w:tc>
        <w:tc>
          <w:tcPr>
            <w:tcW w:w="2275"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1.063</w:t>
            </w:r>
          </w:p>
        </w:tc>
      </w:tr>
    </w:tbl>
    <w:p w:rsidR="00ED505D" w:rsidRPr="009F50A8" w:rsidRDefault="00ED505D" w:rsidP="009F50A8">
      <w:pPr>
        <w:spacing w:before="240" w:after="240" w:line="240" w:lineRule="auto"/>
        <w:jc w:val="both"/>
        <w:rPr>
          <w:rFonts w:ascii="Times New Roman" w:hAnsi="Times New Roman" w:cs="Times New Roman"/>
          <w:sz w:val="24"/>
          <w:szCs w:val="24"/>
          <w:lang w:eastAsia="en-PH"/>
        </w:rPr>
      </w:pPr>
      <w:r w:rsidRPr="009F50A8">
        <w:rPr>
          <w:rFonts w:ascii="Times New Roman" w:eastAsia="Times New Roman" w:hAnsi="Times New Roman" w:cs="Times New Roman"/>
          <w:b/>
          <w:bCs/>
          <w:color w:val="000000"/>
          <w:sz w:val="24"/>
          <w:szCs w:val="24"/>
        </w:rPr>
        <w:tab/>
      </w:r>
      <w:r w:rsidRPr="009F50A8">
        <w:rPr>
          <w:rFonts w:ascii="Times New Roman" w:eastAsia="Times New Roman" w:hAnsi="Times New Roman" w:cs="Times New Roman"/>
          <w:color w:val="000000"/>
          <w:sz w:val="24"/>
          <w:szCs w:val="24"/>
        </w:rPr>
        <w:t>Table 1 reveals that the pre-test mean scores under the experimental group which is 2.90 is slightly similar to the mean score under the control group which is 2.89. The result shows that the performances of the students in both groups are moderately creative. This means that students are more likely incoherent in answering the problems, which resulted to the wrong answer due to little knowledge or low retention of the previous learning in the topic. However</w:t>
      </w:r>
      <w:r w:rsidRPr="009F50A8">
        <w:rPr>
          <w:rFonts w:ascii="Times New Roman" w:hAnsi="Times New Roman" w:cs="Times New Roman"/>
          <w:sz w:val="24"/>
          <w:szCs w:val="24"/>
          <w:lang w:eastAsia="en-PH"/>
        </w:rPr>
        <w:t xml:space="preserve">, the post-test reveals that the students under the experimental group gain a mean score of 5.12, while the control group has 4.5. The result indicates that both groups have an increase in students’ mathematical fluency scores, which implies that students performed better since there was </w:t>
      </w:r>
      <w:r w:rsidRPr="009F50A8">
        <w:rPr>
          <w:rFonts w:ascii="Times New Roman" w:hAnsi="Times New Roman" w:cs="Times New Roman"/>
          <w:sz w:val="24"/>
          <w:szCs w:val="24"/>
          <w:lang w:eastAsia="en-PH"/>
        </w:rPr>
        <w:lastRenderedPageBreak/>
        <w:t>an improvement when it came to carrying out correct procedures to given mathematical problems. It is noticeable that a slightly higher mean score can be observed in the students under the experimental group compared to that of the control group, which indicates that students engage in the Cultural CyberMath System had a better understanding of procedural process in problem-solving in mathematics. Regarding the pre-test of students’ standard deviation in mathematical fluency, both experimental and control groups get 0.794 and 0.994, respectively, which means that their scores were all intensively closer. In the post-test, the experimental group gets 1.063, while the control group gets 1.055. The results indicate that the scores of the students both in the experimental and control groups are slightly similar that scores from pre-test and post-test are distributed closely from each other.</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To determine if there is a significant difference on the effects of the treatments both in Control and Experimental groups, further analysis is done using analysis of covariance (ANCOVA), as shown in table 2.</w:t>
      </w: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p>
    <w:p w:rsidR="009915B5" w:rsidRPr="009F50A8" w:rsidRDefault="009915B5" w:rsidP="009F50A8">
      <w:pPr>
        <w:shd w:val="clear" w:color="auto" w:fill="FFFFFF"/>
        <w:spacing w:before="240" w:after="240" w:line="240" w:lineRule="auto"/>
        <w:contextualSpacing/>
        <w:rPr>
          <w:rFonts w:ascii="Times New Roman" w:hAnsi="Times New Roman" w:cs="Times New Roman"/>
          <w:b/>
          <w:sz w:val="24"/>
          <w:szCs w:val="24"/>
        </w:rPr>
      </w:pPr>
    </w:p>
    <w:p w:rsidR="009915B5" w:rsidRPr="009F50A8" w:rsidRDefault="009915B5" w:rsidP="009F50A8">
      <w:pPr>
        <w:shd w:val="clear" w:color="auto" w:fill="FFFFFF"/>
        <w:spacing w:before="240" w:after="240" w:line="240" w:lineRule="auto"/>
        <w:contextualSpacing/>
        <w:rPr>
          <w:rFonts w:ascii="Times New Roman" w:hAnsi="Times New Roman" w:cs="Times New Roman"/>
          <w:b/>
          <w:sz w:val="24"/>
          <w:szCs w:val="24"/>
        </w:rPr>
      </w:pPr>
    </w:p>
    <w:p w:rsidR="009915B5" w:rsidRPr="009F50A8" w:rsidRDefault="009915B5" w:rsidP="009F50A8">
      <w:pPr>
        <w:shd w:val="clear" w:color="auto" w:fill="FFFFFF"/>
        <w:spacing w:before="240" w:after="240" w:line="240" w:lineRule="auto"/>
        <w:contextualSpacing/>
        <w:rPr>
          <w:rFonts w:ascii="Times New Roman" w:hAnsi="Times New Roman" w:cs="Times New Roman"/>
          <w:b/>
          <w:sz w:val="24"/>
          <w:szCs w:val="24"/>
        </w:rPr>
      </w:pPr>
    </w:p>
    <w:p w:rsidR="009915B5" w:rsidRPr="009F50A8" w:rsidRDefault="009915B5" w:rsidP="009F50A8">
      <w:pPr>
        <w:shd w:val="clear" w:color="auto" w:fill="FFFFFF"/>
        <w:spacing w:before="240" w:after="240" w:line="240" w:lineRule="auto"/>
        <w:contextualSpacing/>
        <w:rPr>
          <w:rFonts w:ascii="Times New Roman" w:hAnsi="Times New Roman" w:cs="Times New Roman"/>
          <w:b/>
          <w:sz w:val="24"/>
          <w:szCs w:val="24"/>
        </w:rPr>
      </w:pP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r w:rsidRPr="009F50A8">
        <w:rPr>
          <w:rFonts w:ascii="Times New Roman" w:hAnsi="Times New Roman" w:cs="Times New Roman"/>
          <w:b/>
          <w:sz w:val="24"/>
          <w:szCs w:val="24"/>
        </w:rPr>
        <w:t xml:space="preserve">Table 2. </w:t>
      </w:r>
    </w:p>
    <w:p w:rsidR="00ED505D" w:rsidRPr="009F50A8" w:rsidRDefault="00ED505D" w:rsidP="009F50A8">
      <w:pPr>
        <w:shd w:val="clear" w:color="auto" w:fill="FFFFFF"/>
        <w:spacing w:before="240" w:after="240" w:line="240" w:lineRule="auto"/>
        <w:contextualSpacing/>
        <w:rPr>
          <w:rFonts w:ascii="Times New Roman" w:hAnsi="Times New Roman" w:cs="Times New Roman"/>
          <w:i/>
          <w:sz w:val="24"/>
          <w:szCs w:val="24"/>
        </w:rPr>
      </w:pPr>
      <w:r w:rsidRPr="009F50A8">
        <w:rPr>
          <w:rFonts w:ascii="Times New Roman" w:hAnsi="Times New Roman" w:cs="Times New Roman"/>
          <w:i/>
          <w:sz w:val="24"/>
          <w:szCs w:val="24"/>
        </w:rPr>
        <w:t>One-Way ANCOVA Summary on Level of Mathematical Creativity in terms of Fluency</w:t>
      </w:r>
    </w:p>
    <w:tbl>
      <w:tblPr>
        <w:tblW w:w="99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3"/>
        <w:gridCol w:w="1850"/>
        <w:gridCol w:w="1334"/>
        <w:gridCol w:w="1835"/>
        <w:gridCol w:w="1334"/>
        <w:gridCol w:w="1334"/>
      </w:tblGrid>
      <w:tr w:rsidR="00ED505D" w:rsidRPr="009F50A8" w:rsidTr="009915B5">
        <w:trPr>
          <w:cantSplit/>
          <w:trHeight w:val="129"/>
        </w:trPr>
        <w:tc>
          <w:tcPr>
            <w:tcW w:w="2233"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Source</w:t>
            </w:r>
          </w:p>
        </w:tc>
        <w:tc>
          <w:tcPr>
            <w:tcW w:w="1850"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Adj Sum of Squares</w:t>
            </w:r>
          </w:p>
        </w:tc>
        <w:tc>
          <w:tcPr>
            <w:tcW w:w="1334"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df</w:t>
            </w:r>
          </w:p>
        </w:tc>
        <w:tc>
          <w:tcPr>
            <w:tcW w:w="1835"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Mean Square</w:t>
            </w:r>
          </w:p>
        </w:tc>
        <w:tc>
          <w:tcPr>
            <w:tcW w:w="1334"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F</w:t>
            </w:r>
          </w:p>
        </w:tc>
        <w:tc>
          <w:tcPr>
            <w:tcW w:w="1334" w:type="dxa"/>
            <w:tcBorders>
              <w:top w:val="double" w:sz="4" w:space="0" w:color="auto"/>
              <w:left w:val="nil"/>
              <w:bottom w:val="single" w:sz="8" w:space="0" w:color="000000"/>
              <w:right w:val="nil"/>
            </w:tcBorders>
            <w:shd w:val="clear" w:color="auto" w:fill="FFFFFF"/>
            <w:vAlign w:val="bottom"/>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P-value</w:t>
            </w:r>
          </w:p>
        </w:tc>
      </w:tr>
      <w:tr w:rsidR="00ED505D" w:rsidRPr="009F50A8" w:rsidTr="009915B5">
        <w:trPr>
          <w:cantSplit/>
          <w:trHeight w:val="256"/>
        </w:trPr>
        <w:tc>
          <w:tcPr>
            <w:tcW w:w="2233" w:type="dxa"/>
            <w:tcBorders>
              <w:top w:val="nil"/>
              <w:left w:val="nil"/>
              <w:bottom w:val="nil"/>
              <w:right w:val="nil"/>
            </w:tcBorders>
            <w:shd w:val="clear" w:color="auto" w:fill="FFFFFF"/>
          </w:tcPr>
          <w:p w:rsidR="00ED505D" w:rsidRPr="009F50A8" w:rsidRDefault="00ED505D" w:rsidP="009F50A8">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Group</w:t>
            </w:r>
          </w:p>
        </w:tc>
        <w:tc>
          <w:tcPr>
            <w:tcW w:w="1850"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.394</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w:t>
            </w:r>
          </w:p>
        </w:tc>
        <w:tc>
          <w:tcPr>
            <w:tcW w:w="1835"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.394</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.431</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center"/>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.514</w:t>
            </w:r>
          </w:p>
        </w:tc>
      </w:tr>
      <w:tr w:rsidR="00ED505D" w:rsidRPr="009F50A8" w:rsidTr="009915B5">
        <w:trPr>
          <w:cantSplit/>
          <w:trHeight w:val="245"/>
        </w:trPr>
        <w:tc>
          <w:tcPr>
            <w:tcW w:w="2233" w:type="dxa"/>
            <w:tcBorders>
              <w:top w:val="nil"/>
              <w:left w:val="nil"/>
              <w:bottom w:val="nil"/>
              <w:right w:val="nil"/>
            </w:tcBorders>
            <w:shd w:val="clear" w:color="auto" w:fill="FFFFFF"/>
          </w:tcPr>
          <w:p w:rsidR="00ED505D" w:rsidRPr="009F50A8" w:rsidRDefault="00ED505D" w:rsidP="009F50A8">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Error</w:t>
            </w:r>
          </w:p>
        </w:tc>
        <w:tc>
          <w:tcPr>
            <w:tcW w:w="1850"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53.889</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59</w:t>
            </w:r>
          </w:p>
        </w:tc>
        <w:tc>
          <w:tcPr>
            <w:tcW w:w="1835"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.913</w:t>
            </w: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c>
          <w:tcPr>
            <w:tcW w:w="1334" w:type="dxa"/>
            <w:tcBorders>
              <w:top w:val="nil"/>
              <w:left w:val="nil"/>
              <w:bottom w:val="nil"/>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r>
      <w:tr w:rsidR="00ED505D" w:rsidRPr="009F50A8" w:rsidTr="009915B5">
        <w:trPr>
          <w:cantSplit/>
          <w:trHeight w:val="256"/>
        </w:trPr>
        <w:tc>
          <w:tcPr>
            <w:tcW w:w="2233" w:type="dxa"/>
            <w:tcBorders>
              <w:top w:val="nil"/>
              <w:left w:val="nil"/>
              <w:bottom w:val="double" w:sz="4" w:space="0" w:color="auto"/>
              <w:right w:val="nil"/>
            </w:tcBorders>
            <w:shd w:val="clear" w:color="auto" w:fill="FFFFFF"/>
          </w:tcPr>
          <w:p w:rsidR="00ED505D" w:rsidRPr="009F50A8" w:rsidRDefault="00ED505D" w:rsidP="009F50A8">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Corrected Total</w:t>
            </w:r>
          </w:p>
        </w:tc>
        <w:tc>
          <w:tcPr>
            <w:tcW w:w="1850"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67.701</w:t>
            </w:r>
          </w:p>
        </w:tc>
        <w:tc>
          <w:tcPr>
            <w:tcW w:w="1334"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61</w:t>
            </w:r>
          </w:p>
        </w:tc>
        <w:tc>
          <w:tcPr>
            <w:tcW w:w="1835"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c>
          <w:tcPr>
            <w:tcW w:w="1334"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c>
          <w:tcPr>
            <w:tcW w:w="1334" w:type="dxa"/>
            <w:tcBorders>
              <w:top w:val="nil"/>
              <w:left w:val="nil"/>
              <w:bottom w:val="double" w:sz="4" w:space="0" w:color="auto"/>
              <w:right w:val="nil"/>
            </w:tcBorders>
            <w:shd w:val="clear" w:color="auto" w:fill="FFFFFF"/>
            <w:vAlign w:val="center"/>
          </w:tcPr>
          <w:p w:rsidR="00ED505D" w:rsidRPr="009F50A8" w:rsidRDefault="00ED505D" w:rsidP="009F50A8">
            <w:pPr>
              <w:autoSpaceDE w:val="0"/>
              <w:autoSpaceDN w:val="0"/>
              <w:adjustRightInd w:val="0"/>
              <w:spacing w:after="0" w:line="240" w:lineRule="auto"/>
              <w:rPr>
                <w:rFonts w:ascii="Times New Roman" w:hAnsi="Times New Roman" w:cs="Times New Roman"/>
                <w:sz w:val="24"/>
                <w:szCs w:val="24"/>
                <w:lang w:eastAsia="en-PH"/>
              </w:rPr>
            </w:pPr>
          </w:p>
        </w:tc>
      </w:tr>
    </w:tbl>
    <w:p w:rsidR="00ED505D" w:rsidRPr="009F50A8" w:rsidRDefault="00752042" w:rsidP="00752042">
      <w:pPr>
        <w:spacing w:after="240" w:line="240" w:lineRule="auto"/>
        <w:jc w:val="both"/>
        <w:rPr>
          <w:rFonts w:ascii="Times New Roman" w:hAnsi="Times New Roman" w:cs="Times New Roman"/>
          <w:sz w:val="24"/>
          <w:szCs w:val="24"/>
          <w:lang w:eastAsia="en-PH"/>
        </w:rPr>
      </w:pPr>
      <w:r>
        <w:rPr>
          <w:rFonts w:ascii="Times New Roman" w:hAnsi="Times New Roman" w:cs="Times New Roman"/>
          <w:sz w:val="24"/>
          <w:szCs w:val="24"/>
          <w:lang w:eastAsia="en-PH"/>
        </w:rPr>
        <w:t>Note: Significant at</w:t>
      </w:r>
      <w:r w:rsidR="00ED505D" w:rsidRPr="009F50A8">
        <w:rPr>
          <w:rFonts w:ascii="Times New Roman" w:hAnsi="Times New Roman" w:cs="Times New Roman"/>
          <w:sz w:val="24"/>
          <w:szCs w:val="24"/>
          <w:lang w:eastAsia="en-PH"/>
        </w:rPr>
        <w:t xml:space="preserve"> 0.05</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lang w:eastAsia="en-PH"/>
        </w:rPr>
        <w:t>As shown in table 2, the analysis yielded a computed probability value of 0.514, which is greater than 0.05 level of significance.</w:t>
      </w:r>
      <w:r w:rsidRPr="009F50A8">
        <w:rPr>
          <w:rFonts w:ascii="Times New Roman" w:hAnsi="Times New Roman" w:cs="Times New Roman"/>
          <w:sz w:val="24"/>
          <w:szCs w:val="24"/>
        </w:rPr>
        <w:t xml:space="preserve"> Hence, there is sufficient evidence to accept the null hypothesis. It can be inferred, therefore, that there is no significant difference in the level of fluency in the mathematics of the participants between the control and experimental groups. This indicates that the mean scores in the experimental group is remarkably comparable to the mean scores of the control group. It only shows that the use of the Cultural CyberMath System and contextualized approach with blended instruction had achieved similar improvement in students’ mathematical creativity, particularly fluency.</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In order to support the development of students’ mathematical creativity, both the CCMS and contextualized approach with blended instruction has its disposition towards mathematical activities that foster broadly, particularly implementing inquiry-oriented mathematics instruction, which includes problem-solving. This is to avoid the impression of students that mathematics is just a set of skills and rules to memorize that will lose their natural curiosity and interest. With regards to the treatments used, both treatments organize the learning process where problem posing is given in the first stage of learning path, which is </w:t>
      </w:r>
      <w:r w:rsidRPr="009F50A8">
        <w:rPr>
          <w:rFonts w:ascii="Times New Roman" w:hAnsi="Times New Roman" w:cs="Times New Roman"/>
          <w:i/>
          <w:iCs/>
          <w:sz w:val="24"/>
          <w:szCs w:val="24"/>
        </w:rPr>
        <w:t>impress.</w:t>
      </w:r>
      <w:r w:rsidRPr="009F50A8">
        <w:rPr>
          <w:rFonts w:ascii="Times New Roman" w:hAnsi="Times New Roman" w:cs="Times New Roman"/>
          <w:sz w:val="24"/>
          <w:szCs w:val="24"/>
        </w:rPr>
        <w:t xml:space="preserve"> After motivation, a problem of the day, which is the focus of the lesson, needs the students to answer before the exposure of the learning resources until the fourth stage of the learning path, which is </w:t>
      </w:r>
      <w:r w:rsidRPr="009F50A8">
        <w:rPr>
          <w:rFonts w:ascii="Times New Roman" w:hAnsi="Times New Roman" w:cs="Times New Roman"/>
          <w:i/>
          <w:iCs/>
          <w:sz w:val="24"/>
          <w:szCs w:val="24"/>
        </w:rPr>
        <w:t>inspect.</w:t>
      </w:r>
      <w:r w:rsidRPr="009F50A8">
        <w:rPr>
          <w:rFonts w:ascii="Times New Roman" w:hAnsi="Times New Roman" w:cs="Times New Roman"/>
          <w:sz w:val="24"/>
          <w:szCs w:val="24"/>
        </w:rPr>
        <w:t xml:space="preserve"> The students hold their interest until the end of the lesson since there is a problem that needs to solve along the process of learning. </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Moreover, in both treatments, the students are engaged in self-assessment to nurture their confidence and independence in discovering mathematics. Students checked along the process of learning their initial solution on the given problem of the day. Students had a chance to revise their initial answers to come up with a correct solution. Hence, the self-assessment allows students to take responsibility and ownership of their learning, which provides the students an opportunity to spend time reflecting on their learning. Engaging in the self-assessment method will enable students to improve their mathematical fluency. </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Table 3 shows the performance of students on Mathematical Creativity during pre-test and post-test both under the Control and Experimental Groups in terms flexibility.</w:t>
      </w:r>
    </w:p>
    <w:p w:rsidR="00ED505D" w:rsidRPr="009F50A8" w:rsidRDefault="00ED505D" w:rsidP="009F50A8">
      <w:pPr>
        <w:spacing w:before="240" w:after="240" w:line="240" w:lineRule="auto"/>
        <w:rPr>
          <w:rFonts w:ascii="Times New Roman" w:hAnsi="Times New Roman" w:cs="Times New Roman"/>
          <w:b/>
          <w:sz w:val="24"/>
          <w:szCs w:val="24"/>
        </w:rPr>
      </w:pPr>
    </w:p>
    <w:p w:rsidR="00752042" w:rsidRDefault="00752042" w:rsidP="009F50A8">
      <w:pPr>
        <w:spacing w:after="0" w:line="240" w:lineRule="auto"/>
        <w:rPr>
          <w:rFonts w:ascii="Times New Roman" w:hAnsi="Times New Roman" w:cs="Times New Roman"/>
          <w:b/>
          <w:sz w:val="24"/>
          <w:szCs w:val="24"/>
        </w:rPr>
      </w:pPr>
    </w:p>
    <w:p w:rsidR="00ED505D" w:rsidRPr="009F50A8" w:rsidRDefault="00ED505D" w:rsidP="009F50A8">
      <w:pPr>
        <w:spacing w:after="0" w:line="240" w:lineRule="auto"/>
        <w:rPr>
          <w:rFonts w:ascii="Times New Roman" w:hAnsi="Times New Roman" w:cs="Times New Roman"/>
          <w:b/>
          <w:sz w:val="24"/>
          <w:szCs w:val="24"/>
        </w:rPr>
      </w:pPr>
      <w:r w:rsidRPr="009F50A8">
        <w:rPr>
          <w:rFonts w:ascii="Times New Roman" w:hAnsi="Times New Roman" w:cs="Times New Roman"/>
          <w:b/>
          <w:sz w:val="24"/>
          <w:szCs w:val="24"/>
        </w:rPr>
        <w:t xml:space="preserve">Table 3. </w:t>
      </w:r>
    </w:p>
    <w:p w:rsidR="00ED505D" w:rsidRPr="009F50A8" w:rsidRDefault="00ED505D" w:rsidP="009F50A8">
      <w:pPr>
        <w:spacing w:after="0" w:line="240" w:lineRule="auto"/>
        <w:rPr>
          <w:rFonts w:ascii="Times New Roman" w:hAnsi="Times New Roman" w:cs="Times New Roman"/>
          <w:i/>
          <w:sz w:val="24"/>
          <w:szCs w:val="24"/>
        </w:rPr>
      </w:pPr>
      <w:r w:rsidRPr="009F50A8">
        <w:rPr>
          <w:rFonts w:ascii="Times New Roman" w:hAnsi="Times New Roman" w:cs="Times New Roman"/>
          <w:i/>
          <w:sz w:val="24"/>
          <w:szCs w:val="24"/>
        </w:rPr>
        <w:t xml:space="preserve">Mean Scores and Standard Deviation of Students’ Mathematical Flexibility </w:t>
      </w:r>
    </w:p>
    <w:tbl>
      <w:tblPr>
        <w:tblW w:w="0" w:type="auto"/>
        <w:tblBorders>
          <w:top w:val="double" w:sz="4" w:space="0" w:color="auto"/>
          <w:bottom w:val="double" w:sz="4" w:space="0" w:color="auto"/>
        </w:tblBorders>
        <w:tblLook w:val="04A0" w:firstRow="1" w:lastRow="0" w:firstColumn="1" w:lastColumn="0" w:noHBand="0" w:noVBand="1"/>
      </w:tblPr>
      <w:tblGrid>
        <w:gridCol w:w="2059"/>
        <w:gridCol w:w="1979"/>
        <w:gridCol w:w="2020"/>
        <w:gridCol w:w="1947"/>
        <w:gridCol w:w="2064"/>
      </w:tblGrid>
      <w:tr w:rsidR="00ED505D" w:rsidRPr="009F50A8" w:rsidTr="009915B5">
        <w:trPr>
          <w:trHeight w:val="188"/>
        </w:trPr>
        <w:tc>
          <w:tcPr>
            <w:tcW w:w="2059" w:type="dxa"/>
            <w:vMerge w:val="restart"/>
            <w:tcBorders>
              <w:top w:val="double" w:sz="4" w:space="0" w:color="auto"/>
              <w:bottom w:val="single" w:sz="4" w:space="0" w:color="000000"/>
            </w:tcBorders>
            <w:vAlign w:val="center"/>
          </w:tcPr>
          <w:p w:rsidR="00ED505D" w:rsidRPr="009F50A8" w:rsidRDefault="00ED505D" w:rsidP="009F50A8">
            <w:pPr>
              <w:spacing w:after="0" w:line="240" w:lineRule="auto"/>
              <w:jc w:val="center"/>
              <w:rPr>
                <w:rFonts w:ascii="Times New Roman" w:hAnsi="Times New Roman" w:cs="Times New Roman"/>
                <w:b/>
                <w:color w:val="FF0000"/>
                <w:sz w:val="24"/>
                <w:szCs w:val="24"/>
              </w:rPr>
            </w:pPr>
          </w:p>
        </w:tc>
        <w:tc>
          <w:tcPr>
            <w:tcW w:w="3999" w:type="dxa"/>
            <w:gridSpan w:val="2"/>
            <w:tcBorders>
              <w:top w:val="double" w:sz="4" w:space="0" w:color="auto"/>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Control Group</w:t>
            </w:r>
          </w:p>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c>
          <w:tcPr>
            <w:tcW w:w="4011" w:type="dxa"/>
            <w:gridSpan w:val="2"/>
            <w:tcBorders>
              <w:top w:val="double" w:sz="4" w:space="0" w:color="auto"/>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Experimental Group</w:t>
            </w:r>
          </w:p>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r>
      <w:tr w:rsidR="00ED505D" w:rsidRPr="009F50A8" w:rsidTr="009915B5">
        <w:trPr>
          <w:trHeight w:val="100"/>
        </w:trPr>
        <w:tc>
          <w:tcPr>
            <w:tcW w:w="2059" w:type="dxa"/>
            <w:vMerge/>
            <w:tcBorders>
              <w:top w:val="nil"/>
              <w:bottom w:val="single" w:sz="4" w:space="0" w:color="000000"/>
            </w:tcBorders>
          </w:tcPr>
          <w:p w:rsidR="00ED505D" w:rsidRPr="009F50A8" w:rsidRDefault="00ED505D" w:rsidP="009F50A8">
            <w:pPr>
              <w:spacing w:after="0" w:line="240" w:lineRule="auto"/>
              <w:rPr>
                <w:rFonts w:ascii="Times New Roman" w:hAnsi="Times New Roman" w:cs="Times New Roman"/>
                <w:color w:val="FF0000"/>
                <w:sz w:val="24"/>
                <w:szCs w:val="24"/>
              </w:rPr>
            </w:pPr>
          </w:p>
        </w:tc>
        <w:tc>
          <w:tcPr>
            <w:tcW w:w="1979"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019"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c>
          <w:tcPr>
            <w:tcW w:w="1947"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063" w:type="dxa"/>
            <w:tcBorders>
              <w:top w:val="single" w:sz="4" w:space="0" w:color="000000"/>
              <w:bottom w:val="single" w:sz="4" w:space="0" w:color="000000"/>
            </w:tcBorders>
          </w:tcPr>
          <w:p w:rsidR="00ED505D" w:rsidRPr="009F50A8" w:rsidRDefault="00ED505D" w:rsidP="009F50A8">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r>
      <w:tr w:rsidR="00ED505D" w:rsidRPr="009F50A8" w:rsidTr="009915B5">
        <w:trPr>
          <w:trHeight w:val="188"/>
        </w:trPr>
        <w:tc>
          <w:tcPr>
            <w:tcW w:w="2059" w:type="dxa"/>
            <w:tcBorders>
              <w:top w:val="single" w:sz="4" w:space="0" w:color="000000"/>
            </w:tcBorders>
          </w:tcPr>
          <w:p w:rsidR="00ED505D" w:rsidRPr="009F50A8" w:rsidRDefault="00ED505D" w:rsidP="009F50A8">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Mean</w:t>
            </w:r>
          </w:p>
        </w:tc>
        <w:tc>
          <w:tcPr>
            <w:tcW w:w="1979"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1.80</w:t>
            </w:r>
          </w:p>
        </w:tc>
        <w:tc>
          <w:tcPr>
            <w:tcW w:w="2019"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5.34</w:t>
            </w:r>
          </w:p>
        </w:tc>
        <w:tc>
          <w:tcPr>
            <w:tcW w:w="1947"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2.01</w:t>
            </w:r>
          </w:p>
        </w:tc>
        <w:tc>
          <w:tcPr>
            <w:tcW w:w="2063" w:type="dxa"/>
            <w:tcBorders>
              <w:top w:val="single" w:sz="4" w:space="0" w:color="000000"/>
            </w:tcBorders>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5.09</w:t>
            </w:r>
          </w:p>
        </w:tc>
      </w:tr>
      <w:tr w:rsidR="00ED505D" w:rsidRPr="009F50A8" w:rsidTr="009915B5">
        <w:trPr>
          <w:trHeight w:val="188"/>
        </w:trPr>
        <w:tc>
          <w:tcPr>
            <w:tcW w:w="2059" w:type="dxa"/>
          </w:tcPr>
          <w:p w:rsidR="00ED505D" w:rsidRPr="009F50A8" w:rsidRDefault="00ED505D" w:rsidP="009F50A8">
            <w:pPr>
              <w:spacing w:after="0" w:line="240" w:lineRule="auto"/>
              <w:ind w:left="450"/>
              <w:rPr>
                <w:rFonts w:ascii="Times New Roman" w:hAnsi="Times New Roman" w:cs="Times New Roman"/>
                <w:sz w:val="24"/>
                <w:szCs w:val="24"/>
              </w:rPr>
            </w:pPr>
          </w:p>
        </w:tc>
        <w:tc>
          <w:tcPr>
            <w:tcW w:w="1979"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019"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1947" w:type="dxa"/>
          </w:tcPr>
          <w:p w:rsidR="00ED505D" w:rsidRPr="009F50A8" w:rsidRDefault="00ED505D" w:rsidP="009F50A8">
            <w:pPr>
              <w:spacing w:after="0" w:line="240" w:lineRule="auto"/>
              <w:jc w:val="center"/>
              <w:rPr>
                <w:rFonts w:ascii="Times New Roman" w:hAnsi="Times New Roman" w:cs="Times New Roman"/>
                <w:sz w:val="24"/>
                <w:szCs w:val="24"/>
              </w:rPr>
            </w:pPr>
          </w:p>
        </w:tc>
        <w:tc>
          <w:tcPr>
            <w:tcW w:w="2063" w:type="dxa"/>
          </w:tcPr>
          <w:p w:rsidR="00ED505D" w:rsidRPr="009F50A8" w:rsidRDefault="00ED505D" w:rsidP="009F50A8">
            <w:pPr>
              <w:spacing w:after="0" w:line="240" w:lineRule="auto"/>
              <w:jc w:val="center"/>
              <w:rPr>
                <w:rFonts w:ascii="Times New Roman" w:hAnsi="Times New Roman" w:cs="Times New Roman"/>
                <w:sz w:val="24"/>
                <w:szCs w:val="24"/>
              </w:rPr>
            </w:pPr>
          </w:p>
        </w:tc>
      </w:tr>
      <w:tr w:rsidR="00ED505D" w:rsidRPr="009F50A8" w:rsidTr="009915B5">
        <w:trPr>
          <w:trHeight w:val="199"/>
        </w:trPr>
        <w:tc>
          <w:tcPr>
            <w:tcW w:w="2059" w:type="dxa"/>
          </w:tcPr>
          <w:p w:rsidR="00ED505D" w:rsidRPr="009F50A8" w:rsidRDefault="00ED505D" w:rsidP="009F50A8">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SD</w:t>
            </w:r>
          </w:p>
        </w:tc>
        <w:tc>
          <w:tcPr>
            <w:tcW w:w="1979"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0.949</w:t>
            </w:r>
          </w:p>
        </w:tc>
        <w:tc>
          <w:tcPr>
            <w:tcW w:w="2019"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1.243</w:t>
            </w:r>
          </w:p>
        </w:tc>
        <w:tc>
          <w:tcPr>
            <w:tcW w:w="1947"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0.941</w:t>
            </w:r>
          </w:p>
        </w:tc>
        <w:tc>
          <w:tcPr>
            <w:tcW w:w="2063" w:type="dxa"/>
          </w:tcPr>
          <w:p w:rsidR="00ED505D" w:rsidRPr="009F50A8" w:rsidRDefault="00ED505D" w:rsidP="009F50A8">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0.999</w:t>
            </w:r>
          </w:p>
        </w:tc>
      </w:tr>
    </w:tbl>
    <w:p w:rsidR="00ED505D" w:rsidRPr="009F50A8" w:rsidRDefault="00ED505D" w:rsidP="009F50A8">
      <w:pPr>
        <w:spacing w:before="240" w:after="240" w:line="240" w:lineRule="auto"/>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w:t>
      </w:r>
      <w:r w:rsidRPr="009F50A8">
        <w:rPr>
          <w:rFonts w:ascii="Times New Roman" w:hAnsi="Times New Roman" w:cs="Times New Roman"/>
          <w:sz w:val="24"/>
          <w:szCs w:val="24"/>
          <w:lang w:eastAsia="en-PH"/>
        </w:rPr>
        <w:tab/>
      </w:r>
      <w:r w:rsidRPr="009F50A8">
        <w:rPr>
          <w:rFonts w:ascii="Times New Roman" w:eastAsia="Times New Roman" w:hAnsi="Times New Roman" w:cs="Times New Roman"/>
          <w:color w:val="000000"/>
          <w:sz w:val="24"/>
          <w:szCs w:val="24"/>
        </w:rPr>
        <w:t xml:space="preserve">Table </w:t>
      </w:r>
      <w:r w:rsidRPr="009F50A8">
        <w:rPr>
          <w:rFonts w:ascii="Times New Roman" w:eastAsia="Times New Roman" w:hAnsi="Times New Roman" w:cs="Times New Roman"/>
          <w:sz w:val="24"/>
          <w:szCs w:val="24"/>
        </w:rPr>
        <w:t>3</w:t>
      </w:r>
      <w:r w:rsidRPr="009F50A8">
        <w:rPr>
          <w:rFonts w:ascii="Times New Roman" w:eastAsia="Times New Roman" w:hAnsi="Times New Roman" w:cs="Times New Roman"/>
          <w:color w:val="000000"/>
          <w:sz w:val="24"/>
          <w:szCs w:val="24"/>
        </w:rPr>
        <w:t xml:space="preserve"> presents the mean and standard deviation of the students’ mathematical creativity in terms of flexibility. In mathematical flexibility, the table reveals that the mean score under the experimental group which is 2.01 is slightly higher than the mean score under the control group which is, 1.80. The result shows that the performances of the students in both groups are failing scores and interpreted as slightly creative. This means that students hardly find answers in problem-solving or having no clear and well-defined solutions due to little knowledge and poor retention of the lesson. On the other hand, </w:t>
      </w:r>
      <w:r w:rsidRPr="009F50A8">
        <w:rPr>
          <w:rFonts w:ascii="Times New Roman" w:hAnsi="Times New Roman" w:cs="Times New Roman"/>
          <w:sz w:val="24"/>
          <w:szCs w:val="24"/>
          <w:lang w:eastAsia="en-PH"/>
        </w:rPr>
        <w:t xml:space="preserve">the mean scores of 5.09 in the post-test of the experimental group and 5.34 in the control group indicate that the students under both groups improve their performance. However, students in the control group had a better flexibility score. This implies that exposure to the Cultural CyberMath System and the contextualized approach with blended instruction helped the students improve their mathematical flexibility since they were tasked to solve mathematics problems in different ways. This result suggests that students can create their initial solution in the given problem and manage to correct and assess after exposure to other learning resources. </w:t>
      </w:r>
    </w:p>
    <w:p w:rsidR="00ED505D" w:rsidRPr="009F50A8" w:rsidRDefault="00ED505D" w:rsidP="009F50A8">
      <w:pPr>
        <w:spacing w:before="240" w:after="240" w:line="240" w:lineRule="auto"/>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ab/>
        <w:t>Regarding the variability on students’ mathematical flexibility scores in the pre-test, the experimental group has a standard deviation of 0.941, and the control group has 0.949. These reveal that the mathematical flexibility scores of both groups were almost similar. As regards flexibility scores in the post-test, the experimental group has a standard deviation of 0.999, and the control group has 1.243, which means that the scores of the control group after the treatment were more scattered compared to that of the experimental group. The findings indicate that some students manage to increase relatively higher than other students who tend to have a little increase. This means that students have different capabilities of learning, particularly developing their ability to explore more feasible solutions in a given problem. Some of the students will merely rely on what is only given due to lack of persistence in carrying out other solutions in the given problem resulted to little increase in their mathematical flexibility scores.</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To determine if there is a significant difference on the effects of the treatments in the mathematical creativity in terms of flexibility both in control and experimental groups, further analysis is done using analysis of covariance (ANCOVA), as shown in table 4.</w:t>
      </w: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r w:rsidRPr="009F50A8">
        <w:rPr>
          <w:rFonts w:ascii="Times New Roman" w:hAnsi="Times New Roman" w:cs="Times New Roman"/>
          <w:b/>
          <w:sz w:val="24"/>
          <w:szCs w:val="24"/>
        </w:rPr>
        <w:t xml:space="preserve">Table 4. </w:t>
      </w:r>
    </w:p>
    <w:p w:rsidR="00ED505D" w:rsidRPr="009F50A8" w:rsidRDefault="00ED505D" w:rsidP="009F50A8">
      <w:pPr>
        <w:shd w:val="clear" w:color="auto" w:fill="FFFFFF"/>
        <w:spacing w:before="240" w:after="240" w:line="240" w:lineRule="auto"/>
        <w:contextualSpacing/>
        <w:rPr>
          <w:rFonts w:ascii="Times New Roman" w:hAnsi="Times New Roman" w:cs="Times New Roman"/>
          <w:i/>
          <w:sz w:val="24"/>
          <w:szCs w:val="24"/>
        </w:rPr>
      </w:pPr>
      <w:r w:rsidRPr="009F50A8">
        <w:rPr>
          <w:rFonts w:ascii="Times New Roman" w:hAnsi="Times New Roman" w:cs="Times New Roman"/>
          <w:i/>
          <w:sz w:val="24"/>
          <w:szCs w:val="24"/>
        </w:rPr>
        <w:t>One-Way ANCOVA Summary on Level of Mathematical Creativity in  terms of Flexibility</w:t>
      </w:r>
    </w:p>
    <w:tbl>
      <w:tblPr>
        <w:tblW w:w="1000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52"/>
        <w:gridCol w:w="1866"/>
        <w:gridCol w:w="1346"/>
        <w:gridCol w:w="1850"/>
        <w:gridCol w:w="1346"/>
        <w:gridCol w:w="1346"/>
      </w:tblGrid>
      <w:tr w:rsidR="00ED505D" w:rsidRPr="009F50A8" w:rsidTr="009915B5">
        <w:trPr>
          <w:cantSplit/>
          <w:trHeight w:val="399"/>
        </w:trPr>
        <w:tc>
          <w:tcPr>
            <w:tcW w:w="2252"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Source</w:t>
            </w:r>
          </w:p>
        </w:tc>
        <w:tc>
          <w:tcPr>
            <w:tcW w:w="186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Adj Sum of Squares</w:t>
            </w:r>
          </w:p>
        </w:tc>
        <w:tc>
          <w:tcPr>
            <w:tcW w:w="134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Df</w:t>
            </w:r>
          </w:p>
        </w:tc>
        <w:tc>
          <w:tcPr>
            <w:tcW w:w="1850"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Mean Square</w:t>
            </w:r>
          </w:p>
        </w:tc>
        <w:tc>
          <w:tcPr>
            <w:tcW w:w="134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F</w:t>
            </w:r>
          </w:p>
        </w:tc>
        <w:tc>
          <w:tcPr>
            <w:tcW w:w="134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P-value</w:t>
            </w:r>
          </w:p>
        </w:tc>
      </w:tr>
      <w:tr w:rsidR="00ED505D" w:rsidRPr="009F50A8" w:rsidTr="009915B5">
        <w:trPr>
          <w:cantSplit/>
          <w:trHeight w:val="204"/>
        </w:trPr>
        <w:tc>
          <w:tcPr>
            <w:tcW w:w="2252"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Group</w:t>
            </w:r>
          </w:p>
        </w:tc>
        <w:tc>
          <w:tcPr>
            <w:tcW w:w="186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1.576</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w:t>
            </w:r>
          </w:p>
        </w:tc>
        <w:tc>
          <w:tcPr>
            <w:tcW w:w="1850"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1.576</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1.298</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.259</w:t>
            </w:r>
          </w:p>
        </w:tc>
      </w:tr>
      <w:tr w:rsidR="00ED505D" w:rsidRPr="009F50A8" w:rsidTr="009915B5">
        <w:trPr>
          <w:cantSplit/>
          <w:trHeight w:val="195"/>
        </w:trPr>
        <w:tc>
          <w:tcPr>
            <w:tcW w:w="2252"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Error</w:t>
            </w:r>
          </w:p>
        </w:tc>
        <w:tc>
          <w:tcPr>
            <w:tcW w:w="186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71.626</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59</w:t>
            </w:r>
          </w:p>
        </w:tc>
        <w:tc>
          <w:tcPr>
            <w:tcW w:w="1850"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1.214</w:t>
            </w: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4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r w:rsidR="00ED505D" w:rsidRPr="009F50A8" w:rsidTr="009915B5">
        <w:trPr>
          <w:cantSplit/>
          <w:trHeight w:val="204"/>
        </w:trPr>
        <w:tc>
          <w:tcPr>
            <w:tcW w:w="2252" w:type="dxa"/>
            <w:tcBorders>
              <w:top w:val="nil"/>
              <w:left w:val="nil"/>
              <w:bottom w:val="double" w:sz="4" w:space="0" w:color="auto"/>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Corrected Total</w:t>
            </w:r>
          </w:p>
        </w:tc>
        <w:tc>
          <w:tcPr>
            <w:tcW w:w="186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77.343</w:t>
            </w:r>
          </w:p>
        </w:tc>
        <w:tc>
          <w:tcPr>
            <w:tcW w:w="134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61</w:t>
            </w:r>
          </w:p>
        </w:tc>
        <w:tc>
          <w:tcPr>
            <w:tcW w:w="1850"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4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4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bl>
    <w:p w:rsidR="00ED505D" w:rsidRPr="009F50A8" w:rsidRDefault="00752042" w:rsidP="00752042">
      <w:pPr>
        <w:spacing w:after="240" w:line="240" w:lineRule="auto"/>
        <w:jc w:val="both"/>
        <w:rPr>
          <w:rFonts w:ascii="Times New Roman" w:hAnsi="Times New Roman" w:cs="Times New Roman"/>
          <w:sz w:val="24"/>
          <w:szCs w:val="24"/>
          <w:lang w:eastAsia="en-PH"/>
        </w:rPr>
      </w:pPr>
      <w:r>
        <w:rPr>
          <w:rFonts w:ascii="Times New Roman" w:hAnsi="Times New Roman" w:cs="Times New Roman"/>
          <w:sz w:val="24"/>
          <w:szCs w:val="24"/>
          <w:lang w:eastAsia="en-PH"/>
        </w:rPr>
        <w:t>Note: Significant at</w:t>
      </w:r>
      <w:r w:rsidR="00ED505D" w:rsidRPr="009F50A8">
        <w:rPr>
          <w:rFonts w:ascii="Times New Roman" w:hAnsi="Times New Roman" w:cs="Times New Roman"/>
          <w:sz w:val="24"/>
          <w:szCs w:val="24"/>
          <w:lang w:eastAsia="en-PH"/>
        </w:rPr>
        <w:t xml:space="preserve"> 0.05</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lang w:eastAsia="en-PH"/>
        </w:rPr>
        <w:t>As shown in table 4, the analysis yielded a computed probability value of 0.259, which is greater than 0.05 level of significance.</w:t>
      </w:r>
      <w:r w:rsidRPr="009F50A8">
        <w:rPr>
          <w:rFonts w:ascii="Times New Roman" w:hAnsi="Times New Roman" w:cs="Times New Roman"/>
          <w:sz w:val="24"/>
          <w:szCs w:val="24"/>
        </w:rPr>
        <w:t xml:space="preserve"> Hence, there is sufficient evidence to accept the null hypothesis. It can be inferred, therefore, that there is no significant difference in the level of mathematical creativity of participants under the control and experimental groups in terms of flexibility. The findings reveal that the result in the experimental group is remarkably similar to control group. It only shows that the use of the Cultural CyberMath System and </w:t>
      </w:r>
      <w:r w:rsidRPr="009F50A8">
        <w:rPr>
          <w:rFonts w:ascii="Times New Roman" w:hAnsi="Times New Roman" w:cs="Times New Roman"/>
          <w:sz w:val="24"/>
          <w:szCs w:val="24"/>
        </w:rPr>
        <w:lastRenderedPageBreak/>
        <w:t>contextualized approach with blended instruction had better improvement in students’ mathematical creativity, particularly flexibility.</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The comparable result between the two groups was attributed to the fact that during the experiment, students in both groups have refrained from the perception of familiarization of rules and techniques in order to explore their creative potentials. These results further support the claim of Roble, Lomibao and Luna (2018) that teachers, who regularly design activities in mathematics classes that requires students to posit novel solutions to problems in order to develop their creative potentials. Furthermore, with the integration of culture in CCMS and contextualized approach, the students learned alternation of representations and viewing mathematical contents from different perspectives, which develops the creative ability of the students. </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Table 5 shows the performance of students’ mathematical creativity during pre-test and post-test both under the Control and Experimental Groups in terms of originality.</w:t>
      </w:r>
    </w:p>
    <w:p w:rsidR="00ED505D" w:rsidRPr="009F50A8" w:rsidRDefault="00ED505D" w:rsidP="00752042">
      <w:pPr>
        <w:spacing w:after="0" w:line="240" w:lineRule="auto"/>
        <w:rPr>
          <w:rFonts w:ascii="Times New Roman" w:hAnsi="Times New Roman" w:cs="Times New Roman"/>
          <w:b/>
          <w:sz w:val="24"/>
          <w:szCs w:val="24"/>
        </w:rPr>
      </w:pPr>
      <w:r w:rsidRPr="009F50A8">
        <w:rPr>
          <w:rFonts w:ascii="Times New Roman" w:hAnsi="Times New Roman" w:cs="Times New Roman"/>
          <w:b/>
          <w:sz w:val="24"/>
          <w:szCs w:val="24"/>
        </w:rPr>
        <w:t xml:space="preserve">Table 5. </w:t>
      </w:r>
    </w:p>
    <w:p w:rsidR="00ED505D" w:rsidRPr="009F50A8" w:rsidRDefault="00ED505D" w:rsidP="00752042">
      <w:pPr>
        <w:spacing w:after="0" w:line="240" w:lineRule="auto"/>
        <w:rPr>
          <w:rFonts w:ascii="Times New Roman" w:hAnsi="Times New Roman" w:cs="Times New Roman"/>
          <w:i/>
          <w:sz w:val="24"/>
          <w:szCs w:val="24"/>
        </w:rPr>
      </w:pPr>
      <w:r w:rsidRPr="009F50A8">
        <w:rPr>
          <w:rFonts w:ascii="Times New Roman" w:hAnsi="Times New Roman" w:cs="Times New Roman"/>
          <w:i/>
          <w:sz w:val="24"/>
          <w:szCs w:val="24"/>
        </w:rPr>
        <w:t>Mean Scores and Standard Deviation of Students’ Mathematical Originality</w:t>
      </w:r>
    </w:p>
    <w:tbl>
      <w:tblPr>
        <w:tblW w:w="0" w:type="auto"/>
        <w:tblBorders>
          <w:top w:val="double" w:sz="4" w:space="0" w:color="auto"/>
          <w:bottom w:val="double" w:sz="4" w:space="0" w:color="auto"/>
        </w:tblBorders>
        <w:tblLook w:val="04A0" w:firstRow="1" w:lastRow="0" w:firstColumn="1" w:lastColumn="0" w:noHBand="0" w:noVBand="1"/>
      </w:tblPr>
      <w:tblGrid>
        <w:gridCol w:w="2188"/>
        <w:gridCol w:w="2157"/>
        <w:gridCol w:w="2204"/>
        <w:gridCol w:w="2113"/>
        <w:gridCol w:w="2251"/>
      </w:tblGrid>
      <w:tr w:rsidR="00ED505D" w:rsidRPr="009F50A8" w:rsidTr="00ED505D">
        <w:trPr>
          <w:trHeight w:val="249"/>
        </w:trPr>
        <w:tc>
          <w:tcPr>
            <w:tcW w:w="2205" w:type="dxa"/>
            <w:vMerge w:val="restart"/>
            <w:tcBorders>
              <w:top w:val="double" w:sz="4" w:space="0" w:color="auto"/>
              <w:bottom w:val="single" w:sz="4" w:space="0" w:color="000000"/>
            </w:tcBorders>
            <w:vAlign w:val="center"/>
          </w:tcPr>
          <w:p w:rsidR="00ED505D" w:rsidRPr="009F50A8" w:rsidRDefault="00ED505D" w:rsidP="00752042">
            <w:pPr>
              <w:spacing w:after="0" w:line="240" w:lineRule="auto"/>
              <w:jc w:val="center"/>
              <w:rPr>
                <w:rFonts w:ascii="Times New Roman" w:hAnsi="Times New Roman" w:cs="Times New Roman"/>
                <w:b/>
                <w:color w:val="FF0000"/>
                <w:sz w:val="24"/>
                <w:szCs w:val="24"/>
              </w:rPr>
            </w:pPr>
          </w:p>
        </w:tc>
        <w:tc>
          <w:tcPr>
            <w:tcW w:w="4411" w:type="dxa"/>
            <w:gridSpan w:val="2"/>
            <w:tcBorders>
              <w:top w:val="double" w:sz="4" w:space="0" w:color="auto"/>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Control Group</w:t>
            </w:r>
          </w:p>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c>
          <w:tcPr>
            <w:tcW w:w="4412" w:type="dxa"/>
            <w:gridSpan w:val="2"/>
            <w:tcBorders>
              <w:top w:val="double" w:sz="4" w:space="0" w:color="auto"/>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Experimental Group</w:t>
            </w:r>
          </w:p>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r>
      <w:tr w:rsidR="00ED505D" w:rsidRPr="009F50A8" w:rsidTr="00ED505D">
        <w:trPr>
          <w:trHeight w:val="133"/>
        </w:trPr>
        <w:tc>
          <w:tcPr>
            <w:tcW w:w="2205" w:type="dxa"/>
            <w:vMerge/>
            <w:tcBorders>
              <w:top w:val="nil"/>
              <w:bottom w:val="single" w:sz="4" w:space="0" w:color="000000"/>
            </w:tcBorders>
          </w:tcPr>
          <w:p w:rsidR="00ED505D" w:rsidRPr="009F50A8" w:rsidRDefault="00ED505D" w:rsidP="00752042">
            <w:pPr>
              <w:spacing w:after="0" w:line="240" w:lineRule="auto"/>
              <w:rPr>
                <w:rFonts w:ascii="Times New Roman" w:hAnsi="Times New Roman" w:cs="Times New Roman"/>
                <w:color w:val="FF0000"/>
                <w:sz w:val="24"/>
                <w:szCs w:val="24"/>
              </w:rPr>
            </w:pPr>
          </w:p>
        </w:tc>
        <w:tc>
          <w:tcPr>
            <w:tcW w:w="2182"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29"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c>
          <w:tcPr>
            <w:tcW w:w="2136"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75"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r>
      <w:tr w:rsidR="00ED505D" w:rsidRPr="009F50A8" w:rsidTr="00ED505D">
        <w:trPr>
          <w:trHeight w:val="249"/>
        </w:trPr>
        <w:tc>
          <w:tcPr>
            <w:tcW w:w="2205" w:type="dxa"/>
            <w:tcBorders>
              <w:top w:val="single" w:sz="4" w:space="0" w:color="000000"/>
            </w:tcBorders>
          </w:tcPr>
          <w:p w:rsidR="00ED505D" w:rsidRPr="009F50A8" w:rsidRDefault="00ED505D" w:rsidP="00752042">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Mean</w:t>
            </w:r>
          </w:p>
        </w:tc>
        <w:tc>
          <w:tcPr>
            <w:tcW w:w="2182"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1.78</w:t>
            </w:r>
          </w:p>
        </w:tc>
        <w:tc>
          <w:tcPr>
            <w:tcW w:w="2229"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4.45</w:t>
            </w:r>
          </w:p>
        </w:tc>
        <w:tc>
          <w:tcPr>
            <w:tcW w:w="2136"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1.61</w:t>
            </w:r>
          </w:p>
        </w:tc>
        <w:tc>
          <w:tcPr>
            <w:tcW w:w="2275"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4.99</w:t>
            </w:r>
          </w:p>
        </w:tc>
      </w:tr>
      <w:tr w:rsidR="00ED505D" w:rsidRPr="009F50A8" w:rsidTr="00ED505D">
        <w:trPr>
          <w:trHeight w:val="249"/>
        </w:trPr>
        <w:tc>
          <w:tcPr>
            <w:tcW w:w="2205" w:type="dxa"/>
          </w:tcPr>
          <w:p w:rsidR="00ED505D" w:rsidRPr="009F50A8" w:rsidRDefault="00ED505D" w:rsidP="00752042">
            <w:pPr>
              <w:spacing w:after="0" w:line="240" w:lineRule="auto"/>
              <w:ind w:left="450"/>
              <w:rPr>
                <w:rFonts w:ascii="Times New Roman" w:hAnsi="Times New Roman" w:cs="Times New Roman"/>
                <w:sz w:val="24"/>
                <w:szCs w:val="24"/>
              </w:rPr>
            </w:pPr>
          </w:p>
        </w:tc>
        <w:tc>
          <w:tcPr>
            <w:tcW w:w="2182"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229"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136"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275" w:type="dxa"/>
          </w:tcPr>
          <w:p w:rsidR="00ED505D" w:rsidRPr="009F50A8" w:rsidRDefault="00ED505D" w:rsidP="00752042">
            <w:pPr>
              <w:spacing w:after="0" w:line="240" w:lineRule="auto"/>
              <w:jc w:val="center"/>
              <w:rPr>
                <w:rFonts w:ascii="Times New Roman" w:hAnsi="Times New Roman" w:cs="Times New Roman"/>
                <w:sz w:val="24"/>
                <w:szCs w:val="24"/>
              </w:rPr>
            </w:pPr>
          </w:p>
        </w:tc>
      </w:tr>
      <w:tr w:rsidR="00ED505D" w:rsidRPr="009F50A8" w:rsidTr="00ED505D">
        <w:trPr>
          <w:trHeight w:val="263"/>
        </w:trPr>
        <w:tc>
          <w:tcPr>
            <w:tcW w:w="2205" w:type="dxa"/>
          </w:tcPr>
          <w:p w:rsidR="00ED505D" w:rsidRPr="009F50A8" w:rsidRDefault="00ED505D" w:rsidP="00752042">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SD</w:t>
            </w:r>
          </w:p>
        </w:tc>
        <w:tc>
          <w:tcPr>
            <w:tcW w:w="2182"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0.872</w:t>
            </w:r>
          </w:p>
        </w:tc>
        <w:tc>
          <w:tcPr>
            <w:tcW w:w="2229"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1.326</w:t>
            </w:r>
          </w:p>
        </w:tc>
        <w:tc>
          <w:tcPr>
            <w:tcW w:w="2136"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0.694</w:t>
            </w:r>
          </w:p>
        </w:tc>
        <w:tc>
          <w:tcPr>
            <w:tcW w:w="2275"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0.956</w:t>
            </w:r>
          </w:p>
        </w:tc>
      </w:tr>
    </w:tbl>
    <w:p w:rsidR="00ED505D" w:rsidRPr="009F50A8" w:rsidRDefault="00ED505D" w:rsidP="009F50A8">
      <w:pPr>
        <w:spacing w:before="240" w:after="240" w:line="240" w:lineRule="auto"/>
        <w:ind w:firstLine="720"/>
        <w:jc w:val="both"/>
        <w:rPr>
          <w:rFonts w:ascii="Times New Roman" w:eastAsia="Times New Roman" w:hAnsi="Times New Roman" w:cs="Times New Roman"/>
          <w:color w:val="000000"/>
          <w:sz w:val="24"/>
          <w:szCs w:val="24"/>
        </w:rPr>
      </w:pPr>
      <w:r w:rsidRPr="009F50A8">
        <w:rPr>
          <w:rFonts w:ascii="Times New Roman" w:eastAsia="Times New Roman" w:hAnsi="Times New Roman" w:cs="Times New Roman"/>
          <w:color w:val="000000"/>
          <w:sz w:val="24"/>
          <w:szCs w:val="24"/>
        </w:rPr>
        <w:t xml:space="preserve">Table 5 presents the mean and standard deviation of the students’ mathematical creativity in terms of originality. The table reveals that the mean score under the experimental group, which is 1.61 is slightly lower than the mean score under the control group, which is 1.78. The result shows that the performances of the students in both groups are at the lowest level, interpreted as slightly creative. This means that students in both groups are struggling with the given problem. This implies that students have inadequate skills in a problem or even no background on the topic. </w:t>
      </w:r>
    </w:p>
    <w:p w:rsidR="00ED505D" w:rsidRPr="009F50A8" w:rsidRDefault="00ED505D" w:rsidP="009F50A8">
      <w:pPr>
        <w:spacing w:before="240" w:after="240" w:line="240" w:lineRule="auto"/>
        <w:ind w:firstLine="720"/>
        <w:jc w:val="both"/>
        <w:rPr>
          <w:rFonts w:ascii="Times New Roman" w:hAnsi="Times New Roman" w:cs="Times New Roman"/>
          <w:sz w:val="24"/>
          <w:szCs w:val="24"/>
          <w:lang w:eastAsia="en-PH"/>
        </w:rPr>
      </w:pPr>
      <w:r w:rsidRPr="009F50A8">
        <w:rPr>
          <w:rFonts w:ascii="Times New Roman" w:eastAsia="Times New Roman" w:hAnsi="Times New Roman" w:cs="Times New Roman"/>
          <w:color w:val="000000"/>
          <w:sz w:val="24"/>
          <w:szCs w:val="24"/>
        </w:rPr>
        <w:t>On the other hand, i</w:t>
      </w:r>
      <w:r w:rsidRPr="009F50A8">
        <w:rPr>
          <w:rFonts w:ascii="Times New Roman" w:hAnsi="Times New Roman" w:cs="Times New Roman"/>
          <w:sz w:val="24"/>
          <w:szCs w:val="24"/>
          <w:lang w:eastAsia="en-PH"/>
        </w:rPr>
        <w:t>t can be observed further from the table that after the treatment, the mean score of the experimental group increases to 4.99 (highly creative), while that of the control group goes up to 4.45 (moderately creative). This indicates that there was an improvement in the mean scores of both groups, with the experimental group showing a slightly higher mean score than that of the control group.</w:t>
      </w:r>
      <w:r w:rsidRPr="009F50A8">
        <w:rPr>
          <w:rFonts w:ascii="Times New Roman" w:eastAsia="Times New Roman" w:hAnsi="Times New Roman" w:cs="Times New Roman"/>
          <w:color w:val="000000"/>
          <w:sz w:val="24"/>
          <w:szCs w:val="24"/>
        </w:rPr>
        <w:t xml:space="preserve"> </w:t>
      </w:r>
      <w:r w:rsidRPr="009F50A8">
        <w:rPr>
          <w:rFonts w:ascii="Times New Roman" w:hAnsi="Times New Roman" w:cs="Times New Roman"/>
          <w:sz w:val="24"/>
          <w:szCs w:val="24"/>
          <w:lang w:eastAsia="en-PH"/>
        </w:rPr>
        <w:t xml:space="preserve">Further, students in the experimental group had a better originality score. This implies that exposure to the Cultural CyberMath System and contextualized approach with blended instruction helped the students improve their mathematical originality. Although, the post-test scores also suggest that better assimilation in both treatment, the majority of the students gained improvement since they have a similar way of solving a given problem, and only a few manage to create unique solution. This result suggests that treatments honed the skills of the students in creating a unique solution in solving problems. </w:t>
      </w:r>
    </w:p>
    <w:p w:rsidR="00ED505D" w:rsidRPr="009F50A8" w:rsidRDefault="00ED505D" w:rsidP="009F50A8">
      <w:pPr>
        <w:spacing w:before="240" w:after="240" w:line="240" w:lineRule="auto"/>
        <w:ind w:firstLine="720"/>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 xml:space="preserve">Regarding the variability on students’ mathematical originality scores in the pre-test, the table shows that the experimental group has a standard deviation of 0.694 and the control group has 0.872. This little difference indicates that the experimental group scores were closer to each other than that of the control group.  As regards flexibility scores in the post-test, the experimental group has a standard deviation of 0.956, and the control group has 1.326. These reveal that the mathematical originality scores of the control group were widely dispersed compared to the experimental group after treatment. Although students from both groups improved in their mathematical originality, only a few from the control group managed to increase their performance higher than most of the students. </w:t>
      </w:r>
    </w:p>
    <w:p w:rsidR="00ED505D" w:rsidRPr="009F50A8" w:rsidRDefault="00ED505D" w:rsidP="009F50A8">
      <w:pPr>
        <w:spacing w:before="240" w:after="240" w:line="240" w:lineRule="auto"/>
        <w:ind w:firstLine="720"/>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 xml:space="preserve">Moreover, based on the given a solution of the students in both groups, it is observed that students only provide solution which is commonly used that are more likely familiar to them. Only a few who is trying to innovate their solutions carrying out the correct answer. This implies that students find a hard time creating a unique solution also considering also that problem-solving requires a time limit to answer. </w:t>
      </w: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p>
    <w:p w:rsidR="00752042" w:rsidRDefault="00752042" w:rsidP="00752042">
      <w:pPr>
        <w:shd w:val="clear" w:color="auto" w:fill="FFFFFF"/>
        <w:spacing w:after="0" w:line="240" w:lineRule="auto"/>
        <w:contextualSpacing/>
        <w:rPr>
          <w:rFonts w:ascii="Times New Roman" w:hAnsi="Times New Roman" w:cs="Times New Roman"/>
          <w:b/>
          <w:sz w:val="24"/>
          <w:szCs w:val="24"/>
        </w:rPr>
      </w:pPr>
    </w:p>
    <w:p w:rsidR="00752042" w:rsidRDefault="00752042" w:rsidP="00752042">
      <w:pPr>
        <w:shd w:val="clear" w:color="auto" w:fill="FFFFFF"/>
        <w:spacing w:after="0" w:line="240" w:lineRule="auto"/>
        <w:contextualSpacing/>
        <w:rPr>
          <w:rFonts w:ascii="Times New Roman" w:hAnsi="Times New Roman" w:cs="Times New Roman"/>
          <w:b/>
          <w:sz w:val="24"/>
          <w:szCs w:val="24"/>
        </w:rPr>
      </w:pPr>
    </w:p>
    <w:p w:rsidR="009915B5" w:rsidRPr="009F50A8" w:rsidRDefault="00ED505D" w:rsidP="00752042">
      <w:pPr>
        <w:shd w:val="clear" w:color="auto" w:fill="FFFFFF"/>
        <w:spacing w:after="0" w:line="240" w:lineRule="auto"/>
        <w:contextualSpacing/>
        <w:rPr>
          <w:rFonts w:ascii="Times New Roman" w:hAnsi="Times New Roman" w:cs="Times New Roman"/>
          <w:b/>
          <w:sz w:val="24"/>
          <w:szCs w:val="24"/>
        </w:rPr>
      </w:pPr>
      <w:r w:rsidRPr="009F50A8">
        <w:rPr>
          <w:rFonts w:ascii="Times New Roman" w:hAnsi="Times New Roman" w:cs="Times New Roman"/>
          <w:b/>
          <w:sz w:val="24"/>
          <w:szCs w:val="24"/>
        </w:rPr>
        <w:t xml:space="preserve">Table 6. </w:t>
      </w:r>
    </w:p>
    <w:p w:rsidR="00ED505D" w:rsidRPr="009F50A8" w:rsidRDefault="00ED505D" w:rsidP="00752042">
      <w:pPr>
        <w:shd w:val="clear" w:color="auto" w:fill="FFFFFF"/>
        <w:spacing w:after="0" w:line="240" w:lineRule="auto"/>
        <w:contextualSpacing/>
        <w:rPr>
          <w:rFonts w:ascii="Times New Roman" w:hAnsi="Times New Roman" w:cs="Times New Roman"/>
          <w:i/>
          <w:sz w:val="24"/>
          <w:szCs w:val="24"/>
        </w:rPr>
      </w:pPr>
      <w:r w:rsidRPr="009F50A8">
        <w:rPr>
          <w:rFonts w:ascii="Times New Roman" w:hAnsi="Times New Roman" w:cs="Times New Roman"/>
          <w:i/>
          <w:sz w:val="24"/>
          <w:szCs w:val="24"/>
        </w:rPr>
        <w:t>One-Way ANCOVA Summary on Level</w:t>
      </w:r>
      <w:r w:rsidR="009915B5" w:rsidRPr="009F50A8">
        <w:rPr>
          <w:rFonts w:ascii="Times New Roman" w:hAnsi="Times New Roman" w:cs="Times New Roman"/>
          <w:i/>
          <w:sz w:val="24"/>
          <w:szCs w:val="24"/>
        </w:rPr>
        <w:t xml:space="preserve"> of Mathematical Creativity in </w:t>
      </w:r>
      <w:r w:rsidRPr="009F50A8">
        <w:rPr>
          <w:rFonts w:ascii="Times New Roman" w:hAnsi="Times New Roman" w:cs="Times New Roman"/>
          <w:i/>
          <w:sz w:val="24"/>
          <w:szCs w:val="24"/>
        </w:rPr>
        <w:t>terms of Originality</w:t>
      </w:r>
    </w:p>
    <w:tbl>
      <w:tblPr>
        <w:tblW w:w="993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6"/>
        <w:gridCol w:w="1852"/>
        <w:gridCol w:w="1336"/>
        <w:gridCol w:w="1838"/>
        <w:gridCol w:w="1336"/>
        <w:gridCol w:w="1336"/>
      </w:tblGrid>
      <w:tr w:rsidR="00ED505D" w:rsidRPr="009F50A8" w:rsidTr="009915B5">
        <w:trPr>
          <w:cantSplit/>
          <w:trHeight w:val="395"/>
        </w:trPr>
        <w:tc>
          <w:tcPr>
            <w:tcW w:w="223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Source</w:t>
            </w:r>
          </w:p>
        </w:tc>
        <w:tc>
          <w:tcPr>
            <w:tcW w:w="1852"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Adj Sum of Squares</w:t>
            </w:r>
          </w:p>
        </w:tc>
        <w:tc>
          <w:tcPr>
            <w:tcW w:w="133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df</w:t>
            </w:r>
          </w:p>
        </w:tc>
        <w:tc>
          <w:tcPr>
            <w:tcW w:w="1838"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 xml:space="preserve">    Mean Square</w:t>
            </w:r>
          </w:p>
        </w:tc>
        <w:tc>
          <w:tcPr>
            <w:tcW w:w="133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F</w:t>
            </w:r>
          </w:p>
        </w:tc>
        <w:tc>
          <w:tcPr>
            <w:tcW w:w="1336"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Sig.</w:t>
            </w:r>
          </w:p>
        </w:tc>
      </w:tr>
      <w:tr w:rsidR="00ED505D" w:rsidRPr="009F50A8" w:rsidTr="009915B5">
        <w:trPr>
          <w:cantSplit/>
          <w:trHeight w:val="202"/>
        </w:trPr>
        <w:tc>
          <w:tcPr>
            <w:tcW w:w="2236"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Group</w:t>
            </w:r>
          </w:p>
        </w:tc>
        <w:tc>
          <w:tcPr>
            <w:tcW w:w="1852"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7.191</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w:t>
            </w:r>
          </w:p>
        </w:tc>
        <w:tc>
          <w:tcPr>
            <w:tcW w:w="1838"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7.191</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8.017</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.006</w:t>
            </w:r>
          </w:p>
        </w:tc>
      </w:tr>
      <w:tr w:rsidR="00ED505D" w:rsidRPr="009F50A8" w:rsidTr="009915B5">
        <w:trPr>
          <w:cantSplit/>
          <w:trHeight w:val="194"/>
        </w:trPr>
        <w:tc>
          <w:tcPr>
            <w:tcW w:w="2236"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Error</w:t>
            </w:r>
          </w:p>
        </w:tc>
        <w:tc>
          <w:tcPr>
            <w:tcW w:w="1852"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52.920</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59</w:t>
            </w:r>
          </w:p>
        </w:tc>
        <w:tc>
          <w:tcPr>
            <w:tcW w:w="1838"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.897</w:t>
            </w: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36"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r w:rsidR="00ED505D" w:rsidRPr="009F50A8" w:rsidTr="009915B5">
        <w:trPr>
          <w:cantSplit/>
          <w:trHeight w:val="202"/>
        </w:trPr>
        <w:tc>
          <w:tcPr>
            <w:tcW w:w="2236" w:type="dxa"/>
            <w:tcBorders>
              <w:top w:val="nil"/>
              <w:left w:val="nil"/>
              <w:bottom w:val="double" w:sz="4" w:space="0" w:color="auto"/>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Corrected Total</w:t>
            </w:r>
          </w:p>
        </w:tc>
        <w:tc>
          <w:tcPr>
            <w:tcW w:w="1852"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84.646</w:t>
            </w:r>
          </w:p>
        </w:tc>
        <w:tc>
          <w:tcPr>
            <w:tcW w:w="133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61</w:t>
            </w:r>
          </w:p>
        </w:tc>
        <w:tc>
          <w:tcPr>
            <w:tcW w:w="1838"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3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336" w:type="dxa"/>
            <w:tcBorders>
              <w:top w:val="nil"/>
              <w:left w:val="nil"/>
              <w:bottom w:val="double" w:sz="4" w:space="0" w:color="auto"/>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bl>
    <w:p w:rsidR="00ED505D" w:rsidRPr="009F50A8" w:rsidRDefault="00752042" w:rsidP="00752042">
      <w:pPr>
        <w:spacing w:after="0" w:line="240" w:lineRule="auto"/>
        <w:jc w:val="both"/>
        <w:rPr>
          <w:rFonts w:ascii="Times New Roman" w:hAnsi="Times New Roman" w:cs="Times New Roman"/>
          <w:sz w:val="24"/>
          <w:szCs w:val="24"/>
          <w:lang w:eastAsia="en-PH"/>
        </w:rPr>
      </w:pPr>
      <w:r>
        <w:rPr>
          <w:rFonts w:ascii="Times New Roman" w:hAnsi="Times New Roman" w:cs="Times New Roman"/>
          <w:sz w:val="24"/>
          <w:szCs w:val="24"/>
          <w:lang w:eastAsia="en-PH"/>
        </w:rPr>
        <w:t>Note: Significant at</w:t>
      </w:r>
      <w:r w:rsidR="00ED505D" w:rsidRPr="009F50A8">
        <w:rPr>
          <w:rFonts w:ascii="Times New Roman" w:hAnsi="Times New Roman" w:cs="Times New Roman"/>
          <w:sz w:val="24"/>
          <w:szCs w:val="24"/>
          <w:lang w:eastAsia="en-PH"/>
        </w:rPr>
        <w:t xml:space="preserve"> 0.05</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lang w:eastAsia="en-PH"/>
        </w:rPr>
        <w:t>As shown in table 6, the analysis yielded a computed probability value of 0.006, which is less than 0.05 level of significance.</w:t>
      </w:r>
      <w:r w:rsidRPr="009F50A8">
        <w:rPr>
          <w:rFonts w:ascii="Times New Roman" w:hAnsi="Times New Roman" w:cs="Times New Roman"/>
          <w:sz w:val="24"/>
          <w:szCs w:val="24"/>
        </w:rPr>
        <w:t xml:space="preserve"> Hence, there is sufficient evidence to reject the null hypothesis. It can be inferred, therefore, that there is a significant difference in the level of mathematical creativity of participants under the control and experimental groups in terms of originality. The findings reveal that the result in the Experimental Group is remarkably dissimilar to the control group. It only shows that the use of the Cultural CyberMath System had better improvement in students’ mathematical creativity, particularly originality.</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 xml:space="preserve">In the use of CCMS, the students were exposed to a learning process where they can decontextualize a certain problematic situation and transform it into a mathematical concept. In particular, the </w:t>
      </w:r>
      <w:r w:rsidRPr="009F50A8">
        <w:rPr>
          <w:rFonts w:ascii="Times New Roman" w:hAnsi="Times New Roman" w:cs="Times New Roman"/>
          <w:i/>
          <w:iCs/>
          <w:sz w:val="24"/>
          <w:szCs w:val="24"/>
        </w:rPr>
        <w:t xml:space="preserve">Inspect </w:t>
      </w:r>
      <w:r w:rsidRPr="009F50A8">
        <w:rPr>
          <w:rFonts w:ascii="Times New Roman" w:hAnsi="Times New Roman" w:cs="Times New Roman"/>
          <w:sz w:val="24"/>
          <w:szCs w:val="24"/>
        </w:rPr>
        <w:t xml:space="preserve">learning path support students can generate an original mathematical idea from activating the prior knowledge, and understand its concept finding its relationship to the local context. Further, in the Invoke learning path is the application to innovate existing ideas and concepts. </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Table 7 shows the performance of students’ mathematical creativity during pre-test and post-test both under the Control and Experimental Groups.</w:t>
      </w:r>
    </w:p>
    <w:p w:rsidR="00ED505D" w:rsidRPr="009F50A8" w:rsidRDefault="00ED505D" w:rsidP="009F50A8">
      <w:pPr>
        <w:spacing w:before="240" w:after="240" w:line="240" w:lineRule="auto"/>
        <w:ind w:firstLine="720"/>
        <w:rPr>
          <w:rFonts w:ascii="Times New Roman" w:hAnsi="Times New Roman" w:cs="Times New Roman"/>
          <w:sz w:val="24"/>
          <w:szCs w:val="24"/>
        </w:rPr>
      </w:pPr>
    </w:p>
    <w:p w:rsidR="00ED505D" w:rsidRPr="009F50A8" w:rsidRDefault="00ED505D" w:rsidP="00752042">
      <w:pPr>
        <w:spacing w:after="0" w:line="240" w:lineRule="auto"/>
        <w:rPr>
          <w:rFonts w:ascii="Times New Roman" w:hAnsi="Times New Roman" w:cs="Times New Roman"/>
          <w:b/>
          <w:sz w:val="24"/>
          <w:szCs w:val="24"/>
        </w:rPr>
      </w:pPr>
      <w:r w:rsidRPr="009F50A8">
        <w:rPr>
          <w:rFonts w:ascii="Times New Roman" w:hAnsi="Times New Roman" w:cs="Times New Roman"/>
          <w:b/>
          <w:sz w:val="24"/>
          <w:szCs w:val="24"/>
        </w:rPr>
        <w:t xml:space="preserve">Table 7. </w:t>
      </w:r>
    </w:p>
    <w:p w:rsidR="00ED505D" w:rsidRPr="009F50A8" w:rsidRDefault="00ED505D" w:rsidP="00752042">
      <w:pPr>
        <w:spacing w:after="0" w:line="240" w:lineRule="auto"/>
        <w:rPr>
          <w:rFonts w:ascii="Times New Roman" w:hAnsi="Times New Roman" w:cs="Times New Roman"/>
          <w:i/>
          <w:sz w:val="24"/>
          <w:szCs w:val="24"/>
        </w:rPr>
      </w:pPr>
      <w:r w:rsidRPr="009F50A8">
        <w:rPr>
          <w:rFonts w:ascii="Times New Roman" w:hAnsi="Times New Roman" w:cs="Times New Roman"/>
          <w:i/>
          <w:sz w:val="24"/>
          <w:szCs w:val="24"/>
        </w:rPr>
        <w:t>Mean Scores and Standard Deviation of Students’ Mathematical Creativity</w:t>
      </w:r>
    </w:p>
    <w:tbl>
      <w:tblPr>
        <w:tblW w:w="0" w:type="auto"/>
        <w:tblBorders>
          <w:top w:val="double" w:sz="4" w:space="0" w:color="auto"/>
          <w:bottom w:val="double" w:sz="4" w:space="0" w:color="auto"/>
        </w:tblBorders>
        <w:tblLook w:val="04A0" w:firstRow="1" w:lastRow="0" w:firstColumn="1" w:lastColumn="0" w:noHBand="0" w:noVBand="1"/>
      </w:tblPr>
      <w:tblGrid>
        <w:gridCol w:w="2188"/>
        <w:gridCol w:w="2157"/>
        <w:gridCol w:w="2204"/>
        <w:gridCol w:w="2113"/>
        <w:gridCol w:w="2251"/>
      </w:tblGrid>
      <w:tr w:rsidR="00ED505D" w:rsidRPr="009F50A8" w:rsidTr="00ED505D">
        <w:trPr>
          <w:trHeight w:val="273"/>
        </w:trPr>
        <w:tc>
          <w:tcPr>
            <w:tcW w:w="2205" w:type="dxa"/>
            <w:vMerge w:val="restart"/>
            <w:tcBorders>
              <w:top w:val="double" w:sz="4" w:space="0" w:color="auto"/>
              <w:bottom w:val="single" w:sz="4" w:space="0" w:color="000000"/>
            </w:tcBorders>
            <w:vAlign w:val="center"/>
          </w:tcPr>
          <w:p w:rsidR="00ED505D" w:rsidRPr="009F50A8" w:rsidRDefault="00ED505D" w:rsidP="00752042">
            <w:pPr>
              <w:spacing w:after="0" w:line="240" w:lineRule="auto"/>
              <w:jc w:val="center"/>
              <w:rPr>
                <w:rFonts w:ascii="Times New Roman" w:hAnsi="Times New Roman" w:cs="Times New Roman"/>
                <w:b/>
                <w:color w:val="FF0000"/>
                <w:sz w:val="24"/>
                <w:szCs w:val="24"/>
              </w:rPr>
            </w:pPr>
          </w:p>
        </w:tc>
        <w:tc>
          <w:tcPr>
            <w:tcW w:w="4411" w:type="dxa"/>
            <w:gridSpan w:val="2"/>
            <w:tcBorders>
              <w:top w:val="double" w:sz="4" w:space="0" w:color="auto"/>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Control Group</w:t>
            </w:r>
          </w:p>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c>
          <w:tcPr>
            <w:tcW w:w="4412" w:type="dxa"/>
            <w:gridSpan w:val="2"/>
            <w:tcBorders>
              <w:top w:val="double" w:sz="4" w:space="0" w:color="auto"/>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Experimental Group</w:t>
            </w:r>
          </w:p>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n=31</w:t>
            </w:r>
          </w:p>
        </w:tc>
      </w:tr>
      <w:tr w:rsidR="00ED505D" w:rsidRPr="009F50A8" w:rsidTr="00ED505D">
        <w:trPr>
          <w:trHeight w:val="146"/>
        </w:trPr>
        <w:tc>
          <w:tcPr>
            <w:tcW w:w="2205" w:type="dxa"/>
            <w:vMerge/>
            <w:tcBorders>
              <w:top w:val="nil"/>
              <w:bottom w:val="single" w:sz="4" w:space="0" w:color="000000"/>
            </w:tcBorders>
          </w:tcPr>
          <w:p w:rsidR="00ED505D" w:rsidRPr="009F50A8" w:rsidRDefault="00ED505D" w:rsidP="00752042">
            <w:pPr>
              <w:spacing w:after="0" w:line="240" w:lineRule="auto"/>
              <w:rPr>
                <w:rFonts w:ascii="Times New Roman" w:hAnsi="Times New Roman" w:cs="Times New Roman"/>
                <w:color w:val="FF0000"/>
                <w:sz w:val="24"/>
                <w:szCs w:val="24"/>
              </w:rPr>
            </w:pPr>
          </w:p>
        </w:tc>
        <w:tc>
          <w:tcPr>
            <w:tcW w:w="2182"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29"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c>
          <w:tcPr>
            <w:tcW w:w="2136"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Pre-test</w:t>
            </w:r>
          </w:p>
        </w:tc>
        <w:tc>
          <w:tcPr>
            <w:tcW w:w="2275" w:type="dxa"/>
            <w:tcBorders>
              <w:top w:val="single" w:sz="4" w:space="0" w:color="000000"/>
              <w:bottom w:val="single" w:sz="4" w:space="0" w:color="000000"/>
            </w:tcBorders>
          </w:tcPr>
          <w:p w:rsidR="00ED505D" w:rsidRPr="009F50A8" w:rsidRDefault="00ED505D" w:rsidP="00752042">
            <w:pPr>
              <w:spacing w:after="0" w:line="240" w:lineRule="auto"/>
              <w:jc w:val="center"/>
              <w:rPr>
                <w:rFonts w:ascii="Times New Roman" w:hAnsi="Times New Roman" w:cs="Times New Roman"/>
                <w:b/>
                <w:sz w:val="24"/>
                <w:szCs w:val="24"/>
              </w:rPr>
            </w:pPr>
            <w:r w:rsidRPr="009F50A8">
              <w:rPr>
                <w:rFonts w:ascii="Times New Roman" w:hAnsi="Times New Roman" w:cs="Times New Roman"/>
                <w:b/>
                <w:sz w:val="24"/>
                <w:szCs w:val="24"/>
              </w:rPr>
              <w:t>Post-test</w:t>
            </w:r>
          </w:p>
        </w:tc>
      </w:tr>
      <w:tr w:rsidR="00ED505D" w:rsidRPr="009F50A8" w:rsidTr="00ED505D">
        <w:trPr>
          <w:trHeight w:val="273"/>
        </w:trPr>
        <w:tc>
          <w:tcPr>
            <w:tcW w:w="2205" w:type="dxa"/>
            <w:tcBorders>
              <w:top w:val="single" w:sz="4" w:space="0" w:color="000000"/>
            </w:tcBorders>
          </w:tcPr>
          <w:p w:rsidR="00ED505D" w:rsidRPr="009F50A8" w:rsidRDefault="00ED505D" w:rsidP="00752042">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Mean</w:t>
            </w:r>
          </w:p>
        </w:tc>
        <w:tc>
          <w:tcPr>
            <w:tcW w:w="2182"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6.53</w:t>
            </w:r>
          </w:p>
        </w:tc>
        <w:tc>
          <w:tcPr>
            <w:tcW w:w="2229"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14.74</w:t>
            </w:r>
          </w:p>
        </w:tc>
        <w:tc>
          <w:tcPr>
            <w:tcW w:w="2136"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6.03</w:t>
            </w:r>
          </w:p>
        </w:tc>
        <w:tc>
          <w:tcPr>
            <w:tcW w:w="2275" w:type="dxa"/>
            <w:tcBorders>
              <w:top w:val="single" w:sz="4" w:space="0" w:color="000000"/>
            </w:tcBorders>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15.19</w:t>
            </w:r>
          </w:p>
        </w:tc>
      </w:tr>
      <w:tr w:rsidR="00ED505D" w:rsidRPr="009F50A8" w:rsidTr="00ED505D">
        <w:trPr>
          <w:trHeight w:val="273"/>
        </w:trPr>
        <w:tc>
          <w:tcPr>
            <w:tcW w:w="2205" w:type="dxa"/>
          </w:tcPr>
          <w:p w:rsidR="00ED505D" w:rsidRPr="009F50A8" w:rsidRDefault="00ED505D" w:rsidP="00752042">
            <w:pPr>
              <w:spacing w:after="0" w:line="240" w:lineRule="auto"/>
              <w:ind w:left="450"/>
              <w:rPr>
                <w:rFonts w:ascii="Times New Roman" w:hAnsi="Times New Roman" w:cs="Times New Roman"/>
                <w:sz w:val="24"/>
                <w:szCs w:val="24"/>
              </w:rPr>
            </w:pPr>
          </w:p>
        </w:tc>
        <w:tc>
          <w:tcPr>
            <w:tcW w:w="2182"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229"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136" w:type="dxa"/>
          </w:tcPr>
          <w:p w:rsidR="00ED505D" w:rsidRPr="009F50A8" w:rsidRDefault="00ED505D" w:rsidP="00752042">
            <w:pPr>
              <w:spacing w:after="0" w:line="240" w:lineRule="auto"/>
              <w:jc w:val="center"/>
              <w:rPr>
                <w:rFonts w:ascii="Times New Roman" w:hAnsi="Times New Roman" w:cs="Times New Roman"/>
                <w:sz w:val="24"/>
                <w:szCs w:val="24"/>
              </w:rPr>
            </w:pPr>
          </w:p>
        </w:tc>
        <w:tc>
          <w:tcPr>
            <w:tcW w:w="2275" w:type="dxa"/>
          </w:tcPr>
          <w:p w:rsidR="00ED505D" w:rsidRPr="009F50A8" w:rsidRDefault="00ED505D" w:rsidP="00752042">
            <w:pPr>
              <w:spacing w:after="0" w:line="240" w:lineRule="auto"/>
              <w:jc w:val="center"/>
              <w:rPr>
                <w:rFonts w:ascii="Times New Roman" w:hAnsi="Times New Roman" w:cs="Times New Roman"/>
                <w:sz w:val="24"/>
                <w:szCs w:val="24"/>
              </w:rPr>
            </w:pPr>
          </w:p>
        </w:tc>
      </w:tr>
      <w:tr w:rsidR="00ED505D" w:rsidRPr="009F50A8" w:rsidTr="00ED505D">
        <w:trPr>
          <w:trHeight w:val="288"/>
        </w:trPr>
        <w:tc>
          <w:tcPr>
            <w:tcW w:w="2205" w:type="dxa"/>
          </w:tcPr>
          <w:p w:rsidR="00ED505D" w:rsidRPr="009F50A8" w:rsidRDefault="00ED505D" w:rsidP="00752042">
            <w:pPr>
              <w:spacing w:after="0" w:line="240" w:lineRule="auto"/>
              <w:ind w:left="450"/>
              <w:rPr>
                <w:rFonts w:ascii="Times New Roman" w:hAnsi="Times New Roman" w:cs="Times New Roman"/>
                <w:sz w:val="24"/>
                <w:szCs w:val="24"/>
              </w:rPr>
            </w:pPr>
            <w:r w:rsidRPr="009F50A8">
              <w:rPr>
                <w:rFonts w:ascii="Times New Roman" w:hAnsi="Times New Roman" w:cs="Times New Roman"/>
                <w:sz w:val="24"/>
                <w:szCs w:val="24"/>
              </w:rPr>
              <w:t>SD</w:t>
            </w:r>
          </w:p>
        </w:tc>
        <w:tc>
          <w:tcPr>
            <w:tcW w:w="2182"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2.290</w:t>
            </w:r>
          </w:p>
        </w:tc>
        <w:tc>
          <w:tcPr>
            <w:tcW w:w="2229"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2992</w:t>
            </w:r>
          </w:p>
        </w:tc>
        <w:tc>
          <w:tcPr>
            <w:tcW w:w="2136"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1.771</w:t>
            </w:r>
          </w:p>
        </w:tc>
        <w:tc>
          <w:tcPr>
            <w:tcW w:w="2275" w:type="dxa"/>
          </w:tcPr>
          <w:p w:rsidR="00ED505D" w:rsidRPr="009F50A8" w:rsidRDefault="00ED505D" w:rsidP="00752042">
            <w:pPr>
              <w:spacing w:after="0" w:line="240" w:lineRule="auto"/>
              <w:jc w:val="center"/>
              <w:rPr>
                <w:rFonts w:ascii="Times New Roman" w:hAnsi="Times New Roman" w:cs="Times New Roman"/>
                <w:sz w:val="24"/>
                <w:szCs w:val="24"/>
              </w:rPr>
            </w:pPr>
            <w:r w:rsidRPr="009F50A8">
              <w:rPr>
                <w:rFonts w:ascii="Times New Roman" w:hAnsi="Times New Roman" w:cs="Times New Roman"/>
                <w:sz w:val="24"/>
                <w:szCs w:val="24"/>
              </w:rPr>
              <w:t>1.964</w:t>
            </w:r>
          </w:p>
        </w:tc>
      </w:tr>
    </w:tbl>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p>
    <w:p w:rsidR="00ED505D" w:rsidRPr="009F50A8" w:rsidRDefault="00ED505D" w:rsidP="009F50A8">
      <w:pPr>
        <w:shd w:val="clear" w:color="auto" w:fill="FFFFFF"/>
        <w:spacing w:before="240" w:after="240" w:line="240" w:lineRule="auto"/>
        <w:ind w:firstLine="720"/>
        <w:contextualSpacing/>
        <w:jc w:val="both"/>
        <w:rPr>
          <w:rFonts w:ascii="Times New Roman" w:hAnsi="Times New Roman" w:cs="Times New Roman"/>
          <w:sz w:val="24"/>
          <w:szCs w:val="24"/>
          <w:lang w:eastAsia="en-PH"/>
        </w:rPr>
      </w:pPr>
      <w:r w:rsidRPr="009F50A8">
        <w:rPr>
          <w:rFonts w:ascii="Times New Roman" w:eastAsia="Times New Roman" w:hAnsi="Times New Roman" w:cs="Times New Roman"/>
          <w:color w:val="000000"/>
          <w:sz w:val="24"/>
          <w:szCs w:val="24"/>
        </w:rPr>
        <w:t xml:space="preserve">Table 7 presents the mean and standard deviation of the students’ mathematical creativity, which is the total of their score in fluency, flexibility, and originality. </w:t>
      </w:r>
      <w:r w:rsidRPr="009F50A8">
        <w:rPr>
          <w:rFonts w:ascii="Times New Roman" w:hAnsi="Times New Roman" w:cs="Times New Roman"/>
          <w:sz w:val="24"/>
          <w:szCs w:val="24"/>
          <w:lang w:eastAsia="en-PH"/>
        </w:rPr>
        <w:t xml:space="preserve">In the pre-test, the table displays a mean score of 6.53 for the experimental group while that of the control group. It shows a mean score of 6.03. The control group yields a slightly higher mean compared to that of the experimental group. This indicates that the control group shows a little bit of creative ability than the experimental group. In terms of their level of mathematical creativity, the control group has shown more dispersed scores than that of the experimental group, as manifested in the standard deviation results. </w:t>
      </w:r>
    </w:p>
    <w:p w:rsidR="00ED505D" w:rsidRPr="009F50A8" w:rsidRDefault="00ED505D" w:rsidP="009F50A8">
      <w:pPr>
        <w:shd w:val="clear" w:color="auto" w:fill="FFFFFF"/>
        <w:spacing w:before="240" w:after="240" w:line="240" w:lineRule="auto"/>
        <w:ind w:firstLine="720"/>
        <w:contextualSpacing/>
        <w:jc w:val="both"/>
        <w:rPr>
          <w:rFonts w:ascii="Times New Roman" w:hAnsi="Times New Roman" w:cs="Times New Roman"/>
          <w:sz w:val="24"/>
          <w:szCs w:val="24"/>
          <w:lang w:eastAsia="en-PH"/>
        </w:rPr>
      </w:pPr>
      <w:r w:rsidRPr="009F50A8">
        <w:rPr>
          <w:rFonts w:ascii="Times New Roman" w:hAnsi="Times New Roman" w:cs="Times New Roman"/>
          <w:sz w:val="24"/>
          <w:szCs w:val="24"/>
          <w:lang w:eastAsia="en-PH"/>
        </w:rPr>
        <w:t xml:space="preserve">It can be observed further that after the treatment, the mean of the experimental group increases to 15.19, while the control group reaches to 14.74. The experimental group yields a slightly higher mean score compared to that of the control group. This indicates that students under the experimental group improve better in their mathematical creativity than the students under the control group because of higher increase in the post-test mathematical creativity scores.  This is evidence that the use of the Cultural CyberMath System improved the level of mathematical creativity of the students shown in their scores. Students under the experimental group assimilated well the lesson given and can perform ingenuity in problem-solving. Similarly, students under the control group with the use of a contextualized approach with blended instruction showed </w:t>
      </w:r>
      <w:r w:rsidRPr="009F50A8">
        <w:rPr>
          <w:rFonts w:ascii="Times New Roman" w:hAnsi="Times New Roman" w:cs="Times New Roman"/>
          <w:sz w:val="24"/>
          <w:szCs w:val="24"/>
          <w:lang w:eastAsia="en-PH"/>
        </w:rPr>
        <w:lastRenderedPageBreak/>
        <w:t>improvement on students’ mathematical creativity. It seems that the two methods used during treatment can improve the mathematical creativity of the students, particularly in dealing with mathematical problem-solving with the ability to be fluent, capable of being resilient or adapting new and different ways, and being innovativeness.</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rPr>
        <w:t>To collectively describe the mathematical creativity components, further analysis is done using analysis of covariance (ANCOVA), as shown in table 8.</w:t>
      </w:r>
    </w:p>
    <w:p w:rsidR="00ED505D" w:rsidRPr="009F50A8" w:rsidRDefault="00ED505D" w:rsidP="009F50A8">
      <w:pPr>
        <w:shd w:val="clear" w:color="auto" w:fill="FFFFFF"/>
        <w:spacing w:before="240" w:after="240" w:line="240" w:lineRule="auto"/>
        <w:contextualSpacing/>
        <w:rPr>
          <w:rFonts w:ascii="Times New Roman" w:hAnsi="Times New Roman" w:cs="Times New Roman"/>
          <w:b/>
          <w:sz w:val="24"/>
          <w:szCs w:val="24"/>
        </w:rPr>
      </w:pPr>
      <w:r w:rsidRPr="009F50A8">
        <w:rPr>
          <w:rFonts w:ascii="Times New Roman" w:hAnsi="Times New Roman" w:cs="Times New Roman"/>
          <w:b/>
          <w:sz w:val="24"/>
          <w:szCs w:val="24"/>
        </w:rPr>
        <w:t xml:space="preserve">Table 8. </w:t>
      </w:r>
    </w:p>
    <w:p w:rsidR="00ED505D" w:rsidRPr="009F50A8" w:rsidRDefault="00ED505D" w:rsidP="009F50A8">
      <w:pPr>
        <w:shd w:val="clear" w:color="auto" w:fill="FFFFFF"/>
        <w:spacing w:before="240" w:after="240" w:line="240" w:lineRule="auto"/>
        <w:contextualSpacing/>
        <w:rPr>
          <w:rFonts w:ascii="Times New Roman" w:hAnsi="Times New Roman" w:cs="Times New Roman"/>
          <w:i/>
          <w:sz w:val="24"/>
          <w:szCs w:val="24"/>
        </w:rPr>
      </w:pPr>
      <w:r w:rsidRPr="009F50A8">
        <w:rPr>
          <w:rFonts w:ascii="Times New Roman" w:hAnsi="Times New Roman" w:cs="Times New Roman"/>
          <w:i/>
          <w:sz w:val="24"/>
          <w:szCs w:val="24"/>
        </w:rPr>
        <w:t>One-Way ANCOVA Summary on Level of Performance in terms of Mathematical Creativity</w:t>
      </w:r>
    </w:p>
    <w:tbl>
      <w:tblPr>
        <w:tblW w:w="99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15"/>
        <w:gridCol w:w="1752"/>
        <w:gridCol w:w="1265"/>
        <w:gridCol w:w="1739"/>
        <w:gridCol w:w="1265"/>
        <w:gridCol w:w="1814"/>
      </w:tblGrid>
      <w:tr w:rsidR="00ED505D" w:rsidRPr="009F50A8" w:rsidTr="009915B5">
        <w:trPr>
          <w:cantSplit/>
          <w:trHeight w:val="272"/>
        </w:trPr>
        <w:tc>
          <w:tcPr>
            <w:tcW w:w="2115"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Source</w:t>
            </w:r>
          </w:p>
        </w:tc>
        <w:tc>
          <w:tcPr>
            <w:tcW w:w="1752"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Type III Sum of Squares</w:t>
            </w:r>
          </w:p>
        </w:tc>
        <w:tc>
          <w:tcPr>
            <w:tcW w:w="1265"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Df</w:t>
            </w:r>
          </w:p>
        </w:tc>
        <w:tc>
          <w:tcPr>
            <w:tcW w:w="1739"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Mean Square</w:t>
            </w:r>
          </w:p>
        </w:tc>
        <w:tc>
          <w:tcPr>
            <w:tcW w:w="1265"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F</w:t>
            </w:r>
          </w:p>
        </w:tc>
        <w:tc>
          <w:tcPr>
            <w:tcW w:w="1814" w:type="dxa"/>
            <w:tcBorders>
              <w:top w:val="double" w:sz="4" w:space="0" w:color="auto"/>
              <w:left w:val="nil"/>
              <w:bottom w:val="single" w:sz="8" w:space="0" w:color="000000"/>
              <w:right w:val="nil"/>
            </w:tcBorders>
            <w:shd w:val="clear" w:color="auto" w:fill="FFFFFF"/>
            <w:vAlign w:val="bottom"/>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b/>
                <w:bCs/>
                <w:color w:val="000000"/>
                <w:sz w:val="24"/>
                <w:szCs w:val="24"/>
                <w:lang w:eastAsia="en-PH"/>
              </w:rPr>
            </w:pPr>
            <w:r w:rsidRPr="009F50A8">
              <w:rPr>
                <w:rFonts w:ascii="Times New Roman" w:hAnsi="Times New Roman" w:cs="Times New Roman"/>
                <w:b/>
                <w:bCs/>
                <w:color w:val="000000"/>
                <w:sz w:val="24"/>
                <w:szCs w:val="24"/>
                <w:lang w:eastAsia="en-PH"/>
              </w:rPr>
              <w:t>P-value</w:t>
            </w:r>
          </w:p>
        </w:tc>
      </w:tr>
      <w:tr w:rsidR="00ED505D" w:rsidRPr="009F50A8" w:rsidTr="009915B5">
        <w:trPr>
          <w:cantSplit/>
          <w:trHeight w:val="251"/>
        </w:trPr>
        <w:tc>
          <w:tcPr>
            <w:tcW w:w="2115"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Group</w:t>
            </w:r>
          </w:p>
        </w:tc>
        <w:tc>
          <w:tcPr>
            <w:tcW w:w="1752"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11.569</w:t>
            </w:r>
          </w:p>
        </w:tc>
        <w:tc>
          <w:tcPr>
            <w:tcW w:w="1265"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w:t>
            </w:r>
          </w:p>
        </w:tc>
        <w:tc>
          <w:tcPr>
            <w:tcW w:w="1739"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11.569</w:t>
            </w:r>
          </w:p>
        </w:tc>
        <w:tc>
          <w:tcPr>
            <w:tcW w:w="1265"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3.334</w:t>
            </w:r>
          </w:p>
        </w:tc>
        <w:tc>
          <w:tcPr>
            <w:tcW w:w="1814"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center"/>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.053</w:t>
            </w:r>
          </w:p>
        </w:tc>
      </w:tr>
      <w:tr w:rsidR="00ED505D" w:rsidRPr="009F50A8" w:rsidTr="009915B5">
        <w:trPr>
          <w:cantSplit/>
          <w:trHeight w:val="240"/>
        </w:trPr>
        <w:tc>
          <w:tcPr>
            <w:tcW w:w="2115" w:type="dxa"/>
            <w:tcBorders>
              <w:top w:val="nil"/>
              <w:left w:val="nil"/>
              <w:bottom w:val="nil"/>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Error</w:t>
            </w:r>
          </w:p>
        </w:tc>
        <w:tc>
          <w:tcPr>
            <w:tcW w:w="1752"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204.733</w:t>
            </w:r>
          </w:p>
        </w:tc>
        <w:tc>
          <w:tcPr>
            <w:tcW w:w="1265"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59</w:t>
            </w:r>
          </w:p>
        </w:tc>
        <w:tc>
          <w:tcPr>
            <w:tcW w:w="1739"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3.470</w:t>
            </w:r>
          </w:p>
        </w:tc>
        <w:tc>
          <w:tcPr>
            <w:tcW w:w="1265"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814" w:type="dxa"/>
            <w:tcBorders>
              <w:top w:val="nil"/>
              <w:left w:val="nil"/>
              <w:bottom w:val="nil"/>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r w:rsidR="00ED505D" w:rsidRPr="009F50A8" w:rsidTr="009915B5">
        <w:trPr>
          <w:cantSplit/>
          <w:trHeight w:val="249"/>
        </w:trPr>
        <w:tc>
          <w:tcPr>
            <w:tcW w:w="2115" w:type="dxa"/>
            <w:tcBorders>
              <w:top w:val="nil"/>
              <w:left w:val="nil"/>
              <w:bottom w:val="single" w:sz="8" w:space="0" w:color="000000"/>
              <w:right w:val="nil"/>
            </w:tcBorders>
            <w:shd w:val="clear" w:color="auto" w:fill="FFFFFF"/>
          </w:tcPr>
          <w:p w:rsidR="00ED505D" w:rsidRPr="009F50A8" w:rsidRDefault="00ED505D" w:rsidP="00752042">
            <w:pPr>
              <w:autoSpaceDE w:val="0"/>
              <w:autoSpaceDN w:val="0"/>
              <w:adjustRightInd w:val="0"/>
              <w:spacing w:after="0" w:line="240" w:lineRule="auto"/>
              <w:ind w:left="60" w:right="60"/>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Corrected Total</w:t>
            </w:r>
          </w:p>
        </w:tc>
        <w:tc>
          <w:tcPr>
            <w:tcW w:w="1752"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387.515</w:t>
            </w:r>
          </w:p>
        </w:tc>
        <w:tc>
          <w:tcPr>
            <w:tcW w:w="1265"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ind w:left="60" w:right="60"/>
              <w:jc w:val="right"/>
              <w:rPr>
                <w:rFonts w:ascii="Times New Roman" w:hAnsi="Times New Roman" w:cs="Times New Roman"/>
                <w:color w:val="000000"/>
                <w:sz w:val="24"/>
                <w:szCs w:val="24"/>
                <w:lang w:eastAsia="en-PH"/>
              </w:rPr>
            </w:pPr>
            <w:r w:rsidRPr="009F50A8">
              <w:rPr>
                <w:rFonts w:ascii="Times New Roman" w:hAnsi="Times New Roman" w:cs="Times New Roman"/>
                <w:color w:val="000000"/>
                <w:sz w:val="24"/>
                <w:szCs w:val="24"/>
                <w:lang w:eastAsia="en-PH"/>
              </w:rPr>
              <w:t>61</w:t>
            </w:r>
          </w:p>
        </w:tc>
        <w:tc>
          <w:tcPr>
            <w:tcW w:w="1739"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265"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c>
          <w:tcPr>
            <w:tcW w:w="1814" w:type="dxa"/>
            <w:tcBorders>
              <w:top w:val="nil"/>
              <w:left w:val="nil"/>
              <w:bottom w:val="single" w:sz="8" w:space="0" w:color="000000"/>
              <w:right w:val="nil"/>
            </w:tcBorders>
            <w:shd w:val="clear" w:color="auto" w:fill="FFFFFF"/>
            <w:vAlign w:val="center"/>
          </w:tcPr>
          <w:p w:rsidR="00ED505D" w:rsidRPr="009F50A8" w:rsidRDefault="00ED505D" w:rsidP="00752042">
            <w:pPr>
              <w:autoSpaceDE w:val="0"/>
              <w:autoSpaceDN w:val="0"/>
              <w:adjustRightInd w:val="0"/>
              <w:spacing w:after="0" w:line="240" w:lineRule="auto"/>
              <w:rPr>
                <w:rFonts w:ascii="Times New Roman" w:hAnsi="Times New Roman" w:cs="Times New Roman"/>
                <w:sz w:val="24"/>
                <w:szCs w:val="24"/>
                <w:lang w:eastAsia="en-PH"/>
              </w:rPr>
            </w:pPr>
          </w:p>
        </w:tc>
      </w:tr>
    </w:tbl>
    <w:p w:rsidR="00ED505D" w:rsidRPr="009F50A8" w:rsidRDefault="00752042" w:rsidP="00752042">
      <w:pPr>
        <w:spacing w:after="240" w:line="240" w:lineRule="auto"/>
        <w:jc w:val="both"/>
        <w:rPr>
          <w:rFonts w:ascii="Times New Roman" w:hAnsi="Times New Roman" w:cs="Times New Roman"/>
          <w:sz w:val="24"/>
          <w:szCs w:val="24"/>
          <w:lang w:eastAsia="en-PH"/>
        </w:rPr>
      </w:pPr>
      <w:r>
        <w:rPr>
          <w:rFonts w:ascii="Times New Roman" w:hAnsi="Times New Roman" w:cs="Times New Roman"/>
          <w:sz w:val="24"/>
          <w:szCs w:val="24"/>
          <w:lang w:eastAsia="en-PH"/>
        </w:rPr>
        <w:t>Note: Significant at</w:t>
      </w:r>
      <w:r w:rsidR="00ED505D" w:rsidRPr="009F50A8">
        <w:rPr>
          <w:rFonts w:ascii="Times New Roman" w:hAnsi="Times New Roman" w:cs="Times New Roman"/>
          <w:sz w:val="24"/>
          <w:szCs w:val="24"/>
          <w:lang w:eastAsia="en-PH"/>
        </w:rPr>
        <w:t xml:space="preserve"> 0.05</w:t>
      </w:r>
    </w:p>
    <w:p w:rsidR="00ED505D" w:rsidRPr="009F50A8" w:rsidRDefault="00ED505D" w:rsidP="009F50A8">
      <w:pPr>
        <w:spacing w:before="240" w:after="240" w:line="240" w:lineRule="auto"/>
        <w:ind w:firstLine="720"/>
        <w:jc w:val="both"/>
        <w:rPr>
          <w:rFonts w:ascii="Times New Roman" w:hAnsi="Times New Roman" w:cs="Times New Roman"/>
          <w:sz w:val="24"/>
          <w:szCs w:val="24"/>
        </w:rPr>
      </w:pPr>
      <w:r w:rsidRPr="009F50A8">
        <w:rPr>
          <w:rFonts w:ascii="Times New Roman" w:hAnsi="Times New Roman" w:cs="Times New Roman"/>
          <w:sz w:val="24"/>
          <w:szCs w:val="24"/>
          <w:lang w:eastAsia="en-PH"/>
        </w:rPr>
        <w:t>The analysis yielded a computed probability value of .053, which is greater than 0.05 level of significance.</w:t>
      </w:r>
      <w:r w:rsidRPr="009F50A8">
        <w:rPr>
          <w:rFonts w:ascii="Times New Roman" w:hAnsi="Times New Roman" w:cs="Times New Roman"/>
          <w:sz w:val="24"/>
          <w:szCs w:val="24"/>
        </w:rPr>
        <w:t xml:space="preserve"> Hence, there is sufficient evidence to accept the null hypothesis. It can be inferred, therefore, that there is no significant difference in the level of performance of students in terms of mathematical creativity during post-test under the control and experimental groups. This implies both groups similarly performed well in developing the mathematical creativity of the students because the use of the Cultural CyberMath System, and the contextualized approach with blended instruction had better improvement in students’ mathematical creativity, particularly fluency, flexibility and originality.</w:t>
      </w:r>
    </w:p>
    <w:p w:rsidR="00ED505D" w:rsidRPr="009F50A8" w:rsidRDefault="00ED505D" w:rsidP="009F50A8">
      <w:pPr>
        <w:spacing w:before="240" w:after="240" w:line="240" w:lineRule="auto"/>
        <w:jc w:val="both"/>
        <w:rPr>
          <w:rFonts w:ascii="Times New Roman" w:hAnsi="Times New Roman" w:cs="Times New Roman"/>
          <w:sz w:val="24"/>
          <w:szCs w:val="24"/>
        </w:rPr>
      </w:pPr>
      <w:r w:rsidRPr="009F50A8">
        <w:rPr>
          <w:rFonts w:ascii="Times New Roman" w:hAnsi="Times New Roman" w:cs="Times New Roman"/>
          <w:sz w:val="24"/>
          <w:szCs w:val="24"/>
        </w:rPr>
        <w:tab/>
        <w:t xml:space="preserve">Further, treatments used in both groups had its disposition towards mathematical activities that foster broadly particularly implementing inquiry-oriented mathematics instruction, which includes problem-solving, which resulted that students </w:t>
      </w:r>
      <w:r w:rsidRPr="009F50A8">
        <w:rPr>
          <w:rFonts w:ascii="Times New Roman" w:hAnsi="Times New Roman" w:cs="Times New Roman"/>
          <w:sz w:val="24"/>
          <w:szCs w:val="24"/>
          <w:lang w:eastAsia="en-PH"/>
        </w:rPr>
        <w:t xml:space="preserve">had a better understanding of the procedural process in problem-solving in mathematics. This is similar to </w:t>
      </w:r>
      <w:r w:rsidRPr="009F50A8">
        <w:rPr>
          <w:rFonts w:ascii="Times New Roman" w:hAnsi="Times New Roman" w:cs="Times New Roman"/>
          <w:sz w:val="24"/>
          <w:szCs w:val="24"/>
        </w:rPr>
        <w:t xml:space="preserve">fostering problem-solving approaches and problem-posing activities, which are cognitively demanding have a significant effect on students’ creativity in Mathematics (Roble et al., 2018). In CCMS and contextualized approach with blended instruction, students are free to answer the given problems and devised their own solutions eliciting their imagination that will not hinder their curiosity and experimentation. Also, with the integration of culture, the students learned alternation of representations and viewing mathematical contents from different perspectives, which develops creative ability of the students. This scenario is relevant to the recommendation of Roble et al. (2018) that teachers may use  mathematical creative design classroom activities, which requires students to posit different solutions to mathematical problems. Further, students can generate an original mathematical idea from activating the prior knowledge then understand its concept finding its relationship to local context, particularly cultural aspect then use this to innovate existing ideas and concepts. </w:t>
      </w:r>
    </w:p>
    <w:p w:rsidR="00D27487" w:rsidRPr="00752042" w:rsidRDefault="009915B5" w:rsidP="009F50A8">
      <w:pPr>
        <w:spacing w:before="240" w:after="240"/>
        <w:rPr>
          <w:rFonts w:ascii="Times New Roman" w:hAnsi="Times New Roman" w:cs="Times New Roman"/>
          <w:b/>
          <w:color w:val="27251E"/>
          <w:sz w:val="28"/>
          <w:szCs w:val="24"/>
        </w:rPr>
      </w:pPr>
      <w:r w:rsidRPr="00752042">
        <w:rPr>
          <w:rFonts w:ascii="Times New Roman" w:hAnsi="Times New Roman" w:cs="Times New Roman"/>
          <w:b/>
          <w:color w:val="27251E"/>
          <w:sz w:val="28"/>
          <w:szCs w:val="24"/>
        </w:rPr>
        <w:t>CONCLUSION</w:t>
      </w:r>
      <w:r w:rsidR="00752042">
        <w:rPr>
          <w:rFonts w:ascii="Times New Roman" w:hAnsi="Times New Roman" w:cs="Times New Roman"/>
          <w:b/>
          <w:color w:val="27251E"/>
          <w:sz w:val="28"/>
          <w:szCs w:val="24"/>
        </w:rPr>
        <w:t>S</w:t>
      </w:r>
    </w:p>
    <w:p w:rsidR="009915B5" w:rsidRPr="009F50A8" w:rsidRDefault="009915B5"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The findings indicate that the Cultural CyberMath System and the contextualized approach with blended instruction are both powerful designs for nurturing students’ mathematical creativity, as shown by substantial gains in fluency, flexibility, and originality from pretest to posttest in both groups. In particular, both treatments supported students in generating more solutions, trying multiple strategies, and shifting away from purely procedural views of mathematics toward more inquiry</w:t>
      </w:r>
      <w:r w:rsidRPr="009F50A8">
        <w:rPr>
          <w:rFonts w:ascii="Times New Roman" w:hAnsi="Times New Roman" w:cs="Times New Roman"/>
          <w:sz w:val="24"/>
          <w:szCs w:val="24"/>
        </w:rPr>
        <w:noBreakHyphen/>
        <w:t>oriented engagement. When the three components were combined into an overall mathematical creativity score, posttest differences between the experimental and control groups were not statistically significant, which suggests that both instructional approaches can comparably enhance students’ general creative performance in mathematics when they are structured around problem</w:t>
      </w:r>
      <w:r w:rsidRPr="009F50A8">
        <w:rPr>
          <w:rFonts w:ascii="Times New Roman" w:hAnsi="Times New Roman" w:cs="Times New Roman"/>
          <w:sz w:val="24"/>
          <w:szCs w:val="24"/>
        </w:rPr>
        <w:noBreakHyphen/>
        <w:t>posing, problem</w:t>
      </w:r>
      <w:r w:rsidRPr="009F50A8">
        <w:rPr>
          <w:rFonts w:ascii="Times New Roman" w:hAnsi="Times New Roman" w:cs="Times New Roman"/>
          <w:sz w:val="24"/>
          <w:szCs w:val="24"/>
        </w:rPr>
        <w:noBreakHyphen/>
        <w:t>solving, self</w:t>
      </w:r>
      <w:r w:rsidRPr="009F50A8">
        <w:rPr>
          <w:rFonts w:ascii="Times New Roman" w:hAnsi="Times New Roman" w:cs="Times New Roman"/>
          <w:sz w:val="24"/>
          <w:szCs w:val="24"/>
        </w:rPr>
        <w:noBreakHyphen/>
        <w:t>assessment, and culturally meaningful tasks.</w:t>
      </w:r>
    </w:p>
    <w:p w:rsidR="009915B5" w:rsidRPr="009F50A8" w:rsidRDefault="009915B5"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At the same time, the significant advantage of the Cultural CyberMath System in the dimension of originality marks a key contribution of this study and a critical direction for further refinement. The higher originality scores in the experimental group suggest that the system’s cyber</w:t>
      </w:r>
      <w:r w:rsidRPr="009F50A8">
        <w:rPr>
          <w:rFonts w:ascii="Times New Roman" w:hAnsi="Times New Roman" w:cs="Times New Roman"/>
          <w:sz w:val="24"/>
          <w:szCs w:val="24"/>
        </w:rPr>
        <w:noBreakHyphen/>
        <w:t xml:space="preserve">based, culturally embedded </w:t>
      </w:r>
      <w:r w:rsidRPr="009F50A8">
        <w:rPr>
          <w:rFonts w:ascii="Times New Roman" w:hAnsi="Times New Roman" w:cs="Times New Roman"/>
          <w:sz w:val="24"/>
          <w:szCs w:val="24"/>
        </w:rPr>
        <w:lastRenderedPageBreak/>
        <w:t>learning paths—especially Inspect and Invoke—are particularly effective in prompting students to generate uncommon ideas, transform local contexts into new mathematical formulations, and innovate beyond familiar solution patterns. This dual pattern of results positions the Cultural CyberMath System as both a viable alternative and a promising enhancement to existing contextualized blended approaches: it can match them in supporting broad creativity (fluency and flexibility) while offering added value in cultivating originality. Future research can build on this contribution by optimizing and scaling the originality</w:t>
      </w:r>
      <w:r w:rsidRPr="009F50A8">
        <w:rPr>
          <w:rFonts w:ascii="Times New Roman" w:hAnsi="Times New Roman" w:cs="Times New Roman"/>
          <w:sz w:val="24"/>
          <w:szCs w:val="24"/>
        </w:rPr>
        <w:noBreakHyphen/>
        <w:t>supportive features of the system and examining how they interact with different student profiles, mathematical topics, and institutional settings.</w:t>
      </w:r>
    </w:p>
    <w:p w:rsidR="002B7B34" w:rsidRPr="00752042" w:rsidRDefault="00BF6F64" w:rsidP="009F50A8">
      <w:pPr>
        <w:spacing w:before="240" w:after="240"/>
        <w:rPr>
          <w:rFonts w:ascii="Times New Roman" w:hAnsi="Times New Roman" w:cs="Times New Roman"/>
          <w:b/>
          <w:color w:val="27251E"/>
          <w:sz w:val="28"/>
          <w:szCs w:val="24"/>
        </w:rPr>
      </w:pPr>
      <w:r w:rsidRPr="00752042">
        <w:rPr>
          <w:rFonts w:ascii="Times New Roman" w:hAnsi="Times New Roman" w:cs="Times New Roman"/>
          <w:b/>
          <w:color w:val="27251E"/>
          <w:sz w:val="28"/>
          <w:szCs w:val="24"/>
        </w:rPr>
        <w:t>RECOMMENDATIONS</w:t>
      </w:r>
    </w:p>
    <w:p w:rsidR="00BF6F64" w:rsidRPr="009F50A8" w:rsidRDefault="00BF6F6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Several recommendations emerge from these findings for classroom practice, curriculum design, and future research. At the classroom level, mathematics teachers are encouraged to adopt inquiry</w:t>
      </w:r>
      <w:r w:rsidRPr="009F50A8">
        <w:rPr>
          <w:rFonts w:ascii="Times New Roman" w:hAnsi="Times New Roman" w:cs="Times New Roman"/>
          <w:sz w:val="24"/>
          <w:szCs w:val="24"/>
        </w:rPr>
        <w:noBreakHyphen/>
        <w:t>oriented, problem</w:t>
      </w:r>
      <w:r w:rsidRPr="009F50A8">
        <w:rPr>
          <w:rFonts w:ascii="Times New Roman" w:hAnsi="Times New Roman" w:cs="Times New Roman"/>
          <w:sz w:val="24"/>
          <w:szCs w:val="24"/>
        </w:rPr>
        <w:noBreakHyphen/>
        <w:t>posing and problem</w:t>
      </w:r>
      <w:r w:rsidRPr="009F50A8">
        <w:rPr>
          <w:rFonts w:ascii="Times New Roman" w:hAnsi="Times New Roman" w:cs="Times New Roman"/>
          <w:sz w:val="24"/>
          <w:szCs w:val="24"/>
        </w:rPr>
        <w:noBreakHyphen/>
        <w:t>solving activities embedded in culturally meaningful contexts, regardless of whether they use a fully digital system or a blended approach. Structuring lessons around a learning path similar to Impress–Identify–Inspire–Inspect–Invoke can help sustain students’ engagement with a focal problem across the lesson, provide opportunities for self</w:t>
      </w:r>
      <w:r w:rsidRPr="009F50A8">
        <w:rPr>
          <w:rFonts w:ascii="Times New Roman" w:hAnsi="Times New Roman" w:cs="Times New Roman"/>
          <w:sz w:val="24"/>
          <w:szCs w:val="24"/>
        </w:rPr>
        <w:noBreakHyphen/>
        <w:t>assessment and revision, and systematically target fluency and flexibility in mathematical thinking. Teachers should also deliberately design tasks and discussions that go beyond obtaining correct answers, by valuing multiple strategies, inviting students to compare and critique solutions, and making explicit space for reflection on how cultural experiences inform mathematical ideas.</w:t>
      </w:r>
    </w:p>
    <w:p w:rsidR="00BF6F64" w:rsidRPr="009F50A8" w:rsidRDefault="00BF6F64" w:rsidP="009F50A8">
      <w:pPr>
        <w:spacing w:before="240" w:after="240"/>
        <w:ind w:firstLine="720"/>
        <w:jc w:val="both"/>
        <w:rPr>
          <w:rFonts w:ascii="Times New Roman" w:hAnsi="Times New Roman" w:cs="Times New Roman"/>
          <w:sz w:val="24"/>
          <w:szCs w:val="24"/>
        </w:rPr>
      </w:pPr>
      <w:r w:rsidRPr="009F50A8">
        <w:rPr>
          <w:rFonts w:ascii="Times New Roman" w:hAnsi="Times New Roman" w:cs="Times New Roman"/>
          <w:sz w:val="24"/>
          <w:szCs w:val="24"/>
        </w:rPr>
        <w:t>For curriculum developers and researchers, the study suggests that the Cultural CyberMath System is a promising platform for cultivating mathematical originality and should be refined and scaled with this strength in mind. Future iterations of the system could further enrich the Inspect and Invoke phases with tasks that explicitly reward novel approaches, encourage modeling of local cultural practices, and allow students to create and share their own problems and digital artifacts. Research can extend this work by (a) examining the system’s impact on creativity across different grade levels, mathematical domains, and cultural settings; (b) exploring which design features (e.g., feedback type, degree of open</w:t>
      </w:r>
      <w:r w:rsidRPr="009F50A8">
        <w:rPr>
          <w:rFonts w:ascii="Times New Roman" w:hAnsi="Times New Roman" w:cs="Times New Roman"/>
          <w:sz w:val="24"/>
          <w:szCs w:val="24"/>
        </w:rPr>
        <w:noBreakHyphen/>
        <w:t>endedness, nature of cultural contexts) most strongly drive originality; and (c) investigating how student characteristics such as prior achievement, creative disposition, and self</w:t>
      </w:r>
      <w:r w:rsidRPr="009F50A8">
        <w:rPr>
          <w:rFonts w:ascii="Times New Roman" w:hAnsi="Times New Roman" w:cs="Times New Roman"/>
          <w:sz w:val="24"/>
          <w:szCs w:val="24"/>
        </w:rPr>
        <w:noBreakHyphen/>
        <w:t>concept interact with the system. Longitudinal and mixed</w:t>
      </w:r>
      <w:r w:rsidRPr="009F50A8">
        <w:rPr>
          <w:rFonts w:ascii="Times New Roman" w:hAnsi="Times New Roman" w:cs="Times New Roman"/>
          <w:sz w:val="24"/>
          <w:szCs w:val="24"/>
        </w:rPr>
        <w:noBreakHyphen/>
        <w:t>methods studies are also recommended to capture how students’ creative identities and practices in mathematics evolve over time within technology</w:t>
      </w:r>
      <w:r w:rsidRPr="009F50A8">
        <w:rPr>
          <w:rFonts w:ascii="Times New Roman" w:hAnsi="Times New Roman" w:cs="Times New Roman"/>
          <w:sz w:val="24"/>
          <w:szCs w:val="24"/>
        </w:rPr>
        <w:noBreakHyphen/>
        <w:t>rich, culturally responsive learning environments.</w:t>
      </w:r>
    </w:p>
    <w:p w:rsidR="002B7B34" w:rsidRPr="009F50A8" w:rsidRDefault="002B7B34" w:rsidP="009F50A8">
      <w:pPr>
        <w:spacing w:before="240" w:after="240"/>
        <w:rPr>
          <w:rFonts w:ascii="Times New Roman" w:hAnsi="Times New Roman" w:cs="Times New Roman"/>
          <w:b/>
          <w:color w:val="27251E"/>
          <w:sz w:val="24"/>
          <w:szCs w:val="24"/>
        </w:rPr>
      </w:pPr>
      <w:r w:rsidRPr="009F50A8">
        <w:rPr>
          <w:rFonts w:ascii="Times New Roman" w:hAnsi="Times New Roman" w:cs="Times New Roman"/>
          <w:b/>
          <w:color w:val="27251E"/>
          <w:sz w:val="24"/>
          <w:szCs w:val="24"/>
        </w:rPr>
        <w:t>References:</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Applebaum, M. (2025). Fostering creative and critical thinking through math games: A case study of Bachet’s game. </w:t>
      </w:r>
      <w:r w:rsidRPr="009F50A8">
        <w:rPr>
          <w:rStyle w:val="Emphasis"/>
          <w:rFonts w:ascii="Times New Roman" w:hAnsi="Times New Roman" w:cs="Times New Roman"/>
          <w:color w:val="18181B"/>
          <w:sz w:val="24"/>
          <w:szCs w:val="24"/>
          <w:bdr w:val="single" w:sz="2" w:space="0" w:color="E4E4E7" w:frame="1"/>
          <w:shd w:val="clear" w:color="auto" w:fill="FFFFFF"/>
        </w:rPr>
        <w:t>European Journal of Science and Mathematics Education</w:t>
      </w:r>
      <w:r w:rsidRPr="009F50A8">
        <w:rPr>
          <w:rFonts w:ascii="Times New Roman" w:hAnsi="Times New Roman" w:cs="Times New Roman"/>
          <w:color w:val="18181B"/>
          <w:sz w:val="24"/>
          <w:szCs w:val="24"/>
          <w:shd w:val="clear" w:color="auto" w:fill="FFFFFF"/>
        </w:rPr>
        <w:t xml:space="preserve">. </w:t>
      </w:r>
      <w:hyperlink r:id="rId7" w:history="1">
        <w:r w:rsidRPr="009F50A8">
          <w:rPr>
            <w:rStyle w:val="Hyperlink"/>
            <w:rFonts w:ascii="Times New Roman" w:hAnsi="Times New Roman" w:cs="Times New Roman"/>
            <w:sz w:val="24"/>
            <w:szCs w:val="24"/>
            <w:shd w:val="clear" w:color="auto" w:fill="FFFFFF"/>
          </w:rPr>
          <w:t>https://doi.org/10.30935/scimath/15825</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Bertrand, M., Sezer, H., &amp; Namukasa, I. (2024). Exploring AR and VR Tools in Mathematics Education Through Culturally Responsive Pedagogies. </w:t>
      </w:r>
      <w:r w:rsidRPr="009F50A8">
        <w:rPr>
          <w:rStyle w:val="Emphasis"/>
          <w:rFonts w:ascii="Times New Roman" w:hAnsi="Times New Roman" w:cs="Times New Roman"/>
          <w:color w:val="18181B"/>
          <w:sz w:val="24"/>
          <w:szCs w:val="24"/>
          <w:bdr w:val="single" w:sz="2" w:space="0" w:color="E4E4E7" w:frame="1"/>
          <w:shd w:val="clear" w:color="auto" w:fill="FFFFFF"/>
        </w:rPr>
        <w:t>Digital Experiences in Mathematics Education, 10</w:t>
      </w:r>
      <w:r w:rsidRPr="009F50A8">
        <w:rPr>
          <w:rFonts w:ascii="Times New Roman" w:hAnsi="Times New Roman" w:cs="Times New Roman"/>
          <w:color w:val="18181B"/>
          <w:sz w:val="24"/>
          <w:szCs w:val="24"/>
          <w:shd w:val="clear" w:color="auto" w:fill="FFFFFF"/>
        </w:rPr>
        <w:t xml:space="preserve">, 462 - 486. </w:t>
      </w:r>
      <w:hyperlink r:id="rId8" w:history="1">
        <w:r w:rsidRPr="009F50A8">
          <w:rPr>
            <w:rStyle w:val="Hyperlink"/>
            <w:rFonts w:ascii="Times New Roman" w:hAnsi="Times New Roman" w:cs="Times New Roman"/>
            <w:sz w:val="24"/>
            <w:szCs w:val="24"/>
            <w:shd w:val="clear" w:color="auto" w:fill="FFFFFF"/>
          </w:rPr>
          <w:t>https://doi.org/10.1007/s40751-024-00152-x</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Bicer, A. (2021). A Systematic Literature Review: Discipline-Specific and General Instructional Practices Fostering the Mathematical Creativity of Students. </w:t>
      </w:r>
      <w:r w:rsidRPr="009F50A8">
        <w:rPr>
          <w:rStyle w:val="Emphasis"/>
          <w:rFonts w:ascii="Times New Roman" w:hAnsi="Times New Roman" w:cs="Times New Roman"/>
          <w:color w:val="18181B"/>
          <w:sz w:val="24"/>
          <w:szCs w:val="24"/>
          <w:bdr w:val="single" w:sz="2" w:space="0" w:color="E4E4E7" w:frame="1"/>
          <w:shd w:val="clear" w:color="auto" w:fill="FFFFFF"/>
        </w:rPr>
        <w:t>International Journal of Education in Mathematics, Science and Technology</w:t>
      </w:r>
      <w:r w:rsidRPr="009F50A8">
        <w:rPr>
          <w:rFonts w:ascii="Times New Roman" w:hAnsi="Times New Roman" w:cs="Times New Roman"/>
          <w:color w:val="18181B"/>
          <w:sz w:val="24"/>
          <w:szCs w:val="24"/>
          <w:shd w:val="clear" w:color="auto" w:fill="FFFFFF"/>
        </w:rPr>
        <w:t xml:space="preserve">. </w:t>
      </w:r>
      <w:hyperlink r:id="rId9" w:history="1">
        <w:r w:rsidRPr="009F50A8">
          <w:rPr>
            <w:rStyle w:val="Hyperlink"/>
            <w:rFonts w:ascii="Times New Roman" w:hAnsi="Times New Roman" w:cs="Times New Roman"/>
            <w:sz w:val="24"/>
            <w:szCs w:val="24"/>
            <w:shd w:val="clear" w:color="auto" w:fill="FFFFFF"/>
          </w:rPr>
          <w:t>https://doi.org/10.46328/ijemst.1254</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Bicer, A., Lee, Y., Perihan, C., Capraro, M., &amp; Capraro, R. (2020). Considering mathematical creative self-efficacy with problem posing as a measure of mathematical creativity. </w:t>
      </w:r>
      <w:r w:rsidRPr="009F50A8">
        <w:rPr>
          <w:rStyle w:val="Emphasis"/>
          <w:rFonts w:ascii="Times New Roman" w:hAnsi="Times New Roman" w:cs="Times New Roman"/>
          <w:color w:val="18181B"/>
          <w:sz w:val="24"/>
          <w:szCs w:val="24"/>
          <w:bdr w:val="single" w:sz="2" w:space="0" w:color="E4E4E7" w:frame="1"/>
          <w:shd w:val="clear" w:color="auto" w:fill="FFFFFF"/>
        </w:rPr>
        <w:t>Educational Studies in Mathematics, 105</w:t>
      </w:r>
      <w:r w:rsidRPr="009F50A8">
        <w:rPr>
          <w:rFonts w:ascii="Times New Roman" w:hAnsi="Times New Roman" w:cs="Times New Roman"/>
          <w:color w:val="18181B"/>
          <w:sz w:val="24"/>
          <w:szCs w:val="24"/>
          <w:shd w:val="clear" w:color="auto" w:fill="FFFFFF"/>
        </w:rPr>
        <w:t xml:space="preserve">, 457 - 485. </w:t>
      </w:r>
      <w:hyperlink r:id="rId10" w:history="1">
        <w:r w:rsidRPr="009F50A8">
          <w:rPr>
            <w:rStyle w:val="Hyperlink"/>
            <w:rFonts w:ascii="Times New Roman" w:hAnsi="Times New Roman" w:cs="Times New Roman"/>
            <w:sz w:val="24"/>
            <w:szCs w:val="24"/>
            <w:shd w:val="clear" w:color="auto" w:fill="FFFFFF"/>
          </w:rPr>
          <w:t>https://doi.org/10.1007/s10649-020-09995-8</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sz w:val="24"/>
          <w:szCs w:val="24"/>
          <w:lang w:val="en-US"/>
        </w:rPr>
      </w:pPr>
      <w:r w:rsidRPr="009F50A8">
        <w:rPr>
          <w:rFonts w:ascii="Times New Roman" w:hAnsi="Times New Roman" w:cs="Times New Roman"/>
          <w:color w:val="18181B"/>
          <w:sz w:val="24"/>
          <w:szCs w:val="24"/>
          <w:shd w:val="clear" w:color="auto" w:fill="FFFFFF"/>
        </w:rPr>
        <w:lastRenderedPageBreak/>
        <w:t>Bingol, B., &amp; Ozyaprak, M. (2025). Enhancing Higher Education: Differentiating the Curriculum and Instruction to Foster Mathematical Creativity and Motivation. </w:t>
      </w:r>
      <w:r w:rsidRPr="009F50A8">
        <w:rPr>
          <w:rStyle w:val="Emphasis"/>
          <w:rFonts w:ascii="Times New Roman" w:hAnsi="Times New Roman" w:cs="Times New Roman"/>
          <w:color w:val="18181B"/>
          <w:sz w:val="24"/>
          <w:szCs w:val="24"/>
          <w:bdr w:val="single" w:sz="2" w:space="0" w:color="E4E4E7" w:frame="1"/>
          <w:shd w:val="clear" w:color="auto" w:fill="FFFFFF"/>
        </w:rPr>
        <w:t>The Journal of Creative Behavior</w:t>
      </w:r>
      <w:r w:rsidRPr="009F50A8">
        <w:rPr>
          <w:rFonts w:ascii="Times New Roman" w:hAnsi="Times New Roman" w:cs="Times New Roman"/>
          <w:color w:val="18181B"/>
          <w:sz w:val="24"/>
          <w:szCs w:val="24"/>
          <w:shd w:val="clear" w:color="auto" w:fill="FFFFFF"/>
        </w:rPr>
        <w:t>. https://doi.org/10.1002/jocb.70000.</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Dosinaeng, W., Leton, S., Djong, K., Uskono, I., Jagom, Y., &amp; Lakapu, M. (2025). Enhancing students’ mathematical thinking through culturally responsive algebra instruction using interactive Google Slides. </w:t>
      </w:r>
      <w:r w:rsidRPr="009F50A8">
        <w:rPr>
          <w:rStyle w:val="Emphasis"/>
          <w:rFonts w:ascii="Times New Roman" w:hAnsi="Times New Roman" w:cs="Times New Roman"/>
          <w:color w:val="18181B"/>
          <w:sz w:val="24"/>
          <w:szCs w:val="24"/>
          <w:bdr w:val="single" w:sz="2" w:space="0" w:color="E4E4E7" w:frame="1"/>
          <w:shd w:val="clear" w:color="auto" w:fill="FFFFFF"/>
        </w:rPr>
        <w:t>Journal of Honai Math</w:t>
      </w:r>
      <w:r w:rsidRPr="009F50A8">
        <w:rPr>
          <w:rFonts w:ascii="Times New Roman" w:hAnsi="Times New Roman" w:cs="Times New Roman"/>
          <w:color w:val="18181B"/>
          <w:sz w:val="24"/>
          <w:szCs w:val="24"/>
          <w:shd w:val="clear" w:color="auto" w:fill="FFFFFF"/>
        </w:rPr>
        <w:t xml:space="preserve">. </w:t>
      </w:r>
      <w:hyperlink r:id="rId11" w:history="1">
        <w:r w:rsidRPr="009F50A8">
          <w:rPr>
            <w:rStyle w:val="Hyperlink"/>
            <w:rFonts w:ascii="Times New Roman" w:hAnsi="Times New Roman" w:cs="Times New Roman"/>
            <w:sz w:val="24"/>
            <w:szCs w:val="24"/>
            <w:shd w:val="clear" w:color="auto" w:fill="FFFFFF"/>
          </w:rPr>
          <w:t>https://doi.org/10.30862/jhm.v8i1.852</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Fitri, R., Jupri, A., Mulyaning, E., &amp; Sitanggang, D. (2025). Technology Integration in Problem-Based Culturally Responsive Mathematics Learning: A Systematic Literature Review in the Era of Industry 5.0. </w:t>
      </w:r>
      <w:r w:rsidRPr="009F50A8">
        <w:rPr>
          <w:rStyle w:val="Emphasis"/>
          <w:rFonts w:ascii="Times New Roman" w:hAnsi="Times New Roman" w:cs="Times New Roman"/>
          <w:color w:val="18181B"/>
          <w:sz w:val="24"/>
          <w:szCs w:val="24"/>
          <w:bdr w:val="single" w:sz="2" w:space="0" w:color="E4E4E7" w:frame="1"/>
          <w:shd w:val="clear" w:color="auto" w:fill="FFFFFF"/>
        </w:rPr>
        <w:t>Jurnal Absis: Jurnal Pendidikan Matematika dan Matematika</w:t>
      </w:r>
      <w:r w:rsidRPr="009F50A8">
        <w:rPr>
          <w:rFonts w:ascii="Times New Roman" w:hAnsi="Times New Roman" w:cs="Times New Roman"/>
          <w:color w:val="18181B"/>
          <w:sz w:val="24"/>
          <w:szCs w:val="24"/>
          <w:shd w:val="clear" w:color="auto" w:fill="FFFFFF"/>
        </w:rPr>
        <w:t xml:space="preserve">. </w:t>
      </w:r>
      <w:hyperlink r:id="rId12" w:history="1">
        <w:r w:rsidRPr="009F50A8">
          <w:rPr>
            <w:rStyle w:val="Hyperlink"/>
            <w:rFonts w:ascii="Times New Roman" w:hAnsi="Times New Roman" w:cs="Times New Roman"/>
            <w:sz w:val="24"/>
            <w:szCs w:val="24"/>
            <w:shd w:val="clear" w:color="auto" w:fill="FFFFFF"/>
          </w:rPr>
          <w:t>https://doi.org/10.30606/absis.v8i1.3340</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Hasbi, M., Sarda, M., &amp; Syafaruddin, B. (2025). Technology and Islamic Perspective: A Study of Ethnomathematics. </w:t>
      </w:r>
      <w:r w:rsidRPr="009F50A8">
        <w:rPr>
          <w:rStyle w:val="Emphasis"/>
          <w:rFonts w:ascii="Times New Roman" w:hAnsi="Times New Roman" w:cs="Times New Roman"/>
          <w:color w:val="18181B"/>
          <w:sz w:val="24"/>
          <w:szCs w:val="24"/>
          <w:bdr w:val="single" w:sz="2" w:space="0" w:color="E4E4E7" w:frame="1"/>
          <w:shd w:val="clear" w:color="auto" w:fill="FFFFFF"/>
        </w:rPr>
        <w:t>Jurnal Riset dan Inovasi Pembelajaran</w:t>
      </w:r>
      <w:r w:rsidRPr="009F50A8">
        <w:rPr>
          <w:rFonts w:ascii="Times New Roman" w:hAnsi="Times New Roman" w:cs="Times New Roman"/>
          <w:color w:val="18181B"/>
          <w:sz w:val="24"/>
          <w:szCs w:val="24"/>
          <w:shd w:val="clear" w:color="auto" w:fill="FFFFFF"/>
        </w:rPr>
        <w:t xml:space="preserve">. </w:t>
      </w:r>
      <w:hyperlink r:id="rId13" w:history="1">
        <w:r w:rsidRPr="009F50A8">
          <w:rPr>
            <w:rStyle w:val="Hyperlink"/>
            <w:rFonts w:ascii="Times New Roman" w:hAnsi="Times New Roman" w:cs="Times New Roman"/>
            <w:sz w:val="24"/>
            <w:szCs w:val="24"/>
            <w:shd w:val="clear" w:color="auto" w:fill="FFFFFF"/>
          </w:rPr>
          <w:t>https://doi.org/10.51574/jrip.v5i3.3933</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Hendri, S., Sa’dijah, C., &amp; Muksar, M. (2025). Integration of Multicultural Discovery Learning and Computational Thinking in Elementary Mathematics Education: A Systematic Literature Review. </w:t>
      </w:r>
      <w:r w:rsidRPr="009F50A8">
        <w:rPr>
          <w:rStyle w:val="Emphasis"/>
          <w:rFonts w:ascii="Times New Roman" w:hAnsi="Times New Roman" w:cs="Times New Roman"/>
          <w:color w:val="18181B"/>
          <w:sz w:val="24"/>
          <w:szCs w:val="24"/>
          <w:bdr w:val="single" w:sz="2" w:space="0" w:color="E4E4E7" w:frame="1"/>
          <w:shd w:val="clear" w:color="auto" w:fill="FFFFFF"/>
        </w:rPr>
        <w:t>Journal of Ecohumanism</w:t>
      </w:r>
      <w:r w:rsidRPr="009F50A8">
        <w:rPr>
          <w:rFonts w:ascii="Times New Roman" w:hAnsi="Times New Roman" w:cs="Times New Roman"/>
          <w:color w:val="18181B"/>
          <w:sz w:val="24"/>
          <w:szCs w:val="24"/>
          <w:shd w:val="clear" w:color="auto" w:fill="FFFFFF"/>
        </w:rPr>
        <w:t xml:space="preserve">. </w:t>
      </w:r>
      <w:hyperlink r:id="rId14" w:history="1">
        <w:r w:rsidRPr="009F50A8">
          <w:rPr>
            <w:rStyle w:val="Hyperlink"/>
            <w:rFonts w:ascii="Times New Roman" w:hAnsi="Times New Roman" w:cs="Times New Roman"/>
            <w:sz w:val="24"/>
            <w:szCs w:val="24"/>
            <w:shd w:val="clear" w:color="auto" w:fill="FFFFFF"/>
          </w:rPr>
          <w:t>https://doi.org/10.62754/joe.v4i2.6223</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Hidayat, A., &amp; Firmanti, P. (2024). Navigating the tech frontier: a systematic review of technology integration in mathematics education. </w:t>
      </w:r>
      <w:r w:rsidRPr="009F50A8">
        <w:rPr>
          <w:rStyle w:val="Emphasis"/>
          <w:rFonts w:ascii="Times New Roman" w:hAnsi="Times New Roman" w:cs="Times New Roman"/>
          <w:color w:val="18181B"/>
          <w:sz w:val="24"/>
          <w:szCs w:val="24"/>
          <w:bdr w:val="single" w:sz="2" w:space="0" w:color="E4E4E7" w:frame="1"/>
          <w:shd w:val="clear" w:color="auto" w:fill="FFFFFF"/>
        </w:rPr>
        <w:t>Cogent Education, 11</w:t>
      </w:r>
      <w:r w:rsidRPr="009F50A8">
        <w:rPr>
          <w:rFonts w:ascii="Times New Roman" w:hAnsi="Times New Roman" w:cs="Times New Roman"/>
          <w:color w:val="18181B"/>
          <w:sz w:val="24"/>
          <w:szCs w:val="24"/>
          <w:shd w:val="clear" w:color="auto" w:fill="FFFFFF"/>
        </w:rPr>
        <w:t xml:space="preserve">. </w:t>
      </w:r>
      <w:hyperlink r:id="rId15" w:history="1">
        <w:r w:rsidRPr="009F50A8">
          <w:rPr>
            <w:rStyle w:val="Hyperlink"/>
            <w:rFonts w:ascii="Times New Roman" w:hAnsi="Times New Roman" w:cs="Times New Roman"/>
            <w:sz w:val="24"/>
            <w:szCs w:val="24"/>
            <w:shd w:val="clear" w:color="auto" w:fill="FFFFFF"/>
          </w:rPr>
          <w:t>https://doi.org/10.1080/2331186x.2024.2373559</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Hu, Z. (2025). Practical Research on Integrating Mathematical Culture into Higher Mathematics Teaching. </w:t>
      </w:r>
      <w:r w:rsidRPr="009F50A8">
        <w:rPr>
          <w:rStyle w:val="Emphasis"/>
          <w:rFonts w:ascii="Times New Roman" w:hAnsi="Times New Roman" w:cs="Times New Roman"/>
          <w:color w:val="18181B"/>
          <w:sz w:val="24"/>
          <w:szCs w:val="24"/>
          <w:bdr w:val="single" w:sz="2" w:space="0" w:color="E4E4E7" w:frame="1"/>
          <w:shd w:val="clear" w:color="auto" w:fill="FFFFFF"/>
        </w:rPr>
        <w:t>Adult and Higher Education</w:t>
      </w:r>
      <w:r w:rsidRPr="009F50A8">
        <w:rPr>
          <w:rFonts w:ascii="Times New Roman" w:hAnsi="Times New Roman" w:cs="Times New Roman"/>
          <w:color w:val="18181B"/>
          <w:sz w:val="24"/>
          <w:szCs w:val="24"/>
          <w:shd w:val="clear" w:color="auto" w:fill="FFFFFF"/>
        </w:rPr>
        <w:t xml:space="preserve">. </w:t>
      </w:r>
      <w:hyperlink r:id="rId16" w:history="1">
        <w:r w:rsidRPr="009F50A8">
          <w:rPr>
            <w:rStyle w:val="Hyperlink"/>
            <w:rFonts w:ascii="Times New Roman" w:hAnsi="Times New Roman" w:cs="Times New Roman"/>
            <w:sz w:val="24"/>
            <w:szCs w:val="24"/>
            <w:shd w:val="clear" w:color="auto" w:fill="FFFFFF"/>
          </w:rPr>
          <w:t>https://doi.org/10.23977/aduhe.2025.070111</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Istikomah, E., Suryadi, D., Prabawanto, S., Nurlaelah, E., &amp; Supriyadi, E. (2024). Systematic Review on the Essentials of Creative Mathematical Thinking. </w:t>
      </w:r>
      <w:r w:rsidRPr="009F50A8">
        <w:rPr>
          <w:rStyle w:val="Emphasis"/>
          <w:rFonts w:ascii="Times New Roman" w:hAnsi="Times New Roman" w:cs="Times New Roman"/>
          <w:color w:val="18181B"/>
          <w:sz w:val="24"/>
          <w:szCs w:val="24"/>
          <w:bdr w:val="single" w:sz="2" w:space="0" w:color="E4E4E7" w:frame="1"/>
          <w:shd w:val="clear" w:color="auto" w:fill="FFFFFF"/>
        </w:rPr>
        <w:t>Journal of Advanced Research in Applied Sciences and Engineering Technology</w:t>
      </w:r>
      <w:r w:rsidRPr="009F50A8">
        <w:rPr>
          <w:rFonts w:ascii="Times New Roman" w:hAnsi="Times New Roman" w:cs="Times New Roman"/>
          <w:color w:val="18181B"/>
          <w:sz w:val="24"/>
          <w:szCs w:val="24"/>
          <w:shd w:val="clear" w:color="auto" w:fill="FFFFFF"/>
        </w:rPr>
        <w:t xml:space="preserve">. </w:t>
      </w:r>
      <w:hyperlink r:id="rId17" w:history="1">
        <w:r w:rsidRPr="009F50A8">
          <w:rPr>
            <w:rStyle w:val="Hyperlink"/>
            <w:rFonts w:ascii="Times New Roman" w:hAnsi="Times New Roman" w:cs="Times New Roman"/>
            <w:sz w:val="24"/>
            <w:szCs w:val="24"/>
            <w:shd w:val="clear" w:color="auto" w:fill="FFFFFF"/>
          </w:rPr>
          <w:t>https://doi.org/10.37934/araset.58.2.8595</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Khalid, M., Saad, S., Hamid, S., Abdullah, M., Ibrahim, H., &amp; Shahrill, M. (2020). ENHANCING CREATIVITY AND PROBLEM SOLVING SKILLS THROUGH CREATIVE PROBLEM SOLVING IN TEACHING MATHEMATICS. </w:t>
      </w:r>
      <w:r w:rsidRPr="009F50A8">
        <w:rPr>
          <w:rStyle w:val="Emphasis"/>
          <w:rFonts w:ascii="Times New Roman" w:hAnsi="Times New Roman" w:cs="Times New Roman"/>
          <w:color w:val="18181B"/>
          <w:sz w:val="24"/>
          <w:szCs w:val="24"/>
          <w:bdr w:val="single" w:sz="2" w:space="0" w:color="E4E4E7" w:frame="1"/>
          <w:shd w:val="clear" w:color="auto" w:fill="FFFFFF"/>
        </w:rPr>
        <w:t>Creativity Studies</w:t>
      </w:r>
      <w:r w:rsidRPr="009F50A8">
        <w:rPr>
          <w:rFonts w:ascii="Times New Roman" w:hAnsi="Times New Roman" w:cs="Times New Roman"/>
          <w:color w:val="18181B"/>
          <w:sz w:val="24"/>
          <w:szCs w:val="24"/>
          <w:shd w:val="clear" w:color="auto" w:fill="FFFFFF"/>
        </w:rPr>
        <w:t xml:space="preserve">. </w:t>
      </w:r>
      <w:hyperlink r:id="rId18" w:history="1">
        <w:r w:rsidRPr="009F50A8">
          <w:rPr>
            <w:rStyle w:val="Hyperlink"/>
            <w:rFonts w:ascii="Times New Roman" w:hAnsi="Times New Roman" w:cs="Times New Roman"/>
            <w:sz w:val="24"/>
            <w:szCs w:val="24"/>
            <w:shd w:val="clear" w:color="auto" w:fill="FFFFFF"/>
          </w:rPr>
          <w:t>https://doi.org/10.3846/cs.2020.11027</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Khalil, I., Charitas, R., &amp; Prahmana, I. (2023). Mathematics learning orientation: Mathematical creative thinking ability or creative disposition?. </w:t>
      </w:r>
      <w:r w:rsidRPr="009F50A8">
        <w:rPr>
          <w:rStyle w:val="Emphasis"/>
          <w:rFonts w:ascii="Times New Roman" w:hAnsi="Times New Roman" w:cs="Times New Roman"/>
          <w:color w:val="18181B"/>
          <w:sz w:val="24"/>
          <w:szCs w:val="24"/>
          <w:bdr w:val="single" w:sz="2" w:space="0" w:color="E4E4E7" w:frame="1"/>
          <w:shd w:val="clear" w:color="auto" w:fill="FFFFFF"/>
        </w:rPr>
        <w:t>Journal on Mathematics Education</w:t>
      </w:r>
      <w:r w:rsidRPr="009F50A8">
        <w:rPr>
          <w:rFonts w:ascii="Times New Roman" w:hAnsi="Times New Roman" w:cs="Times New Roman"/>
          <w:color w:val="18181B"/>
          <w:sz w:val="24"/>
          <w:szCs w:val="24"/>
          <w:shd w:val="clear" w:color="auto" w:fill="FFFFFF"/>
        </w:rPr>
        <w:t xml:space="preserve">. </w:t>
      </w:r>
      <w:hyperlink r:id="rId19" w:history="1">
        <w:r w:rsidRPr="009F50A8">
          <w:rPr>
            <w:rStyle w:val="Hyperlink"/>
            <w:rFonts w:ascii="Times New Roman" w:hAnsi="Times New Roman" w:cs="Times New Roman"/>
            <w:sz w:val="24"/>
            <w:szCs w:val="24"/>
            <w:shd w:val="clear" w:color="auto" w:fill="FFFFFF"/>
          </w:rPr>
          <w:t>https://doi.org/10.22342/jme.v15i1.pp253-276</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Kurniasi, E., Nurrahmah, A., Suhendri, H., &amp; Hartati, L. (2025). Development of Culturally Responsive Teaching-Learning Model Differentiated Learning to Improve Computational Mathematics Skills. </w:t>
      </w:r>
      <w:r w:rsidRPr="009F50A8">
        <w:rPr>
          <w:rStyle w:val="Emphasis"/>
          <w:rFonts w:ascii="Times New Roman" w:hAnsi="Times New Roman" w:cs="Times New Roman"/>
          <w:color w:val="18181B"/>
          <w:sz w:val="24"/>
          <w:szCs w:val="24"/>
          <w:bdr w:val="single" w:sz="2" w:space="0" w:color="E4E4E7" w:frame="1"/>
          <w:shd w:val="clear" w:color="auto" w:fill="FFFFFF"/>
        </w:rPr>
        <w:t>Formatif: Jurnal Ilmiah Pendidikan MIPA</w:t>
      </w:r>
      <w:r w:rsidRPr="009F50A8">
        <w:rPr>
          <w:rFonts w:ascii="Times New Roman" w:hAnsi="Times New Roman" w:cs="Times New Roman"/>
          <w:color w:val="18181B"/>
          <w:sz w:val="24"/>
          <w:szCs w:val="24"/>
          <w:shd w:val="clear" w:color="auto" w:fill="FFFFFF"/>
        </w:rPr>
        <w:t xml:space="preserve">. </w:t>
      </w:r>
      <w:hyperlink r:id="rId20" w:history="1">
        <w:r w:rsidRPr="009F50A8">
          <w:rPr>
            <w:rStyle w:val="Hyperlink"/>
            <w:rFonts w:ascii="Times New Roman" w:hAnsi="Times New Roman" w:cs="Times New Roman"/>
            <w:sz w:val="24"/>
            <w:szCs w:val="24"/>
            <w:shd w:val="clear" w:color="auto" w:fill="FFFFFF"/>
          </w:rPr>
          <w:t>https://doi.org/10.30998/formatif.v15i1.27897</w:t>
        </w:r>
      </w:hyperlink>
      <w:r w:rsidRPr="009F50A8">
        <w:rPr>
          <w:rFonts w:ascii="Times New Roman" w:hAnsi="Times New Roman" w:cs="Times New Roman"/>
          <w:color w:val="18181B"/>
          <w:sz w:val="24"/>
          <w:szCs w:val="24"/>
          <w:shd w:val="clear" w:color="auto" w:fill="FFFFFF"/>
        </w:rPr>
        <w:t>.</w:t>
      </w:r>
    </w:p>
    <w:p w:rsidR="00752042" w:rsidRDefault="00752042" w:rsidP="009F50A8">
      <w:pPr>
        <w:spacing w:before="240" w:after="240"/>
        <w:rPr>
          <w:rFonts w:ascii="Times New Roman" w:hAnsi="Times New Roman" w:cs="Times New Roman"/>
          <w:color w:val="18181B"/>
          <w:sz w:val="24"/>
          <w:szCs w:val="24"/>
          <w:shd w:val="clear" w:color="auto" w:fill="FFFFFF"/>
        </w:rPr>
      </w:pPr>
      <w:r>
        <w:rPr>
          <w:rFonts w:ascii="Times New Roman" w:hAnsi="Times New Roman" w:cs="Times New Roman"/>
          <w:color w:val="18181B"/>
          <w:sz w:val="24"/>
          <w:szCs w:val="24"/>
          <w:shd w:val="clear" w:color="auto" w:fill="FFFFFF"/>
        </w:rPr>
        <w:t>Lomibao, L. &amp; Cajandig, A. (2020</w:t>
      </w:r>
      <w:r>
        <w:rPr>
          <w:color w:val="050505"/>
          <w:sz w:val="21"/>
          <w:szCs w:val="21"/>
          <w:shd w:val="clear" w:color="auto" w:fill="FFFFFF"/>
        </w:rPr>
        <w:t xml:space="preserve"> .</w:t>
      </w:r>
      <w:r w:rsidRPr="0005753E">
        <w:rPr>
          <w:rFonts w:ascii="Times New Roman" w:hAnsi="Times New Roman" w:cs="Times New Roman"/>
          <w:color w:val="050505"/>
          <w:sz w:val="24"/>
          <w:szCs w:val="21"/>
          <w:shd w:val="clear" w:color="auto" w:fill="FFFFFF"/>
        </w:rPr>
        <w:t xml:space="preserve"> 5I’s Learning Path with Cultural Approach Embedded to CAI on Student’s Conceptual Understanding. </w:t>
      </w:r>
      <w:r w:rsidRPr="0005753E">
        <w:rPr>
          <w:rFonts w:ascii="Times New Roman" w:hAnsi="Times New Roman" w:cs="Times New Roman"/>
          <w:i/>
          <w:iCs/>
          <w:color w:val="050505"/>
          <w:sz w:val="24"/>
          <w:szCs w:val="21"/>
          <w:shd w:val="clear" w:color="auto" w:fill="FFFFFF"/>
        </w:rPr>
        <w:t>American Journal of Educational Research</w:t>
      </w:r>
      <w:r w:rsidRPr="0005753E">
        <w:rPr>
          <w:rFonts w:ascii="Times New Roman" w:hAnsi="Times New Roman" w:cs="Times New Roman"/>
          <w:color w:val="050505"/>
          <w:sz w:val="24"/>
          <w:szCs w:val="21"/>
          <w:shd w:val="clear" w:color="auto" w:fill="FFFFFF"/>
        </w:rPr>
        <w:t>. 2020; 8(10):772-778. doi: 10.12691/education-8-10-6</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Madriaga, B., &amp; Cajandig, A. (2025). Unveiling the Worldview of Mathematics Teachers Towards Culturally Responsive Mathematics Teaching: A Phenomenological Analysis. </w:t>
      </w:r>
      <w:r w:rsidRPr="009F50A8">
        <w:rPr>
          <w:rStyle w:val="Emphasis"/>
          <w:rFonts w:ascii="Times New Roman" w:hAnsi="Times New Roman" w:cs="Times New Roman"/>
          <w:color w:val="18181B"/>
          <w:sz w:val="24"/>
          <w:szCs w:val="24"/>
          <w:bdr w:val="single" w:sz="2" w:space="0" w:color="E4E4E7" w:frame="1"/>
          <w:shd w:val="clear" w:color="auto" w:fill="FFFFFF"/>
        </w:rPr>
        <w:t>Psychology and Education: A Multidisciplinary Journal</w:t>
      </w:r>
      <w:r w:rsidRPr="009F50A8">
        <w:rPr>
          <w:rFonts w:ascii="Times New Roman" w:hAnsi="Times New Roman" w:cs="Times New Roman"/>
          <w:color w:val="18181B"/>
          <w:sz w:val="24"/>
          <w:szCs w:val="24"/>
          <w:shd w:val="clear" w:color="auto" w:fill="FFFFFF"/>
        </w:rPr>
        <w:t xml:space="preserve">. </w:t>
      </w:r>
      <w:hyperlink r:id="rId21" w:history="1">
        <w:r w:rsidRPr="009F50A8">
          <w:rPr>
            <w:rStyle w:val="Hyperlink"/>
            <w:rFonts w:ascii="Times New Roman" w:hAnsi="Times New Roman" w:cs="Times New Roman"/>
            <w:sz w:val="24"/>
            <w:szCs w:val="24"/>
            <w:shd w:val="clear" w:color="auto" w:fill="FFFFFF"/>
          </w:rPr>
          <w:t>https://doi.org/10.70838/pemj.360901</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Mariani, D., Mustaji, M., &amp; Dewi, U. (2025). Literature Study: The Effect of The Problem-Based Learning Model Assisted by The Flipped Classroom on Mathematical Creative Thinking Ability. </w:t>
      </w:r>
      <w:r w:rsidRPr="009F50A8">
        <w:rPr>
          <w:rStyle w:val="Emphasis"/>
          <w:rFonts w:ascii="Times New Roman" w:hAnsi="Times New Roman" w:cs="Times New Roman"/>
          <w:color w:val="18181B"/>
          <w:sz w:val="24"/>
          <w:szCs w:val="24"/>
          <w:bdr w:val="single" w:sz="2" w:space="0" w:color="E4E4E7" w:frame="1"/>
          <w:shd w:val="clear" w:color="auto" w:fill="FFFFFF"/>
        </w:rPr>
        <w:t>Jurnal Pendidikan Indonesia</w:t>
      </w:r>
      <w:r w:rsidRPr="009F50A8">
        <w:rPr>
          <w:rFonts w:ascii="Times New Roman" w:hAnsi="Times New Roman" w:cs="Times New Roman"/>
          <w:color w:val="18181B"/>
          <w:sz w:val="24"/>
          <w:szCs w:val="24"/>
          <w:shd w:val="clear" w:color="auto" w:fill="FFFFFF"/>
        </w:rPr>
        <w:t xml:space="preserve">. </w:t>
      </w:r>
      <w:hyperlink r:id="rId22" w:history="1">
        <w:r w:rsidRPr="009F50A8">
          <w:rPr>
            <w:rStyle w:val="Hyperlink"/>
            <w:rFonts w:ascii="Times New Roman" w:hAnsi="Times New Roman" w:cs="Times New Roman"/>
            <w:sz w:val="24"/>
            <w:szCs w:val="24"/>
            <w:shd w:val="clear" w:color="auto" w:fill="FFFFFF"/>
          </w:rPr>
          <w:t>https://doi.org/10.59141/japendi.v6i1.6668</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lastRenderedPageBreak/>
        <w:t>Nilimaa, J. (2023). New Examination Approach for Real-World Creativity and Problem-Solving Skills in Mathematics. </w:t>
      </w:r>
      <w:r w:rsidRPr="009F50A8">
        <w:rPr>
          <w:rStyle w:val="Emphasis"/>
          <w:rFonts w:ascii="Times New Roman" w:hAnsi="Times New Roman" w:cs="Times New Roman"/>
          <w:color w:val="18181B"/>
          <w:sz w:val="24"/>
          <w:szCs w:val="24"/>
          <w:bdr w:val="single" w:sz="2" w:space="0" w:color="E4E4E7" w:frame="1"/>
          <w:shd w:val="clear" w:color="auto" w:fill="FFFFFF"/>
        </w:rPr>
        <w:t>Trends in Higher Education</w:t>
      </w:r>
      <w:r w:rsidRPr="009F50A8">
        <w:rPr>
          <w:rFonts w:ascii="Times New Roman" w:hAnsi="Times New Roman" w:cs="Times New Roman"/>
          <w:color w:val="18181B"/>
          <w:sz w:val="24"/>
          <w:szCs w:val="24"/>
          <w:shd w:val="clear" w:color="auto" w:fill="FFFFFF"/>
        </w:rPr>
        <w:t xml:space="preserve">. </w:t>
      </w:r>
      <w:hyperlink r:id="rId23" w:history="1">
        <w:r w:rsidRPr="009F50A8">
          <w:rPr>
            <w:rStyle w:val="Hyperlink"/>
            <w:rFonts w:ascii="Times New Roman" w:hAnsi="Times New Roman" w:cs="Times New Roman"/>
            <w:sz w:val="24"/>
            <w:szCs w:val="24"/>
            <w:shd w:val="clear" w:color="auto" w:fill="FFFFFF"/>
          </w:rPr>
          <w:t>https://doi.org/10.3390/higheredu2030028</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Nursyahidah, F., , W., Mariani, S., &amp; Wijayanti, K. (2025). Integrating technology, Javanese ethnomathematics, and realistic mathematics education in supporting prospective mathematics teachers' numeracy skills: A learning trajectory. </w:t>
      </w:r>
      <w:r w:rsidRPr="009F50A8">
        <w:rPr>
          <w:rStyle w:val="Emphasis"/>
          <w:rFonts w:ascii="Times New Roman" w:hAnsi="Times New Roman" w:cs="Times New Roman"/>
          <w:color w:val="18181B"/>
          <w:sz w:val="24"/>
          <w:szCs w:val="24"/>
          <w:bdr w:val="single" w:sz="2" w:space="0" w:color="E4E4E7" w:frame="1"/>
          <w:shd w:val="clear" w:color="auto" w:fill="FFFFFF"/>
        </w:rPr>
        <w:t>Journal on Mathematics Education</w:t>
      </w:r>
      <w:r w:rsidRPr="009F50A8">
        <w:rPr>
          <w:rFonts w:ascii="Times New Roman" w:hAnsi="Times New Roman" w:cs="Times New Roman"/>
          <w:color w:val="18181B"/>
          <w:sz w:val="24"/>
          <w:szCs w:val="24"/>
          <w:shd w:val="clear" w:color="auto" w:fill="FFFFFF"/>
        </w:rPr>
        <w:t xml:space="preserve">. </w:t>
      </w:r>
      <w:hyperlink r:id="rId24" w:history="1">
        <w:r w:rsidRPr="009F50A8">
          <w:rPr>
            <w:rStyle w:val="Hyperlink"/>
            <w:rFonts w:ascii="Times New Roman" w:hAnsi="Times New Roman" w:cs="Times New Roman"/>
            <w:sz w:val="24"/>
            <w:szCs w:val="24"/>
            <w:shd w:val="clear" w:color="auto" w:fill="FFFFFF"/>
          </w:rPr>
          <w:t>https://doi.org/10.22342/jme.v16i2.pp671-688</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Salsabila, D., Ratnaningsih, N., &amp; Gyenin, M. (2025). Enhancing Mathematics Learning Outcomes through Wordwall-Based Culturally Responsive Teaching. </w:t>
      </w:r>
      <w:r w:rsidRPr="009F50A8">
        <w:rPr>
          <w:rStyle w:val="Emphasis"/>
          <w:rFonts w:ascii="Times New Roman" w:hAnsi="Times New Roman" w:cs="Times New Roman"/>
          <w:color w:val="18181B"/>
          <w:sz w:val="24"/>
          <w:szCs w:val="24"/>
          <w:bdr w:val="single" w:sz="2" w:space="0" w:color="E4E4E7" w:frame="1"/>
          <w:shd w:val="clear" w:color="auto" w:fill="FFFFFF"/>
        </w:rPr>
        <w:t>Pasundan Journal of Mathematics Education : Jurnal Pendidikan Matematika</w:t>
      </w:r>
      <w:r w:rsidRPr="009F50A8">
        <w:rPr>
          <w:rFonts w:ascii="Times New Roman" w:hAnsi="Times New Roman" w:cs="Times New Roman"/>
          <w:color w:val="18181B"/>
          <w:sz w:val="24"/>
          <w:szCs w:val="24"/>
          <w:shd w:val="clear" w:color="auto" w:fill="FFFFFF"/>
        </w:rPr>
        <w:t xml:space="preserve">. </w:t>
      </w:r>
      <w:hyperlink r:id="rId25" w:history="1">
        <w:r w:rsidRPr="009F50A8">
          <w:rPr>
            <w:rStyle w:val="Hyperlink"/>
            <w:rFonts w:ascii="Times New Roman" w:hAnsi="Times New Roman" w:cs="Times New Roman"/>
            <w:sz w:val="24"/>
            <w:szCs w:val="24"/>
            <w:shd w:val="clear" w:color="auto" w:fill="FFFFFF"/>
          </w:rPr>
          <w:t>https://doi.org/10.23969/pjme.v15i1.24200</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Shodiq, L., Juniati, D., &amp; Susanah, S. (2025). Teaching creativity through mathematical lateral thinking problems: A pilot study. </w:t>
      </w:r>
      <w:r w:rsidRPr="009F50A8">
        <w:rPr>
          <w:rStyle w:val="Emphasis"/>
          <w:rFonts w:ascii="Times New Roman" w:hAnsi="Times New Roman" w:cs="Times New Roman"/>
          <w:color w:val="18181B"/>
          <w:sz w:val="24"/>
          <w:szCs w:val="24"/>
          <w:bdr w:val="single" w:sz="2" w:space="0" w:color="E4E4E7" w:frame="1"/>
          <w:shd w:val="clear" w:color="auto" w:fill="FFFFFF"/>
        </w:rPr>
        <w:t>Eurasia Journal of Mathematics, Science and Technology Education</w:t>
      </w:r>
      <w:r w:rsidRPr="009F50A8">
        <w:rPr>
          <w:rFonts w:ascii="Times New Roman" w:hAnsi="Times New Roman" w:cs="Times New Roman"/>
          <w:color w:val="18181B"/>
          <w:sz w:val="24"/>
          <w:szCs w:val="24"/>
          <w:shd w:val="clear" w:color="auto" w:fill="FFFFFF"/>
        </w:rPr>
        <w:t xml:space="preserve">. </w:t>
      </w:r>
      <w:hyperlink r:id="rId26" w:history="1">
        <w:r w:rsidRPr="009F50A8">
          <w:rPr>
            <w:rStyle w:val="Hyperlink"/>
            <w:rFonts w:ascii="Times New Roman" w:hAnsi="Times New Roman" w:cs="Times New Roman"/>
            <w:sz w:val="24"/>
            <w:szCs w:val="24"/>
            <w:shd w:val="clear" w:color="auto" w:fill="FFFFFF"/>
          </w:rPr>
          <w:t>https://doi.org/10.29333/ejmste/15913</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Sianipar, H., Nuranisah, N., &amp; Silalahi, T. (2025). Utilization Of Technology In Ethnomathematics-Based Geogebra Learning Media. </w:t>
      </w:r>
      <w:r w:rsidRPr="009F50A8">
        <w:rPr>
          <w:rStyle w:val="Emphasis"/>
          <w:rFonts w:ascii="Times New Roman" w:hAnsi="Times New Roman" w:cs="Times New Roman"/>
          <w:color w:val="18181B"/>
          <w:sz w:val="24"/>
          <w:szCs w:val="24"/>
          <w:bdr w:val="single" w:sz="2" w:space="0" w:color="E4E4E7" w:frame="1"/>
          <w:shd w:val="clear" w:color="auto" w:fill="FFFFFF"/>
        </w:rPr>
        <w:t>Jurnal Media Computer Science</w:t>
      </w:r>
      <w:r w:rsidRPr="009F50A8">
        <w:rPr>
          <w:rFonts w:ascii="Times New Roman" w:hAnsi="Times New Roman" w:cs="Times New Roman"/>
          <w:color w:val="18181B"/>
          <w:sz w:val="24"/>
          <w:szCs w:val="24"/>
          <w:shd w:val="clear" w:color="auto" w:fill="FFFFFF"/>
        </w:rPr>
        <w:t xml:space="preserve">. </w:t>
      </w:r>
      <w:hyperlink r:id="rId27" w:history="1">
        <w:r w:rsidRPr="009F50A8">
          <w:rPr>
            <w:rStyle w:val="Hyperlink"/>
            <w:rFonts w:ascii="Times New Roman" w:hAnsi="Times New Roman" w:cs="Times New Roman"/>
            <w:sz w:val="24"/>
            <w:szCs w:val="24"/>
            <w:shd w:val="clear" w:color="auto" w:fill="FFFFFF"/>
          </w:rPr>
          <w:t>https://doi.org/10.37676/jmcs.v3i2.8615</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Singh, H. (2025). Incorporating Culturally Responsive Teaching Practices in Mathematics Education. </w:t>
      </w:r>
      <w:r w:rsidRPr="009F50A8">
        <w:rPr>
          <w:rStyle w:val="Emphasis"/>
          <w:rFonts w:ascii="Times New Roman" w:hAnsi="Times New Roman" w:cs="Times New Roman"/>
          <w:color w:val="18181B"/>
          <w:sz w:val="24"/>
          <w:szCs w:val="24"/>
          <w:bdr w:val="single" w:sz="2" w:space="0" w:color="E4E4E7" w:frame="1"/>
          <w:shd w:val="clear" w:color="auto" w:fill="FFFFFF"/>
        </w:rPr>
        <w:t>SSRN Electronic Journal</w:t>
      </w:r>
      <w:r w:rsidRPr="009F50A8">
        <w:rPr>
          <w:rFonts w:ascii="Times New Roman" w:hAnsi="Times New Roman" w:cs="Times New Roman"/>
          <w:color w:val="18181B"/>
          <w:sz w:val="24"/>
          <w:szCs w:val="24"/>
          <w:shd w:val="clear" w:color="auto" w:fill="FFFFFF"/>
        </w:rPr>
        <w:t xml:space="preserve">. </w:t>
      </w:r>
      <w:hyperlink r:id="rId28" w:history="1">
        <w:r w:rsidRPr="009F50A8">
          <w:rPr>
            <w:rStyle w:val="Hyperlink"/>
            <w:rFonts w:ascii="Times New Roman" w:hAnsi="Times New Roman" w:cs="Times New Roman"/>
            <w:sz w:val="24"/>
            <w:szCs w:val="24"/>
            <w:shd w:val="clear" w:color="auto" w:fill="FFFFFF"/>
          </w:rPr>
          <w:t>https://doi.org/10.2139/ssrn.5250874</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Sunzuma, G., &amp; Umbara, U. (2025). Ethnomathematics-based technology in Indonesia: A systematic review. </w:t>
      </w:r>
      <w:r w:rsidRPr="009F50A8">
        <w:rPr>
          <w:rStyle w:val="Emphasis"/>
          <w:rFonts w:ascii="Times New Roman" w:hAnsi="Times New Roman" w:cs="Times New Roman"/>
          <w:color w:val="18181B"/>
          <w:sz w:val="24"/>
          <w:szCs w:val="24"/>
          <w:bdr w:val="single" w:sz="2" w:space="0" w:color="E4E4E7" w:frame="1"/>
          <w:shd w:val="clear" w:color="auto" w:fill="FFFFFF"/>
        </w:rPr>
        <w:t>Asian Journal for Mathematics Education, 4</w:t>
      </w:r>
      <w:r w:rsidRPr="009F50A8">
        <w:rPr>
          <w:rFonts w:ascii="Times New Roman" w:hAnsi="Times New Roman" w:cs="Times New Roman"/>
          <w:color w:val="18181B"/>
          <w:sz w:val="24"/>
          <w:szCs w:val="24"/>
          <w:shd w:val="clear" w:color="auto" w:fill="FFFFFF"/>
        </w:rPr>
        <w:t xml:space="preserve">, 129 - 153. </w:t>
      </w:r>
      <w:hyperlink r:id="rId29" w:history="1">
        <w:r w:rsidRPr="009F50A8">
          <w:rPr>
            <w:rStyle w:val="Hyperlink"/>
            <w:rFonts w:ascii="Times New Roman" w:hAnsi="Times New Roman" w:cs="Times New Roman"/>
            <w:sz w:val="24"/>
            <w:szCs w:val="24"/>
            <w:shd w:val="clear" w:color="auto" w:fill="FFFFFF"/>
          </w:rPr>
          <w:t>https://doi.org/10.1177/27527263241305812</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Susilawati, S., Prabowo, A., Zaenuri, Z., &amp; Waluya, B. (2024). Developing creative thinking abilities in mathematics education: A systematic literature review. </w:t>
      </w:r>
      <w:r w:rsidRPr="009F50A8">
        <w:rPr>
          <w:rStyle w:val="Emphasis"/>
          <w:rFonts w:ascii="Times New Roman" w:hAnsi="Times New Roman" w:cs="Times New Roman"/>
          <w:color w:val="18181B"/>
          <w:sz w:val="24"/>
          <w:szCs w:val="24"/>
          <w:bdr w:val="single" w:sz="2" w:space="0" w:color="E4E4E7" w:frame="1"/>
          <w:shd w:val="clear" w:color="auto" w:fill="FFFFFF"/>
        </w:rPr>
        <w:t>Contemporary Educational Researches Journal</w:t>
      </w:r>
      <w:r w:rsidRPr="009F50A8">
        <w:rPr>
          <w:rFonts w:ascii="Times New Roman" w:hAnsi="Times New Roman" w:cs="Times New Roman"/>
          <w:color w:val="18181B"/>
          <w:sz w:val="24"/>
          <w:szCs w:val="24"/>
          <w:shd w:val="clear" w:color="auto" w:fill="FFFFFF"/>
        </w:rPr>
        <w:t xml:space="preserve">. </w:t>
      </w:r>
      <w:hyperlink r:id="rId30" w:history="1">
        <w:r w:rsidRPr="009F50A8">
          <w:rPr>
            <w:rStyle w:val="Hyperlink"/>
            <w:rFonts w:ascii="Times New Roman" w:hAnsi="Times New Roman" w:cs="Times New Roman"/>
            <w:sz w:val="24"/>
            <w:szCs w:val="24"/>
            <w:shd w:val="clear" w:color="auto" w:fill="FFFFFF"/>
          </w:rPr>
          <w:t>https://doi.org/10.18844/cerj.v14i1.9256</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Viberg, O., Grönlund, Å., &amp; Andersson, A. (2020). Integrating digital technology in mathematics education: a Swedish case study. </w:t>
      </w:r>
      <w:r w:rsidRPr="009F50A8">
        <w:rPr>
          <w:rStyle w:val="Emphasis"/>
          <w:rFonts w:ascii="Times New Roman" w:hAnsi="Times New Roman" w:cs="Times New Roman"/>
          <w:color w:val="18181B"/>
          <w:sz w:val="24"/>
          <w:szCs w:val="24"/>
          <w:bdr w:val="single" w:sz="2" w:space="0" w:color="E4E4E7" w:frame="1"/>
          <w:shd w:val="clear" w:color="auto" w:fill="FFFFFF"/>
        </w:rPr>
        <w:t>Interactive Learning Environments, 31</w:t>
      </w:r>
      <w:r w:rsidRPr="009F50A8">
        <w:rPr>
          <w:rFonts w:ascii="Times New Roman" w:hAnsi="Times New Roman" w:cs="Times New Roman"/>
          <w:color w:val="18181B"/>
          <w:sz w:val="24"/>
          <w:szCs w:val="24"/>
          <w:shd w:val="clear" w:color="auto" w:fill="FFFFFF"/>
        </w:rPr>
        <w:t xml:space="preserve">, 232 - 243. </w:t>
      </w:r>
      <w:hyperlink r:id="rId31" w:history="1">
        <w:r w:rsidRPr="009F50A8">
          <w:rPr>
            <w:rStyle w:val="Hyperlink"/>
            <w:rFonts w:ascii="Times New Roman" w:hAnsi="Times New Roman" w:cs="Times New Roman"/>
            <w:sz w:val="24"/>
            <w:szCs w:val="24"/>
            <w:shd w:val="clear" w:color="auto" w:fill="FFFFFF"/>
          </w:rPr>
          <w:t>https://doi.org/10.1080/10494820.2020.1770801</w:t>
        </w:r>
      </w:hyperlink>
      <w:r w:rsidRPr="009F50A8">
        <w:rPr>
          <w:rFonts w:ascii="Times New Roman" w:hAnsi="Times New Roman" w:cs="Times New Roman"/>
          <w:color w:val="18181B"/>
          <w:sz w:val="24"/>
          <w:szCs w:val="24"/>
          <w:shd w:val="clear" w:color="auto" w:fill="FFFFFF"/>
        </w:rPr>
        <w:t>.</w:t>
      </w:r>
    </w:p>
    <w:p w:rsidR="00752042" w:rsidRPr="009F50A8" w:rsidRDefault="00752042" w:rsidP="009F50A8">
      <w:pPr>
        <w:spacing w:before="240" w:after="240"/>
        <w:rPr>
          <w:rFonts w:ascii="Times New Roman" w:hAnsi="Times New Roman" w:cs="Times New Roman"/>
          <w:color w:val="18181B"/>
          <w:sz w:val="24"/>
          <w:szCs w:val="24"/>
          <w:shd w:val="clear" w:color="auto" w:fill="FFFFFF"/>
        </w:rPr>
      </w:pPr>
      <w:r w:rsidRPr="009F50A8">
        <w:rPr>
          <w:rFonts w:ascii="Times New Roman" w:hAnsi="Times New Roman" w:cs="Times New Roman"/>
          <w:color w:val="18181B"/>
          <w:sz w:val="24"/>
          <w:szCs w:val="24"/>
          <w:shd w:val="clear" w:color="auto" w:fill="FFFFFF"/>
        </w:rPr>
        <w:t>Zioga, M., &amp; Desli, D. (2025). Fostering Mathematical Creativity in Primary Education: Impact of an Educational Program on Teachers’ Classroom Practices. </w:t>
      </w:r>
      <w:r w:rsidRPr="009F50A8">
        <w:rPr>
          <w:rStyle w:val="Emphasis"/>
          <w:rFonts w:ascii="Times New Roman" w:hAnsi="Times New Roman" w:cs="Times New Roman"/>
          <w:color w:val="18181B"/>
          <w:sz w:val="24"/>
          <w:szCs w:val="24"/>
          <w:bdr w:val="single" w:sz="2" w:space="0" w:color="E4E4E7" w:frame="1"/>
          <w:shd w:val="clear" w:color="auto" w:fill="FFFFFF"/>
        </w:rPr>
        <w:t>European Journal of Mathematics and Science Education</w:t>
      </w:r>
      <w:r w:rsidRPr="009F50A8">
        <w:rPr>
          <w:rFonts w:ascii="Times New Roman" w:hAnsi="Times New Roman" w:cs="Times New Roman"/>
          <w:color w:val="18181B"/>
          <w:sz w:val="24"/>
          <w:szCs w:val="24"/>
          <w:shd w:val="clear" w:color="auto" w:fill="FFFFFF"/>
        </w:rPr>
        <w:t xml:space="preserve">. </w:t>
      </w:r>
      <w:hyperlink r:id="rId32" w:history="1">
        <w:r w:rsidRPr="009F50A8">
          <w:rPr>
            <w:rStyle w:val="Hyperlink"/>
            <w:rFonts w:ascii="Times New Roman" w:hAnsi="Times New Roman" w:cs="Times New Roman"/>
            <w:sz w:val="24"/>
            <w:szCs w:val="24"/>
            <w:shd w:val="clear" w:color="auto" w:fill="FFFFFF"/>
          </w:rPr>
          <w:t>https://doi.org/10.12973/ejmse.6.2.97</w:t>
        </w:r>
      </w:hyperlink>
      <w:r w:rsidRPr="009F50A8">
        <w:rPr>
          <w:rFonts w:ascii="Times New Roman" w:hAnsi="Times New Roman" w:cs="Times New Roman"/>
          <w:color w:val="18181B"/>
          <w:sz w:val="24"/>
          <w:szCs w:val="24"/>
          <w:shd w:val="clear" w:color="auto" w:fill="FFFFFF"/>
        </w:rPr>
        <w:t>.</w:t>
      </w:r>
    </w:p>
    <w:sectPr w:rsidR="00752042" w:rsidRPr="009F50A8" w:rsidSect="009F50A8">
      <w:pgSz w:w="11907" w:h="16839"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200" w:rsidRDefault="00274200" w:rsidP="00A354E2">
      <w:pPr>
        <w:spacing w:after="0" w:line="240" w:lineRule="auto"/>
      </w:pPr>
      <w:r>
        <w:separator/>
      </w:r>
    </w:p>
  </w:endnote>
  <w:endnote w:type="continuationSeparator" w:id="0">
    <w:p w:rsidR="00274200" w:rsidRDefault="00274200" w:rsidP="00A3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200" w:rsidRDefault="00274200" w:rsidP="00A354E2">
      <w:pPr>
        <w:spacing w:after="0" w:line="240" w:lineRule="auto"/>
      </w:pPr>
      <w:r>
        <w:separator/>
      </w:r>
    </w:p>
  </w:footnote>
  <w:footnote w:type="continuationSeparator" w:id="0">
    <w:p w:rsidR="00274200" w:rsidRDefault="00274200" w:rsidP="00A35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B34"/>
    <w:rsid w:val="000237C5"/>
    <w:rsid w:val="0005753E"/>
    <w:rsid w:val="001F206C"/>
    <w:rsid w:val="00231B34"/>
    <w:rsid w:val="00274200"/>
    <w:rsid w:val="002B6022"/>
    <w:rsid w:val="002B7B34"/>
    <w:rsid w:val="00463051"/>
    <w:rsid w:val="00663076"/>
    <w:rsid w:val="006665E5"/>
    <w:rsid w:val="006A39D3"/>
    <w:rsid w:val="00752042"/>
    <w:rsid w:val="00813B69"/>
    <w:rsid w:val="008C547C"/>
    <w:rsid w:val="00936E3C"/>
    <w:rsid w:val="0098282D"/>
    <w:rsid w:val="009915B5"/>
    <w:rsid w:val="009F50A8"/>
    <w:rsid w:val="00A31D67"/>
    <w:rsid w:val="00A354E2"/>
    <w:rsid w:val="00A6413A"/>
    <w:rsid w:val="00A852CE"/>
    <w:rsid w:val="00AD1D90"/>
    <w:rsid w:val="00AF20AE"/>
    <w:rsid w:val="00B4723F"/>
    <w:rsid w:val="00BF50FE"/>
    <w:rsid w:val="00BF6F64"/>
    <w:rsid w:val="00C10687"/>
    <w:rsid w:val="00C36B63"/>
    <w:rsid w:val="00D27487"/>
    <w:rsid w:val="00DF3A0F"/>
    <w:rsid w:val="00E71EB8"/>
    <w:rsid w:val="00E823DE"/>
    <w:rsid w:val="00ED505D"/>
    <w:rsid w:val="00F21518"/>
    <w:rsid w:val="00F24E89"/>
    <w:rsid w:val="00F32ECD"/>
    <w:rsid w:val="00F434A5"/>
    <w:rsid w:val="00FD25A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413A"/>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7B34"/>
    <w:rPr>
      <w:i/>
      <w:iCs/>
    </w:rPr>
  </w:style>
  <w:style w:type="character" w:styleId="Hyperlink">
    <w:name w:val="Hyperlink"/>
    <w:basedOn w:val="DefaultParagraphFont"/>
    <w:uiPriority w:val="99"/>
    <w:unhideWhenUsed/>
    <w:rsid w:val="002B7B34"/>
    <w:rPr>
      <w:color w:val="0563C1" w:themeColor="hyperlink"/>
      <w:u w:val="single"/>
    </w:rPr>
  </w:style>
  <w:style w:type="paragraph" w:customStyle="1" w:styleId="my-2">
    <w:name w:val="my-2"/>
    <w:basedOn w:val="Normal"/>
    <w:rsid w:val="00231B34"/>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A6413A"/>
    <w:rPr>
      <w:rFonts w:ascii="Times New Roman" w:eastAsia="Times New Roman" w:hAnsi="Times New Roman" w:cs="Times New Roman"/>
      <w:b/>
      <w:bCs/>
      <w:sz w:val="36"/>
      <w:szCs w:val="36"/>
      <w:lang w:eastAsia="en-PH"/>
    </w:rPr>
  </w:style>
  <w:style w:type="character" w:customStyle="1" w:styleId="katex-mathml">
    <w:name w:val="katex-mathml"/>
    <w:basedOn w:val="DefaultParagraphFont"/>
    <w:rsid w:val="00A6413A"/>
  </w:style>
  <w:style w:type="character" w:customStyle="1" w:styleId="mord">
    <w:name w:val="mord"/>
    <w:basedOn w:val="DefaultParagraphFont"/>
    <w:rsid w:val="00A6413A"/>
  </w:style>
  <w:style w:type="character" w:customStyle="1" w:styleId="vlist-s">
    <w:name w:val="vlist-s"/>
    <w:basedOn w:val="DefaultParagraphFont"/>
    <w:rsid w:val="00A6413A"/>
  </w:style>
  <w:style w:type="paragraph" w:styleId="Header">
    <w:name w:val="header"/>
    <w:basedOn w:val="Normal"/>
    <w:link w:val="HeaderChar"/>
    <w:uiPriority w:val="99"/>
    <w:unhideWhenUsed/>
    <w:rsid w:val="00A3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E2"/>
  </w:style>
  <w:style w:type="paragraph" w:styleId="Footer">
    <w:name w:val="footer"/>
    <w:basedOn w:val="Normal"/>
    <w:link w:val="FooterChar"/>
    <w:uiPriority w:val="99"/>
    <w:unhideWhenUsed/>
    <w:rsid w:val="00A3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6413A"/>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B7B34"/>
    <w:rPr>
      <w:i/>
      <w:iCs/>
    </w:rPr>
  </w:style>
  <w:style w:type="character" w:styleId="Hyperlink">
    <w:name w:val="Hyperlink"/>
    <w:basedOn w:val="DefaultParagraphFont"/>
    <w:uiPriority w:val="99"/>
    <w:unhideWhenUsed/>
    <w:rsid w:val="002B7B34"/>
    <w:rPr>
      <w:color w:val="0563C1" w:themeColor="hyperlink"/>
      <w:u w:val="single"/>
    </w:rPr>
  </w:style>
  <w:style w:type="paragraph" w:customStyle="1" w:styleId="my-2">
    <w:name w:val="my-2"/>
    <w:basedOn w:val="Normal"/>
    <w:rsid w:val="00231B34"/>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2Char">
    <w:name w:val="Heading 2 Char"/>
    <w:basedOn w:val="DefaultParagraphFont"/>
    <w:link w:val="Heading2"/>
    <w:uiPriority w:val="9"/>
    <w:rsid w:val="00A6413A"/>
    <w:rPr>
      <w:rFonts w:ascii="Times New Roman" w:eastAsia="Times New Roman" w:hAnsi="Times New Roman" w:cs="Times New Roman"/>
      <w:b/>
      <w:bCs/>
      <w:sz w:val="36"/>
      <w:szCs w:val="36"/>
      <w:lang w:eastAsia="en-PH"/>
    </w:rPr>
  </w:style>
  <w:style w:type="character" w:customStyle="1" w:styleId="katex-mathml">
    <w:name w:val="katex-mathml"/>
    <w:basedOn w:val="DefaultParagraphFont"/>
    <w:rsid w:val="00A6413A"/>
  </w:style>
  <w:style w:type="character" w:customStyle="1" w:styleId="mord">
    <w:name w:val="mord"/>
    <w:basedOn w:val="DefaultParagraphFont"/>
    <w:rsid w:val="00A6413A"/>
  </w:style>
  <w:style w:type="character" w:customStyle="1" w:styleId="vlist-s">
    <w:name w:val="vlist-s"/>
    <w:basedOn w:val="DefaultParagraphFont"/>
    <w:rsid w:val="00A6413A"/>
  </w:style>
  <w:style w:type="paragraph" w:styleId="Header">
    <w:name w:val="header"/>
    <w:basedOn w:val="Normal"/>
    <w:link w:val="HeaderChar"/>
    <w:uiPriority w:val="99"/>
    <w:unhideWhenUsed/>
    <w:rsid w:val="00A3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4E2"/>
  </w:style>
  <w:style w:type="paragraph" w:styleId="Footer">
    <w:name w:val="footer"/>
    <w:basedOn w:val="Normal"/>
    <w:link w:val="FooterChar"/>
    <w:uiPriority w:val="99"/>
    <w:unhideWhenUsed/>
    <w:rsid w:val="00A3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4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393912">
      <w:bodyDiv w:val="1"/>
      <w:marLeft w:val="0"/>
      <w:marRight w:val="0"/>
      <w:marTop w:val="0"/>
      <w:marBottom w:val="0"/>
      <w:divBdr>
        <w:top w:val="none" w:sz="0" w:space="0" w:color="auto"/>
        <w:left w:val="none" w:sz="0" w:space="0" w:color="auto"/>
        <w:bottom w:val="none" w:sz="0" w:space="0" w:color="auto"/>
        <w:right w:val="none" w:sz="0" w:space="0" w:color="auto"/>
      </w:divBdr>
    </w:div>
    <w:div w:id="424812056">
      <w:bodyDiv w:val="1"/>
      <w:marLeft w:val="0"/>
      <w:marRight w:val="0"/>
      <w:marTop w:val="0"/>
      <w:marBottom w:val="0"/>
      <w:divBdr>
        <w:top w:val="none" w:sz="0" w:space="0" w:color="auto"/>
        <w:left w:val="none" w:sz="0" w:space="0" w:color="auto"/>
        <w:bottom w:val="none" w:sz="0" w:space="0" w:color="auto"/>
        <w:right w:val="none" w:sz="0" w:space="0" w:color="auto"/>
      </w:divBdr>
    </w:div>
    <w:div w:id="542401014">
      <w:bodyDiv w:val="1"/>
      <w:marLeft w:val="0"/>
      <w:marRight w:val="0"/>
      <w:marTop w:val="0"/>
      <w:marBottom w:val="0"/>
      <w:divBdr>
        <w:top w:val="none" w:sz="0" w:space="0" w:color="auto"/>
        <w:left w:val="none" w:sz="0" w:space="0" w:color="auto"/>
        <w:bottom w:val="none" w:sz="0" w:space="0" w:color="auto"/>
        <w:right w:val="none" w:sz="0" w:space="0" w:color="auto"/>
      </w:divBdr>
    </w:div>
    <w:div w:id="827982874">
      <w:bodyDiv w:val="1"/>
      <w:marLeft w:val="0"/>
      <w:marRight w:val="0"/>
      <w:marTop w:val="0"/>
      <w:marBottom w:val="0"/>
      <w:divBdr>
        <w:top w:val="none" w:sz="0" w:space="0" w:color="auto"/>
        <w:left w:val="none" w:sz="0" w:space="0" w:color="auto"/>
        <w:bottom w:val="none" w:sz="0" w:space="0" w:color="auto"/>
        <w:right w:val="none" w:sz="0" w:space="0" w:color="auto"/>
      </w:divBdr>
    </w:div>
    <w:div w:id="1066030010">
      <w:bodyDiv w:val="1"/>
      <w:marLeft w:val="0"/>
      <w:marRight w:val="0"/>
      <w:marTop w:val="0"/>
      <w:marBottom w:val="0"/>
      <w:divBdr>
        <w:top w:val="none" w:sz="0" w:space="0" w:color="auto"/>
        <w:left w:val="none" w:sz="0" w:space="0" w:color="auto"/>
        <w:bottom w:val="none" w:sz="0" w:space="0" w:color="auto"/>
        <w:right w:val="none" w:sz="0" w:space="0" w:color="auto"/>
      </w:divBdr>
    </w:div>
    <w:div w:id="1099302220">
      <w:bodyDiv w:val="1"/>
      <w:marLeft w:val="0"/>
      <w:marRight w:val="0"/>
      <w:marTop w:val="0"/>
      <w:marBottom w:val="0"/>
      <w:divBdr>
        <w:top w:val="none" w:sz="0" w:space="0" w:color="auto"/>
        <w:left w:val="none" w:sz="0" w:space="0" w:color="auto"/>
        <w:bottom w:val="none" w:sz="0" w:space="0" w:color="auto"/>
        <w:right w:val="none" w:sz="0" w:space="0" w:color="auto"/>
      </w:divBdr>
    </w:div>
    <w:div w:id="15985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574/jrip.v5i3.3933" TargetMode="External"/><Relationship Id="rId18" Type="http://schemas.openxmlformats.org/officeDocument/2006/relationships/hyperlink" Target="https://doi.org/10.3846/cs.2020.11027" TargetMode="External"/><Relationship Id="rId26" Type="http://schemas.openxmlformats.org/officeDocument/2006/relationships/hyperlink" Target="https://doi.org/10.29333/ejmste/15913" TargetMode="External"/><Relationship Id="rId3" Type="http://schemas.openxmlformats.org/officeDocument/2006/relationships/settings" Target="settings.xml"/><Relationship Id="rId21" Type="http://schemas.openxmlformats.org/officeDocument/2006/relationships/hyperlink" Target="https://doi.org/10.70838/pemj.360901" TargetMode="External"/><Relationship Id="rId34" Type="http://schemas.openxmlformats.org/officeDocument/2006/relationships/theme" Target="theme/theme1.xml"/><Relationship Id="rId7" Type="http://schemas.openxmlformats.org/officeDocument/2006/relationships/hyperlink" Target="https://doi.org/10.30935/scimath/15825" TargetMode="External"/><Relationship Id="rId12" Type="http://schemas.openxmlformats.org/officeDocument/2006/relationships/hyperlink" Target="https://doi.org/10.30606/absis.v8i1.3340" TargetMode="External"/><Relationship Id="rId17" Type="http://schemas.openxmlformats.org/officeDocument/2006/relationships/hyperlink" Target="https://doi.org/10.37934/araset.58.2.8595" TargetMode="External"/><Relationship Id="rId25" Type="http://schemas.openxmlformats.org/officeDocument/2006/relationships/hyperlink" Target="https://doi.org/10.23969/pjme.v15i1.24200"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i.org/10.23977/aduhe.2025.070111" TargetMode="External"/><Relationship Id="rId20" Type="http://schemas.openxmlformats.org/officeDocument/2006/relationships/hyperlink" Target="https://doi.org/10.30998/formatif.v15i1.27897" TargetMode="External"/><Relationship Id="rId29" Type="http://schemas.openxmlformats.org/officeDocument/2006/relationships/hyperlink" Target="https://doi.org/10.1177/2752726324130581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30862/jhm.v8i1.852" TargetMode="External"/><Relationship Id="rId24" Type="http://schemas.openxmlformats.org/officeDocument/2006/relationships/hyperlink" Target="https://doi.org/10.22342/jme.v16i2.pp671-688" TargetMode="External"/><Relationship Id="rId32" Type="http://schemas.openxmlformats.org/officeDocument/2006/relationships/hyperlink" Target="https://doi.org/10.12973/ejmse.6.2.97" TargetMode="External"/><Relationship Id="rId5" Type="http://schemas.openxmlformats.org/officeDocument/2006/relationships/footnotes" Target="footnotes.xml"/><Relationship Id="rId15" Type="http://schemas.openxmlformats.org/officeDocument/2006/relationships/hyperlink" Target="https://doi.org/10.1080/2331186x.2024.2373559" TargetMode="External"/><Relationship Id="rId23" Type="http://schemas.openxmlformats.org/officeDocument/2006/relationships/hyperlink" Target="https://doi.org/10.3390/higheredu2030028" TargetMode="External"/><Relationship Id="rId28" Type="http://schemas.openxmlformats.org/officeDocument/2006/relationships/hyperlink" Target="https://doi.org/10.2139/ssrn.5250874" TargetMode="External"/><Relationship Id="rId10" Type="http://schemas.openxmlformats.org/officeDocument/2006/relationships/hyperlink" Target="https://doi.org/10.1007/s10649-020-09995-8" TargetMode="External"/><Relationship Id="rId19" Type="http://schemas.openxmlformats.org/officeDocument/2006/relationships/hyperlink" Target="https://doi.org/10.22342/jme.v15i1.pp253-276" TargetMode="External"/><Relationship Id="rId31" Type="http://schemas.openxmlformats.org/officeDocument/2006/relationships/hyperlink" Target="https://doi.org/10.1080/10494820.2020.1770801" TargetMode="External"/><Relationship Id="rId4" Type="http://schemas.openxmlformats.org/officeDocument/2006/relationships/webSettings" Target="webSettings.xml"/><Relationship Id="rId9" Type="http://schemas.openxmlformats.org/officeDocument/2006/relationships/hyperlink" Target="https://doi.org/10.46328/ijemst.1254" TargetMode="External"/><Relationship Id="rId14" Type="http://schemas.openxmlformats.org/officeDocument/2006/relationships/hyperlink" Target="https://doi.org/10.62754/joe.v4i2.6223" TargetMode="External"/><Relationship Id="rId22" Type="http://schemas.openxmlformats.org/officeDocument/2006/relationships/hyperlink" Target="https://doi.org/10.59141/japendi.v6i1.6668" TargetMode="External"/><Relationship Id="rId27" Type="http://schemas.openxmlformats.org/officeDocument/2006/relationships/hyperlink" Target="https://doi.org/10.37676/jmcs.v3i2.8615" TargetMode="External"/><Relationship Id="rId30" Type="http://schemas.openxmlformats.org/officeDocument/2006/relationships/hyperlink" Target="https://doi.org/10.18844/cerj.v14i1.9256" TargetMode="External"/><Relationship Id="rId8" Type="http://schemas.openxmlformats.org/officeDocument/2006/relationships/hyperlink" Target="https://doi.org/10.1007/s40751-024-00152-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13</Pages>
  <Words>7680</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7</cp:revision>
  <dcterms:created xsi:type="dcterms:W3CDTF">2026-05-08T09:36:00Z</dcterms:created>
  <dcterms:modified xsi:type="dcterms:W3CDTF">2026-05-09T14:38:00Z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5a96f747-eb24-48dc-a8fb-16a50bf04d02</vt:lpwstr>
  </property>
</Properties>
</file>