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6F0C1" w14:textId="77777777" w:rsidR="00863BE1" w:rsidRPr="004F7FC3" w:rsidRDefault="00863BE1" w:rsidP="00863BE1">
      <w:pPr>
        <w:keepNext/>
        <w:keepLines/>
        <w:spacing w:before="40" w:after="0" w:line="360" w:lineRule="auto"/>
        <w:jc w:val="center"/>
        <w:outlineLvl w:val="1"/>
        <w:rPr>
          <w:rFonts w:ascii="Times New Roman" w:eastAsia="OpenSymbol" w:hAnsi="Times New Roman" w:cs="Times New Roman"/>
          <w:b/>
          <w:sz w:val="24"/>
          <w:szCs w:val="24"/>
          <w:lang w:eastAsia="zh-CN" w:bidi="hi-IN"/>
        </w:rPr>
      </w:pPr>
      <w:bookmarkStart w:id="0" w:name="_Toc130639360"/>
      <w:bookmarkStart w:id="1" w:name="_Toc131426377"/>
      <w:r w:rsidRPr="004F7FC3">
        <w:rPr>
          <w:rFonts w:ascii="Times New Roman" w:eastAsia="OpenSymbol" w:hAnsi="Times New Roman" w:cs="Times New Roman"/>
          <w:b/>
          <w:sz w:val="24"/>
          <w:szCs w:val="24"/>
          <w:lang w:eastAsia="zh-CN" w:bidi="hi-IN"/>
        </w:rPr>
        <w:t>STRATEGIC SUPPLIER MANAGEMENT PRACTICES AND OPERATIONAL PERFORMANCE OF COMMERCIAL BANKS, JUBA, SOUTH SUDAN</w:t>
      </w:r>
    </w:p>
    <w:p w14:paraId="01D7625C" w14:textId="2768833D" w:rsidR="00863BE1" w:rsidRPr="004F7FC3" w:rsidRDefault="00863BE1" w:rsidP="00463B1E">
      <w:pPr>
        <w:autoSpaceDE w:val="0"/>
        <w:autoSpaceDN w:val="0"/>
        <w:adjustRightInd w:val="0"/>
        <w:spacing w:before="100" w:beforeAutospacing="1" w:after="0" w:line="240" w:lineRule="auto"/>
        <w:jc w:val="center"/>
        <w:rPr>
          <w:rFonts w:ascii="Times New Roman" w:eastAsia="Times New Roman" w:hAnsi="Times New Roman" w:cs="Times New Roman"/>
          <w:b/>
          <w:kern w:val="0"/>
          <w:sz w:val="24"/>
          <w:szCs w:val="24"/>
          <w14:ligatures w14:val="none"/>
        </w:rPr>
      </w:pPr>
      <w:bookmarkStart w:id="2" w:name="_GoBack"/>
      <w:bookmarkEnd w:id="2"/>
    </w:p>
    <w:p w14:paraId="08A3151C" w14:textId="77777777" w:rsidR="00863BE1" w:rsidRPr="004F7FC3" w:rsidRDefault="00863BE1" w:rsidP="00863BE1">
      <w:pPr>
        <w:spacing w:line="360" w:lineRule="auto"/>
        <w:jc w:val="both"/>
        <w:rPr>
          <w:rFonts w:ascii="Times New Roman" w:hAnsi="Times New Roman" w:cs="Times New Roman"/>
          <w:b/>
          <w:bCs/>
          <w:sz w:val="24"/>
          <w:szCs w:val="24"/>
        </w:rPr>
      </w:pPr>
      <w:r w:rsidRPr="004F7FC3">
        <w:rPr>
          <w:rFonts w:ascii="Times New Roman" w:hAnsi="Times New Roman" w:cs="Times New Roman"/>
          <w:b/>
          <w:bCs/>
          <w:sz w:val="24"/>
          <w:szCs w:val="24"/>
        </w:rPr>
        <w:t>ABSTRACT</w:t>
      </w:r>
    </w:p>
    <w:p w14:paraId="736D861F" w14:textId="77777777" w:rsidR="00863BE1" w:rsidRPr="004F7FC3" w:rsidRDefault="00863BE1" w:rsidP="00863BE1">
      <w:pPr>
        <w:spacing w:line="360" w:lineRule="auto"/>
        <w:jc w:val="both"/>
        <w:rPr>
          <w:rFonts w:ascii="Times New Roman" w:hAnsi="Times New Roman" w:cs="Times New Roman"/>
          <w:sz w:val="24"/>
          <w:szCs w:val="24"/>
        </w:rPr>
      </w:pPr>
      <w:r w:rsidRPr="004F7FC3">
        <w:rPr>
          <w:rFonts w:ascii="Times New Roman" w:hAnsi="Times New Roman" w:cs="Times New Roman"/>
          <w:sz w:val="24"/>
          <w:szCs w:val="24"/>
        </w:rPr>
        <w:t>This study</w:t>
      </w:r>
      <w:r w:rsidRPr="004F7FC3">
        <w:rPr>
          <w:rStyle w:val="FootnoteReference"/>
          <w:rFonts w:ascii="Times New Roman" w:hAnsi="Times New Roman" w:cs="Times New Roman"/>
          <w:sz w:val="24"/>
          <w:szCs w:val="24"/>
        </w:rPr>
        <w:footnoteReference w:id="1"/>
      </w:r>
      <w:r w:rsidRPr="004F7FC3">
        <w:rPr>
          <w:rFonts w:ascii="Times New Roman" w:hAnsi="Times New Roman" w:cs="Times New Roman"/>
          <w:sz w:val="24"/>
          <w:szCs w:val="24"/>
        </w:rPr>
        <w:t xml:space="preserve"> examined the impact of strategic supplier management practices and operational performance of commercial Banks in Juba, South Sudan. Based on the descriptive research design, data was collected from a sample of 164 respondents using questionnaire. Data was procecessed and analyzed with the aid of SPSS, using frequency counts, mean, standard deviation, correlation and multiple regression. Main finding of this study was trust-Based relationship and information sharing had a statistically significant relationship with Operational performance of commercial banks whereas supplier collaboration had a non-statistically significant relationship at 0.05 level of significance. The study concludes that strategic supplier management practices with its indicator of Trust based relationship, information sharing and supplier collaboration relationship factors have direct effect on operational performance of Commercial Banks. However, the overall model is significant at 95% level of significance with (F-value 5.188 and sig value 0.001), explaining up to 11.5% (R-squared=0.115) variation in operation performance of the bank. The study recommends that commercial Banks should strategically manage their supply base on the basis of value of spend or nature of items being purchased. This will enable the Banks to categorize its suppliers and thus proper treatment accorded to every supplier based on their importance. </w:t>
      </w:r>
    </w:p>
    <w:p w14:paraId="4BBF40E2" w14:textId="77777777" w:rsidR="00863BE1" w:rsidRPr="004F7FC3" w:rsidRDefault="00863BE1" w:rsidP="00863BE1">
      <w:pPr>
        <w:keepNext/>
        <w:keepLines/>
        <w:spacing w:before="40" w:after="0" w:line="360" w:lineRule="auto"/>
        <w:outlineLvl w:val="1"/>
        <w:rPr>
          <w:rFonts w:ascii="Times New Roman" w:eastAsia="Times New Roman" w:hAnsi="Times New Roman" w:cs="Times New Roman"/>
          <w:b/>
          <w:sz w:val="24"/>
          <w:szCs w:val="24"/>
        </w:rPr>
      </w:pPr>
      <w:r w:rsidRPr="004F7FC3">
        <w:rPr>
          <w:rFonts w:ascii="Times New Roman" w:eastAsia="Times New Roman" w:hAnsi="Times New Roman" w:cs="Times New Roman"/>
          <w:b/>
          <w:sz w:val="24"/>
          <w:szCs w:val="24"/>
        </w:rPr>
        <w:t xml:space="preserve">1.0 Background to the study </w:t>
      </w:r>
    </w:p>
    <w:p w14:paraId="0328EE0E" w14:textId="77777777" w:rsidR="00863BE1" w:rsidRPr="004F7FC3" w:rsidRDefault="00863BE1" w:rsidP="00863BE1">
      <w:pPr>
        <w:autoSpaceDE w:val="0"/>
        <w:autoSpaceDN w:val="0"/>
        <w:adjustRightInd w:val="0"/>
        <w:spacing w:after="0" w:line="360" w:lineRule="auto"/>
        <w:jc w:val="both"/>
        <w:rPr>
          <w:rFonts w:ascii="Times New Roman" w:eastAsia="Calibri" w:hAnsi="Times New Roman" w:cs="Times New Roman"/>
          <w:b/>
          <w:kern w:val="0"/>
          <w:sz w:val="24"/>
          <w:szCs w:val="24"/>
          <w14:ligatures w14:val="none"/>
        </w:rPr>
      </w:pPr>
      <w:r w:rsidRPr="004F7FC3">
        <w:rPr>
          <w:rFonts w:ascii="Times New Roman" w:eastAsia="Calibri" w:hAnsi="Times New Roman" w:cs="Times New Roman"/>
          <w:kern w:val="0"/>
          <w:sz w:val="24"/>
          <w:szCs w:val="24"/>
          <w14:ligatures w14:val="none"/>
        </w:rPr>
        <w:t>The background of the study was based on historical, theoretical, conceptual and contextual perspective. The analysis of the background was in different perspectives.</w:t>
      </w:r>
    </w:p>
    <w:p w14:paraId="54413B4B" w14:textId="77777777" w:rsidR="00863BE1" w:rsidRPr="004F7FC3" w:rsidRDefault="00863BE1" w:rsidP="00863BE1">
      <w:pPr>
        <w:keepNext/>
        <w:keepLines/>
        <w:spacing w:before="40" w:after="0" w:line="360" w:lineRule="auto"/>
        <w:outlineLvl w:val="1"/>
        <w:rPr>
          <w:rFonts w:ascii="Times New Roman" w:eastAsia="OpenSymbol" w:hAnsi="Times New Roman" w:cs="Times New Roman"/>
          <w:b/>
          <w:color w:val="2F5496" w:themeColor="accent1" w:themeShade="BF"/>
          <w:sz w:val="24"/>
          <w:szCs w:val="24"/>
          <w:lang w:eastAsia="zh-CN" w:bidi="hi-IN"/>
        </w:rPr>
      </w:pPr>
      <w:bookmarkStart w:id="3" w:name="_Toc87331224"/>
      <w:bookmarkStart w:id="4" w:name="_Toc130639359"/>
      <w:bookmarkStart w:id="5" w:name="_Toc131426376"/>
      <w:r w:rsidRPr="004F7FC3">
        <w:rPr>
          <w:rFonts w:ascii="Times New Roman" w:eastAsia="OpenSymbol" w:hAnsi="Times New Roman" w:cs="Times New Roman"/>
          <w:b/>
          <w:sz w:val="24"/>
          <w:szCs w:val="24"/>
          <w:lang w:eastAsia="zh-CN" w:bidi="hi-IN"/>
        </w:rPr>
        <w:t>1</w:t>
      </w:r>
      <w:bookmarkEnd w:id="3"/>
      <w:bookmarkEnd w:id="4"/>
      <w:bookmarkEnd w:id="5"/>
      <w:r w:rsidRPr="004F7FC3">
        <w:rPr>
          <w:rFonts w:ascii="Times New Roman" w:eastAsia="OpenSymbol" w:hAnsi="Times New Roman" w:cs="Times New Roman"/>
          <w:b/>
          <w:sz w:val="24"/>
          <w:szCs w:val="24"/>
          <w:lang w:eastAsia="zh-CN" w:bidi="hi-IN"/>
        </w:rPr>
        <w:t>.1 Introduction</w:t>
      </w:r>
    </w:p>
    <w:p w14:paraId="658C8C88" w14:textId="77777777" w:rsidR="00863BE1" w:rsidRPr="004F7FC3" w:rsidRDefault="00863BE1" w:rsidP="00863BE1">
      <w:pPr>
        <w:spacing w:after="20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 xml:space="preserve">Commercial banking continued to evolve globally in the 20th century. The establishment of the Federal Reserve System in the United States in 1913 and the Bank for International Settlements (BIS) in 1930 were notable developments. The post-World War II era saw an increase in international banking activities, and the Bretton Woods Agreement in 1944 laid the foundation </w:t>
      </w:r>
      <w:r w:rsidRPr="004F7FC3">
        <w:rPr>
          <w:rFonts w:ascii="Times New Roman" w:eastAsia="Calibri" w:hAnsi="Times New Roman" w:cs="Times New Roman"/>
          <w:kern w:val="0"/>
          <w:sz w:val="24"/>
          <w:szCs w:val="24"/>
          <w14:ligatures w14:val="none"/>
        </w:rPr>
        <w:lastRenderedPageBreak/>
        <w:t xml:space="preserve">for international monetary cooperation. The latter half of the 20th century and the 21st century witnessed significant technological advancements in banking, including the adoption of electronic banking, ATMs, and the development of online banking services. Commercial banks became increasingly globalized, with many establishing a presence in multiple countries. The financial landscape was shaped by mergers, acquisitions, and the development of complex financial instruments. Today, commercial banks are integral to the global economy, providing a range of financial services such as loans, deposits, and investment products. They play a crucial role in facilitating economic growth and development </w:t>
      </w:r>
      <w:sdt>
        <w:sdtPr>
          <w:rPr>
            <w:rFonts w:ascii="Times New Roman" w:eastAsia="Calibri" w:hAnsi="Times New Roman" w:cs="Times New Roman"/>
            <w:kern w:val="0"/>
            <w:sz w:val="24"/>
            <w:szCs w:val="24"/>
            <w14:ligatures w14:val="none"/>
          </w:rPr>
          <w:id w:val="-609899128"/>
          <w:citation/>
        </w:sdtPr>
        <w:sdtEndPr/>
        <w:sdtContent>
          <w:r w:rsidRPr="004F7FC3">
            <w:rPr>
              <w:rFonts w:ascii="Times New Roman" w:eastAsia="Calibri" w:hAnsi="Times New Roman" w:cs="Times New Roman"/>
              <w:kern w:val="0"/>
              <w:sz w:val="24"/>
              <w:szCs w:val="24"/>
              <w14:ligatures w14:val="none"/>
            </w:rPr>
            <w:fldChar w:fldCharType="begin"/>
          </w:r>
          <w:r w:rsidRPr="004F7FC3">
            <w:rPr>
              <w:rFonts w:ascii="Times New Roman" w:eastAsia="Calibri" w:hAnsi="Times New Roman" w:cs="Times New Roman"/>
              <w:kern w:val="0"/>
              <w:sz w:val="24"/>
              <w:szCs w:val="24"/>
              <w14:ligatures w14:val="none"/>
            </w:rPr>
            <w:instrText xml:space="preserve"> CITATION Ban22 \l 1033 </w:instrText>
          </w:r>
          <w:r w:rsidRPr="004F7FC3">
            <w:rPr>
              <w:rFonts w:ascii="Times New Roman" w:eastAsia="Calibri" w:hAnsi="Times New Roman" w:cs="Times New Roman"/>
              <w:kern w:val="0"/>
              <w:sz w:val="24"/>
              <w:szCs w:val="24"/>
              <w14:ligatures w14:val="none"/>
            </w:rPr>
            <w:fldChar w:fldCharType="separate"/>
          </w:r>
          <w:r w:rsidRPr="004F7FC3">
            <w:rPr>
              <w:rFonts w:ascii="Times New Roman" w:eastAsia="Calibri" w:hAnsi="Times New Roman" w:cs="Times New Roman"/>
              <w:noProof/>
              <w:kern w:val="0"/>
              <w:sz w:val="24"/>
              <w:szCs w:val="24"/>
              <w14:ligatures w14:val="none"/>
            </w:rPr>
            <w:t>(Bank, 2022)</w:t>
          </w:r>
          <w:r w:rsidRPr="004F7FC3">
            <w:rPr>
              <w:rFonts w:ascii="Times New Roman" w:eastAsia="Calibri" w:hAnsi="Times New Roman" w:cs="Times New Roman"/>
              <w:kern w:val="0"/>
              <w:sz w:val="24"/>
              <w:szCs w:val="24"/>
              <w14:ligatures w14:val="none"/>
            </w:rPr>
            <w:fldChar w:fldCharType="end"/>
          </w:r>
        </w:sdtContent>
      </w:sdt>
    </w:p>
    <w:p w14:paraId="5BF8178B" w14:textId="77777777" w:rsidR="00863BE1" w:rsidRPr="004F7FC3" w:rsidRDefault="00863BE1" w:rsidP="00863BE1">
      <w:pPr>
        <w:spacing w:after="20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 xml:space="preserve">According to </w:t>
      </w:r>
      <w:sdt>
        <w:sdtPr>
          <w:rPr>
            <w:rFonts w:ascii="Times New Roman" w:eastAsia="Calibri" w:hAnsi="Times New Roman" w:cs="Times New Roman"/>
            <w:kern w:val="0"/>
            <w:sz w:val="24"/>
            <w:szCs w:val="24"/>
            <w14:ligatures w14:val="none"/>
          </w:rPr>
          <w:id w:val="142933237"/>
          <w:citation/>
        </w:sdtPr>
        <w:sdtEndPr/>
        <w:sdtContent>
          <w:r w:rsidRPr="004F7FC3">
            <w:rPr>
              <w:rFonts w:ascii="Times New Roman" w:eastAsia="Calibri" w:hAnsi="Times New Roman" w:cs="Times New Roman"/>
              <w:kern w:val="0"/>
              <w:sz w:val="24"/>
              <w:szCs w:val="24"/>
              <w14:ligatures w14:val="none"/>
            </w:rPr>
            <w:fldChar w:fldCharType="begin"/>
          </w:r>
          <w:r w:rsidRPr="004F7FC3">
            <w:rPr>
              <w:rFonts w:ascii="Times New Roman" w:eastAsia="Calibri" w:hAnsi="Times New Roman" w:cs="Times New Roman"/>
              <w:kern w:val="0"/>
              <w:sz w:val="24"/>
              <w:szCs w:val="24"/>
              <w14:ligatures w14:val="none"/>
            </w:rPr>
            <w:instrText xml:space="preserve"> CITATION Nel09 \l 1033 </w:instrText>
          </w:r>
          <w:r w:rsidRPr="004F7FC3">
            <w:rPr>
              <w:rFonts w:ascii="Times New Roman" w:eastAsia="Calibri" w:hAnsi="Times New Roman" w:cs="Times New Roman"/>
              <w:kern w:val="0"/>
              <w:sz w:val="24"/>
              <w:szCs w:val="24"/>
              <w14:ligatures w14:val="none"/>
            </w:rPr>
            <w:fldChar w:fldCharType="separate"/>
          </w:r>
          <w:r w:rsidRPr="004F7FC3">
            <w:rPr>
              <w:rFonts w:ascii="Times New Roman" w:eastAsia="Calibri" w:hAnsi="Times New Roman" w:cs="Times New Roman"/>
              <w:noProof/>
              <w:kern w:val="0"/>
              <w:sz w:val="24"/>
              <w:szCs w:val="24"/>
              <w14:ligatures w14:val="none"/>
            </w:rPr>
            <w:t>(Nelson, 2009)</w:t>
          </w:r>
          <w:r w:rsidRPr="004F7FC3">
            <w:rPr>
              <w:rFonts w:ascii="Times New Roman" w:eastAsia="Calibri" w:hAnsi="Times New Roman" w:cs="Times New Roman"/>
              <w:kern w:val="0"/>
              <w:sz w:val="24"/>
              <w:szCs w:val="24"/>
              <w14:ligatures w14:val="none"/>
            </w:rPr>
            <w:fldChar w:fldCharType="end"/>
          </w:r>
        </w:sdtContent>
      </w:sdt>
      <w:r w:rsidRPr="004F7FC3">
        <w:rPr>
          <w:rFonts w:ascii="Times New Roman" w:eastAsia="Calibri" w:hAnsi="Times New Roman" w:cs="Times New Roman"/>
          <w:kern w:val="0"/>
          <w:sz w:val="24"/>
          <w:szCs w:val="24"/>
          <w14:ligatures w14:val="none"/>
        </w:rPr>
        <w:t xml:space="preserve">,  banking in East Africa started at the beginning of the 20th century. The setting of the British’s representative office through the Imperial British East Africa (IBEA) company attracted the National Bank of India, which sought to be its banking agent. However, the locally-owned banks came into play just after the independence periods </w:t>
      </w:r>
    </w:p>
    <w:p w14:paraId="57AC1D0A" w14:textId="77777777" w:rsidR="00863BE1" w:rsidRPr="004F7FC3" w:rsidRDefault="00863BE1" w:rsidP="00863BE1">
      <w:pPr>
        <w:spacing w:after="200" w:line="360" w:lineRule="auto"/>
        <w:jc w:val="both"/>
        <w:rPr>
          <w:rFonts w:ascii="Times New Roman" w:eastAsia="Calibri" w:hAnsi="Times New Roman" w:cs="Times New Roman"/>
          <w:b/>
          <w:kern w:val="0"/>
          <w:sz w:val="24"/>
          <w:szCs w:val="24"/>
          <w14:ligatures w14:val="none"/>
        </w:rPr>
      </w:pPr>
      <w:r w:rsidRPr="004F7FC3">
        <w:rPr>
          <w:rFonts w:ascii="Times New Roman" w:eastAsia="Calibri" w:hAnsi="Times New Roman" w:cs="Times New Roman"/>
          <w:kern w:val="0"/>
          <w:sz w:val="24"/>
          <w:szCs w:val="24"/>
          <w14:ligatures w14:val="none"/>
        </w:rPr>
        <w:t>In Africa many organizations struggle to manage their supplier relationships systematically. The main reason behind this is their lack of a clear framework with aligned guidelines on supplier management. In traditional supplier relationships the interaction between different functions of a company and its suppliers can be described as tactical and operational. As a result, relationships are lacking transparency not only from an external perspective, but also with respect to internal governance and ownership of relationships. The presence of the effective strategic supplier management is not a very developed concept in the African countries with the organizations in the African continent mostly operating an arm’s length supplier management practices in their operations.</w:t>
      </w:r>
      <w:r w:rsidRPr="004F7FC3">
        <w:rPr>
          <w:rFonts w:ascii="Times New Roman" w:eastAsia="Calibri" w:hAnsi="Times New Roman" w:cs="Times New Roman"/>
          <w:b/>
          <w:kern w:val="0"/>
          <w:sz w:val="24"/>
          <w:szCs w:val="24"/>
          <w14:ligatures w14:val="none"/>
        </w:rPr>
        <w:t xml:space="preserve"> </w:t>
      </w:r>
      <w:sdt>
        <w:sdtPr>
          <w:rPr>
            <w:rFonts w:ascii="Times New Roman" w:eastAsia="Calibri" w:hAnsi="Times New Roman" w:cs="Times New Roman"/>
            <w:b/>
            <w:kern w:val="0"/>
            <w:sz w:val="24"/>
            <w:szCs w:val="24"/>
            <w14:ligatures w14:val="none"/>
          </w:rPr>
          <w:id w:val="1525519333"/>
          <w:citation/>
        </w:sdtPr>
        <w:sdtEndPr/>
        <w:sdtContent>
          <w:r w:rsidRPr="004F7FC3">
            <w:rPr>
              <w:rFonts w:ascii="Times New Roman" w:eastAsia="Calibri" w:hAnsi="Times New Roman" w:cs="Times New Roman"/>
              <w:b/>
              <w:kern w:val="0"/>
              <w:sz w:val="24"/>
              <w:szCs w:val="24"/>
              <w14:ligatures w14:val="none"/>
            </w:rPr>
            <w:fldChar w:fldCharType="begin"/>
          </w:r>
          <w:r w:rsidRPr="004F7FC3">
            <w:rPr>
              <w:rFonts w:ascii="Times New Roman" w:eastAsia="Calibri" w:hAnsi="Times New Roman" w:cs="Times New Roman"/>
              <w:b/>
              <w:kern w:val="0"/>
              <w:sz w:val="24"/>
              <w:szCs w:val="24"/>
              <w14:ligatures w14:val="none"/>
            </w:rPr>
            <w:instrText xml:space="preserve"> CITATION Gha21 \l 1033 </w:instrText>
          </w:r>
          <w:r w:rsidRPr="004F7FC3">
            <w:rPr>
              <w:rFonts w:ascii="Times New Roman" w:eastAsia="Calibri" w:hAnsi="Times New Roman" w:cs="Times New Roman"/>
              <w:b/>
              <w:kern w:val="0"/>
              <w:sz w:val="24"/>
              <w:szCs w:val="24"/>
              <w14:ligatures w14:val="none"/>
            </w:rPr>
            <w:fldChar w:fldCharType="separate"/>
          </w:r>
          <w:r w:rsidRPr="004F7FC3">
            <w:rPr>
              <w:rFonts w:ascii="Times New Roman" w:eastAsia="Calibri" w:hAnsi="Times New Roman" w:cs="Times New Roman"/>
              <w:noProof/>
              <w:kern w:val="0"/>
              <w:sz w:val="24"/>
              <w:szCs w:val="24"/>
              <w14:ligatures w14:val="none"/>
            </w:rPr>
            <w:t>(Ghadge, 2021)</w:t>
          </w:r>
          <w:r w:rsidRPr="004F7FC3">
            <w:rPr>
              <w:rFonts w:ascii="Times New Roman" w:eastAsia="Calibri" w:hAnsi="Times New Roman" w:cs="Times New Roman"/>
              <w:b/>
              <w:kern w:val="0"/>
              <w:sz w:val="24"/>
              <w:szCs w:val="24"/>
              <w14:ligatures w14:val="none"/>
            </w:rPr>
            <w:fldChar w:fldCharType="end"/>
          </w:r>
        </w:sdtContent>
      </w:sdt>
      <w:r w:rsidRPr="004F7FC3">
        <w:rPr>
          <w:rFonts w:ascii="Times New Roman" w:eastAsia="Calibri" w:hAnsi="Times New Roman" w:cs="Times New Roman"/>
          <w:b/>
          <w:kern w:val="0"/>
          <w:sz w:val="24"/>
          <w:szCs w:val="24"/>
          <w14:ligatures w14:val="none"/>
        </w:rPr>
        <w:t xml:space="preserve">, </w:t>
      </w:r>
      <w:r w:rsidRPr="004F7FC3">
        <w:rPr>
          <w:rFonts w:ascii="Times New Roman" w:eastAsia="Calibri" w:hAnsi="Times New Roman" w:cs="Times New Roman"/>
          <w:kern w:val="0"/>
          <w:sz w:val="24"/>
          <w:szCs w:val="24"/>
          <w14:ligatures w14:val="none"/>
        </w:rPr>
        <w:t xml:space="preserve">argues that technology utilization at the commercial banks enhances </w:t>
      </w:r>
      <w:r w:rsidRPr="004F7FC3">
        <w:rPr>
          <w:rFonts w:ascii="Times New Roman" w:eastAsia="Calibri" w:hAnsi="Times New Roman" w:cs="Times New Roman"/>
          <w:kern w:val="0"/>
          <w:sz w:val="24"/>
          <w:szCs w:val="24"/>
          <w14:ligatures w14:val="none"/>
        </w:rPr>
        <w:lastRenderedPageBreak/>
        <w:t>infinite and non-restricted access to information and increases market transparency and economic incorporation based on complementarities.</w:t>
      </w:r>
    </w:p>
    <w:p w14:paraId="00E2F7E8" w14:textId="77777777" w:rsidR="00863BE1" w:rsidRPr="004F7FC3" w:rsidRDefault="00863BE1" w:rsidP="00863BE1">
      <w:pPr>
        <w:spacing w:after="20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In South Sudan, according to the banking industry at that time was dominated by government owned institutions.  According to</w:t>
      </w:r>
      <w:r w:rsidRPr="004F7FC3">
        <w:rPr>
          <w:rFonts w:ascii="Times New Roman" w:eastAsia="Calibri" w:hAnsi="Times New Roman" w:cs="Times New Roman"/>
          <w:b/>
          <w:kern w:val="0"/>
          <w:sz w:val="24"/>
          <w:szCs w:val="24"/>
          <w14:ligatures w14:val="none"/>
        </w:rPr>
        <w:t xml:space="preserve"> </w:t>
      </w:r>
      <w:sdt>
        <w:sdtPr>
          <w:rPr>
            <w:rFonts w:ascii="Times New Roman" w:eastAsia="Calibri" w:hAnsi="Times New Roman" w:cs="Times New Roman"/>
            <w:b/>
            <w:kern w:val="0"/>
            <w:sz w:val="24"/>
            <w:szCs w:val="24"/>
            <w14:ligatures w14:val="none"/>
          </w:rPr>
          <w:id w:val="-1542581350"/>
          <w:citation/>
        </w:sdtPr>
        <w:sdtEndPr/>
        <w:sdtContent>
          <w:r w:rsidRPr="004F7FC3">
            <w:rPr>
              <w:rFonts w:ascii="Times New Roman" w:eastAsia="Calibri" w:hAnsi="Times New Roman" w:cs="Times New Roman"/>
              <w:b/>
              <w:kern w:val="0"/>
              <w:sz w:val="24"/>
              <w:szCs w:val="24"/>
              <w14:ligatures w14:val="none"/>
            </w:rPr>
            <w:fldChar w:fldCharType="begin"/>
          </w:r>
          <w:r w:rsidRPr="004F7FC3">
            <w:rPr>
              <w:rFonts w:ascii="Times New Roman" w:eastAsia="Calibri" w:hAnsi="Times New Roman" w:cs="Times New Roman"/>
              <w:kern w:val="0"/>
              <w:sz w:val="24"/>
              <w:szCs w:val="24"/>
              <w14:ligatures w14:val="none"/>
            </w:rPr>
            <w:instrText xml:space="preserve"> CITATION Cha07 \l 1033 </w:instrText>
          </w:r>
          <w:r w:rsidRPr="004F7FC3">
            <w:rPr>
              <w:rFonts w:ascii="Times New Roman" w:eastAsia="Calibri" w:hAnsi="Times New Roman" w:cs="Times New Roman"/>
              <w:b/>
              <w:kern w:val="0"/>
              <w:sz w:val="24"/>
              <w:szCs w:val="24"/>
              <w14:ligatures w14:val="none"/>
            </w:rPr>
            <w:fldChar w:fldCharType="separate"/>
          </w:r>
          <w:r w:rsidRPr="004F7FC3">
            <w:rPr>
              <w:rFonts w:ascii="Times New Roman" w:eastAsia="Calibri" w:hAnsi="Times New Roman" w:cs="Times New Roman"/>
              <w:noProof/>
              <w:kern w:val="0"/>
              <w:sz w:val="24"/>
              <w:szCs w:val="24"/>
              <w14:ligatures w14:val="none"/>
            </w:rPr>
            <w:t>(Chaharbaghi, 2007)</w:t>
          </w:r>
          <w:r w:rsidRPr="004F7FC3">
            <w:rPr>
              <w:rFonts w:ascii="Times New Roman" w:eastAsia="Calibri" w:hAnsi="Times New Roman" w:cs="Times New Roman"/>
              <w:b/>
              <w:kern w:val="0"/>
              <w:sz w:val="24"/>
              <w:szCs w:val="24"/>
              <w14:ligatures w14:val="none"/>
            </w:rPr>
            <w:fldChar w:fldCharType="end"/>
          </w:r>
        </w:sdtContent>
      </w:sdt>
      <w:r w:rsidRPr="004F7FC3">
        <w:rPr>
          <w:rFonts w:ascii="Times New Roman" w:eastAsia="Calibri" w:hAnsi="Times New Roman" w:cs="Times New Roman"/>
          <w:b/>
          <w:kern w:val="0"/>
          <w:sz w:val="24"/>
          <w:szCs w:val="24"/>
          <w14:ligatures w14:val="none"/>
        </w:rPr>
        <w:t xml:space="preserve"> </w:t>
      </w:r>
      <w:r w:rsidRPr="004F7FC3">
        <w:rPr>
          <w:rFonts w:ascii="Times New Roman" w:eastAsia="Calibri" w:hAnsi="Times New Roman" w:cs="Times New Roman"/>
          <w:kern w:val="0"/>
          <w:sz w:val="24"/>
          <w:szCs w:val="24"/>
          <w14:ligatures w14:val="none"/>
        </w:rPr>
        <w:t xml:space="preserve">the development of strategic supplier management as an academic field originated as early as 1940, where it was seen as an art of war and to understand the essence of strategic management as a business field, we need to clearly follow its historical perspective. The history of strategic management can be traced back several thousand years. Strategic management has evolved through a series of developments and contributions by scholars like </w:t>
      </w:r>
      <w:sdt>
        <w:sdtPr>
          <w:rPr>
            <w:rFonts w:ascii="Times New Roman" w:eastAsia="Calibri" w:hAnsi="Times New Roman" w:cs="Times New Roman"/>
            <w:kern w:val="0"/>
            <w:sz w:val="24"/>
            <w:szCs w:val="24"/>
            <w14:ligatures w14:val="none"/>
          </w:rPr>
          <w:id w:val="2108232522"/>
          <w:citation/>
        </w:sdtPr>
        <w:sdtEndPr/>
        <w:sdtContent>
          <w:r w:rsidRPr="004F7FC3">
            <w:rPr>
              <w:rFonts w:ascii="Times New Roman" w:eastAsia="Calibri" w:hAnsi="Times New Roman" w:cs="Times New Roman"/>
              <w:kern w:val="0"/>
              <w:sz w:val="24"/>
              <w:szCs w:val="24"/>
              <w14:ligatures w14:val="none"/>
            </w:rPr>
            <w:fldChar w:fldCharType="begin"/>
          </w:r>
          <w:r w:rsidRPr="004F7FC3">
            <w:rPr>
              <w:rFonts w:ascii="Times New Roman" w:eastAsia="Calibri" w:hAnsi="Times New Roman" w:cs="Times New Roman"/>
              <w:kern w:val="0"/>
              <w:sz w:val="24"/>
              <w:szCs w:val="24"/>
              <w14:ligatures w14:val="none"/>
            </w:rPr>
            <w:instrText xml:space="preserve"> CITATION Cha62 \l 1033 </w:instrText>
          </w:r>
          <w:r w:rsidRPr="004F7FC3">
            <w:rPr>
              <w:rFonts w:ascii="Times New Roman" w:eastAsia="Calibri" w:hAnsi="Times New Roman" w:cs="Times New Roman"/>
              <w:kern w:val="0"/>
              <w:sz w:val="24"/>
              <w:szCs w:val="24"/>
              <w14:ligatures w14:val="none"/>
            </w:rPr>
            <w:fldChar w:fldCharType="separate"/>
          </w:r>
          <w:r w:rsidRPr="004F7FC3">
            <w:rPr>
              <w:rFonts w:ascii="Times New Roman" w:eastAsia="Calibri" w:hAnsi="Times New Roman" w:cs="Times New Roman"/>
              <w:noProof/>
              <w:kern w:val="0"/>
              <w:sz w:val="24"/>
              <w:szCs w:val="24"/>
              <w14:ligatures w14:val="none"/>
            </w:rPr>
            <w:t>(Chandler, 1962)</w:t>
          </w:r>
          <w:r w:rsidRPr="004F7FC3">
            <w:rPr>
              <w:rFonts w:ascii="Times New Roman" w:eastAsia="Calibri" w:hAnsi="Times New Roman" w:cs="Times New Roman"/>
              <w:kern w:val="0"/>
              <w:sz w:val="24"/>
              <w:szCs w:val="24"/>
              <w14:ligatures w14:val="none"/>
            </w:rPr>
            <w:fldChar w:fldCharType="end"/>
          </w:r>
        </w:sdtContent>
      </w:sdt>
      <w:r w:rsidRPr="004F7FC3">
        <w:rPr>
          <w:rFonts w:ascii="Times New Roman" w:eastAsia="Calibri" w:hAnsi="Times New Roman" w:cs="Times New Roman"/>
          <w:kern w:val="0"/>
          <w:sz w:val="24"/>
          <w:szCs w:val="24"/>
          <w14:ligatures w14:val="none"/>
        </w:rPr>
        <w:t xml:space="preserve"> who wrote on Strategy and Structure on Corporate Strategy have been fundamental to this field. Strategic Management as a field of study was recognized first time in 1962, when Harvard professor Alfred Chandler published Strategy and Structure.  The book focused on the relationship between strategy and organizational structure and how the two needed to be consistent with each other to ensure strong firm performance. A great number of people and researchers in the field of strategic management consider Chandler’s book to be the first work of strategic management research </w:t>
      </w:r>
      <w:sdt>
        <w:sdtPr>
          <w:rPr>
            <w:rFonts w:ascii="Times New Roman" w:eastAsia="Calibri" w:hAnsi="Times New Roman" w:cs="Times New Roman"/>
            <w:kern w:val="0"/>
            <w:sz w:val="24"/>
            <w:szCs w:val="24"/>
            <w14:ligatures w14:val="none"/>
          </w:rPr>
          <w:id w:val="307208565"/>
          <w:citation/>
        </w:sdtPr>
        <w:sdtEndPr/>
        <w:sdtContent>
          <w:r w:rsidRPr="004F7FC3">
            <w:rPr>
              <w:rFonts w:ascii="Times New Roman" w:eastAsia="Calibri" w:hAnsi="Times New Roman" w:cs="Times New Roman"/>
              <w:kern w:val="0"/>
              <w:sz w:val="24"/>
              <w:szCs w:val="24"/>
              <w14:ligatures w14:val="none"/>
            </w:rPr>
            <w:fldChar w:fldCharType="begin"/>
          </w:r>
          <w:r w:rsidRPr="004F7FC3">
            <w:rPr>
              <w:rFonts w:ascii="Times New Roman" w:eastAsia="Calibri" w:hAnsi="Times New Roman" w:cs="Times New Roman"/>
              <w:kern w:val="0"/>
              <w:sz w:val="24"/>
              <w:szCs w:val="24"/>
              <w14:ligatures w14:val="none"/>
            </w:rPr>
            <w:instrText xml:space="preserve"> CITATION Che14 \l 1033 </w:instrText>
          </w:r>
          <w:r w:rsidRPr="004F7FC3">
            <w:rPr>
              <w:rFonts w:ascii="Times New Roman" w:eastAsia="Calibri" w:hAnsi="Times New Roman" w:cs="Times New Roman"/>
              <w:kern w:val="0"/>
              <w:sz w:val="24"/>
              <w:szCs w:val="24"/>
              <w14:ligatures w14:val="none"/>
            </w:rPr>
            <w:fldChar w:fldCharType="separate"/>
          </w:r>
          <w:r w:rsidRPr="004F7FC3">
            <w:rPr>
              <w:rFonts w:ascii="Times New Roman" w:eastAsia="Calibri" w:hAnsi="Times New Roman" w:cs="Times New Roman"/>
              <w:noProof/>
              <w:kern w:val="0"/>
              <w:sz w:val="24"/>
              <w:szCs w:val="24"/>
              <w14:ligatures w14:val="none"/>
            </w:rPr>
            <w:t>(Chemoiywo, 2014)</w:t>
          </w:r>
          <w:r w:rsidRPr="004F7FC3">
            <w:rPr>
              <w:rFonts w:ascii="Times New Roman" w:eastAsia="Calibri" w:hAnsi="Times New Roman" w:cs="Times New Roman"/>
              <w:kern w:val="0"/>
              <w:sz w:val="24"/>
              <w:szCs w:val="24"/>
              <w14:ligatures w14:val="none"/>
            </w:rPr>
            <w:fldChar w:fldCharType="end"/>
          </w:r>
        </w:sdtContent>
      </w:sdt>
      <w:r w:rsidRPr="004F7FC3">
        <w:rPr>
          <w:rFonts w:ascii="Times New Roman" w:eastAsia="Calibri" w:hAnsi="Times New Roman" w:cs="Times New Roman"/>
          <w:kern w:val="0"/>
          <w:sz w:val="24"/>
          <w:szCs w:val="24"/>
          <w14:ligatures w14:val="none"/>
        </w:rPr>
        <w:t xml:space="preserve"> However, the current study shifts its focus on strategic supplier management.  </w:t>
      </w:r>
      <w:sdt>
        <w:sdtPr>
          <w:rPr>
            <w:rFonts w:ascii="Times New Roman" w:eastAsia="Calibri" w:hAnsi="Times New Roman" w:cs="Times New Roman"/>
            <w:kern w:val="0"/>
            <w:sz w:val="24"/>
            <w:szCs w:val="24"/>
            <w14:ligatures w14:val="none"/>
          </w:rPr>
          <w:id w:val="-1318724844"/>
          <w:citation/>
        </w:sdtPr>
        <w:sdtEndPr/>
        <w:sdtContent>
          <w:r w:rsidRPr="004F7FC3">
            <w:rPr>
              <w:rFonts w:ascii="Times New Roman" w:eastAsia="Calibri" w:hAnsi="Times New Roman" w:cs="Times New Roman"/>
              <w:kern w:val="0"/>
              <w:sz w:val="24"/>
              <w:szCs w:val="24"/>
              <w14:ligatures w14:val="none"/>
            </w:rPr>
            <w:fldChar w:fldCharType="begin"/>
          </w:r>
          <w:r w:rsidRPr="004F7FC3">
            <w:rPr>
              <w:rFonts w:ascii="Times New Roman" w:eastAsia="Calibri" w:hAnsi="Times New Roman" w:cs="Times New Roman"/>
              <w:kern w:val="0"/>
              <w:sz w:val="24"/>
              <w:szCs w:val="24"/>
              <w14:ligatures w14:val="none"/>
            </w:rPr>
            <w:instrText xml:space="preserve"> CITATION Wee09 \l 1033 </w:instrText>
          </w:r>
          <w:r w:rsidRPr="004F7FC3">
            <w:rPr>
              <w:rFonts w:ascii="Times New Roman" w:eastAsia="Calibri" w:hAnsi="Times New Roman" w:cs="Times New Roman"/>
              <w:kern w:val="0"/>
              <w:sz w:val="24"/>
              <w:szCs w:val="24"/>
              <w14:ligatures w14:val="none"/>
            </w:rPr>
            <w:fldChar w:fldCharType="separate"/>
          </w:r>
          <w:r w:rsidRPr="004F7FC3">
            <w:rPr>
              <w:rFonts w:ascii="Times New Roman" w:eastAsia="Calibri" w:hAnsi="Times New Roman" w:cs="Times New Roman"/>
              <w:noProof/>
              <w:kern w:val="0"/>
              <w:sz w:val="24"/>
              <w:szCs w:val="24"/>
              <w14:ligatures w14:val="none"/>
            </w:rPr>
            <w:t>(Wee, 2009)</w:t>
          </w:r>
          <w:r w:rsidRPr="004F7FC3">
            <w:rPr>
              <w:rFonts w:ascii="Times New Roman" w:eastAsia="Calibri" w:hAnsi="Times New Roman" w:cs="Times New Roman"/>
              <w:kern w:val="0"/>
              <w:sz w:val="24"/>
              <w:szCs w:val="24"/>
              <w14:ligatures w14:val="none"/>
            </w:rPr>
            <w:fldChar w:fldCharType="end"/>
          </w:r>
        </w:sdtContent>
      </w:sdt>
      <w:r w:rsidRPr="004F7FC3">
        <w:rPr>
          <w:rFonts w:ascii="Times New Roman" w:eastAsia="Calibri" w:hAnsi="Times New Roman" w:cs="Times New Roman"/>
          <w:kern w:val="0"/>
          <w:sz w:val="24"/>
          <w:szCs w:val="24"/>
          <w14:ligatures w14:val="none"/>
        </w:rPr>
        <w:t xml:space="preserve"> articulates that Strategic Supplier Management is one approach to connect the different interests both within the organization and with the extended supply chain. Strategic supplier management identifies and engages the right stakeholders to create ownership of the relationship, drive effective communication and align strategic objectives. The result is a foundation for continuous efficiency improvements, such as cost reductions, risk mitigation or improved go-to-market times just as well as improved potential for disruptive innovation </w:t>
      </w:r>
    </w:p>
    <w:p w14:paraId="1E4D28A5" w14:textId="77777777" w:rsidR="00863BE1" w:rsidRPr="004F7FC3" w:rsidRDefault="00863BE1" w:rsidP="00863BE1">
      <w:pPr>
        <w:keepNext/>
        <w:keepLines/>
        <w:spacing w:before="40" w:after="0" w:line="360" w:lineRule="auto"/>
        <w:outlineLvl w:val="1"/>
        <w:rPr>
          <w:rFonts w:ascii="Times New Roman" w:eastAsia="Times New Roman" w:hAnsi="Times New Roman" w:cs="Times New Roman"/>
          <w:b/>
          <w:sz w:val="24"/>
          <w:szCs w:val="24"/>
        </w:rPr>
      </w:pPr>
      <w:bookmarkStart w:id="6" w:name="_Toc130639363"/>
      <w:bookmarkStart w:id="7" w:name="_Toc131426380"/>
      <w:r w:rsidRPr="004F7FC3">
        <w:rPr>
          <w:rFonts w:ascii="Times New Roman" w:eastAsia="Times New Roman" w:hAnsi="Times New Roman" w:cs="Times New Roman"/>
          <w:b/>
          <w:sz w:val="24"/>
          <w:szCs w:val="24"/>
        </w:rPr>
        <w:t>1.2 Problem statement</w:t>
      </w:r>
      <w:bookmarkEnd w:id="6"/>
      <w:bookmarkEnd w:id="7"/>
      <w:r w:rsidRPr="004F7FC3">
        <w:rPr>
          <w:rFonts w:ascii="Times New Roman" w:eastAsia="Times New Roman" w:hAnsi="Times New Roman" w:cs="Times New Roman"/>
          <w:b/>
          <w:sz w:val="24"/>
          <w:szCs w:val="24"/>
        </w:rPr>
        <w:t xml:space="preserve"> </w:t>
      </w:r>
    </w:p>
    <w:p w14:paraId="111CFF9D" w14:textId="77777777" w:rsidR="00863BE1" w:rsidRPr="004F7FC3" w:rsidRDefault="00863BE1" w:rsidP="00863BE1">
      <w:pPr>
        <w:autoSpaceDE w:val="0"/>
        <w:autoSpaceDN w:val="0"/>
        <w:adjustRightInd w:val="0"/>
        <w:spacing w:after="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Despite the increase in performance among commercial banks in South Sudan</w:t>
      </w:r>
      <w:r w:rsidRPr="004F7FC3">
        <w:rPr>
          <w:rFonts w:ascii="Times New Roman" w:eastAsia="Times New Roman" w:hAnsi="Times New Roman" w:cs="Times New Roman"/>
          <w:bCs/>
          <w:kern w:val="0"/>
          <w:sz w:val="24"/>
          <w:szCs w:val="24"/>
          <w14:ligatures w14:val="none"/>
        </w:rPr>
        <w:t xml:space="preserve">. Like other corporations in Africa most especially stated owned face a serious challenge </w:t>
      </w:r>
      <w:r w:rsidRPr="004F7FC3">
        <w:rPr>
          <w:rFonts w:ascii="Times New Roman" w:eastAsia="Calibri" w:hAnsi="Times New Roman" w:cs="Times New Roman"/>
          <w:kern w:val="0"/>
          <w:sz w:val="24"/>
          <w:szCs w:val="24"/>
          <w14:ligatures w14:val="none"/>
        </w:rPr>
        <w:t xml:space="preserve">in procurement, where millions of cash have been paid to the supplier. Strategic Supplier management practice has become a critical perspective in the banking industry </w:t>
      </w:r>
      <w:sdt>
        <w:sdtPr>
          <w:rPr>
            <w:rFonts w:ascii="Times New Roman" w:eastAsia="Calibri" w:hAnsi="Times New Roman" w:cs="Times New Roman"/>
            <w:kern w:val="0"/>
            <w:sz w:val="24"/>
            <w:szCs w:val="24"/>
            <w14:ligatures w14:val="none"/>
          </w:rPr>
          <w:id w:val="1083570282"/>
          <w:citation/>
        </w:sdtPr>
        <w:sdtEndPr/>
        <w:sdtContent>
          <w:r w:rsidRPr="004F7FC3">
            <w:rPr>
              <w:rFonts w:ascii="Times New Roman" w:eastAsia="Calibri" w:hAnsi="Times New Roman" w:cs="Times New Roman"/>
              <w:kern w:val="0"/>
              <w:sz w:val="24"/>
              <w:szCs w:val="24"/>
              <w14:ligatures w14:val="none"/>
            </w:rPr>
            <w:fldChar w:fldCharType="begin"/>
          </w:r>
          <w:r w:rsidRPr="004F7FC3">
            <w:rPr>
              <w:rFonts w:ascii="Times New Roman" w:eastAsia="Calibri" w:hAnsi="Times New Roman" w:cs="Times New Roman"/>
              <w:kern w:val="0"/>
              <w:sz w:val="24"/>
              <w:szCs w:val="24"/>
              <w14:ligatures w14:val="none"/>
            </w:rPr>
            <w:instrText xml:space="preserve"> CITATION Col03 \l 1033 </w:instrText>
          </w:r>
          <w:r w:rsidRPr="004F7FC3">
            <w:rPr>
              <w:rFonts w:ascii="Times New Roman" w:eastAsia="Calibri" w:hAnsi="Times New Roman" w:cs="Times New Roman"/>
              <w:kern w:val="0"/>
              <w:sz w:val="24"/>
              <w:szCs w:val="24"/>
              <w14:ligatures w14:val="none"/>
            </w:rPr>
            <w:fldChar w:fldCharType="separate"/>
          </w:r>
          <w:r w:rsidRPr="004F7FC3">
            <w:rPr>
              <w:rFonts w:ascii="Times New Roman" w:eastAsia="Calibri" w:hAnsi="Times New Roman" w:cs="Times New Roman"/>
              <w:noProof/>
              <w:kern w:val="0"/>
              <w:sz w:val="24"/>
              <w:szCs w:val="24"/>
              <w14:ligatures w14:val="none"/>
            </w:rPr>
            <w:t>(Collins, 2003)</w:t>
          </w:r>
          <w:r w:rsidRPr="004F7FC3">
            <w:rPr>
              <w:rFonts w:ascii="Times New Roman" w:eastAsia="Calibri" w:hAnsi="Times New Roman" w:cs="Times New Roman"/>
              <w:kern w:val="0"/>
              <w:sz w:val="24"/>
              <w:szCs w:val="24"/>
              <w14:ligatures w14:val="none"/>
            </w:rPr>
            <w:fldChar w:fldCharType="end"/>
          </w:r>
        </w:sdtContent>
      </w:sdt>
      <w:r w:rsidRPr="004F7FC3">
        <w:rPr>
          <w:rFonts w:ascii="Times New Roman" w:eastAsia="Calibri" w:hAnsi="Times New Roman" w:cs="Times New Roman"/>
          <w:kern w:val="0"/>
          <w:sz w:val="24"/>
          <w:szCs w:val="24"/>
          <w14:ligatures w14:val="none"/>
        </w:rPr>
        <w:t xml:space="preserve"> According to </w:t>
      </w:r>
      <w:sdt>
        <w:sdtPr>
          <w:rPr>
            <w:rFonts w:ascii="Times New Roman" w:eastAsia="Calibri" w:hAnsi="Times New Roman" w:cs="Times New Roman"/>
            <w:b/>
            <w:kern w:val="0"/>
            <w:sz w:val="24"/>
            <w:szCs w:val="24"/>
            <w14:ligatures w14:val="none"/>
          </w:rPr>
          <w:id w:val="-1958707809"/>
          <w:citation/>
        </w:sdtPr>
        <w:sdtEndPr/>
        <w:sdtContent>
          <w:r w:rsidRPr="004F7FC3">
            <w:rPr>
              <w:rFonts w:ascii="Times New Roman" w:eastAsia="Calibri" w:hAnsi="Times New Roman" w:cs="Times New Roman"/>
              <w:b/>
              <w:kern w:val="0"/>
              <w:sz w:val="24"/>
              <w:szCs w:val="24"/>
              <w14:ligatures w14:val="none"/>
            </w:rPr>
            <w:fldChar w:fldCharType="begin"/>
          </w:r>
          <w:r w:rsidRPr="004F7FC3">
            <w:rPr>
              <w:rFonts w:ascii="Times New Roman" w:eastAsia="Calibri" w:hAnsi="Times New Roman" w:cs="Times New Roman"/>
              <w:kern w:val="0"/>
              <w:sz w:val="24"/>
              <w:szCs w:val="24"/>
              <w14:ligatures w14:val="none"/>
            </w:rPr>
            <w:instrText xml:space="preserve"> CITATION Cha07 \l 1033 </w:instrText>
          </w:r>
          <w:r w:rsidRPr="004F7FC3">
            <w:rPr>
              <w:rFonts w:ascii="Times New Roman" w:eastAsia="Calibri" w:hAnsi="Times New Roman" w:cs="Times New Roman"/>
              <w:b/>
              <w:kern w:val="0"/>
              <w:sz w:val="24"/>
              <w:szCs w:val="24"/>
              <w14:ligatures w14:val="none"/>
            </w:rPr>
            <w:fldChar w:fldCharType="separate"/>
          </w:r>
          <w:r w:rsidRPr="004F7FC3">
            <w:rPr>
              <w:rFonts w:ascii="Times New Roman" w:eastAsia="Calibri" w:hAnsi="Times New Roman" w:cs="Times New Roman"/>
              <w:noProof/>
              <w:kern w:val="0"/>
              <w:sz w:val="24"/>
              <w:szCs w:val="24"/>
              <w14:ligatures w14:val="none"/>
            </w:rPr>
            <w:t>(Chaharbaghi, 2007)</w:t>
          </w:r>
          <w:r w:rsidRPr="004F7FC3">
            <w:rPr>
              <w:rFonts w:ascii="Times New Roman" w:eastAsia="Calibri" w:hAnsi="Times New Roman" w:cs="Times New Roman"/>
              <w:b/>
              <w:kern w:val="0"/>
              <w:sz w:val="24"/>
              <w:szCs w:val="24"/>
              <w14:ligatures w14:val="none"/>
            </w:rPr>
            <w:fldChar w:fldCharType="end"/>
          </w:r>
        </w:sdtContent>
      </w:sdt>
      <w:r w:rsidRPr="004F7FC3">
        <w:rPr>
          <w:rFonts w:ascii="Times New Roman" w:eastAsia="Calibri" w:hAnsi="Times New Roman" w:cs="Times New Roman"/>
          <w:kern w:val="0"/>
          <w:sz w:val="24"/>
          <w:szCs w:val="24"/>
          <w14:ligatures w14:val="none"/>
        </w:rPr>
        <w:t xml:space="preserve"> firms become strategically committed to their partners when they form a strategic supply network orientation. It ensures the supply of reliable and frequent deliveries in today's dynamic and competitive business environment in terms competitive pressures; the need </w:t>
      </w:r>
      <w:r w:rsidRPr="004F7FC3">
        <w:rPr>
          <w:rFonts w:ascii="Times New Roman" w:eastAsia="Calibri" w:hAnsi="Times New Roman" w:cs="Times New Roman"/>
          <w:kern w:val="0"/>
          <w:sz w:val="24"/>
          <w:szCs w:val="24"/>
          <w14:ligatures w14:val="none"/>
        </w:rPr>
        <w:lastRenderedPageBreak/>
        <w:t xml:space="preserve">to consider sustainability and risk; the need to achieve cost efficiency in order to be cost competitive; and the need to develop closer relationships with key suppliers who can provide the expertise necessary to develop innovative new products and successfully bring them to market. As a result, firms can use their resources more efficiently and allocate more resources to innovation activities of banking on the go, self-onboarding onto the banking products, prescored credit acquisition to meet ever-shifting customer wants, </w:t>
      </w:r>
      <w:sdt>
        <w:sdtPr>
          <w:rPr>
            <w:rFonts w:ascii="Times New Roman" w:eastAsia="Calibri" w:hAnsi="Times New Roman" w:cs="Times New Roman"/>
            <w:kern w:val="0"/>
            <w:sz w:val="24"/>
            <w:szCs w:val="24"/>
            <w14:ligatures w14:val="none"/>
          </w:rPr>
          <w:id w:val="-2117438134"/>
          <w:citation/>
        </w:sdtPr>
        <w:sdtEndPr/>
        <w:sdtContent>
          <w:r w:rsidRPr="004F7FC3">
            <w:rPr>
              <w:rFonts w:ascii="Times New Roman" w:eastAsia="Calibri" w:hAnsi="Times New Roman" w:cs="Times New Roman"/>
              <w:kern w:val="0"/>
              <w:sz w:val="24"/>
              <w:szCs w:val="24"/>
              <w14:ligatures w14:val="none"/>
            </w:rPr>
            <w:fldChar w:fldCharType="begin"/>
          </w:r>
          <w:r w:rsidRPr="004F7FC3">
            <w:rPr>
              <w:rFonts w:ascii="Times New Roman" w:eastAsia="Calibri" w:hAnsi="Times New Roman" w:cs="Times New Roman"/>
              <w:kern w:val="0"/>
              <w:sz w:val="24"/>
              <w:szCs w:val="24"/>
              <w14:ligatures w14:val="none"/>
            </w:rPr>
            <w:instrText xml:space="preserve"> CITATION Col03 \l 1033 </w:instrText>
          </w:r>
          <w:r w:rsidRPr="004F7FC3">
            <w:rPr>
              <w:rFonts w:ascii="Times New Roman" w:eastAsia="Calibri" w:hAnsi="Times New Roman" w:cs="Times New Roman"/>
              <w:kern w:val="0"/>
              <w:sz w:val="24"/>
              <w:szCs w:val="24"/>
              <w14:ligatures w14:val="none"/>
            </w:rPr>
            <w:fldChar w:fldCharType="separate"/>
          </w:r>
          <w:r w:rsidRPr="004F7FC3">
            <w:rPr>
              <w:rFonts w:ascii="Times New Roman" w:eastAsia="Calibri" w:hAnsi="Times New Roman" w:cs="Times New Roman"/>
              <w:noProof/>
              <w:kern w:val="0"/>
              <w:sz w:val="24"/>
              <w:szCs w:val="24"/>
              <w14:ligatures w14:val="none"/>
            </w:rPr>
            <w:t>(Collins, 2003)</w:t>
          </w:r>
          <w:r w:rsidRPr="004F7FC3">
            <w:rPr>
              <w:rFonts w:ascii="Times New Roman" w:eastAsia="Calibri" w:hAnsi="Times New Roman" w:cs="Times New Roman"/>
              <w:kern w:val="0"/>
              <w:sz w:val="24"/>
              <w:szCs w:val="24"/>
              <w14:ligatures w14:val="none"/>
            </w:rPr>
            <w:fldChar w:fldCharType="end"/>
          </w:r>
        </w:sdtContent>
      </w:sdt>
      <w:r w:rsidRPr="004F7FC3">
        <w:rPr>
          <w:rFonts w:ascii="Times New Roman" w:eastAsia="Calibri" w:hAnsi="Times New Roman" w:cs="Times New Roman"/>
          <w:kern w:val="0"/>
          <w:sz w:val="24"/>
          <w:szCs w:val="24"/>
          <w14:ligatures w14:val="none"/>
        </w:rPr>
        <w:t>. Implementation of strategic Supplier management practices has become imperative for all the organizations across the globe in order to remain competitive. It fosters different performances of the organizations including operational performances. Managers across the world have started considering the strategic Supplier management as a high-end planning tool for the growth and development of the organizations. It is essential that all the parties involved in the integrated supply chain management need to be equally efficient for recouping target level of performance. The published research has pointed to the crucial role of strategic Supplier management practices and assistance of suppliers for achieving superior performance</w:t>
      </w:r>
      <w:r w:rsidRPr="004F7FC3">
        <w:rPr>
          <w:rFonts w:ascii="Times New Roman" w:eastAsia="Calibri" w:hAnsi="Times New Roman" w:cs="Times New Roman"/>
          <w:bCs/>
          <w:kern w:val="0"/>
          <w:sz w:val="24"/>
          <w:szCs w:val="24"/>
          <w14:ligatures w14:val="none"/>
        </w:rPr>
        <w:t xml:space="preserve"> </w:t>
      </w:r>
      <w:sdt>
        <w:sdtPr>
          <w:rPr>
            <w:rFonts w:ascii="Times New Roman" w:eastAsia="Calibri" w:hAnsi="Times New Roman" w:cs="Times New Roman"/>
            <w:bCs/>
            <w:kern w:val="0"/>
            <w:sz w:val="24"/>
            <w:szCs w:val="24"/>
            <w14:ligatures w14:val="none"/>
          </w:rPr>
          <w:id w:val="1352683108"/>
          <w:citation/>
        </w:sdtPr>
        <w:sdtEndPr/>
        <w:sdtContent>
          <w:r w:rsidRPr="004F7FC3">
            <w:rPr>
              <w:rFonts w:ascii="Times New Roman" w:eastAsia="Calibri" w:hAnsi="Times New Roman" w:cs="Times New Roman"/>
              <w:bCs/>
              <w:kern w:val="0"/>
              <w:sz w:val="24"/>
              <w:szCs w:val="24"/>
              <w14:ligatures w14:val="none"/>
            </w:rPr>
            <w:fldChar w:fldCharType="begin"/>
          </w:r>
          <w:r w:rsidRPr="004F7FC3">
            <w:rPr>
              <w:rFonts w:ascii="Times New Roman" w:eastAsia="Calibri" w:hAnsi="Times New Roman" w:cs="Times New Roman"/>
              <w:bCs/>
              <w:kern w:val="0"/>
              <w:sz w:val="24"/>
              <w:szCs w:val="24"/>
              <w14:ligatures w14:val="none"/>
            </w:rPr>
            <w:instrText xml:space="preserve"> CITATION Ony15 \l 1033 </w:instrText>
          </w:r>
          <w:r w:rsidRPr="004F7FC3">
            <w:rPr>
              <w:rFonts w:ascii="Times New Roman" w:eastAsia="Calibri" w:hAnsi="Times New Roman" w:cs="Times New Roman"/>
              <w:bCs/>
              <w:kern w:val="0"/>
              <w:sz w:val="24"/>
              <w:szCs w:val="24"/>
              <w14:ligatures w14:val="none"/>
            </w:rPr>
            <w:fldChar w:fldCharType="separate"/>
          </w:r>
          <w:r w:rsidRPr="004F7FC3">
            <w:rPr>
              <w:rFonts w:ascii="Times New Roman" w:eastAsia="Calibri" w:hAnsi="Times New Roman" w:cs="Times New Roman"/>
              <w:noProof/>
              <w:kern w:val="0"/>
              <w:sz w:val="24"/>
              <w:szCs w:val="24"/>
              <w14:ligatures w14:val="none"/>
            </w:rPr>
            <w:t>(Onyango, 2015)</w:t>
          </w:r>
          <w:r w:rsidRPr="004F7FC3">
            <w:rPr>
              <w:rFonts w:ascii="Times New Roman" w:eastAsia="Calibri" w:hAnsi="Times New Roman" w:cs="Times New Roman"/>
              <w:bCs/>
              <w:kern w:val="0"/>
              <w:sz w:val="24"/>
              <w:szCs w:val="24"/>
              <w14:ligatures w14:val="none"/>
            </w:rPr>
            <w:fldChar w:fldCharType="end"/>
          </w:r>
        </w:sdtContent>
      </w:sdt>
      <w:r w:rsidRPr="004F7FC3">
        <w:rPr>
          <w:rFonts w:ascii="Times New Roman" w:eastAsia="Calibri" w:hAnsi="Times New Roman" w:cs="Times New Roman"/>
          <w:bCs/>
          <w:kern w:val="0"/>
          <w:sz w:val="24"/>
          <w:szCs w:val="24"/>
          <w14:ligatures w14:val="none"/>
        </w:rPr>
        <w:t>,</w:t>
      </w:r>
      <w:r w:rsidRPr="004F7FC3">
        <w:rPr>
          <w:rFonts w:ascii="Times New Roman" w:eastAsia="Calibri" w:hAnsi="Times New Roman" w:cs="Times New Roman"/>
          <w:kern w:val="0"/>
          <w:sz w:val="24"/>
          <w:szCs w:val="24"/>
          <w14:ligatures w14:val="none"/>
        </w:rPr>
        <w:t xml:space="preserve"> the practices that encompass such relationship still need more clarification and besides strategic supplier management practices have been largely handled in relation to public organization thus  luck of empirical evidence in the private sector and banking in particular and most of the existing studies are theoretical and conceptual with obvious lack of empirical evidence. In addition to that, the existing literature provides some contradicting results concerning the effect of Strategic Supplier Management practices on competitive performance of commercial banks. The study therefore is aimed at bridging the above gap.</w:t>
      </w:r>
    </w:p>
    <w:bookmarkEnd w:id="0"/>
    <w:bookmarkEnd w:id="1"/>
    <w:p w14:paraId="2086D575" w14:textId="77777777" w:rsidR="00863BE1" w:rsidRPr="004F7FC3" w:rsidRDefault="00863BE1" w:rsidP="00863BE1">
      <w:pPr>
        <w:keepNext/>
        <w:keepLines/>
        <w:spacing w:before="40" w:after="0" w:line="360" w:lineRule="auto"/>
        <w:contextualSpacing/>
        <w:outlineLvl w:val="1"/>
        <w:rPr>
          <w:rFonts w:ascii="Times New Roman" w:eastAsia="Calibri" w:hAnsi="Times New Roman" w:cs="Times New Roman"/>
          <w:b/>
          <w:bCs/>
          <w:kern w:val="0"/>
          <w:sz w:val="24"/>
          <w:szCs w:val="24"/>
        </w:rPr>
      </w:pPr>
      <w:r w:rsidRPr="004F7FC3">
        <w:rPr>
          <w:rFonts w:ascii="Times New Roman" w:eastAsia="Calibri" w:hAnsi="Times New Roman" w:cs="Times New Roman"/>
          <w:b/>
          <w:bCs/>
          <w:kern w:val="0"/>
          <w:sz w:val="24"/>
          <w:szCs w:val="24"/>
          <w14:ligatures w14:val="none"/>
        </w:rPr>
        <w:t>2.1 Literature Review</w:t>
      </w:r>
    </w:p>
    <w:p w14:paraId="6FB7BA29" w14:textId="77777777" w:rsidR="00863BE1" w:rsidRPr="004F7FC3" w:rsidRDefault="00863BE1" w:rsidP="00863BE1">
      <w:pPr>
        <w:spacing w:after="20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 xml:space="preserve">The study was based on transaction cost theory which was developed by Ronald Coase in 1937 to explain the existence of firms and theory of Constraints which was developed by Eliyahu Goldratt in 1984.  The transactional cost theory states that transactions via market mechanisms incur cost, particularly the costs of searching for exchange partners and making and enforcing contracts. The goal of any organization is to minimize costs associated with transactions. Therefore, the organization will either choose to manage these resources externally or internally, depending on transaction costs. For instance, the theory predicts that organizations would internalize most transactional activities within hierarchies when these costs are high. Using the transactional cost theory, the study of the theory shall strive to examine the effect of Strategic </w:t>
      </w:r>
      <w:r w:rsidRPr="004F7FC3">
        <w:rPr>
          <w:rFonts w:ascii="Times New Roman" w:eastAsia="Calibri" w:hAnsi="Times New Roman" w:cs="Times New Roman"/>
          <w:kern w:val="0"/>
          <w:sz w:val="24"/>
          <w:szCs w:val="24"/>
          <w14:ligatures w14:val="none"/>
        </w:rPr>
        <w:lastRenderedPageBreak/>
        <w:t xml:space="preserve">Supplier Management practices on operational performance of commercial Banks. The theory has become an important way in making analysis of strategic and organizational issues among firms. </w:t>
      </w:r>
      <w:sdt>
        <w:sdtPr>
          <w:rPr>
            <w:rFonts w:ascii="Times New Roman" w:eastAsia="Calibri" w:hAnsi="Times New Roman" w:cs="Times New Roman"/>
            <w:kern w:val="0"/>
            <w:sz w:val="24"/>
            <w:szCs w:val="24"/>
            <w14:ligatures w14:val="none"/>
          </w:rPr>
          <w:id w:val="-1879151884"/>
          <w:citation/>
        </w:sdtPr>
        <w:sdtEndPr/>
        <w:sdtContent>
          <w:r w:rsidRPr="004F7FC3">
            <w:rPr>
              <w:rFonts w:ascii="Times New Roman" w:eastAsia="Calibri" w:hAnsi="Times New Roman" w:cs="Times New Roman"/>
              <w:kern w:val="0"/>
              <w:sz w:val="24"/>
              <w:szCs w:val="24"/>
              <w14:ligatures w14:val="none"/>
            </w:rPr>
            <w:fldChar w:fldCharType="begin"/>
          </w:r>
          <w:r w:rsidRPr="004F7FC3">
            <w:rPr>
              <w:rFonts w:ascii="Times New Roman" w:eastAsia="Calibri" w:hAnsi="Times New Roman" w:cs="Times New Roman"/>
              <w:kern w:val="0"/>
              <w:sz w:val="24"/>
              <w:szCs w:val="24"/>
              <w14:ligatures w14:val="none"/>
            </w:rPr>
            <w:instrText xml:space="preserve"> CITATION Cro15 \l 1033 </w:instrText>
          </w:r>
          <w:r w:rsidRPr="004F7FC3">
            <w:rPr>
              <w:rFonts w:ascii="Times New Roman" w:eastAsia="Calibri" w:hAnsi="Times New Roman" w:cs="Times New Roman"/>
              <w:kern w:val="0"/>
              <w:sz w:val="24"/>
              <w:szCs w:val="24"/>
              <w14:ligatures w14:val="none"/>
            </w:rPr>
            <w:fldChar w:fldCharType="separate"/>
          </w:r>
          <w:r w:rsidRPr="004F7FC3">
            <w:rPr>
              <w:rFonts w:ascii="Times New Roman" w:eastAsia="Calibri" w:hAnsi="Times New Roman" w:cs="Times New Roman"/>
              <w:noProof/>
              <w:kern w:val="0"/>
              <w:sz w:val="24"/>
              <w:szCs w:val="24"/>
              <w14:ligatures w14:val="none"/>
            </w:rPr>
            <w:t>(Crocker, 2015)</w:t>
          </w:r>
          <w:r w:rsidRPr="004F7FC3">
            <w:rPr>
              <w:rFonts w:ascii="Times New Roman" w:eastAsia="Calibri" w:hAnsi="Times New Roman" w:cs="Times New Roman"/>
              <w:kern w:val="0"/>
              <w:sz w:val="24"/>
              <w:szCs w:val="24"/>
              <w14:ligatures w14:val="none"/>
            </w:rPr>
            <w:fldChar w:fldCharType="end"/>
          </w:r>
        </w:sdtContent>
      </w:sdt>
      <w:r w:rsidRPr="004F7FC3">
        <w:rPr>
          <w:rFonts w:ascii="Times New Roman" w:eastAsia="Calibri" w:hAnsi="Times New Roman" w:cs="Times New Roman"/>
          <w:kern w:val="0"/>
          <w:sz w:val="24"/>
          <w:szCs w:val="24"/>
          <w14:ligatures w14:val="none"/>
        </w:rPr>
        <w:t xml:space="preserve">argues that transactions in an organization form the basis of an economic thinking. He continues to assert that the theory is of an idea that the governance of a relationship is predicted by the asset specificity, or the extent of investment involved in a transaction and the bigger the transaction, the stronger or sensitive the relationship. Transaction Cost Theory can be applied in organizational supply chain management to assist to identify observe problem effort and advantage. </w:t>
      </w:r>
    </w:p>
    <w:p w14:paraId="766DB87B" w14:textId="77777777" w:rsidR="00863BE1" w:rsidRPr="004F7FC3" w:rsidRDefault="00863BE1" w:rsidP="00863BE1">
      <w:pPr>
        <w:autoSpaceDE w:val="0"/>
        <w:autoSpaceDN w:val="0"/>
        <w:adjustRightInd w:val="0"/>
        <w:spacing w:after="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 xml:space="preserve">In the world today, business environment keeps changing and competitive, and many organizations are facing changing market environment. The commercial banking industry has grown tremendously due to globalization creating stiff environment competition. </w:t>
      </w:r>
      <w:r w:rsidRPr="004F7FC3">
        <w:rPr>
          <w:rFonts w:ascii="Times New Roman" w:eastAsia="Calibri" w:hAnsi="Times New Roman" w:cs="Times New Roman"/>
          <w:bCs/>
          <w:kern w:val="0"/>
          <w:sz w:val="24"/>
          <w:szCs w:val="24"/>
          <w14:ligatures w14:val="none"/>
        </w:rPr>
        <w:t xml:space="preserve">Nyangau Evans </w:t>
      </w:r>
      <w:sdt>
        <w:sdtPr>
          <w:rPr>
            <w:rFonts w:ascii="Times New Roman" w:eastAsia="Calibri" w:hAnsi="Times New Roman" w:cs="Times New Roman"/>
            <w:bCs/>
            <w:kern w:val="0"/>
            <w:sz w:val="24"/>
            <w:szCs w:val="24"/>
            <w14:ligatures w14:val="none"/>
          </w:rPr>
          <w:id w:val="-1374219225"/>
          <w:citation/>
        </w:sdtPr>
        <w:sdtEndPr/>
        <w:sdtContent>
          <w:r w:rsidRPr="004F7FC3">
            <w:rPr>
              <w:rFonts w:ascii="Times New Roman" w:eastAsia="Calibri" w:hAnsi="Times New Roman" w:cs="Times New Roman"/>
              <w:bCs/>
              <w:kern w:val="0"/>
              <w:sz w:val="24"/>
              <w:szCs w:val="24"/>
              <w14:ligatures w14:val="none"/>
            </w:rPr>
            <w:fldChar w:fldCharType="begin"/>
          </w:r>
          <w:r w:rsidRPr="004F7FC3">
            <w:rPr>
              <w:rFonts w:ascii="Times New Roman" w:eastAsia="Calibri" w:hAnsi="Times New Roman" w:cs="Times New Roman"/>
              <w:bCs/>
              <w:kern w:val="0"/>
              <w:sz w:val="24"/>
              <w:szCs w:val="24"/>
              <w14:ligatures w14:val="none"/>
            </w:rPr>
            <w:instrText xml:space="preserve"> CITATION Ony15 \l 1033 </w:instrText>
          </w:r>
          <w:r w:rsidRPr="004F7FC3">
            <w:rPr>
              <w:rFonts w:ascii="Times New Roman" w:eastAsia="Calibri" w:hAnsi="Times New Roman" w:cs="Times New Roman"/>
              <w:bCs/>
              <w:kern w:val="0"/>
              <w:sz w:val="24"/>
              <w:szCs w:val="24"/>
              <w14:ligatures w14:val="none"/>
            </w:rPr>
            <w:fldChar w:fldCharType="separate"/>
          </w:r>
          <w:r w:rsidRPr="004F7FC3">
            <w:rPr>
              <w:rFonts w:ascii="Times New Roman" w:eastAsia="Calibri" w:hAnsi="Times New Roman" w:cs="Times New Roman"/>
              <w:noProof/>
              <w:kern w:val="0"/>
              <w:sz w:val="24"/>
              <w:szCs w:val="24"/>
              <w14:ligatures w14:val="none"/>
            </w:rPr>
            <w:t>(Onyango, 2015)</w:t>
          </w:r>
          <w:r w:rsidRPr="004F7FC3">
            <w:rPr>
              <w:rFonts w:ascii="Times New Roman" w:eastAsia="Calibri" w:hAnsi="Times New Roman" w:cs="Times New Roman"/>
              <w:bCs/>
              <w:kern w:val="0"/>
              <w:sz w:val="24"/>
              <w:szCs w:val="24"/>
              <w14:ligatures w14:val="none"/>
            </w:rPr>
            <w:fldChar w:fldCharType="end"/>
          </w:r>
        </w:sdtContent>
      </w:sdt>
      <w:r w:rsidRPr="004F7FC3">
        <w:rPr>
          <w:rFonts w:ascii="Times New Roman" w:eastAsia="Calibri" w:hAnsi="Times New Roman" w:cs="Times New Roman"/>
          <w:bCs/>
          <w:kern w:val="0"/>
          <w:sz w:val="24"/>
          <w:szCs w:val="24"/>
          <w14:ligatures w14:val="none"/>
        </w:rPr>
        <w:t xml:space="preserve"> contends that times of adversity such </w:t>
      </w:r>
      <w:r w:rsidRPr="004F7FC3">
        <w:rPr>
          <w:rFonts w:ascii="Times New Roman" w:eastAsia="Calibri" w:hAnsi="Times New Roman" w:cs="Times New Roman"/>
          <w:kern w:val="0"/>
          <w:sz w:val="24"/>
          <w:szCs w:val="24"/>
          <w14:ligatures w14:val="none"/>
        </w:rPr>
        <w:t xml:space="preserve">COVID-19 pandemic has demonstrated that many International Organizations and the governments depend heavily on global supply chains. They continue to assert that Strategic Supplier Management is a critical field that cannot be ignored. This has pushed the organizations to embrace better procurement practices and as a result re-designing their operating market strategies to remain strong in the market. Selvaraj (2021) notes that the adoption of purchasing management practices can lead to the Commercial Banks becoming stronger and effective only if they come out with better customer service, quality products, reduction of operating costs and adoption of new technology innovation such as banking on the go, self-onboarding onto the banking products, prescored credit acquisition </w:t>
      </w:r>
    </w:p>
    <w:p w14:paraId="6A4B3966" w14:textId="77777777" w:rsidR="00863BE1" w:rsidRPr="004F7FC3" w:rsidRDefault="00863BE1" w:rsidP="00863BE1">
      <w:pPr>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62E5DB7D" w14:textId="77777777" w:rsidR="00863BE1" w:rsidRPr="004F7FC3" w:rsidRDefault="00863BE1" w:rsidP="00863BE1">
      <w:pPr>
        <w:autoSpaceDE w:val="0"/>
        <w:autoSpaceDN w:val="0"/>
        <w:adjustRightInd w:val="0"/>
        <w:spacing w:after="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 xml:space="preserve">According to Cousins and </w:t>
      </w:r>
      <w:sdt>
        <w:sdtPr>
          <w:rPr>
            <w:rFonts w:ascii="Times New Roman" w:eastAsia="Calibri" w:hAnsi="Times New Roman" w:cs="Times New Roman"/>
            <w:kern w:val="0"/>
            <w:sz w:val="24"/>
            <w:szCs w:val="24"/>
            <w14:ligatures w14:val="none"/>
          </w:rPr>
          <w:id w:val="1945649360"/>
          <w:citation/>
        </w:sdtPr>
        <w:sdtEndPr/>
        <w:sdtContent>
          <w:r w:rsidRPr="004F7FC3">
            <w:rPr>
              <w:rFonts w:ascii="Times New Roman" w:eastAsia="Calibri" w:hAnsi="Times New Roman" w:cs="Times New Roman"/>
              <w:kern w:val="0"/>
              <w:sz w:val="24"/>
              <w:szCs w:val="24"/>
              <w14:ligatures w14:val="none"/>
            </w:rPr>
            <w:fldChar w:fldCharType="begin"/>
          </w:r>
          <w:r w:rsidRPr="004F7FC3">
            <w:rPr>
              <w:rFonts w:ascii="Times New Roman" w:eastAsia="Calibri" w:hAnsi="Times New Roman" w:cs="Times New Roman"/>
              <w:kern w:val="0"/>
              <w:sz w:val="24"/>
              <w:szCs w:val="24"/>
              <w14:ligatures w14:val="none"/>
            </w:rPr>
            <w:instrText xml:space="preserve"> CITATION Spe21 \l 1033 </w:instrText>
          </w:r>
          <w:r w:rsidRPr="004F7FC3">
            <w:rPr>
              <w:rFonts w:ascii="Times New Roman" w:eastAsia="Calibri" w:hAnsi="Times New Roman" w:cs="Times New Roman"/>
              <w:kern w:val="0"/>
              <w:sz w:val="24"/>
              <w:szCs w:val="24"/>
              <w14:ligatures w14:val="none"/>
            </w:rPr>
            <w:fldChar w:fldCharType="separate"/>
          </w:r>
          <w:r w:rsidRPr="004F7FC3">
            <w:rPr>
              <w:rFonts w:ascii="Times New Roman" w:eastAsia="Calibri" w:hAnsi="Times New Roman" w:cs="Times New Roman"/>
              <w:noProof/>
              <w:kern w:val="0"/>
              <w:sz w:val="24"/>
              <w:szCs w:val="24"/>
              <w14:ligatures w14:val="none"/>
            </w:rPr>
            <w:t>(Spekman, 2021)</w:t>
          </w:r>
          <w:r w:rsidRPr="004F7FC3">
            <w:rPr>
              <w:rFonts w:ascii="Times New Roman" w:eastAsia="Calibri" w:hAnsi="Times New Roman" w:cs="Times New Roman"/>
              <w:kern w:val="0"/>
              <w:sz w:val="24"/>
              <w:szCs w:val="24"/>
              <w14:ligatures w14:val="none"/>
            </w:rPr>
            <w:fldChar w:fldCharType="end"/>
          </w:r>
        </w:sdtContent>
      </w:sdt>
      <w:r w:rsidRPr="004F7FC3">
        <w:rPr>
          <w:rFonts w:ascii="Times New Roman" w:eastAsia="Calibri" w:hAnsi="Times New Roman" w:cs="Times New Roman"/>
          <w:kern w:val="0"/>
          <w:sz w:val="24"/>
          <w:szCs w:val="24"/>
          <w14:ligatures w14:val="none"/>
        </w:rPr>
        <w:t xml:space="preserve">notes that Africa and East Africa in particular, with easement of trade restrictions more banks are entering into international market for example, The banks rely more on procurement to acquire goods and services to support their daily operations. This positions procurement a more critical and important aspect to commercial Banks performance thus its impact of purchasing on the bank’s performance is more relevant and Adhiambo, </w:t>
      </w:r>
      <w:sdt>
        <w:sdtPr>
          <w:rPr>
            <w:rFonts w:ascii="Times New Roman" w:eastAsia="Calibri" w:hAnsi="Times New Roman" w:cs="Times New Roman"/>
            <w:bCs/>
            <w:kern w:val="0"/>
            <w:sz w:val="24"/>
            <w:szCs w:val="24"/>
            <w14:ligatures w14:val="none"/>
          </w:rPr>
          <w:id w:val="-280648813"/>
          <w:citation/>
        </w:sdtPr>
        <w:sdtEndPr/>
        <w:sdtContent>
          <w:r w:rsidRPr="004F7FC3">
            <w:rPr>
              <w:rFonts w:ascii="Times New Roman" w:eastAsia="Calibri" w:hAnsi="Times New Roman" w:cs="Times New Roman"/>
              <w:bCs/>
              <w:kern w:val="0"/>
              <w:sz w:val="24"/>
              <w:szCs w:val="24"/>
              <w14:ligatures w14:val="none"/>
            </w:rPr>
            <w:fldChar w:fldCharType="begin"/>
          </w:r>
          <w:r w:rsidRPr="004F7FC3">
            <w:rPr>
              <w:rFonts w:ascii="Times New Roman" w:eastAsia="Calibri" w:hAnsi="Times New Roman" w:cs="Times New Roman"/>
              <w:bCs/>
              <w:kern w:val="0"/>
              <w:sz w:val="24"/>
              <w:szCs w:val="24"/>
              <w14:ligatures w14:val="none"/>
            </w:rPr>
            <w:instrText xml:space="preserve"> CITATION Ony15 \l 1033 </w:instrText>
          </w:r>
          <w:r w:rsidRPr="004F7FC3">
            <w:rPr>
              <w:rFonts w:ascii="Times New Roman" w:eastAsia="Calibri" w:hAnsi="Times New Roman" w:cs="Times New Roman"/>
              <w:bCs/>
              <w:kern w:val="0"/>
              <w:sz w:val="24"/>
              <w:szCs w:val="24"/>
              <w14:ligatures w14:val="none"/>
            </w:rPr>
            <w:fldChar w:fldCharType="separate"/>
          </w:r>
          <w:r w:rsidRPr="004F7FC3">
            <w:rPr>
              <w:rFonts w:ascii="Times New Roman" w:eastAsia="Calibri" w:hAnsi="Times New Roman" w:cs="Times New Roman"/>
              <w:noProof/>
              <w:kern w:val="0"/>
              <w:sz w:val="24"/>
              <w:szCs w:val="24"/>
              <w14:ligatures w14:val="none"/>
            </w:rPr>
            <w:t>(Onyango, 2015)</w:t>
          </w:r>
          <w:r w:rsidRPr="004F7FC3">
            <w:rPr>
              <w:rFonts w:ascii="Times New Roman" w:eastAsia="Calibri" w:hAnsi="Times New Roman" w:cs="Times New Roman"/>
              <w:bCs/>
              <w:kern w:val="0"/>
              <w:sz w:val="24"/>
              <w:szCs w:val="24"/>
              <w14:ligatures w14:val="none"/>
            </w:rPr>
            <w:fldChar w:fldCharType="end"/>
          </w:r>
        </w:sdtContent>
      </w:sdt>
      <w:r w:rsidRPr="004F7FC3">
        <w:rPr>
          <w:rFonts w:ascii="Times New Roman" w:eastAsia="Calibri" w:hAnsi="Times New Roman" w:cs="Times New Roman"/>
          <w:bCs/>
          <w:kern w:val="0"/>
          <w:sz w:val="24"/>
          <w:szCs w:val="24"/>
          <w14:ligatures w14:val="none"/>
        </w:rPr>
        <w:t xml:space="preserve"> </w:t>
      </w:r>
      <w:r w:rsidRPr="004F7FC3">
        <w:rPr>
          <w:rFonts w:ascii="Times New Roman" w:eastAsia="Calibri" w:hAnsi="Times New Roman" w:cs="Times New Roman"/>
          <w:kern w:val="0"/>
          <w:sz w:val="24"/>
          <w:szCs w:val="24"/>
          <w14:ligatures w14:val="none"/>
        </w:rPr>
        <w:t xml:space="preserve">reports that organization use procurement as tool to be coordinated process that aligns actual business needs and requirements with service acquisition and then measures the performance. </w:t>
      </w:r>
    </w:p>
    <w:p w14:paraId="272237A8" w14:textId="77777777" w:rsidR="00863BE1" w:rsidRPr="004F7FC3" w:rsidRDefault="00863BE1" w:rsidP="00863BE1">
      <w:pPr>
        <w:spacing w:after="20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 xml:space="preserve">The two major variables were examined for this research is Strategic Supplier Management practices and operational performance of commercial banks in Juba, South Sudan.  The </w:t>
      </w:r>
      <w:r w:rsidRPr="004F7FC3">
        <w:rPr>
          <w:rFonts w:ascii="Times New Roman" w:eastAsia="Calibri" w:hAnsi="Times New Roman" w:cs="Times New Roman"/>
          <w:kern w:val="0"/>
          <w:sz w:val="24"/>
          <w:szCs w:val="24"/>
          <w14:ligatures w14:val="none"/>
        </w:rPr>
        <w:lastRenderedPageBreak/>
        <w:t xml:space="preserve">independent variable was Strategic </w:t>
      </w:r>
      <w:r w:rsidRPr="004F7FC3">
        <w:rPr>
          <w:rFonts w:ascii="Times New Roman" w:eastAsia="Calibri" w:hAnsi="Times New Roman" w:cs="Times New Roman"/>
          <w:bCs/>
          <w:kern w:val="0"/>
          <w:sz w:val="24"/>
          <w:szCs w:val="24"/>
          <w14:ligatures w14:val="none"/>
        </w:rPr>
        <w:t xml:space="preserve">Supplier Management Practices which was measured by </w:t>
      </w:r>
      <w:r w:rsidRPr="004F7FC3">
        <w:rPr>
          <w:rFonts w:ascii="Times New Roman" w:eastAsia="Calibri" w:hAnsi="Times New Roman" w:cs="Times New Roman"/>
          <w:kern w:val="0"/>
          <w:sz w:val="24"/>
          <w:szCs w:val="24"/>
          <w14:ligatures w14:val="none"/>
        </w:rPr>
        <w:t>trust-based relationship</w:t>
      </w:r>
      <w:r w:rsidRPr="004F7FC3">
        <w:rPr>
          <w:rFonts w:ascii="Times New Roman" w:eastAsia="Calibri" w:hAnsi="Times New Roman" w:cs="Times New Roman"/>
          <w:bCs/>
          <w:kern w:val="0"/>
          <w:sz w:val="24"/>
          <w:szCs w:val="24"/>
          <w14:ligatures w14:val="none"/>
        </w:rPr>
        <w:t xml:space="preserve">, </w:t>
      </w:r>
      <w:r w:rsidRPr="004F7FC3">
        <w:rPr>
          <w:rFonts w:ascii="Times New Roman" w:eastAsia="Calibri" w:hAnsi="Times New Roman" w:cs="Times New Roman"/>
          <w:kern w:val="0"/>
          <w:sz w:val="24"/>
          <w:szCs w:val="24"/>
          <w14:ligatures w14:val="none"/>
        </w:rPr>
        <w:t>information sharing,</w:t>
      </w:r>
      <w:r w:rsidRPr="004F7FC3">
        <w:rPr>
          <w:rFonts w:ascii="Times New Roman" w:eastAsia="Calibri" w:hAnsi="Times New Roman" w:cs="Times New Roman"/>
          <w:bCs/>
          <w:kern w:val="0"/>
          <w:sz w:val="24"/>
          <w:szCs w:val="24"/>
          <w14:ligatures w14:val="none"/>
        </w:rPr>
        <w:t xml:space="preserve"> and </w:t>
      </w:r>
      <w:r w:rsidRPr="004F7FC3">
        <w:rPr>
          <w:rFonts w:ascii="Times New Roman" w:eastAsia="Calibri" w:hAnsi="Times New Roman" w:cs="Times New Roman"/>
          <w:kern w:val="0"/>
          <w:sz w:val="24"/>
          <w:szCs w:val="24"/>
          <w14:ligatures w14:val="none"/>
        </w:rPr>
        <w:t>supplier collaboration</w:t>
      </w:r>
      <w:r w:rsidRPr="004F7FC3">
        <w:rPr>
          <w:rFonts w:ascii="Times New Roman" w:eastAsia="Calibri" w:hAnsi="Times New Roman" w:cs="Times New Roman"/>
          <w:bCs/>
          <w:kern w:val="0"/>
          <w:sz w:val="24"/>
          <w:szCs w:val="24"/>
          <w14:ligatures w14:val="none"/>
        </w:rPr>
        <w:t xml:space="preserve"> </w:t>
      </w:r>
      <w:r w:rsidRPr="004F7FC3">
        <w:rPr>
          <w:rFonts w:ascii="Times New Roman" w:eastAsia="Calibri" w:hAnsi="Times New Roman" w:cs="Times New Roman"/>
          <w:kern w:val="0"/>
          <w:sz w:val="24"/>
          <w:szCs w:val="24"/>
          <w14:ligatures w14:val="none"/>
        </w:rPr>
        <w:t>and operational performance was dependent variable and it will be measured with reduction of costs, customer Satisfaction and timely provision of services.</w:t>
      </w:r>
    </w:p>
    <w:p w14:paraId="66BDFB6D" w14:textId="77777777" w:rsidR="00863BE1" w:rsidRPr="004F7FC3" w:rsidRDefault="00863BE1" w:rsidP="00863BE1">
      <w:pPr>
        <w:spacing w:after="20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 xml:space="preserve">Strategic Supplier Management practices in the banking industry have been unable to display consistency and stability in performance. They have frequently experienced costly discontinuities in the current dynamic markets and vastly changing technological environments. They are also inflexible and susceptible to disruption since they are unable to swiftly and suitably respond to emerging international protocols, certification requirements, and to governmental and regulatory changes </w:t>
      </w:r>
      <w:sdt>
        <w:sdtPr>
          <w:rPr>
            <w:rFonts w:ascii="Times New Roman" w:eastAsia="Calibri" w:hAnsi="Times New Roman" w:cs="Times New Roman"/>
            <w:kern w:val="0"/>
            <w:sz w:val="24"/>
            <w:szCs w:val="24"/>
            <w14:ligatures w14:val="none"/>
          </w:rPr>
          <w:id w:val="454213676"/>
          <w:citation/>
        </w:sdtPr>
        <w:sdtEndPr/>
        <w:sdtContent>
          <w:r w:rsidRPr="004F7FC3">
            <w:rPr>
              <w:rFonts w:ascii="Times New Roman" w:eastAsia="Calibri" w:hAnsi="Times New Roman" w:cs="Times New Roman"/>
              <w:kern w:val="0"/>
              <w:sz w:val="24"/>
              <w:szCs w:val="24"/>
              <w14:ligatures w14:val="none"/>
            </w:rPr>
            <w:fldChar w:fldCharType="begin"/>
          </w:r>
          <w:r w:rsidRPr="004F7FC3">
            <w:rPr>
              <w:rFonts w:ascii="Times New Roman" w:eastAsia="Calibri" w:hAnsi="Times New Roman" w:cs="Times New Roman"/>
              <w:kern w:val="0"/>
              <w:sz w:val="24"/>
              <w:szCs w:val="24"/>
              <w14:ligatures w14:val="none"/>
            </w:rPr>
            <w:instrText xml:space="preserve"> CITATION Col03 \l 1033 </w:instrText>
          </w:r>
          <w:r w:rsidRPr="004F7FC3">
            <w:rPr>
              <w:rFonts w:ascii="Times New Roman" w:eastAsia="Calibri" w:hAnsi="Times New Roman" w:cs="Times New Roman"/>
              <w:kern w:val="0"/>
              <w:sz w:val="24"/>
              <w:szCs w:val="24"/>
              <w14:ligatures w14:val="none"/>
            </w:rPr>
            <w:fldChar w:fldCharType="separate"/>
          </w:r>
          <w:r w:rsidRPr="004F7FC3">
            <w:rPr>
              <w:rFonts w:ascii="Times New Roman" w:eastAsia="Calibri" w:hAnsi="Times New Roman" w:cs="Times New Roman"/>
              <w:noProof/>
              <w:kern w:val="0"/>
              <w:sz w:val="24"/>
              <w:szCs w:val="24"/>
              <w14:ligatures w14:val="none"/>
            </w:rPr>
            <w:t>(Collins, 2003)</w:t>
          </w:r>
          <w:r w:rsidRPr="004F7FC3">
            <w:rPr>
              <w:rFonts w:ascii="Times New Roman" w:eastAsia="Calibri" w:hAnsi="Times New Roman" w:cs="Times New Roman"/>
              <w:kern w:val="0"/>
              <w:sz w:val="24"/>
              <w:szCs w:val="24"/>
              <w14:ligatures w14:val="none"/>
            </w:rPr>
            <w:fldChar w:fldCharType="end"/>
          </w:r>
        </w:sdtContent>
      </w:sdt>
      <w:r w:rsidRPr="004F7FC3">
        <w:rPr>
          <w:rFonts w:ascii="Times New Roman" w:eastAsia="Calibri" w:hAnsi="Times New Roman" w:cs="Times New Roman"/>
          <w:kern w:val="0"/>
          <w:sz w:val="24"/>
          <w:szCs w:val="24"/>
          <w14:ligatures w14:val="none"/>
        </w:rPr>
        <w:t>. The absence of adequate standards and protocols in the banking industry, most notably, directly affects the quality-of-service delivery. Strategic supplier management practices in the banking sector can help the industry increase and make it sustainable, profitable, enhance service delivery, improve efficiency and build competitive advantage.</w:t>
      </w:r>
    </w:p>
    <w:p w14:paraId="216364CF" w14:textId="77777777" w:rsidR="00863BE1" w:rsidRPr="004F7FC3" w:rsidRDefault="00863BE1" w:rsidP="00863BE1">
      <w:pPr>
        <w:autoSpaceDE w:val="0"/>
        <w:autoSpaceDN w:val="0"/>
        <w:adjustRightInd w:val="0"/>
        <w:spacing w:after="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 xml:space="preserve">Strategic Supplier management is a collaborative partnership with the supplier which allows the buyer to manage the relationship for the required goods and services (Global Intelligence Network 2021). According to </w:t>
      </w:r>
      <w:sdt>
        <w:sdtPr>
          <w:rPr>
            <w:rFonts w:ascii="Times New Roman" w:eastAsia="Calibri" w:hAnsi="Times New Roman" w:cs="Times New Roman"/>
            <w:kern w:val="0"/>
            <w:sz w:val="24"/>
            <w:szCs w:val="24"/>
            <w14:ligatures w14:val="none"/>
          </w:rPr>
          <w:id w:val="133607101"/>
          <w:citation/>
        </w:sdtPr>
        <w:sdtEndPr/>
        <w:sdtContent>
          <w:r w:rsidRPr="004F7FC3">
            <w:rPr>
              <w:rFonts w:ascii="Times New Roman" w:eastAsia="Calibri" w:hAnsi="Times New Roman" w:cs="Times New Roman"/>
              <w:kern w:val="0"/>
              <w:sz w:val="24"/>
              <w:szCs w:val="24"/>
              <w14:ligatures w14:val="none"/>
            </w:rPr>
            <w:fldChar w:fldCharType="begin"/>
          </w:r>
          <w:r w:rsidRPr="004F7FC3">
            <w:rPr>
              <w:rFonts w:ascii="Times New Roman" w:eastAsia="Calibri" w:hAnsi="Times New Roman" w:cs="Times New Roman"/>
              <w:kern w:val="0"/>
              <w:sz w:val="24"/>
              <w:szCs w:val="24"/>
              <w14:ligatures w14:val="none"/>
            </w:rPr>
            <w:instrText xml:space="preserve"> CITATION Wee00 \l 1033 </w:instrText>
          </w:r>
          <w:r w:rsidRPr="004F7FC3">
            <w:rPr>
              <w:rFonts w:ascii="Times New Roman" w:eastAsia="Calibri" w:hAnsi="Times New Roman" w:cs="Times New Roman"/>
              <w:kern w:val="0"/>
              <w:sz w:val="24"/>
              <w:szCs w:val="24"/>
              <w14:ligatures w14:val="none"/>
            </w:rPr>
            <w:fldChar w:fldCharType="separate"/>
          </w:r>
          <w:r w:rsidRPr="004F7FC3">
            <w:rPr>
              <w:rFonts w:ascii="Times New Roman" w:eastAsia="Calibri" w:hAnsi="Times New Roman" w:cs="Times New Roman"/>
              <w:noProof/>
              <w:kern w:val="0"/>
              <w:sz w:val="24"/>
              <w:szCs w:val="24"/>
              <w14:ligatures w14:val="none"/>
            </w:rPr>
            <w:t>(Weele, 2000)</w:t>
          </w:r>
          <w:r w:rsidRPr="004F7FC3">
            <w:rPr>
              <w:rFonts w:ascii="Times New Roman" w:eastAsia="Calibri" w:hAnsi="Times New Roman" w:cs="Times New Roman"/>
              <w:kern w:val="0"/>
              <w:sz w:val="24"/>
              <w:szCs w:val="24"/>
              <w14:ligatures w14:val="none"/>
            </w:rPr>
            <w:fldChar w:fldCharType="end"/>
          </w:r>
        </w:sdtContent>
      </w:sdt>
      <w:r w:rsidRPr="004F7FC3">
        <w:rPr>
          <w:rFonts w:ascii="Times New Roman" w:eastAsia="Calibri" w:hAnsi="Times New Roman" w:cs="Times New Roman"/>
          <w:kern w:val="0"/>
          <w:sz w:val="24"/>
          <w:szCs w:val="24"/>
          <w14:ligatures w14:val="none"/>
        </w:rPr>
        <w:t xml:space="preserve">purchasing management refers to all activities required to manage supplier relationships in the organization. He further declared that the idea behind purchasing management is that if suppliers are not managed by their customers, customer relationships was managed by the suppliers. </w:t>
      </w:r>
      <w:sdt>
        <w:sdtPr>
          <w:rPr>
            <w:rFonts w:ascii="Times New Roman" w:eastAsia="Calibri" w:hAnsi="Times New Roman" w:cs="Times New Roman"/>
            <w:kern w:val="0"/>
            <w:sz w:val="24"/>
            <w:szCs w:val="24"/>
            <w14:ligatures w14:val="none"/>
          </w:rPr>
          <w:id w:val="156897056"/>
          <w:citation/>
        </w:sdtPr>
        <w:sdtEndPr/>
        <w:sdtContent>
          <w:r w:rsidRPr="004F7FC3">
            <w:rPr>
              <w:rFonts w:ascii="Times New Roman" w:eastAsia="Calibri" w:hAnsi="Times New Roman" w:cs="Times New Roman"/>
              <w:kern w:val="0"/>
              <w:sz w:val="24"/>
              <w:szCs w:val="24"/>
              <w14:ligatures w14:val="none"/>
            </w:rPr>
            <w:fldChar w:fldCharType="begin"/>
          </w:r>
          <w:r w:rsidRPr="004F7FC3">
            <w:rPr>
              <w:rFonts w:ascii="Times New Roman" w:eastAsia="Calibri" w:hAnsi="Times New Roman" w:cs="Times New Roman"/>
              <w:kern w:val="0"/>
              <w:sz w:val="24"/>
              <w:szCs w:val="24"/>
              <w14:ligatures w14:val="none"/>
            </w:rPr>
            <w:instrText xml:space="preserve"> CITATION Col03 \l 1033 </w:instrText>
          </w:r>
          <w:r w:rsidRPr="004F7FC3">
            <w:rPr>
              <w:rFonts w:ascii="Times New Roman" w:eastAsia="Calibri" w:hAnsi="Times New Roman" w:cs="Times New Roman"/>
              <w:kern w:val="0"/>
              <w:sz w:val="24"/>
              <w:szCs w:val="24"/>
              <w14:ligatures w14:val="none"/>
            </w:rPr>
            <w:fldChar w:fldCharType="separate"/>
          </w:r>
          <w:r w:rsidRPr="004F7FC3">
            <w:rPr>
              <w:rFonts w:ascii="Times New Roman" w:eastAsia="Calibri" w:hAnsi="Times New Roman" w:cs="Times New Roman"/>
              <w:noProof/>
              <w:kern w:val="0"/>
              <w:sz w:val="24"/>
              <w:szCs w:val="24"/>
              <w14:ligatures w14:val="none"/>
            </w:rPr>
            <w:t>(Collins, 2003)</w:t>
          </w:r>
          <w:r w:rsidRPr="004F7FC3">
            <w:rPr>
              <w:rFonts w:ascii="Times New Roman" w:eastAsia="Calibri" w:hAnsi="Times New Roman" w:cs="Times New Roman"/>
              <w:kern w:val="0"/>
              <w:sz w:val="24"/>
              <w:szCs w:val="24"/>
              <w14:ligatures w14:val="none"/>
            </w:rPr>
            <w:fldChar w:fldCharType="end"/>
          </w:r>
        </w:sdtContent>
      </w:sdt>
      <w:r w:rsidRPr="004F7FC3">
        <w:rPr>
          <w:rFonts w:ascii="Times New Roman" w:eastAsia="Calibri" w:hAnsi="Times New Roman" w:cs="Times New Roman"/>
          <w:kern w:val="0"/>
          <w:sz w:val="24"/>
          <w:szCs w:val="24"/>
          <w14:ligatures w14:val="none"/>
        </w:rPr>
        <w:t xml:space="preserve"> notes that successful strategic supplier management programs will often create a trusting partnership between a buyer and a supplier.  Strategic Supplier management is the process that defines how a company interacts with its suppliers. </w:t>
      </w:r>
      <w:bookmarkStart w:id="8" w:name="_Toc131426444"/>
    </w:p>
    <w:p w14:paraId="7D1F155D" w14:textId="77777777" w:rsidR="00863BE1" w:rsidRPr="004F7FC3" w:rsidRDefault="00863BE1" w:rsidP="00863BE1">
      <w:pPr>
        <w:widowControl w:val="0"/>
        <w:spacing w:after="0" w:line="360" w:lineRule="auto"/>
        <w:jc w:val="both"/>
        <w:outlineLvl w:val="0"/>
        <w:rPr>
          <w:rFonts w:ascii="Times New Roman" w:eastAsia="OpenSymbol" w:hAnsi="Times New Roman" w:cs="Times New Roman"/>
          <w:b/>
          <w:kern w:val="0"/>
          <w:sz w:val="24"/>
          <w:szCs w:val="24"/>
          <w:lang w:eastAsia="zh-CN" w:bidi="hi-IN"/>
          <w14:ligatures w14:val="none"/>
        </w:rPr>
      </w:pPr>
      <w:bookmarkStart w:id="9" w:name="_Toc524131555"/>
      <w:bookmarkStart w:id="10" w:name="_Toc524131694"/>
      <w:bookmarkStart w:id="11" w:name="_Toc524131788"/>
      <w:bookmarkStart w:id="12" w:name="_Toc7492671"/>
      <w:bookmarkStart w:id="13" w:name="_Toc56085441"/>
      <w:bookmarkStart w:id="14" w:name="_Toc79663881"/>
      <w:bookmarkStart w:id="15" w:name="_Toc130639386"/>
      <w:r w:rsidRPr="004F7FC3">
        <w:rPr>
          <w:rFonts w:ascii="Times New Roman" w:eastAsia="OpenSymbol" w:hAnsi="Times New Roman" w:cs="Times New Roman"/>
          <w:b/>
          <w:kern w:val="0"/>
          <w:sz w:val="24"/>
          <w:szCs w:val="24"/>
          <w:lang w:eastAsia="zh-CN" w:bidi="hi-IN"/>
          <w14:ligatures w14:val="none"/>
        </w:rPr>
        <w:t>3.1 Research design</w:t>
      </w:r>
      <w:bookmarkEnd w:id="9"/>
      <w:bookmarkEnd w:id="10"/>
      <w:bookmarkEnd w:id="11"/>
      <w:bookmarkEnd w:id="12"/>
      <w:bookmarkEnd w:id="13"/>
      <w:bookmarkEnd w:id="14"/>
      <w:bookmarkEnd w:id="15"/>
    </w:p>
    <w:p w14:paraId="2C838B85" w14:textId="77777777" w:rsidR="00863BE1" w:rsidRPr="004F7FC3" w:rsidRDefault="00863BE1" w:rsidP="00863BE1">
      <w:pPr>
        <w:autoSpaceDE w:val="0"/>
        <w:autoSpaceDN w:val="0"/>
        <w:adjustRightInd w:val="0"/>
        <w:spacing w:after="0" w:line="360" w:lineRule="auto"/>
        <w:jc w:val="both"/>
        <w:rPr>
          <w:rFonts w:ascii="Times New Roman" w:eastAsia="TimesNewRomanPSMT"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The study used descriptive research design based on both quantitative and qualitative research approaches. The study design provided information appropriate for the study in the study context. The descriptive survey design is touted as the most ideal for studies relating to attitudes, behavior, and characteristics Mugenda and Mugenda (1999). The design enabled the researcher to attain more adequate and reasonable data for the attainment of the required research data and findings.</w:t>
      </w:r>
    </w:p>
    <w:p w14:paraId="4D8C352C" w14:textId="77777777" w:rsidR="00863BE1" w:rsidRPr="004F7FC3" w:rsidRDefault="00863BE1" w:rsidP="00863BE1">
      <w:pPr>
        <w:keepNext/>
        <w:spacing w:before="360" w:after="240" w:line="360" w:lineRule="auto"/>
        <w:outlineLvl w:val="1"/>
        <w:rPr>
          <w:rFonts w:ascii="Times New Roman" w:eastAsia="Times New Roman" w:hAnsi="Times New Roman" w:cs="Times New Roman"/>
          <w:b/>
          <w:bCs/>
          <w:iCs/>
          <w:kern w:val="0"/>
          <w:sz w:val="24"/>
          <w:szCs w:val="28"/>
          <w14:ligatures w14:val="none"/>
        </w:rPr>
      </w:pPr>
      <w:r w:rsidRPr="004F7FC3">
        <w:rPr>
          <w:rFonts w:ascii="Times New Roman" w:eastAsia="Times New Roman" w:hAnsi="Times New Roman" w:cs="Times New Roman"/>
          <w:b/>
          <w:bCs/>
          <w:iCs/>
          <w:kern w:val="0"/>
          <w:sz w:val="24"/>
          <w:szCs w:val="28"/>
          <w14:ligatures w14:val="none"/>
        </w:rPr>
        <w:lastRenderedPageBreak/>
        <w:t>3.2 Study Population and sample size</w:t>
      </w:r>
    </w:p>
    <w:p w14:paraId="16E0BA3E" w14:textId="77777777" w:rsidR="00863BE1" w:rsidRPr="004F7FC3" w:rsidRDefault="00863BE1" w:rsidP="00863BE1">
      <w:pPr>
        <w:autoSpaceDE w:val="0"/>
        <w:spacing w:after="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The study population involved workers in selected African National Bank and Ecobank South Sudan.  The research considered all the target respondents, 288 employees in the departments of procurement, corporate banking, Finance and planning, Legal department.</w:t>
      </w:r>
    </w:p>
    <w:p w14:paraId="4655AD85" w14:textId="77777777" w:rsidR="00863BE1" w:rsidRPr="004F7FC3" w:rsidRDefault="00863BE1" w:rsidP="00863BE1">
      <w:pPr>
        <w:spacing w:after="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In this study a sample of 288 respondents was selected from a total population of 1,034 employers</w:t>
      </w:r>
      <w:bookmarkStart w:id="16" w:name="_Toc469791094"/>
      <w:bookmarkStart w:id="17" w:name="_Toc472090623"/>
      <w:r w:rsidRPr="004F7FC3">
        <w:rPr>
          <w:rFonts w:ascii="Times New Roman" w:eastAsia="Calibri" w:hAnsi="Times New Roman" w:cs="Times New Roman"/>
          <w:kern w:val="0"/>
          <w:sz w:val="24"/>
          <w:szCs w:val="24"/>
          <w14:ligatures w14:val="none"/>
        </w:rPr>
        <w:t xml:space="preserve">.  These was selected following the guidance of Slovene's method of determining the sample size. </w:t>
      </w:r>
      <w:bookmarkStart w:id="18" w:name="_Toc510691458"/>
      <w:bookmarkStart w:id="19" w:name="_Toc110421038"/>
      <w:bookmarkStart w:id="20" w:name="_Toc128061920"/>
      <w:bookmarkStart w:id="21" w:name="_Toc130639390"/>
    </w:p>
    <w:p w14:paraId="5FEEAEB7" w14:textId="77777777" w:rsidR="00863BE1" w:rsidRPr="004F7FC3" w:rsidRDefault="00863BE1" w:rsidP="00863BE1">
      <w:pPr>
        <w:spacing w:after="0" w:line="360" w:lineRule="auto"/>
        <w:jc w:val="both"/>
        <w:rPr>
          <w:rFonts w:ascii="Times New Roman" w:eastAsia="Times New Roman" w:hAnsi="Times New Roman" w:cs="Times New Roman"/>
          <w:b/>
          <w:bCs/>
          <w:iCs/>
          <w:kern w:val="0"/>
          <w:sz w:val="24"/>
          <w:szCs w:val="28"/>
          <w14:ligatures w14:val="none"/>
        </w:rPr>
      </w:pPr>
      <w:r w:rsidRPr="004F7FC3">
        <w:rPr>
          <w:rFonts w:ascii="Times New Roman" w:eastAsia="Times New Roman" w:hAnsi="Times New Roman" w:cs="Times New Roman"/>
          <w:b/>
          <w:bCs/>
          <w:iCs/>
          <w:kern w:val="0"/>
          <w:sz w:val="24"/>
          <w:szCs w:val="28"/>
          <w14:ligatures w14:val="none"/>
        </w:rPr>
        <w:t xml:space="preserve">3.3 Sampling </w:t>
      </w:r>
      <w:bookmarkEnd w:id="16"/>
      <w:bookmarkEnd w:id="17"/>
      <w:r w:rsidRPr="004F7FC3">
        <w:rPr>
          <w:rFonts w:ascii="Times New Roman" w:eastAsia="Times New Roman" w:hAnsi="Times New Roman" w:cs="Times New Roman"/>
          <w:b/>
          <w:bCs/>
          <w:iCs/>
          <w:kern w:val="0"/>
          <w:sz w:val="24"/>
          <w:szCs w:val="28"/>
          <w14:ligatures w14:val="none"/>
        </w:rPr>
        <w:t>Technique</w:t>
      </w:r>
      <w:bookmarkEnd w:id="18"/>
      <w:bookmarkEnd w:id="19"/>
      <w:bookmarkEnd w:id="20"/>
      <w:bookmarkEnd w:id="21"/>
    </w:p>
    <w:p w14:paraId="62B195CB" w14:textId="77777777" w:rsidR="00863BE1" w:rsidRPr="004F7FC3" w:rsidRDefault="00863BE1" w:rsidP="00863BE1">
      <w:pPr>
        <w:spacing w:after="0" w:line="360" w:lineRule="auto"/>
        <w:jc w:val="both"/>
        <w:rPr>
          <w:rFonts w:ascii="Times New Roman" w:eastAsia="Calibri" w:hAnsi="Times New Roman" w:cs="Times New Roman"/>
          <w:kern w:val="0"/>
          <w:sz w:val="24"/>
          <w:szCs w:val="24"/>
          <w14:ligatures w14:val="none"/>
        </w:rPr>
      </w:pPr>
      <w:bookmarkStart w:id="22" w:name="_Toc510691459"/>
      <w:r w:rsidRPr="004F7FC3">
        <w:rPr>
          <w:rFonts w:ascii="Times New Roman" w:eastAsia="Calibri" w:hAnsi="Times New Roman" w:cs="Times New Roman"/>
          <w:kern w:val="0"/>
          <w:sz w:val="24"/>
          <w:szCs w:val="24"/>
          <w14:ligatures w14:val="none"/>
        </w:rPr>
        <w:t xml:space="preserve">The researcher selected a sample of 288 respondents using a stratified simple random technique. According to Robson (2014), a stratified random sampling technique involves division of the study population into significant strata with similar characteristics. Chimucheka (2012) points out that a stratified simple random ensures that each element under investigation faces identical chances of being selected. In this study, the researcher divided the respondents into 5 Stratums or groups in terms of their department of procurement, credit legal, corporate finance and planning. </w:t>
      </w:r>
    </w:p>
    <w:p w14:paraId="51CC7B7D" w14:textId="77777777" w:rsidR="00863BE1" w:rsidRPr="004F7FC3" w:rsidRDefault="00863BE1" w:rsidP="00863BE1">
      <w:pPr>
        <w:keepNext/>
        <w:spacing w:before="360" w:after="240" w:line="360" w:lineRule="auto"/>
        <w:outlineLvl w:val="1"/>
        <w:rPr>
          <w:rFonts w:ascii="Times New Roman" w:eastAsia="Times New Roman" w:hAnsi="Times New Roman" w:cs="Times New Roman"/>
          <w:b/>
          <w:bCs/>
          <w:iCs/>
          <w:kern w:val="0"/>
          <w:sz w:val="24"/>
          <w:szCs w:val="28"/>
          <w14:ligatures w14:val="none"/>
        </w:rPr>
      </w:pPr>
      <w:bookmarkStart w:id="23" w:name="_Toc110421039"/>
      <w:bookmarkStart w:id="24" w:name="_Toc128061921"/>
      <w:bookmarkStart w:id="25" w:name="_Toc130639391"/>
      <w:r w:rsidRPr="004F7FC3">
        <w:rPr>
          <w:rFonts w:ascii="Times New Roman" w:eastAsia="Times New Roman" w:hAnsi="Times New Roman" w:cs="Times New Roman"/>
          <w:b/>
          <w:bCs/>
          <w:iCs/>
          <w:kern w:val="0"/>
          <w:sz w:val="24"/>
          <w:szCs w:val="28"/>
          <w14:ligatures w14:val="none"/>
        </w:rPr>
        <w:t>3.4 Data Collection Instruments</w:t>
      </w:r>
      <w:bookmarkEnd w:id="22"/>
      <w:bookmarkEnd w:id="23"/>
      <w:bookmarkEnd w:id="24"/>
      <w:bookmarkEnd w:id="25"/>
    </w:p>
    <w:p w14:paraId="2CAA5615" w14:textId="77777777" w:rsidR="00863BE1" w:rsidRPr="004F7FC3" w:rsidRDefault="00863BE1" w:rsidP="00863BE1">
      <w:pPr>
        <w:spacing w:after="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 xml:space="preserve">The study was purely quantitative and therefore a questionnaire </w:t>
      </w:r>
      <w:bookmarkStart w:id="26" w:name="_Toc440623861"/>
      <w:bookmarkStart w:id="27" w:name="_Toc440836287"/>
      <w:r w:rsidRPr="004F7FC3">
        <w:rPr>
          <w:rFonts w:ascii="Times New Roman" w:eastAsia="Calibri" w:hAnsi="Times New Roman" w:cs="Times New Roman"/>
          <w:kern w:val="0"/>
          <w:sz w:val="24"/>
          <w:szCs w:val="24"/>
          <w14:ligatures w14:val="none"/>
        </w:rPr>
        <w:t xml:space="preserve">was used to collect data. For numerous reasons, a questionnaire is the most widely-used technique for obtaining information from respondents. McMillan &amp; Schumacher (2014) point out that a questionnaire makes it possible to measure knowledge and information, values, preferences, attitudes, and beliefs of the respondents about the study variables. It is also easier to code and statistically analyze data from questionnaires than from interviews (Pallant, 2011). </w:t>
      </w:r>
      <w:bookmarkStart w:id="28" w:name="_Toc510691461"/>
      <w:bookmarkStart w:id="29" w:name="_Toc110421040"/>
      <w:bookmarkEnd w:id="26"/>
      <w:bookmarkEnd w:id="27"/>
    </w:p>
    <w:p w14:paraId="1DB53E25" w14:textId="77777777" w:rsidR="00863BE1" w:rsidRPr="004F7FC3" w:rsidRDefault="00863BE1" w:rsidP="00863BE1">
      <w:pPr>
        <w:keepNext/>
        <w:spacing w:before="360" w:after="240" w:line="360" w:lineRule="auto"/>
        <w:outlineLvl w:val="1"/>
        <w:rPr>
          <w:rFonts w:ascii="Times New Roman" w:eastAsia="Times New Roman" w:hAnsi="Times New Roman" w:cs="Times New Roman"/>
          <w:b/>
          <w:bCs/>
          <w:iCs/>
          <w:kern w:val="0"/>
          <w:sz w:val="24"/>
          <w:szCs w:val="28"/>
          <w14:ligatures w14:val="none"/>
        </w:rPr>
      </w:pPr>
      <w:bookmarkStart w:id="30" w:name="_Toc128061922"/>
      <w:bookmarkStart w:id="31" w:name="_Toc130639392"/>
      <w:r w:rsidRPr="004F7FC3">
        <w:rPr>
          <w:rFonts w:ascii="Times New Roman" w:eastAsia="Times New Roman" w:hAnsi="Times New Roman" w:cs="Times New Roman"/>
          <w:b/>
          <w:bCs/>
          <w:iCs/>
          <w:kern w:val="0"/>
          <w:sz w:val="24"/>
          <w:szCs w:val="28"/>
          <w14:ligatures w14:val="none"/>
        </w:rPr>
        <w:t xml:space="preserve">3.5 Validity </w:t>
      </w:r>
      <w:bookmarkEnd w:id="28"/>
      <w:bookmarkEnd w:id="29"/>
      <w:bookmarkEnd w:id="30"/>
      <w:bookmarkEnd w:id="31"/>
      <w:r w:rsidRPr="004F7FC3">
        <w:rPr>
          <w:rFonts w:ascii="Times New Roman" w:eastAsia="Times New Roman" w:hAnsi="Times New Roman" w:cs="Times New Roman"/>
          <w:b/>
          <w:bCs/>
          <w:iCs/>
          <w:kern w:val="0"/>
          <w:sz w:val="24"/>
          <w:szCs w:val="28"/>
          <w14:ligatures w14:val="none"/>
        </w:rPr>
        <w:t xml:space="preserve">and </w:t>
      </w:r>
      <w:r w:rsidRPr="004F7FC3">
        <w:rPr>
          <w:rFonts w:ascii="Times New Roman" w:eastAsia="OpenSymbol" w:hAnsi="Times New Roman" w:cs="Times New Roman"/>
          <w:b/>
          <w:kern w:val="0"/>
          <w:sz w:val="24"/>
          <w:szCs w:val="24"/>
          <w:lang w:eastAsia="zh-CN" w:bidi="hi-IN"/>
          <w14:ligatures w14:val="none"/>
        </w:rPr>
        <w:t xml:space="preserve">Reliability </w:t>
      </w:r>
      <w:r w:rsidRPr="004F7FC3">
        <w:rPr>
          <w:rFonts w:ascii="Times New Roman" w:eastAsia="Times New Roman" w:hAnsi="Times New Roman" w:cs="Times New Roman"/>
          <w:b/>
          <w:bCs/>
          <w:iCs/>
          <w:kern w:val="0"/>
          <w:sz w:val="24"/>
          <w:szCs w:val="28"/>
          <w14:ligatures w14:val="none"/>
        </w:rPr>
        <w:t>of the Instruments</w:t>
      </w:r>
    </w:p>
    <w:p w14:paraId="4D1DD51A" w14:textId="77777777" w:rsidR="00863BE1" w:rsidRPr="004F7FC3" w:rsidRDefault="00863BE1" w:rsidP="00863BE1">
      <w:pPr>
        <w:widowControl w:val="0"/>
        <w:spacing w:after="0" w:line="360" w:lineRule="auto"/>
        <w:jc w:val="both"/>
        <w:rPr>
          <w:rFonts w:ascii="Times New Roman" w:eastAsia="OpenSymbol" w:hAnsi="Times New Roman" w:cs="Times New Roman"/>
          <w:kern w:val="0"/>
          <w:sz w:val="24"/>
          <w:szCs w:val="24"/>
          <w:lang w:eastAsia="zh-CN" w:bidi="hi-IN"/>
          <w14:ligatures w14:val="none"/>
        </w:rPr>
      </w:pPr>
      <w:r w:rsidRPr="004F7FC3">
        <w:rPr>
          <w:rFonts w:ascii="Times New Roman" w:eastAsia="Calibri" w:hAnsi="Times New Roman" w:cs="Times New Roman"/>
          <w:kern w:val="0"/>
          <w:sz w:val="24"/>
          <w:szCs w:val="24"/>
          <w14:ligatures w14:val="none"/>
        </w:rPr>
        <w:t>The researcher considered only instruments with validity co-efficient of at least 0.70 because they are accepted as valid in research (Oso &amp; Onen, 2008).</w:t>
      </w:r>
      <w:bookmarkStart w:id="32" w:name="_Toc128577173"/>
      <w:bookmarkStart w:id="33" w:name="_Toc128607263"/>
      <w:bookmarkStart w:id="34" w:name="_Toc130631313"/>
      <w:bookmarkStart w:id="35" w:name="_Toc130639394"/>
      <w:r w:rsidRPr="004F7FC3">
        <w:rPr>
          <w:rFonts w:ascii="Times New Roman" w:eastAsia="OpenSymbol" w:hAnsi="Times New Roman" w:cs="Times New Roman"/>
          <w:kern w:val="0"/>
          <w:sz w:val="24"/>
          <w:szCs w:val="24"/>
          <w:lang w:eastAsia="zh-CN" w:bidi="hi-IN"/>
          <w14:ligatures w14:val="none"/>
        </w:rPr>
        <w:t xml:space="preserve"> The reliability of the questionnaire was improved through pre- testing of pilot study through respondents from the population. This enabled the amendment of some questions. </w:t>
      </w:r>
      <w:bookmarkEnd w:id="32"/>
      <w:bookmarkEnd w:id="33"/>
      <w:bookmarkEnd w:id="34"/>
      <w:bookmarkEnd w:id="35"/>
    </w:p>
    <w:p w14:paraId="0C85211D" w14:textId="77777777" w:rsidR="00863BE1" w:rsidRPr="004F7FC3" w:rsidRDefault="00863BE1" w:rsidP="00863BE1">
      <w:pPr>
        <w:widowControl w:val="0"/>
        <w:spacing w:after="0" w:line="360" w:lineRule="auto"/>
        <w:jc w:val="both"/>
        <w:outlineLvl w:val="0"/>
        <w:rPr>
          <w:rFonts w:ascii="Times New Roman" w:eastAsia="OpenSymbol" w:hAnsi="Times New Roman" w:cs="Times New Roman"/>
          <w:b/>
          <w:kern w:val="0"/>
          <w:sz w:val="24"/>
          <w:szCs w:val="24"/>
          <w:lang w:eastAsia="zh-CN" w:bidi="hi-IN"/>
          <w14:ligatures w14:val="none"/>
        </w:rPr>
      </w:pPr>
      <w:bookmarkStart w:id="36" w:name="_Toc524131571"/>
      <w:bookmarkStart w:id="37" w:name="_Toc524131710"/>
      <w:bookmarkStart w:id="38" w:name="_Toc524131804"/>
      <w:bookmarkStart w:id="39" w:name="_Toc7492684"/>
      <w:bookmarkStart w:id="40" w:name="_Toc56085455"/>
      <w:bookmarkStart w:id="41" w:name="_Toc79663895"/>
      <w:bookmarkStart w:id="42" w:name="_Toc130639395"/>
      <w:r w:rsidRPr="004F7FC3">
        <w:rPr>
          <w:rFonts w:ascii="Times New Roman" w:eastAsia="OpenSymbol" w:hAnsi="Times New Roman" w:cs="Times New Roman"/>
          <w:b/>
          <w:kern w:val="0"/>
          <w:sz w:val="24"/>
          <w:szCs w:val="24"/>
          <w:lang w:eastAsia="zh-CN" w:bidi="hi-IN"/>
          <w14:ligatures w14:val="none"/>
        </w:rPr>
        <w:t>3.6 Data Analysis</w:t>
      </w:r>
      <w:bookmarkEnd w:id="36"/>
      <w:bookmarkEnd w:id="37"/>
      <w:bookmarkEnd w:id="38"/>
      <w:bookmarkEnd w:id="39"/>
      <w:bookmarkEnd w:id="40"/>
      <w:bookmarkEnd w:id="41"/>
      <w:bookmarkEnd w:id="42"/>
    </w:p>
    <w:p w14:paraId="6A5400C4" w14:textId="77777777" w:rsidR="00863BE1" w:rsidRPr="004F7FC3" w:rsidRDefault="00863BE1" w:rsidP="00863BE1">
      <w:pPr>
        <w:widowControl w:val="0"/>
        <w:spacing w:after="0" w:line="360" w:lineRule="auto"/>
        <w:jc w:val="both"/>
        <w:rPr>
          <w:rFonts w:ascii="Times New Roman" w:eastAsia="OpenSymbol" w:hAnsi="Times New Roman" w:cs="Times New Roman"/>
          <w:kern w:val="0"/>
          <w:sz w:val="24"/>
          <w:szCs w:val="24"/>
          <w:lang w:eastAsia="zh-CN" w:bidi="hi-IN"/>
          <w14:ligatures w14:val="none"/>
        </w:rPr>
      </w:pPr>
      <w:r w:rsidRPr="004F7FC3">
        <w:rPr>
          <w:rFonts w:ascii="Times New Roman" w:eastAsia="OpenSymbol" w:hAnsi="Times New Roman" w:cs="Times New Roman"/>
          <w:kern w:val="0"/>
          <w:sz w:val="24"/>
          <w:szCs w:val="24"/>
          <w:lang w:eastAsia="zh-CN" w:bidi="hi-IN"/>
          <w14:ligatures w14:val="none"/>
        </w:rPr>
        <w:t xml:space="preserve">From the field, data was cleaned, edited and coded and summary sheets was prepared, and data </w:t>
      </w:r>
      <w:r w:rsidRPr="004F7FC3">
        <w:rPr>
          <w:rFonts w:ascii="Times New Roman" w:eastAsia="OpenSymbol" w:hAnsi="Times New Roman" w:cs="Times New Roman"/>
          <w:kern w:val="0"/>
          <w:sz w:val="24"/>
          <w:szCs w:val="24"/>
          <w:lang w:eastAsia="zh-CN" w:bidi="hi-IN"/>
          <w14:ligatures w14:val="none"/>
        </w:rPr>
        <w:lastRenderedPageBreak/>
        <w:t xml:space="preserve">was entered into SPSS statistical tool. Quantitative data was analyzed using frequency counts and regression analysis which is a reliable method of identifying the impact of each variable on another and to prove the nature of relationship between strategic supply management and operational performance of commercial Banks in Juba, South Sudan </w:t>
      </w:r>
    </w:p>
    <w:p w14:paraId="33AE57FD" w14:textId="77777777" w:rsidR="00863BE1" w:rsidRPr="004F7FC3" w:rsidRDefault="00863BE1" w:rsidP="00863BE1">
      <w:pPr>
        <w:autoSpaceDE w:val="0"/>
        <w:autoSpaceDN w:val="0"/>
        <w:adjustRightInd w:val="0"/>
        <w:spacing w:after="0" w:line="360" w:lineRule="auto"/>
        <w:jc w:val="both"/>
        <w:rPr>
          <w:rFonts w:ascii="Times New Roman" w:eastAsia="SimSun" w:hAnsi="Times New Roman" w:cs="Times New Roman"/>
          <w:b/>
          <w:bCs/>
          <w:kern w:val="36"/>
          <w:sz w:val="24"/>
          <w:szCs w:val="24"/>
          <w14:ligatures w14:val="none"/>
        </w:rPr>
      </w:pPr>
      <w:r w:rsidRPr="004F7FC3">
        <w:rPr>
          <w:rFonts w:ascii="Times New Roman" w:eastAsia="SimSun" w:hAnsi="Times New Roman" w:cs="Times New Roman"/>
          <w:b/>
          <w:bCs/>
          <w:kern w:val="36"/>
          <w:sz w:val="24"/>
          <w:szCs w:val="24"/>
          <w14:ligatures w14:val="none"/>
        </w:rPr>
        <w:t xml:space="preserve">4.1 Results </w:t>
      </w:r>
    </w:p>
    <w:p w14:paraId="42725742" w14:textId="77777777" w:rsidR="00863BE1" w:rsidRPr="004F7FC3" w:rsidRDefault="00863BE1" w:rsidP="00863BE1">
      <w:pPr>
        <w:spacing w:after="0" w:line="360" w:lineRule="auto"/>
        <w:ind w:firstLine="720"/>
        <w:jc w:val="both"/>
        <w:rPr>
          <w:rFonts w:ascii="Times New Roman" w:eastAsia="Calibri" w:hAnsi="Times New Roman" w:cs="Times New Roman"/>
          <w:b/>
          <w:bCs/>
          <w:kern w:val="0"/>
          <w:sz w:val="24"/>
          <w:szCs w:val="24"/>
          <w14:ligatures w14:val="none"/>
        </w:rPr>
      </w:pPr>
      <w:bookmarkStart w:id="43" w:name="_Hlk125967219"/>
      <w:r w:rsidRPr="004F7FC3">
        <w:rPr>
          <w:rFonts w:ascii="Times New Roman" w:eastAsia="Calibri" w:hAnsi="Times New Roman" w:cs="Times New Roman"/>
          <w:b/>
          <w:bCs/>
          <w:kern w:val="0"/>
          <w:sz w:val="24"/>
          <w:szCs w:val="24"/>
          <w14:ligatures w14:val="none"/>
        </w:rPr>
        <w:t>Table 4.1: Showing Study Response Rate</w:t>
      </w:r>
    </w:p>
    <w:tbl>
      <w:tblPr>
        <w:tblW w:w="0" w:type="auto"/>
        <w:tblInd w:w="10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ook w:val="04A0" w:firstRow="1" w:lastRow="0" w:firstColumn="1" w:lastColumn="0" w:noHBand="0" w:noVBand="1"/>
      </w:tblPr>
      <w:tblGrid>
        <w:gridCol w:w="5040"/>
        <w:gridCol w:w="4410"/>
      </w:tblGrid>
      <w:tr w:rsidR="00863BE1" w:rsidRPr="004F7FC3" w14:paraId="4ADFC113" w14:textId="77777777" w:rsidTr="00B57B43">
        <w:tc>
          <w:tcPr>
            <w:tcW w:w="5040" w:type="dxa"/>
          </w:tcPr>
          <w:bookmarkEnd w:id="43"/>
          <w:p w14:paraId="378A4A5B" w14:textId="77777777" w:rsidR="00863BE1" w:rsidRPr="004F7FC3" w:rsidRDefault="00863BE1" w:rsidP="00B57B43">
            <w:pPr>
              <w:tabs>
                <w:tab w:val="left" w:pos="1635"/>
                <w:tab w:val="center" w:pos="2412"/>
              </w:tabs>
              <w:spacing w:after="0" w:line="360" w:lineRule="auto"/>
              <w:jc w:val="both"/>
              <w:rPr>
                <w:rFonts w:ascii="Times New Roman" w:eastAsia="Calibri" w:hAnsi="Times New Roman" w:cs="Times New Roman"/>
                <w:b/>
                <w:bCs/>
                <w:kern w:val="0"/>
                <w:sz w:val="24"/>
                <w:szCs w:val="24"/>
                <w14:ligatures w14:val="none"/>
              </w:rPr>
            </w:pPr>
            <w:r w:rsidRPr="004F7FC3">
              <w:rPr>
                <w:rFonts w:ascii="Times New Roman" w:eastAsia="Calibri" w:hAnsi="Times New Roman" w:cs="Times New Roman"/>
                <w:b/>
                <w:bCs/>
                <w:kern w:val="0"/>
                <w:sz w:val="24"/>
                <w:szCs w:val="24"/>
                <w14:ligatures w14:val="none"/>
              </w:rPr>
              <w:tab/>
            </w:r>
            <w:r w:rsidRPr="004F7FC3">
              <w:rPr>
                <w:rFonts w:ascii="Times New Roman" w:eastAsia="Calibri" w:hAnsi="Times New Roman" w:cs="Times New Roman"/>
                <w:b/>
                <w:bCs/>
                <w:kern w:val="0"/>
                <w:sz w:val="24"/>
                <w:szCs w:val="24"/>
                <w14:ligatures w14:val="none"/>
              </w:rPr>
              <w:tab/>
              <w:t>Questionnaires</w:t>
            </w:r>
          </w:p>
        </w:tc>
        <w:tc>
          <w:tcPr>
            <w:tcW w:w="4410" w:type="dxa"/>
          </w:tcPr>
          <w:p w14:paraId="4F53548F" w14:textId="77777777" w:rsidR="00863BE1" w:rsidRPr="004F7FC3" w:rsidRDefault="00863BE1" w:rsidP="00B57B43">
            <w:pPr>
              <w:autoSpaceDE w:val="0"/>
              <w:autoSpaceDN w:val="0"/>
              <w:adjustRightInd w:val="0"/>
              <w:spacing w:after="0" w:line="360" w:lineRule="auto"/>
              <w:jc w:val="both"/>
              <w:rPr>
                <w:rFonts w:ascii="Times New Roman" w:eastAsia="Times New Roman" w:hAnsi="Times New Roman" w:cs="Times New Roman"/>
                <w:kern w:val="0"/>
                <w:sz w:val="24"/>
                <w:szCs w:val="24"/>
                <w14:ligatures w14:val="none"/>
              </w:rPr>
            </w:pPr>
            <w:r w:rsidRPr="004F7FC3">
              <w:rPr>
                <w:rFonts w:ascii="Times New Roman" w:eastAsia="Times New Roman" w:hAnsi="Times New Roman" w:cs="Times New Roman"/>
                <w:b/>
                <w:bCs/>
                <w:kern w:val="0"/>
                <w:sz w:val="24"/>
                <w:szCs w:val="24"/>
                <w14:ligatures w14:val="none"/>
              </w:rPr>
              <w:t>Number of Respondents</w:t>
            </w:r>
          </w:p>
        </w:tc>
      </w:tr>
      <w:tr w:rsidR="00863BE1" w:rsidRPr="004F7FC3" w14:paraId="3B9F398D" w14:textId="77777777" w:rsidTr="00B57B43">
        <w:tc>
          <w:tcPr>
            <w:tcW w:w="5040" w:type="dxa"/>
          </w:tcPr>
          <w:p w14:paraId="04FEC88D" w14:textId="77777777" w:rsidR="00863BE1" w:rsidRPr="004F7FC3" w:rsidRDefault="00863BE1" w:rsidP="00B57B43">
            <w:pPr>
              <w:spacing w:after="0" w:line="360" w:lineRule="auto"/>
              <w:jc w:val="center"/>
              <w:rPr>
                <w:rFonts w:ascii="Times New Roman" w:eastAsia="Calibri" w:hAnsi="Times New Roman" w:cs="Times New Roman"/>
                <w:b/>
                <w:bCs/>
                <w:kern w:val="0"/>
                <w:sz w:val="24"/>
                <w:szCs w:val="24"/>
                <w14:ligatures w14:val="none"/>
              </w:rPr>
            </w:pPr>
            <w:r w:rsidRPr="004F7FC3">
              <w:rPr>
                <w:rFonts w:ascii="Times New Roman" w:eastAsia="Calibri" w:hAnsi="Times New Roman" w:cs="Times New Roman"/>
                <w:bCs/>
                <w:kern w:val="0"/>
                <w:sz w:val="24"/>
                <w:szCs w:val="24"/>
                <w14:ligatures w14:val="none"/>
              </w:rPr>
              <w:t>Questionnaires issued out</w:t>
            </w:r>
          </w:p>
        </w:tc>
        <w:tc>
          <w:tcPr>
            <w:tcW w:w="4410" w:type="dxa"/>
          </w:tcPr>
          <w:p w14:paraId="3D608A1C" w14:textId="77777777" w:rsidR="00863BE1" w:rsidRPr="004F7FC3" w:rsidRDefault="00863BE1" w:rsidP="00B57B43">
            <w:pPr>
              <w:autoSpaceDE w:val="0"/>
              <w:autoSpaceDN w:val="0"/>
              <w:adjustRightInd w:val="0"/>
              <w:spacing w:after="0" w:line="360" w:lineRule="auto"/>
              <w:jc w:val="center"/>
              <w:rPr>
                <w:rFonts w:ascii="Times New Roman" w:eastAsia="Times New Roman" w:hAnsi="Times New Roman" w:cs="Times New Roman"/>
                <w:bCs/>
                <w:kern w:val="0"/>
                <w:sz w:val="24"/>
                <w:szCs w:val="24"/>
                <w14:ligatures w14:val="none"/>
              </w:rPr>
            </w:pPr>
            <w:r w:rsidRPr="004F7FC3">
              <w:rPr>
                <w:rFonts w:ascii="Times New Roman" w:eastAsia="Times New Roman" w:hAnsi="Times New Roman" w:cs="Times New Roman"/>
                <w:kern w:val="0"/>
                <w:sz w:val="24"/>
                <w:szCs w:val="24"/>
                <w14:ligatures w14:val="none"/>
              </w:rPr>
              <w:t>288</w:t>
            </w:r>
          </w:p>
        </w:tc>
      </w:tr>
      <w:tr w:rsidR="00863BE1" w:rsidRPr="004F7FC3" w14:paraId="689CB8E2" w14:textId="77777777" w:rsidTr="00B57B43">
        <w:tc>
          <w:tcPr>
            <w:tcW w:w="5040" w:type="dxa"/>
          </w:tcPr>
          <w:p w14:paraId="666FA6D8" w14:textId="77777777" w:rsidR="00863BE1" w:rsidRPr="004F7FC3" w:rsidRDefault="00863BE1" w:rsidP="00B57B43">
            <w:pPr>
              <w:spacing w:after="0" w:line="360" w:lineRule="auto"/>
              <w:jc w:val="center"/>
              <w:rPr>
                <w:rFonts w:ascii="Times New Roman" w:eastAsia="Calibri" w:hAnsi="Times New Roman" w:cs="Times New Roman"/>
                <w:bCs/>
                <w:kern w:val="0"/>
                <w:sz w:val="24"/>
                <w:szCs w:val="24"/>
                <w14:ligatures w14:val="none"/>
              </w:rPr>
            </w:pPr>
            <w:r w:rsidRPr="004F7FC3">
              <w:rPr>
                <w:rFonts w:ascii="Times New Roman" w:eastAsia="Calibri" w:hAnsi="Times New Roman" w:cs="Times New Roman"/>
                <w:bCs/>
                <w:kern w:val="0"/>
                <w:sz w:val="24"/>
                <w:szCs w:val="24"/>
                <w14:ligatures w14:val="none"/>
              </w:rPr>
              <w:t>Questionnaires recovered</w:t>
            </w:r>
          </w:p>
        </w:tc>
        <w:tc>
          <w:tcPr>
            <w:tcW w:w="4410" w:type="dxa"/>
          </w:tcPr>
          <w:p w14:paraId="64609764" w14:textId="77777777" w:rsidR="00863BE1" w:rsidRPr="004F7FC3" w:rsidRDefault="00863BE1" w:rsidP="00B57B43">
            <w:pPr>
              <w:autoSpaceDE w:val="0"/>
              <w:autoSpaceDN w:val="0"/>
              <w:adjustRightInd w:val="0"/>
              <w:spacing w:after="0" w:line="360" w:lineRule="auto"/>
              <w:jc w:val="center"/>
              <w:rPr>
                <w:rFonts w:ascii="Times New Roman" w:eastAsia="Times New Roman" w:hAnsi="Times New Roman" w:cs="Times New Roman"/>
                <w:bCs/>
                <w:kern w:val="0"/>
                <w:sz w:val="24"/>
                <w:szCs w:val="24"/>
                <w14:ligatures w14:val="none"/>
              </w:rPr>
            </w:pPr>
            <w:r w:rsidRPr="004F7FC3">
              <w:rPr>
                <w:rFonts w:ascii="Times New Roman" w:eastAsia="Times New Roman" w:hAnsi="Times New Roman" w:cs="Times New Roman"/>
                <w:bCs/>
                <w:kern w:val="0"/>
                <w:sz w:val="24"/>
                <w:szCs w:val="24"/>
                <w14:ligatures w14:val="none"/>
              </w:rPr>
              <w:t>220</w:t>
            </w:r>
          </w:p>
        </w:tc>
      </w:tr>
      <w:tr w:rsidR="00863BE1" w:rsidRPr="004F7FC3" w14:paraId="29CB8E54" w14:textId="77777777" w:rsidTr="00B57B43">
        <w:tc>
          <w:tcPr>
            <w:tcW w:w="5040" w:type="dxa"/>
          </w:tcPr>
          <w:p w14:paraId="5F6DA2F9" w14:textId="77777777" w:rsidR="00863BE1" w:rsidRPr="004F7FC3" w:rsidRDefault="00863BE1" w:rsidP="00B57B43">
            <w:pPr>
              <w:spacing w:after="0" w:line="360" w:lineRule="auto"/>
              <w:jc w:val="center"/>
              <w:rPr>
                <w:rFonts w:ascii="Times New Roman" w:eastAsia="Calibri" w:hAnsi="Times New Roman" w:cs="Times New Roman"/>
                <w:bCs/>
                <w:kern w:val="0"/>
                <w:sz w:val="24"/>
                <w:szCs w:val="24"/>
                <w14:ligatures w14:val="none"/>
              </w:rPr>
            </w:pPr>
            <w:r w:rsidRPr="004F7FC3">
              <w:rPr>
                <w:rFonts w:ascii="Times New Roman" w:eastAsia="Calibri" w:hAnsi="Times New Roman" w:cs="Times New Roman"/>
                <w:bCs/>
                <w:kern w:val="0"/>
                <w:sz w:val="24"/>
                <w:szCs w:val="24"/>
                <w14:ligatures w14:val="none"/>
              </w:rPr>
              <w:t>Questionnaires fully filled</w:t>
            </w:r>
          </w:p>
        </w:tc>
        <w:tc>
          <w:tcPr>
            <w:tcW w:w="4410" w:type="dxa"/>
          </w:tcPr>
          <w:p w14:paraId="0C120161" w14:textId="77777777" w:rsidR="00863BE1" w:rsidRPr="004F7FC3" w:rsidRDefault="00863BE1" w:rsidP="00B57B43">
            <w:pPr>
              <w:spacing w:after="0" w:line="360" w:lineRule="auto"/>
              <w:jc w:val="center"/>
              <w:rPr>
                <w:rFonts w:ascii="Times New Roman" w:eastAsia="Calibri" w:hAnsi="Times New Roman" w:cs="Times New Roman"/>
                <w:bCs/>
                <w:kern w:val="0"/>
                <w:sz w:val="24"/>
                <w:szCs w:val="24"/>
                <w14:ligatures w14:val="none"/>
              </w:rPr>
            </w:pPr>
            <w:r w:rsidRPr="004F7FC3">
              <w:rPr>
                <w:rFonts w:ascii="Times New Roman" w:eastAsia="Calibri" w:hAnsi="Times New Roman" w:cs="Times New Roman"/>
                <w:bCs/>
                <w:kern w:val="0"/>
                <w:sz w:val="24"/>
                <w:szCs w:val="24"/>
                <w14:ligatures w14:val="none"/>
              </w:rPr>
              <w:t>164</w:t>
            </w:r>
          </w:p>
        </w:tc>
      </w:tr>
      <w:tr w:rsidR="00863BE1" w:rsidRPr="004F7FC3" w14:paraId="07C3955C" w14:textId="77777777" w:rsidTr="00B57B43">
        <w:tc>
          <w:tcPr>
            <w:tcW w:w="5040" w:type="dxa"/>
          </w:tcPr>
          <w:p w14:paraId="011FE6D0" w14:textId="77777777" w:rsidR="00863BE1" w:rsidRPr="004F7FC3" w:rsidRDefault="00863BE1" w:rsidP="00B57B43">
            <w:pPr>
              <w:spacing w:after="0" w:line="360" w:lineRule="auto"/>
              <w:jc w:val="center"/>
              <w:rPr>
                <w:rFonts w:ascii="Times New Roman" w:eastAsia="Calibri" w:hAnsi="Times New Roman" w:cs="Times New Roman"/>
                <w:bCs/>
                <w:kern w:val="0"/>
                <w:sz w:val="24"/>
                <w:szCs w:val="24"/>
                <w14:ligatures w14:val="none"/>
              </w:rPr>
            </w:pPr>
            <w:r w:rsidRPr="004F7FC3">
              <w:rPr>
                <w:rFonts w:ascii="Times New Roman" w:eastAsia="Calibri" w:hAnsi="Times New Roman" w:cs="Times New Roman"/>
                <w:bCs/>
                <w:kern w:val="0"/>
                <w:sz w:val="24"/>
                <w:szCs w:val="24"/>
                <w14:ligatures w14:val="none"/>
              </w:rPr>
              <w:t>Questionnaires with blank spaces</w:t>
            </w:r>
          </w:p>
        </w:tc>
        <w:tc>
          <w:tcPr>
            <w:tcW w:w="4410" w:type="dxa"/>
          </w:tcPr>
          <w:p w14:paraId="3FE6792D" w14:textId="77777777" w:rsidR="00863BE1" w:rsidRPr="004F7FC3" w:rsidRDefault="00863BE1" w:rsidP="00B57B43">
            <w:pPr>
              <w:spacing w:after="0" w:line="360" w:lineRule="auto"/>
              <w:jc w:val="center"/>
              <w:rPr>
                <w:rFonts w:ascii="Times New Roman" w:eastAsia="Calibri" w:hAnsi="Times New Roman" w:cs="Times New Roman"/>
                <w:bCs/>
                <w:kern w:val="0"/>
                <w:sz w:val="24"/>
                <w:szCs w:val="24"/>
                <w14:ligatures w14:val="none"/>
              </w:rPr>
            </w:pPr>
            <w:r w:rsidRPr="004F7FC3">
              <w:rPr>
                <w:rFonts w:ascii="Times New Roman" w:eastAsia="Calibri" w:hAnsi="Times New Roman" w:cs="Times New Roman"/>
                <w:bCs/>
                <w:kern w:val="0"/>
                <w:sz w:val="24"/>
                <w:szCs w:val="24"/>
                <w14:ligatures w14:val="none"/>
              </w:rPr>
              <w:t>56</w:t>
            </w:r>
          </w:p>
        </w:tc>
      </w:tr>
      <w:tr w:rsidR="00863BE1" w:rsidRPr="004F7FC3" w14:paraId="316FECFD" w14:textId="77777777" w:rsidTr="00B57B43">
        <w:tc>
          <w:tcPr>
            <w:tcW w:w="5040" w:type="dxa"/>
          </w:tcPr>
          <w:p w14:paraId="75459979" w14:textId="77777777" w:rsidR="00863BE1" w:rsidRPr="004F7FC3" w:rsidRDefault="00863BE1" w:rsidP="00B57B43">
            <w:pPr>
              <w:spacing w:after="0" w:line="360" w:lineRule="auto"/>
              <w:jc w:val="center"/>
              <w:rPr>
                <w:rFonts w:ascii="Times New Roman" w:eastAsia="Calibri" w:hAnsi="Times New Roman" w:cs="Times New Roman"/>
                <w:bCs/>
                <w:kern w:val="0"/>
                <w:sz w:val="24"/>
                <w:szCs w:val="24"/>
                <w14:ligatures w14:val="none"/>
              </w:rPr>
            </w:pPr>
            <w:r w:rsidRPr="004F7FC3">
              <w:rPr>
                <w:rFonts w:ascii="Times New Roman" w:eastAsia="Calibri" w:hAnsi="Times New Roman" w:cs="Times New Roman"/>
                <w:bCs/>
                <w:kern w:val="0"/>
                <w:sz w:val="24"/>
                <w:szCs w:val="24"/>
                <w14:ligatures w14:val="none"/>
              </w:rPr>
              <w:t>Questionnaires considered for analysis</w:t>
            </w:r>
          </w:p>
        </w:tc>
        <w:tc>
          <w:tcPr>
            <w:tcW w:w="4410" w:type="dxa"/>
          </w:tcPr>
          <w:p w14:paraId="0A1DB9DC" w14:textId="77777777" w:rsidR="00863BE1" w:rsidRPr="004F7FC3" w:rsidRDefault="00863BE1" w:rsidP="00B57B43">
            <w:pPr>
              <w:spacing w:after="0" w:line="360" w:lineRule="auto"/>
              <w:jc w:val="center"/>
              <w:rPr>
                <w:rFonts w:ascii="Times New Roman" w:eastAsia="Calibri" w:hAnsi="Times New Roman" w:cs="Times New Roman"/>
                <w:bCs/>
                <w:kern w:val="0"/>
                <w:sz w:val="24"/>
                <w:szCs w:val="24"/>
                <w14:ligatures w14:val="none"/>
              </w:rPr>
            </w:pPr>
            <w:r w:rsidRPr="004F7FC3">
              <w:rPr>
                <w:rFonts w:ascii="Times New Roman" w:eastAsia="Calibri" w:hAnsi="Times New Roman" w:cs="Times New Roman"/>
                <w:bCs/>
                <w:kern w:val="0"/>
                <w:sz w:val="24"/>
                <w:szCs w:val="24"/>
                <w14:ligatures w14:val="none"/>
              </w:rPr>
              <w:t>164</w:t>
            </w:r>
          </w:p>
        </w:tc>
      </w:tr>
      <w:tr w:rsidR="00863BE1" w:rsidRPr="004F7FC3" w14:paraId="1AD2EFA9" w14:textId="77777777" w:rsidTr="00B57B43">
        <w:tc>
          <w:tcPr>
            <w:tcW w:w="5040" w:type="dxa"/>
          </w:tcPr>
          <w:p w14:paraId="2DE36500" w14:textId="77777777" w:rsidR="00863BE1" w:rsidRPr="004F7FC3" w:rsidRDefault="00863BE1" w:rsidP="00B57B43">
            <w:pPr>
              <w:spacing w:after="0" w:line="360" w:lineRule="auto"/>
              <w:jc w:val="center"/>
              <w:rPr>
                <w:rFonts w:ascii="Times New Roman" w:eastAsia="Calibri" w:hAnsi="Times New Roman" w:cs="Times New Roman"/>
                <w:b/>
                <w:bCs/>
                <w:kern w:val="0"/>
                <w:sz w:val="24"/>
                <w:szCs w:val="24"/>
                <w14:ligatures w14:val="none"/>
              </w:rPr>
            </w:pPr>
            <w:r w:rsidRPr="004F7FC3">
              <w:rPr>
                <w:rFonts w:ascii="Times New Roman" w:eastAsia="Calibri" w:hAnsi="Times New Roman" w:cs="Times New Roman"/>
                <w:b/>
                <w:bCs/>
                <w:kern w:val="0"/>
                <w:sz w:val="24"/>
                <w:szCs w:val="24"/>
                <w14:ligatures w14:val="none"/>
              </w:rPr>
              <w:t>Response rate (%)</w:t>
            </w:r>
          </w:p>
        </w:tc>
        <w:tc>
          <w:tcPr>
            <w:tcW w:w="4410" w:type="dxa"/>
          </w:tcPr>
          <w:p w14:paraId="07A68898" w14:textId="77777777" w:rsidR="00863BE1" w:rsidRPr="004F7FC3" w:rsidRDefault="00863BE1" w:rsidP="00B57B43">
            <w:pPr>
              <w:spacing w:after="0" w:line="360" w:lineRule="auto"/>
              <w:jc w:val="center"/>
              <w:rPr>
                <w:rFonts w:ascii="Times New Roman" w:eastAsia="Calibri" w:hAnsi="Times New Roman" w:cs="Times New Roman"/>
                <w:b/>
                <w:bCs/>
                <w:kern w:val="0"/>
                <w:sz w:val="24"/>
                <w:szCs w:val="24"/>
                <w14:ligatures w14:val="none"/>
              </w:rPr>
            </w:pPr>
            <w:r w:rsidRPr="004F7FC3">
              <w:rPr>
                <w:rFonts w:ascii="Times New Roman" w:eastAsia="Calibri" w:hAnsi="Times New Roman" w:cs="Times New Roman"/>
                <w:b/>
                <w:bCs/>
                <w:kern w:val="0"/>
                <w:sz w:val="24"/>
                <w:szCs w:val="24"/>
                <w14:ligatures w14:val="none"/>
              </w:rPr>
              <w:t>56.9%</w:t>
            </w:r>
          </w:p>
        </w:tc>
      </w:tr>
    </w:tbl>
    <w:p w14:paraId="2940E1F7" w14:textId="77777777" w:rsidR="00863BE1" w:rsidRPr="004F7FC3" w:rsidRDefault="00863BE1" w:rsidP="00863BE1">
      <w:pPr>
        <w:spacing w:after="0" w:line="360" w:lineRule="auto"/>
        <w:jc w:val="both"/>
        <w:rPr>
          <w:rFonts w:ascii="Times New Roman" w:eastAsia="Calibri" w:hAnsi="Times New Roman" w:cs="Times New Roman"/>
          <w:b/>
          <w:bCs/>
          <w:kern w:val="0"/>
          <w:sz w:val="24"/>
          <w:szCs w:val="24"/>
          <w14:ligatures w14:val="none"/>
        </w:rPr>
      </w:pPr>
      <w:r w:rsidRPr="004F7FC3">
        <w:rPr>
          <w:rFonts w:ascii="Times New Roman" w:eastAsia="Calibri" w:hAnsi="Times New Roman" w:cs="Times New Roman"/>
          <w:b/>
          <w:bCs/>
          <w:kern w:val="0"/>
          <w:sz w:val="24"/>
          <w:szCs w:val="24"/>
          <w14:ligatures w14:val="none"/>
        </w:rPr>
        <w:t>Source. Primary data, 2023</w:t>
      </w:r>
    </w:p>
    <w:p w14:paraId="392983B8" w14:textId="77777777" w:rsidR="00863BE1" w:rsidRPr="004F7FC3" w:rsidRDefault="00863BE1" w:rsidP="00863BE1">
      <w:pPr>
        <w:spacing w:after="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 xml:space="preserve">It is evident in Table 4.1 above that, 288 copies of the questionnaire were issued out to the respondents and the study was able to recover 220 questionnaires. Out these, 164 questionnaires were fully filled while 56 had blank spaces and were not included in data analysis. Those that we considered for data analysis were 164. This gave a response rate of 56.9%. It can therefore be concluded that the study obtained a good response rate as recommended by Mugenda and Mugenda (2007) that a response rate of 50% is adequate, </w:t>
      </w:r>
    </w:p>
    <w:p w14:paraId="08AEEC29" w14:textId="77777777" w:rsidR="00863BE1" w:rsidRPr="004F7FC3" w:rsidRDefault="00863BE1" w:rsidP="00863BE1">
      <w:pPr>
        <w:spacing w:line="360" w:lineRule="auto"/>
        <w:jc w:val="both"/>
        <w:rPr>
          <w:rFonts w:ascii="Times New Roman" w:eastAsiaTheme="majorEastAsia" w:hAnsi="Times New Roman" w:cs="Times New Roman"/>
          <w:b/>
          <w:bCs/>
          <w:spacing w:val="-10"/>
          <w:kern w:val="28"/>
          <w:sz w:val="24"/>
          <w:szCs w:val="24"/>
        </w:rPr>
      </w:pPr>
      <w:bookmarkStart w:id="44" w:name="_Toc524367198"/>
      <w:r w:rsidRPr="004F7FC3">
        <w:rPr>
          <w:rFonts w:ascii="Times New Roman" w:hAnsi="Times New Roman" w:cs="Times New Roman"/>
          <w:b/>
          <w:bCs/>
          <w:sz w:val="24"/>
          <w:szCs w:val="24"/>
        </w:rPr>
        <w:t>T</w:t>
      </w:r>
      <w:r w:rsidRPr="004F7FC3">
        <w:rPr>
          <w:rFonts w:ascii="Times New Roman" w:eastAsiaTheme="majorEastAsia" w:hAnsi="Times New Roman" w:cs="Times New Roman"/>
          <w:b/>
          <w:bCs/>
          <w:spacing w:val="-10"/>
          <w:kern w:val="28"/>
          <w:sz w:val="24"/>
          <w:szCs w:val="24"/>
        </w:rPr>
        <w:t xml:space="preserve">able 4.2 Descriptive Statistics on </w:t>
      </w:r>
      <w:bookmarkEnd w:id="44"/>
      <w:r w:rsidRPr="004F7FC3">
        <w:rPr>
          <w:rFonts w:ascii="Times New Roman" w:eastAsiaTheme="majorEastAsia" w:hAnsi="Times New Roman" w:cs="Times New Roman"/>
          <w:b/>
          <w:bCs/>
          <w:spacing w:val="-10"/>
          <w:kern w:val="28"/>
          <w:sz w:val="24"/>
          <w:szCs w:val="24"/>
        </w:rPr>
        <w:t xml:space="preserve">the </w:t>
      </w:r>
      <w:r w:rsidRPr="004F7FC3">
        <w:rPr>
          <w:rFonts w:ascii="Times New Roman" w:eastAsia="Calibri" w:hAnsi="Times New Roman" w:cs="Times New Roman"/>
          <w:b/>
          <w:bCs/>
          <w:kern w:val="0"/>
          <w:sz w:val="24"/>
          <w:szCs w:val="24"/>
          <w14:ligatures w14:val="none"/>
        </w:rPr>
        <w:t>effect of trust-based relationship on operational performance of Commercial Banks</w:t>
      </w:r>
    </w:p>
    <w:tbl>
      <w:tblPr>
        <w:tblStyle w:val="TableGrid2"/>
        <w:tblW w:w="9900" w:type="dxa"/>
        <w:tblInd w:w="-10" w:type="dxa"/>
        <w:tblBorders>
          <w:top w:val="single" w:sz="18" w:space="0" w:color="000000"/>
          <w:left w:val="single" w:sz="18" w:space="0" w:color="000000"/>
          <w:bottom w:val="single" w:sz="18" w:space="0" w:color="000000"/>
          <w:right w:val="single" w:sz="18" w:space="0" w:color="000000"/>
          <w:insideH w:val="single" w:sz="6" w:space="0" w:color="auto"/>
          <w:insideV w:val="single" w:sz="6" w:space="0" w:color="auto"/>
        </w:tblBorders>
        <w:tblLook w:val="04A0" w:firstRow="1" w:lastRow="0" w:firstColumn="1" w:lastColumn="0" w:noHBand="0" w:noVBand="1"/>
      </w:tblPr>
      <w:tblGrid>
        <w:gridCol w:w="5403"/>
        <w:gridCol w:w="968"/>
        <w:gridCol w:w="1620"/>
        <w:gridCol w:w="1909"/>
      </w:tblGrid>
      <w:tr w:rsidR="00863BE1" w:rsidRPr="004F7FC3" w14:paraId="109AD179" w14:textId="77777777" w:rsidTr="00B57B43">
        <w:tc>
          <w:tcPr>
            <w:tcW w:w="5403" w:type="dxa"/>
          </w:tcPr>
          <w:p w14:paraId="39A68ADB" w14:textId="77777777" w:rsidR="00863BE1" w:rsidRPr="004F7FC3" w:rsidRDefault="00863BE1" w:rsidP="00B57B43">
            <w:pPr>
              <w:spacing w:line="360" w:lineRule="auto"/>
              <w:jc w:val="both"/>
              <w:rPr>
                <w:rFonts w:ascii="Times New Roman" w:eastAsia="Calibri" w:hAnsi="Times New Roman" w:cs="Times New Roman"/>
                <w:b/>
                <w:sz w:val="24"/>
                <w:szCs w:val="24"/>
              </w:rPr>
            </w:pPr>
            <w:r w:rsidRPr="004F7FC3">
              <w:rPr>
                <w:rFonts w:ascii="Times New Roman" w:eastAsia="Calibri" w:hAnsi="Times New Roman" w:cs="Times New Roman"/>
                <w:b/>
                <w:sz w:val="24"/>
                <w:szCs w:val="24"/>
              </w:rPr>
              <w:t>Trust Based Relationship</w:t>
            </w:r>
          </w:p>
        </w:tc>
        <w:tc>
          <w:tcPr>
            <w:tcW w:w="968" w:type="dxa"/>
          </w:tcPr>
          <w:p w14:paraId="4529C29C" w14:textId="77777777" w:rsidR="00863BE1" w:rsidRPr="004F7FC3" w:rsidRDefault="00863BE1" w:rsidP="00B57B43">
            <w:pPr>
              <w:spacing w:line="360" w:lineRule="auto"/>
              <w:jc w:val="both"/>
              <w:rPr>
                <w:rFonts w:ascii="Times New Roman" w:eastAsia="Calibri" w:hAnsi="Times New Roman" w:cs="Times New Roman"/>
                <w:b/>
                <w:sz w:val="24"/>
                <w:szCs w:val="24"/>
              </w:rPr>
            </w:pPr>
            <w:r w:rsidRPr="004F7FC3">
              <w:rPr>
                <w:rFonts w:ascii="Times New Roman" w:eastAsia="Calibri" w:hAnsi="Times New Roman" w:cs="Times New Roman"/>
                <w:b/>
                <w:sz w:val="24"/>
                <w:szCs w:val="24"/>
              </w:rPr>
              <w:t>Mean</w:t>
            </w:r>
          </w:p>
        </w:tc>
        <w:tc>
          <w:tcPr>
            <w:tcW w:w="1620" w:type="dxa"/>
          </w:tcPr>
          <w:p w14:paraId="6E1BA659" w14:textId="77777777" w:rsidR="00863BE1" w:rsidRPr="004F7FC3" w:rsidRDefault="00863BE1" w:rsidP="00B57B43">
            <w:pPr>
              <w:spacing w:line="360" w:lineRule="auto"/>
              <w:jc w:val="both"/>
              <w:rPr>
                <w:rFonts w:ascii="Times New Roman" w:eastAsia="Calibri" w:hAnsi="Times New Roman" w:cs="Times New Roman"/>
                <w:b/>
                <w:sz w:val="24"/>
                <w:szCs w:val="24"/>
              </w:rPr>
            </w:pPr>
            <w:r w:rsidRPr="004F7FC3">
              <w:rPr>
                <w:rFonts w:ascii="Times New Roman" w:eastAsia="Calibri" w:hAnsi="Times New Roman" w:cs="Times New Roman"/>
                <w:b/>
                <w:sz w:val="24"/>
                <w:szCs w:val="24"/>
              </w:rPr>
              <w:t>Std. Deviation</w:t>
            </w:r>
          </w:p>
        </w:tc>
        <w:tc>
          <w:tcPr>
            <w:tcW w:w="1909" w:type="dxa"/>
          </w:tcPr>
          <w:p w14:paraId="35C98FB5" w14:textId="77777777" w:rsidR="00863BE1" w:rsidRPr="004F7FC3" w:rsidRDefault="00863BE1" w:rsidP="00B57B43">
            <w:pPr>
              <w:spacing w:line="360" w:lineRule="auto"/>
              <w:jc w:val="both"/>
              <w:rPr>
                <w:rFonts w:ascii="Times New Roman" w:eastAsia="Calibri" w:hAnsi="Times New Roman" w:cs="Times New Roman"/>
                <w:b/>
                <w:sz w:val="24"/>
                <w:szCs w:val="24"/>
              </w:rPr>
            </w:pPr>
            <w:r w:rsidRPr="004F7FC3">
              <w:rPr>
                <w:rFonts w:ascii="Times New Roman" w:eastAsia="Calibri" w:hAnsi="Times New Roman" w:cs="Times New Roman"/>
                <w:b/>
                <w:sz w:val="24"/>
                <w:szCs w:val="24"/>
              </w:rPr>
              <w:t>Interpretation</w:t>
            </w:r>
          </w:p>
        </w:tc>
      </w:tr>
      <w:tr w:rsidR="00863BE1" w:rsidRPr="004F7FC3" w14:paraId="093E0198" w14:textId="77777777" w:rsidTr="00B57B43">
        <w:tc>
          <w:tcPr>
            <w:tcW w:w="5403" w:type="dxa"/>
          </w:tcPr>
          <w:p w14:paraId="1E62C3B5"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We develop the supplier competency through training them</w:t>
            </w:r>
          </w:p>
        </w:tc>
        <w:tc>
          <w:tcPr>
            <w:tcW w:w="968" w:type="dxa"/>
          </w:tcPr>
          <w:p w14:paraId="4DFACBCC"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3.98</w:t>
            </w:r>
          </w:p>
        </w:tc>
        <w:tc>
          <w:tcPr>
            <w:tcW w:w="1620" w:type="dxa"/>
          </w:tcPr>
          <w:p w14:paraId="2969312B"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1.167</w:t>
            </w:r>
          </w:p>
        </w:tc>
        <w:tc>
          <w:tcPr>
            <w:tcW w:w="1909" w:type="dxa"/>
          </w:tcPr>
          <w:p w14:paraId="43901337"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Good</w:t>
            </w:r>
          </w:p>
        </w:tc>
      </w:tr>
      <w:tr w:rsidR="00863BE1" w:rsidRPr="004F7FC3" w14:paraId="77055077" w14:textId="77777777" w:rsidTr="00B57B43">
        <w:tc>
          <w:tcPr>
            <w:tcW w:w="5403" w:type="dxa"/>
          </w:tcPr>
          <w:p w14:paraId="2ACFEB2D"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 xml:space="preserve">There is development of the suppliers through information </w:t>
            </w:r>
          </w:p>
          <w:p w14:paraId="057DF7B7"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provisions</w:t>
            </w:r>
          </w:p>
        </w:tc>
        <w:tc>
          <w:tcPr>
            <w:tcW w:w="968" w:type="dxa"/>
          </w:tcPr>
          <w:p w14:paraId="4C94DD34"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3.76</w:t>
            </w:r>
          </w:p>
        </w:tc>
        <w:tc>
          <w:tcPr>
            <w:tcW w:w="1620" w:type="dxa"/>
          </w:tcPr>
          <w:p w14:paraId="05F6F6CD"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1.277</w:t>
            </w:r>
          </w:p>
        </w:tc>
        <w:tc>
          <w:tcPr>
            <w:tcW w:w="1909" w:type="dxa"/>
          </w:tcPr>
          <w:p w14:paraId="6E66C0F4"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Good</w:t>
            </w:r>
          </w:p>
        </w:tc>
      </w:tr>
      <w:tr w:rsidR="00863BE1" w:rsidRPr="004F7FC3" w14:paraId="66051D61" w14:textId="77777777" w:rsidTr="00B57B43">
        <w:tc>
          <w:tcPr>
            <w:tcW w:w="5403" w:type="dxa"/>
          </w:tcPr>
          <w:p w14:paraId="21ECE0F0"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 xml:space="preserve">We develop the suppliers on the aspects of quality </w:t>
            </w:r>
            <w:r w:rsidRPr="004F7FC3">
              <w:rPr>
                <w:rFonts w:ascii="Times New Roman" w:eastAsia="Calibri" w:hAnsi="Times New Roman" w:cs="Times New Roman"/>
                <w:sz w:val="24"/>
                <w:szCs w:val="24"/>
              </w:rPr>
              <w:lastRenderedPageBreak/>
              <w:t>management</w:t>
            </w:r>
          </w:p>
        </w:tc>
        <w:tc>
          <w:tcPr>
            <w:tcW w:w="968" w:type="dxa"/>
          </w:tcPr>
          <w:p w14:paraId="177E2CD5"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lastRenderedPageBreak/>
              <w:t>3.71</w:t>
            </w:r>
          </w:p>
        </w:tc>
        <w:tc>
          <w:tcPr>
            <w:tcW w:w="1620" w:type="dxa"/>
          </w:tcPr>
          <w:p w14:paraId="5E8AB275"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1.286</w:t>
            </w:r>
          </w:p>
        </w:tc>
        <w:tc>
          <w:tcPr>
            <w:tcW w:w="1909" w:type="dxa"/>
          </w:tcPr>
          <w:p w14:paraId="09ED0C7F"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Good</w:t>
            </w:r>
          </w:p>
        </w:tc>
      </w:tr>
      <w:tr w:rsidR="00863BE1" w:rsidRPr="004F7FC3" w14:paraId="1A6F10EF" w14:textId="77777777" w:rsidTr="00B57B43">
        <w:tc>
          <w:tcPr>
            <w:tcW w:w="5403" w:type="dxa"/>
          </w:tcPr>
          <w:p w14:paraId="6D4509BF"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lastRenderedPageBreak/>
              <w:t>The suppliers are developed on the terms of innovativeness and flexibility</w:t>
            </w:r>
          </w:p>
        </w:tc>
        <w:tc>
          <w:tcPr>
            <w:tcW w:w="968" w:type="dxa"/>
          </w:tcPr>
          <w:p w14:paraId="0C93D9BA"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3.63</w:t>
            </w:r>
          </w:p>
        </w:tc>
        <w:tc>
          <w:tcPr>
            <w:tcW w:w="1620" w:type="dxa"/>
          </w:tcPr>
          <w:p w14:paraId="1F14796F"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1.224</w:t>
            </w:r>
          </w:p>
        </w:tc>
        <w:tc>
          <w:tcPr>
            <w:tcW w:w="1909" w:type="dxa"/>
          </w:tcPr>
          <w:p w14:paraId="6F834806"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Good</w:t>
            </w:r>
          </w:p>
        </w:tc>
      </w:tr>
      <w:tr w:rsidR="00863BE1" w:rsidRPr="004F7FC3" w14:paraId="2E7297CB" w14:textId="77777777" w:rsidTr="00B57B43">
        <w:tc>
          <w:tcPr>
            <w:tcW w:w="5403" w:type="dxa"/>
          </w:tcPr>
          <w:p w14:paraId="31E952F4"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 xml:space="preserve">We provide Operational development for the suppliers in the </w:t>
            </w:r>
          </w:p>
          <w:p w14:paraId="5F2021F9"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organization</w:t>
            </w:r>
          </w:p>
        </w:tc>
        <w:tc>
          <w:tcPr>
            <w:tcW w:w="968" w:type="dxa"/>
          </w:tcPr>
          <w:p w14:paraId="6EC4244C"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2.58</w:t>
            </w:r>
          </w:p>
        </w:tc>
        <w:tc>
          <w:tcPr>
            <w:tcW w:w="1620" w:type="dxa"/>
          </w:tcPr>
          <w:p w14:paraId="75B16574"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1.306</w:t>
            </w:r>
          </w:p>
        </w:tc>
        <w:tc>
          <w:tcPr>
            <w:tcW w:w="1909" w:type="dxa"/>
          </w:tcPr>
          <w:p w14:paraId="318DF812"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Poor</w:t>
            </w:r>
          </w:p>
        </w:tc>
      </w:tr>
      <w:tr w:rsidR="00863BE1" w:rsidRPr="004F7FC3" w14:paraId="544DE06A" w14:textId="77777777" w:rsidTr="00B57B43">
        <w:tc>
          <w:tcPr>
            <w:tcW w:w="5403" w:type="dxa"/>
          </w:tcPr>
          <w:p w14:paraId="7D3604A2"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There is supplier development framework for the categories of suppliers</w:t>
            </w:r>
          </w:p>
        </w:tc>
        <w:tc>
          <w:tcPr>
            <w:tcW w:w="968" w:type="dxa"/>
          </w:tcPr>
          <w:p w14:paraId="1C5CBC68"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2.05</w:t>
            </w:r>
          </w:p>
        </w:tc>
        <w:tc>
          <w:tcPr>
            <w:tcW w:w="1620" w:type="dxa"/>
          </w:tcPr>
          <w:p w14:paraId="2CB49782"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.0964</w:t>
            </w:r>
          </w:p>
        </w:tc>
        <w:tc>
          <w:tcPr>
            <w:tcW w:w="1909" w:type="dxa"/>
          </w:tcPr>
          <w:p w14:paraId="272512C5"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Poor</w:t>
            </w:r>
          </w:p>
        </w:tc>
      </w:tr>
      <w:tr w:rsidR="00863BE1" w:rsidRPr="004F7FC3" w14:paraId="3DA60D83" w14:textId="77777777" w:rsidTr="00B57B43">
        <w:trPr>
          <w:trHeight w:val="368"/>
        </w:trPr>
        <w:tc>
          <w:tcPr>
            <w:tcW w:w="5403" w:type="dxa"/>
          </w:tcPr>
          <w:p w14:paraId="4AA71BF9" w14:textId="77777777" w:rsidR="00863BE1" w:rsidRPr="004F7FC3" w:rsidRDefault="00863BE1" w:rsidP="00B57B43">
            <w:pPr>
              <w:spacing w:line="360" w:lineRule="auto"/>
              <w:jc w:val="both"/>
              <w:rPr>
                <w:rFonts w:ascii="Times New Roman" w:eastAsia="Calibri" w:hAnsi="Times New Roman" w:cs="Times New Roman"/>
                <w:b/>
                <w:bCs/>
                <w:sz w:val="24"/>
                <w:szCs w:val="24"/>
              </w:rPr>
            </w:pPr>
            <w:r w:rsidRPr="004F7FC3">
              <w:rPr>
                <w:rFonts w:ascii="Times New Roman" w:eastAsia="Calibri" w:hAnsi="Times New Roman" w:cs="Times New Roman"/>
                <w:b/>
                <w:bCs/>
                <w:sz w:val="24"/>
                <w:szCs w:val="24"/>
              </w:rPr>
              <w:t>OVERALL MEAN</w:t>
            </w:r>
          </w:p>
        </w:tc>
        <w:tc>
          <w:tcPr>
            <w:tcW w:w="968" w:type="dxa"/>
          </w:tcPr>
          <w:p w14:paraId="07E8F4A7" w14:textId="77777777" w:rsidR="00863BE1" w:rsidRPr="004F7FC3" w:rsidRDefault="00863BE1" w:rsidP="00B57B43">
            <w:pPr>
              <w:spacing w:line="360" w:lineRule="auto"/>
              <w:jc w:val="both"/>
              <w:rPr>
                <w:rFonts w:ascii="Times New Roman" w:eastAsia="Calibri" w:hAnsi="Times New Roman" w:cs="Times New Roman"/>
                <w:b/>
                <w:bCs/>
                <w:sz w:val="24"/>
                <w:szCs w:val="24"/>
              </w:rPr>
            </w:pPr>
            <w:r w:rsidRPr="004F7FC3">
              <w:rPr>
                <w:rFonts w:ascii="Times New Roman" w:eastAsia="Calibri" w:hAnsi="Times New Roman" w:cs="Times New Roman"/>
                <w:b/>
                <w:bCs/>
                <w:sz w:val="24"/>
                <w:szCs w:val="24"/>
              </w:rPr>
              <w:t>3.29</w:t>
            </w:r>
          </w:p>
        </w:tc>
        <w:tc>
          <w:tcPr>
            <w:tcW w:w="1620" w:type="dxa"/>
          </w:tcPr>
          <w:p w14:paraId="0EFE724E" w14:textId="77777777" w:rsidR="00863BE1" w:rsidRPr="004F7FC3" w:rsidRDefault="00863BE1" w:rsidP="00B57B43">
            <w:pPr>
              <w:spacing w:line="360" w:lineRule="auto"/>
              <w:jc w:val="both"/>
              <w:rPr>
                <w:rFonts w:ascii="Times New Roman" w:eastAsia="Calibri" w:hAnsi="Times New Roman" w:cs="Times New Roman"/>
                <w:b/>
                <w:bCs/>
                <w:sz w:val="24"/>
                <w:szCs w:val="24"/>
              </w:rPr>
            </w:pPr>
            <w:r w:rsidRPr="004F7FC3">
              <w:rPr>
                <w:rFonts w:ascii="Times New Roman" w:eastAsia="Calibri" w:hAnsi="Times New Roman" w:cs="Times New Roman"/>
                <w:b/>
                <w:bCs/>
                <w:sz w:val="24"/>
                <w:szCs w:val="24"/>
              </w:rPr>
              <w:t>1.204</w:t>
            </w:r>
          </w:p>
        </w:tc>
        <w:tc>
          <w:tcPr>
            <w:tcW w:w="1909" w:type="dxa"/>
          </w:tcPr>
          <w:p w14:paraId="5273C053" w14:textId="77777777" w:rsidR="00863BE1" w:rsidRPr="004F7FC3" w:rsidRDefault="00863BE1" w:rsidP="00B57B43">
            <w:pPr>
              <w:spacing w:line="360" w:lineRule="auto"/>
              <w:jc w:val="both"/>
              <w:rPr>
                <w:rFonts w:ascii="Times New Roman" w:eastAsia="Calibri" w:hAnsi="Times New Roman" w:cs="Times New Roman"/>
                <w:b/>
                <w:bCs/>
                <w:sz w:val="24"/>
                <w:szCs w:val="24"/>
              </w:rPr>
            </w:pPr>
            <w:r w:rsidRPr="004F7FC3">
              <w:rPr>
                <w:rFonts w:ascii="Times New Roman" w:eastAsia="Calibri" w:hAnsi="Times New Roman" w:cs="Times New Roman"/>
                <w:b/>
                <w:bCs/>
                <w:sz w:val="24"/>
                <w:szCs w:val="24"/>
              </w:rPr>
              <w:t>Good</w:t>
            </w:r>
          </w:p>
        </w:tc>
      </w:tr>
    </w:tbl>
    <w:p w14:paraId="266140DE" w14:textId="77777777" w:rsidR="00863BE1" w:rsidRPr="004F7FC3" w:rsidRDefault="00863BE1" w:rsidP="00863BE1">
      <w:pPr>
        <w:autoSpaceDE w:val="0"/>
        <w:autoSpaceDN w:val="0"/>
        <w:adjustRightInd w:val="0"/>
        <w:spacing w:after="0" w:line="360" w:lineRule="auto"/>
        <w:jc w:val="both"/>
        <w:rPr>
          <w:rFonts w:ascii="Times New Roman" w:eastAsia="Calibri" w:hAnsi="Times New Roman" w:cs="Times New Roman"/>
          <w:b/>
          <w:i/>
          <w:kern w:val="0"/>
          <w:sz w:val="24"/>
          <w:szCs w:val="24"/>
          <w14:ligatures w14:val="none"/>
        </w:rPr>
      </w:pPr>
      <w:r w:rsidRPr="004F7FC3">
        <w:rPr>
          <w:rFonts w:ascii="Times New Roman" w:eastAsia="Calibri" w:hAnsi="Times New Roman" w:cs="Times New Roman"/>
          <w:b/>
          <w:i/>
          <w:kern w:val="0"/>
          <w:sz w:val="24"/>
          <w:szCs w:val="24"/>
          <w14:ligatures w14:val="none"/>
        </w:rPr>
        <w:t>Source: Authors Computation from Primary Data 2023 (With SPSS)</w:t>
      </w:r>
    </w:p>
    <w:p w14:paraId="7C025C29" w14:textId="77777777" w:rsidR="00863BE1" w:rsidRPr="004F7FC3" w:rsidRDefault="00863BE1" w:rsidP="00863BE1">
      <w:pPr>
        <w:spacing w:line="360" w:lineRule="auto"/>
        <w:jc w:val="both"/>
        <w:rPr>
          <w:rFonts w:ascii="Times New Roman" w:hAnsi="Times New Roman" w:cs="Times New Roman"/>
          <w:sz w:val="24"/>
          <w:szCs w:val="24"/>
        </w:rPr>
      </w:pPr>
      <w:r w:rsidRPr="004F7FC3">
        <w:rPr>
          <w:rFonts w:ascii="Times New Roman" w:hAnsi="Times New Roman" w:cs="Times New Roman"/>
          <w:sz w:val="24"/>
          <w:szCs w:val="24"/>
        </w:rPr>
        <w:t>The findings in Table 4.2 on</w:t>
      </w:r>
      <w:r w:rsidRPr="004F7FC3">
        <w:rPr>
          <w:rFonts w:ascii="Times New Roman" w:eastAsiaTheme="majorEastAsia" w:hAnsi="Times New Roman" w:cs="Times New Roman"/>
          <w:spacing w:val="-10"/>
          <w:kern w:val="28"/>
          <w:sz w:val="24"/>
          <w:szCs w:val="24"/>
        </w:rPr>
        <w:t xml:space="preserve"> the </w:t>
      </w:r>
      <w:r w:rsidRPr="004F7FC3">
        <w:rPr>
          <w:rFonts w:ascii="Times New Roman" w:eastAsia="Calibri" w:hAnsi="Times New Roman" w:cs="Times New Roman"/>
          <w:kern w:val="0"/>
          <w:sz w:val="24"/>
          <w:szCs w:val="24"/>
          <w14:ligatures w14:val="none"/>
        </w:rPr>
        <w:t>effect of trust-based relationship on operational performance of Commercial Banks</w:t>
      </w:r>
      <w:r w:rsidRPr="004F7FC3">
        <w:rPr>
          <w:rFonts w:ascii="Times New Roman" w:hAnsi="Times New Roman" w:cs="Times New Roman"/>
          <w:sz w:val="24"/>
          <w:szCs w:val="24"/>
        </w:rPr>
        <w:t>. The average mean responses were that of 3.29, SD=1.204 interpreted as good implying that the state of the trust-based relationship was quite good. The results regarding developing the supplier competency through training them had the mean of 3.98, SD=.1.167 interpreted as good meaning that supplier’s competence through training is well crucial in the performance of the bank. Furthermore, concerning the aspect of there is development of the suppliers through information provisions, it had the mean of 3.76, SD=1.277 interpreted as good meaning that supplier information sharing is more important in the performance of the bank. The findings concerning, we develop the suppliers on the aspects of quality management had the mean of 3.71 and SD= 1.286 interpreted as good while We provide Operational development for the suppliers in the organization had the mean of 2.63 SD=1.224 interpreted as poor meaning that the development for suppliers is quite low on Operational grounds and finally supplier development framework for the categories of suppliers was poor as it had a mean of 2.05 and SD=.0964</w:t>
      </w:r>
    </w:p>
    <w:p w14:paraId="01969718" w14:textId="77777777" w:rsidR="00863BE1" w:rsidRPr="004F7FC3" w:rsidRDefault="00863BE1" w:rsidP="00863BE1">
      <w:pPr>
        <w:spacing w:line="360" w:lineRule="auto"/>
        <w:jc w:val="both"/>
        <w:rPr>
          <w:rFonts w:ascii="Times New Roman" w:hAnsi="Times New Roman" w:cs="Times New Roman"/>
          <w:b/>
          <w:bCs/>
          <w:sz w:val="24"/>
          <w:szCs w:val="24"/>
        </w:rPr>
      </w:pPr>
      <w:bookmarkStart w:id="45" w:name="_Toc524367204"/>
    </w:p>
    <w:p w14:paraId="092F337D" w14:textId="77777777" w:rsidR="00863BE1" w:rsidRPr="004F7FC3" w:rsidRDefault="00863BE1" w:rsidP="00863BE1">
      <w:pPr>
        <w:spacing w:line="360" w:lineRule="auto"/>
        <w:jc w:val="both"/>
        <w:rPr>
          <w:rFonts w:ascii="Times New Roman" w:hAnsi="Times New Roman" w:cs="Times New Roman"/>
          <w:b/>
          <w:bCs/>
          <w:sz w:val="24"/>
          <w:szCs w:val="24"/>
        </w:rPr>
      </w:pPr>
    </w:p>
    <w:p w14:paraId="72D6E5A0" w14:textId="77777777" w:rsidR="00863BE1" w:rsidRPr="004F7FC3" w:rsidRDefault="00863BE1" w:rsidP="00863BE1">
      <w:pPr>
        <w:spacing w:line="360" w:lineRule="auto"/>
        <w:jc w:val="both"/>
        <w:rPr>
          <w:rFonts w:ascii="Times New Roman" w:hAnsi="Times New Roman" w:cs="Times New Roman"/>
          <w:b/>
          <w:bCs/>
          <w:sz w:val="24"/>
          <w:szCs w:val="24"/>
        </w:rPr>
      </w:pPr>
    </w:p>
    <w:p w14:paraId="39341EB4" w14:textId="77777777" w:rsidR="00863BE1" w:rsidRPr="004F7FC3" w:rsidRDefault="00863BE1" w:rsidP="00863BE1">
      <w:pPr>
        <w:spacing w:line="360" w:lineRule="auto"/>
        <w:jc w:val="both"/>
        <w:rPr>
          <w:rFonts w:ascii="Times New Roman" w:hAnsi="Times New Roman" w:cs="Times New Roman"/>
          <w:b/>
          <w:bCs/>
          <w:sz w:val="24"/>
          <w:szCs w:val="24"/>
        </w:rPr>
      </w:pPr>
      <w:r w:rsidRPr="004F7FC3">
        <w:rPr>
          <w:rFonts w:ascii="Times New Roman" w:hAnsi="Times New Roman" w:cs="Times New Roman"/>
          <w:b/>
          <w:bCs/>
          <w:sz w:val="24"/>
          <w:szCs w:val="24"/>
        </w:rPr>
        <w:t xml:space="preserve">Table 4.3 Descriptive Statistics on </w:t>
      </w:r>
      <w:bookmarkEnd w:id="45"/>
      <w:r w:rsidRPr="004F7FC3">
        <w:rPr>
          <w:rFonts w:ascii="Times New Roman" w:hAnsi="Times New Roman" w:cs="Times New Roman"/>
          <w:b/>
          <w:bCs/>
          <w:sz w:val="24"/>
          <w:szCs w:val="24"/>
        </w:rPr>
        <w:t>information sharing, N=164</w:t>
      </w:r>
    </w:p>
    <w:tbl>
      <w:tblPr>
        <w:tblStyle w:val="TableGrid2"/>
        <w:tblW w:w="9980" w:type="dxa"/>
        <w:tblBorders>
          <w:top w:val="single" w:sz="18" w:space="0" w:color="000000"/>
          <w:left w:val="single" w:sz="18" w:space="0" w:color="000000"/>
          <w:bottom w:val="single" w:sz="18" w:space="0" w:color="000000"/>
          <w:right w:val="single" w:sz="18" w:space="0" w:color="000000"/>
          <w:insideH w:val="single" w:sz="6" w:space="0" w:color="auto"/>
          <w:insideV w:val="single" w:sz="6" w:space="0" w:color="auto"/>
        </w:tblBorders>
        <w:tblLook w:val="04A0" w:firstRow="1" w:lastRow="0" w:firstColumn="1" w:lastColumn="0" w:noHBand="0" w:noVBand="1"/>
      </w:tblPr>
      <w:tblGrid>
        <w:gridCol w:w="5120"/>
        <w:gridCol w:w="1170"/>
        <w:gridCol w:w="1620"/>
        <w:gridCol w:w="2070"/>
      </w:tblGrid>
      <w:tr w:rsidR="00863BE1" w:rsidRPr="004F7FC3" w14:paraId="4C33FB17" w14:textId="77777777" w:rsidTr="00B57B43">
        <w:tc>
          <w:tcPr>
            <w:tcW w:w="5120" w:type="dxa"/>
          </w:tcPr>
          <w:p w14:paraId="1F8AAD18" w14:textId="77777777" w:rsidR="00863BE1" w:rsidRPr="004F7FC3" w:rsidRDefault="00863BE1" w:rsidP="00B57B43">
            <w:pPr>
              <w:spacing w:line="360" w:lineRule="auto"/>
              <w:jc w:val="both"/>
              <w:rPr>
                <w:rFonts w:ascii="Times New Roman" w:eastAsia="Calibri" w:hAnsi="Times New Roman" w:cs="Times New Roman"/>
                <w:b/>
                <w:sz w:val="24"/>
                <w:szCs w:val="24"/>
              </w:rPr>
            </w:pPr>
            <w:bookmarkStart w:id="46" w:name="_Hlk128592578"/>
            <w:r w:rsidRPr="004F7FC3">
              <w:rPr>
                <w:rFonts w:ascii="Times New Roman" w:eastAsia="Calibri" w:hAnsi="Times New Roman" w:cs="Times New Roman"/>
                <w:b/>
                <w:sz w:val="24"/>
                <w:szCs w:val="24"/>
              </w:rPr>
              <w:t>Information sharing</w:t>
            </w:r>
          </w:p>
        </w:tc>
        <w:tc>
          <w:tcPr>
            <w:tcW w:w="1170" w:type="dxa"/>
          </w:tcPr>
          <w:p w14:paraId="261F330F" w14:textId="77777777" w:rsidR="00863BE1" w:rsidRPr="004F7FC3" w:rsidRDefault="00863BE1" w:rsidP="00B57B43">
            <w:pPr>
              <w:spacing w:line="360" w:lineRule="auto"/>
              <w:jc w:val="both"/>
              <w:rPr>
                <w:rFonts w:ascii="Times New Roman" w:eastAsia="Calibri" w:hAnsi="Times New Roman" w:cs="Times New Roman"/>
                <w:b/>
                <w:sz w:val="24"/>
                <w:szCs w:val="24"/>
              </w:rPr>
            </w:pPr>
            <w:r w:rsidRPr="004F7FC3">
              <w:rPr>
                <w:rFonts w:ascii="Times New Roman" w:eastAsia="Calibri" w:hAnsi="Times New Roman" w:cs="Times New Roman"/>
                <w:b/>
                <w:sz w:val="24"/>
                <w:szCs w:val="24"/>
              </w:rPr>
              <w:t>Mean</w:t>
            </w:r>
          </w:p>
        </w:tc>
        <w:tc>
          <w:tcPr>
            <w:tcW w:w="1620" w:type="dxa"/>
          </w:tcPr>
          <w:p w14:paraId="15F688EA" w14:textId="77777777" w:rsidR="00863BE1" w:rsidRPr="004F7FC3" w:rsidRDefault="00863BE1" w:rsidP="00B57B43">
            <w:pPr>
              <w:spacing w:line="360" w:lineRule="auto"/>
              <w:jc w:val="both"/>
              <w:rPr>
                <w:rFonts w:ascii="Times New Roman" w:eastAsia="Calibri" w:hAnsi="Times New Roman" w:cs="Times New Roman"/>
                <w:b/>
                <w:sz w:val="24"/>
                <w:szCs w:val="24"/>
              </w:rPr>
            </w:pPr>
            <w:r w:rsidRPr="004F7FC3">
              <w:rPr>
                <w:rFonts w:ascii="Times New Roman" w:eastAsia="Calibri" w:hAnsi="Times New Roman" w:cs="Times New Roman"/>
                <w:b/>
                <w:sz w:val="24"/>
                <w:szCs w:val="24"/>
              </w:rPr>
              <w:t>Std. Deviation</w:t>
            </w:r>
          </w:p>
        </w:tc>
        <w:tc>
          <w:tcPr>
            <w:tcW w:w="2070" w:type="dxa"/>
          </w:tcPr>
          <w:p w14:paraId="2DEF30E8" w14:textId="77777777" w:rsidR="00863BE1" w:rsidRPr="004F7FC3" w:rsidRDefault="00863BE1" w:rsidP="00B57B43">
            <w:pPr>
              <w:spacing w:line="360" w:lineRule="auto"/>
              <w:jc w:val="both"/>
              <w:rPr>
                <w:rFonts w:ascii="Times New Roman" w:eastAsia="Calibri" w:hAnsi="Times New Roman" w:cs="Times New Roman"/>
                <w:b/>
                <w:sz w:val="24"/>
                <w:szCs w:val="24"/>
              </w:rPr>
            </w:pPr>
            <w:r w:rsidRPr="004F7FC3">
              <w:rPr>
                <w:rFonts w:ascii="Times New Roman" w:eastAsia="Calibri" w:hAnsi="Times New Roman" w:cs="Times New Roman"/>
                <w:b/>
                <w:sz w:val="24"/>
                <w:szCs w:val="24"/>
              </w:rPr>
              <w:t>Interpretation</w:t>
            </w:r>
          </w:p>
        </w:tc>
      </w:tr>
      <w:tr w:rsidR="00863BE1" w:rsidRPr="004F7FC3" w14:paraId="483F35AE" w14:textId="77777777" w:rsidTr="00B57B43">
        <w:tc>
          <w:tcPr>
            <w:tcW w:w="5120" w:type="dxa"/>
          </w:tcPr>
          <w:p w14:paraId="01346DC9"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We share information on the quality required for the products</w:t>
            </w:r>
          </w:p>
        </w:tc>
        <w:tc>
          <w:tcPr>
            <w:tcW w:w="1170" w:type="dxa"/>
          </w:tcPr>
          <w:p w14:paraId="536475FC"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4.18</w:t>
            </w:r>
          </w:p>
        </w:tc>
        <w:tc>
          <w:tcPr>
            <w:tcW w:w="1620" w:type="dxa"/>
          </w:tcPr>
          <w:p w14:paraId="500F26B4"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.906</w:t>
            </w:r>
          </w:p>
        </w:tc>
        <w:tc>
          <w:tcPr>
            <w:tcW w:w="2070" w:type="dxa"/>
          </w:tcPr>
          <w:p w14:paraId="704CAABE"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High</w:t>
            </w:r>
          </w:p>
        </w:tc>
      </w:tr>
      <w:tr w:rsidR="00863BE1" w:rsidRPr="004F7FC3" w14:paraId="43E1E1FE" w14:textId="77777777" w:rsidTr="00B57B43">
        <w:tc>
          <w:tcPr>
            <w:tcW w:w="5120" w:type="dxa"/>
          </w:tcPr>
          <w:p w14:paraId="3BFB3B63"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Information is shared with more valuable suppliers in the organization</w:t>
            </w:r>
          </w:p>
        </w:tc>
        <w:tc>
          <w:tcPr>
            <w:tcW w:w="1170" w:type="dxa"/>
          </w:tcPr>
          <w:p w14:paraId="30222360"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4.02</w:t>
            </w:r>
          </w:p>
        </w:tc>
        <w:tc>
          <w:tcPr>
            <w:tcW w:w="1620" w:type="dxa"/>
          </w:tcPr>
          <w:p w14:paraId="28B3EE9F"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1.009</w:t>
            </w:r>
          </w:p>
        </w:tc>
        <w:tc>
          <w:tcPr>
            <w:tcW w:w="2070" w:type="dxa"/>
          </w:tcPr>
          <w:p w14:paraId="19D60DF3"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High</w:t>
            </w:r>
          </w:p>
        </w:tc>
      </w:tr>
      <w:tr w:rsidR="00863BE1" w:rsidRPr="004F7FC3" w14:paraId="73447563" w14:textId="77777777" w:rsidTr="00B57B43">
        <w:tc>
          <w:tcPr>
            <w:tcW w:w="5120" w:type="dxa"/>
          </w:tcPr>
          <w:p w14:paraId="4BA7A863"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We develop the suppliers on the aspects of quality management</w:t>
            </w:r>
          </w:p>
        </w:tc>
        <w:tc>
          <w:tcPr>
            <w:tcW w:w="1170" w:type="dxa"/>
          </w:tcPr>
          <w:p w14:paraId="79F3B301"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3.81</w:t>
            </w:r>
          </w:p>
        </w:tc>
        <w:tc>
          <w:tcPr>
            <w:tcW w:w="1620" w:type="dxa"/>
          </w:tcPr>
          <w:p w14:paraId="152733CA"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1.241</w:t>
            </w:r>
          </w:p>
        </w:tc>
        <w:tc>
          <w:tcPr>
            <w:tcW w:w="2070" w:type="dxa"/>
          </w:tcPr>
          <w:p w14:paraId="1BFA7AC4"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High</w:t>
            </w:r>
          </w:p>
        </w:tc>
      </w:tr>
      <w:tr w:rsidR="00863BE1" w:rsidRPr="004F7FC3" w14:paraId="7E418A6D" w14:textId="77777777" w:rsidTr="00B57B43">
        <w:tc>
          <w:tcPr>
            <w:tcW w:w="5120" w:type="dxa"/>
          </w:tcPr>
          <w:p w14:paraId="24583C0C"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There is restriction in sharing confidential information with suppliers</w:t>
            </w:r>
          </w:p>
        </w:tc>
        <w:tc>
          <w:tcPr>
            <w:tcW w:w="1170" w:type="dxa"/>
          </w:tcPr>
          <w:p w14:paraId="68044D2F"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2.26</w:t>
            </w:r>
          </w:p>
        </w:tc>
        <w:tc>
          <w:tcPr>
            <w:tcW w:w="1620" w:type="dxa"/>
          </w:tcPr>
          <w:p w14:paraId="0811E017"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1.213</w:t>
            </w:r>
          </w:p>
        </w:tc>
        <w:tc>
          <w:tcPr>
            <w:tcW w:w="2070" w:type="dxa"/>
          </w:tcPr>
          <w:p w14:paraId="30CE87EE"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Poor</w:t>
            </w:r>
          </w:p>
        </w:tc>
      </w:tr>
      <w:tr w:rsidR="00863BE1" w:rsidRPr="004F7FC3" w14:paraId="79F57E92" w14:textId="77777777" w:rsidTr="00B57B43">
        <w:tc>
          <w:tcPr>
            <w:tcW w:w="5120" w:type="dxa"/>
          </w:tcPr>
          <w:p w14:paraId="3368770D"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The information shared depends on the value of the suppliers and supplies</w:t>
            </w:r>
          </w:p>
        </w:tc>
        <w:tc>
          <w:tcPr>
            <w:tcW w:w="1170" w:type="dxa"/>
          </w:tcPr>
          <w:p w14:paraId="49AC0683"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3.31</w:t>
            </w:r>
          </w:p>
        </w:tc>
        <w:tc>
          <w:tcPr>
            <w:tcW w:w="1620" w:type="dxa"/>
          </w:tcPr>
          <w:p w14:paraId="6782B2CB"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1.330</w:t>
            </w:r>
          </w:p>
        </w:tc>
        <w:tc>
          <w:tcPr>
            <w:tcW w:w="2070" w:type="dxa"/>
          </w:tcPr>
          <w:p w14:paraId="1C120278"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High</w:t>
            </w:r>
          </w:p>
        </w:tc>
      </w:tr>
      <w:tr w:rsidR="00863BE1" w:rsidRPr="004F7FC3" w14:paraId="28E4C506" w14:textId="77777777" w:rsidTr="00B57B43">
        <w:trPr>
          <w:trHeight w:val="368"/>
        </w:trPr>
        <w:tc>
          <w:tcPr>
            <w:tcW w:w="5120" w:type="dxa"/>
          </w:tcPr>
          <w:p w14:paraId="5A05A418"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There is an established electronic system for information sharing in the organization</w:t>
            </w:r>
          </w:p>
        </w:tc>
        <w:tc>
          <w:tcPr>
            <w:tcW w:w="1170" w:type="dxa"/>
          </w:tcPr>
          <w:p w14:paraId="25750CB4"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2.69</w:t>
            </w:r>
          </w:p>
        </w:tc>
        <w:tc>
          <w:tcPr>
            <w:tcW w:w="1620" w:type="dxa"/>
          </w:tcPr>
          <w:p w14:paraId="16752305"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1.266</w:t>
            </w:r>
          </w:p>
        </w:tc>
        <w:tc>
          <w:tcPr>
            <w:tcW w:w="2070" w:type="dxa"/>
          </w:tcPr>
          <w:p w14:paraId="26CD3130"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Poor</w:t>
            </w:r>
          </w:p>
        </w:tc>
      </w:tr>
      <w:tr w:rsidR="00863BE1" w:rsidRPr="004F7FC3" w14:paraId="693A595F" w14:textId="77777777" w:rsidTr="00B57B43">
        <w:trPr>
          <w:trHeight w:val="368"/>
        </w:trPr>
        <w:tc>
          <w:tcPr>
            <w:tcW w:w="5120" w:type="dxa"/>
          </w:tcPr>
          <w:p w14:paraId="6B672EB3"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 xml:space="preserve">There is a department that is responsible for information </w:t>
            </w:r>
          </w:p>
          <w:p w14:paraId="707779B8"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handling with the suppliers</w:t>
            </w:r>
          </w:p>
        </w:tc>
        <w:tc>
          <w:tcPr>
            <w:tcW w:w="1170" w:type="dxa"/>
          </w:tcPr>
          <w:p w14:paraId="328568E1"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3.66</w:t>
            </w:r>
          </w:p>
        </w:tc>
        <w:tc>
          <w:tcPr>
            <w:tcW w:w="1620" w:type="dxa"/>
          </w:tcPr>
          <w:p w14:paraId="43153BE8"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 xml:space="preserve"> 1.312</w:t>
            </w:r>
          </w:p>
        </w:tc>
        <w:tc>
          <w:tcPr>
            <w:tcW w:w="2070" w:type="dxa"/>
          </w:tcPr>
          <w:p w14:paraId="20A807A7"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High</w:t>
            </w:r>
          </w:p>
        </w:tc>
      </w:tr>
      <w:tr w:rsidR="00863BE1" w:rsidRPr="004F7FC3" w14:paraId="415C1EE3" w14:textId="77777777" w:rsidTr="00B57B43">
        <w:trPr>
          <w:trHeight w:val="368"/>
        </w:trPr>
        <w:tc>
          <w:tcPr>
            <w:tcW w:w="5120" w:type="dxa"/>
          </w:tcPr>
          <w:p w14:paraId="7E838B31" w14:textId="77777777" w:rsidR="00863BE1" w:rsidRPr="004F7FC3" w:rsidRDefault="00863BE1" w:rsidP="00B57B43">
            <w:pPr>
              <w:spacing w:line="360" w:lineRule="auto"/>
              <w:jc w:val="both"/>
              <w:rPr>
                <w:rFonts w:ascii="Times New Roman" w:eastAsia="Calibri" w:hAnsi="Times New Roman" w:cs="Times New Roman"/>
                <w:b/>
                <w:bCs/>
                <w:sz w:val="24"/>
                <w:szCs w:val="24"/>
              </w:rPr>
            </w:pPr>
            <w:r w:rsidRPr="004F7FC3">
              <w:rPr>
                <w:rFonts w:ascii="Times New Roman" w:eastAsia="Calibri" w:hAnsi="Times New Roman" w:cs="Times New Roman"/>
                <w:b/>
                <w:bCs/>
                <w:sz w:val="24"/>
                <w:szCs w:val="24"/>
              </w:rPr>
              <w:t>OVERALL MEAN</w:t>
            </w:r>
          </w:p>
        </w:tc>
        <w:tc>
          <w:tcPr>
            <w:tcW w:w="1170" w:type="dxa"/>
          </w:tcPr>
          <w:p w14:paraId="177FD668" w14:textId="77777777" w:rsidR="00863BE1" w:rsidRPr="004F7FC3" w:rsidRDefault="00863BE1" w:rsidP="00B57B43">
            <w:pPr>
              <w:spacing w:line="360" w:lineRule="auto"/>
              <w:jc w:val="both"/>
              <w:rPr>
                <w:rFonts w:ascii="Times New Roman" w:eastAsia="Calibri" w:hAnsi="Times New Roman" w:cs="Times New Roman"/>
                <w:b/>
                <w:bCs/>
                <w:sz w:val="24"/>
                <w:szCs w:val="24"/>
              </w:rPr>
            </w:pPr>
            <w:r w:rsidRPr="004F7FC3">
              <w:rPr>
                <w:rFonts w:ascii="Times New Roman" w:eastAsia="Calibri" w:hAnsi="Times New Roman" w:cs="Times New Roman"/>
                <w:b/>
                <w:bCs/>
                <w:sz w:val="24"/>
                <w:szCs w:val="24"/>
              </w:rPr>
              <w:t>3.42</w:t>
            </w:r>
          </w:p>
        </w:tc>
        <w:tc>
          <w:tcPr>
            <w:tcW w:w="1620" w:type="dxa"/>
          </w:tcPr>
          <w:p w14:paraId="1E511426" w14:textId="77777777" w:rsidR="00863BE1" w:rsidRPr="004F7FC3" w:rsidRDefault="00863BE1" w:rsidP="00B57B43">
            <w:pPr>
              <w:spacing w:line="360" w:lineRule="auto"/>
              <w:jc w:val="both"/>
              <w:rPr>
                <w:rFonts w:ascii="Times New Roman" w:eastAsia="Calibri" w:hAnsi="Times New Roman" w:cs="Times New Roman"/>
                <w:b/>
                <w:bCs/>
                <w:sz w:val="24"/>
                <w:szCs w:val="24"/>
              </w:rPr>
            </w:pPr>
            <w:r w:rsidRPr="004F7FC3">
              <w:rPr>
                <w:rFonts w:ascii="Times New Roman" w:eastAsia="Calibri" w:hAnsi="Times New Roman" w:cs="Times New Roman"/>
                <w:b/>
                <w:bCs/>
                <w:sz w:val="24"/>
                <w:szCs w:val="24"/>
              </w:rPr>
              <w:t>1.182</w:t>
            </w:r>
          </w:p>
        </w:tc>
        <w:tc>
          <w:tcPr>
            <w:tcW w:w="2070" w:type="dxa"/>
          </w:tcPr>
          <w:p w14:paraId="277EAA68" w14:textId="77777777" w:rsidR="00863BE1" w:rsidRPr="004F7FC3" w:rsidRDefault="00863BE1" w:rsidP="00B57B43">
            <w:pPr>
              <w:spacing w:line="360" w:lineRule="auto"/>
              <w:jc w:val="both"/>
              <w:rPr>
                <w:rFonts w:ascii="Times New Roman" w:eastAsia="Calibri" w:hAnsi="Times New Roman" w:cs="Times New Roman"/>
                <w:b/>
                <w:bCs/>
                <w:sz w:val="24"/>
                <w:szCs w:val="24"/>
              </w:rPr>
            </w:pPr>
            <w:r w:rsidRPr="004F7FC3">
              <w:rPr>
                <w:rFonts w:ascii="Times New Roman" w:eastAsia="Calibri" w:hAnsi="Times New Roman" w:cs="Times New Roman"/>
                <w:b/>
                <w:bCs/>
                <w:sz w:val="24"/>
                <w:szCs w:val="24"/>
              </w:rPr>
              <w:t>High</w:t>
            </w:r>
          </w:p>
        </w:tc>
      </w:tr>
    </w:tbl>
    <w:bookmarkEnd w:id="46"/>
    <w:p w14:paraId="0619D2C5" w14:textId="77777777" w:rsidR="00863BE1" w:rsidRPr="004F7FC3" w:rsidRDefault="00863BE1" w:rsidP="00863BE1">
      <w:pPr>
        <w:autoSpaceDE w:val="0"/>
        <w:autoSpaceDN w:val="0"/>
        <w:adjustRightInd w:val="0"/>
        <w:spacing w:after="0" w:line="360" w:lineRule="auto"/>
        <w:jc w:val="both"/>
        <w:rPr>
          <w:rFonts w:ascii="Times New Roman" w:eastAsia="Calibri" w:hAnsi="Times New Roman" w:cs="Times New Roman"/>
          <w:b/>
          <w:i/>
          <w:kern w:val="0"/>
          <w:sz w:val="24"/>
          <w:szCs w:val="24"/>
          <w14:ligatures w14:val="none"/>
        </w:rPr>
      </w:pPr>
      <w:r w:rsidRPr="004F7FC3">
        <w:rPr>
          <w:rFonts w:ascii="Times New Roman" w:eastAsia="Calibri" w:hAnsi="Times New Roman" w:cs="Times New Roman"/>
          <w:b/>
          <w:i/>
          <w:kern w:val="0"/>
          <w:sz w:val="24"/>
          <w:szCs w:val="24"/>
          <w14:ligatures w14:val="none"/>
        </w:rPr>
        <w:t>Source: Authors Computation from Primary Data 2023 (With SPSS)</w:t>
      </w:r>
    </w:p>
    <w:p w14:paraId="27B77D0D" w14:textId="77777777" w:rsidR="00863BE1" w:rsidRPr="004F7FC3" w:rsidRDefault="00863BE1" w:rsidP="00863BE1">
      <w:pPr>
        <w:autoSpaceDE w:val="0"/>
        <w:autoSpaceDN w:val="0"/>
        <w:adjustRightInd w:val="0"/>
        <w:spacing w:after="0" w:line="360" w:lineRule="auto"/>
        <w:jc w:val="both"/>
        <w:rPr>
          <w:rFonts w:ascii="Times New Roman" w:eastAsia="Calibri" w:hAnsi="Times New Roman" w:cs="Times New Roman"/>
          <w:sz w:val="24"/>
          <w:szCs w:val="24"/>
        </w:rPr>
      </w:pPr>
      <w:r w:rsidRPr="004F7FC3">
        <w:rPr>
          <w:rFonts w:ascii="Times New Roman" w:hAnsi="Times New Roman" w:cs="Times New Roman"/>
          <w:sz w:val="24"/>
          <w:szCs w:val="24"/>
        </w:rPr>
        <w:t xml:space="preserve">The study findings regarding the level of information sharing present that the level of information sharing in Commercial Banks was high based on the Overall mean of 3.42, SD=1.182 meaning there is high information sharing between Commercial Banks and suppliers in their operation relationships. For the case of we share information on the quality required for the products had the mean of 4.18, SD=0.906 interpreted as good while Information is shared with more valuable suppliers in the organization had the mean of 4.02, SD=1.009 interpreted as good while that imply that the information sharing on this avenue was quite fair. </w:t>
      </w:r>
    </w:p>
    <w:p w14:paraId="45451904" w14:textId="77777777" w:rsidR="00863BE1" w:rsidRPr="004F7FC3" w:rsidRDefault="00863BE1" w:rsidP="00863BE1">
      <w:pPr>
        <w:spacing w:line="360" w:lineRule="auto"/>
        <w:jc w:val="both"/>
        <w:rPr>
          <w:rFonts w:ascii="Times New Roman" w:hAnsi="Times New Roman" w:cs="Times New Roman"/>
          <w:sz w:val="24"/>
          <w:szCs w:val="24"/>
        </w:rPr>
      </w:pPr>
      <w:r w:rsidRPr="004F7FC3">
        <w:rPr>
          <w:rFonts w:ascii="Times New Roman" w:eastAsia="Calibri" w:hAnsi="Times New Roman" w:cs="Times New Roman"/>
          <w:kern w:val="0"/>
          <w:sz w:val="24"/>
          <w:szCs w:val="24"/>
          <w14:ligatures w14:val="none"/>
        </w:rPr>
        <w:t xml:space="preserve">Furthermore, development of the suppliers on the aspects of quality management had the mean of 3.81 and SD=1.241 interpreted as high. </w:t>
      </w:r>
      <w:r w:rsidRPr="004F7FC3">
        <w:rPr>
          <w:rFonts w:ascii="Times New Roman" w:hAnsi="Times New Roman" w:cs="Times New Roman"/>
          <w:sz w:val="24"/>
          <w:szCs w:val="24"/>
        </w:rPr>
        <w:t xml:space="preserve"> The study findings concerning restriction in sharing confidential information with suppliers had the mean of 2.26, SD=1,213 interpreted as poor. The information shared depends on the value of the suppliers and supplies had the mean of 3.31, SD=1.330 interpreted as high and that of there is an established electronic system for information sharing in the organization had the mean of 2.69, SD=1.266 interpreted as poor. Finally concerning the presence of a department that is responsible for information handling with the suppliers. The results had the mean of 2.26, SD=1.213 interpreted as good meaning that there is a unit for information sharing in Commercial Banks.</w:t>
      </w:r>
    </w:p>
    <w:p w14:paraId="06DD7843" w14:textId="77777777" w:rsidR="00863BE1" w:rsidRPr="004F7FC3" w:rsidRDefault="00863BE1" w:rsidP="00863BE1">
      <w:pPr>
        <w:spacing w:line="360" w:lineRule="auto"/>
        <w:jc w:val="both"/>
        <w:rPr>
          <w:rFonts w:ascii="Times New Roman" w:hAnsi="Times New Roman" w:cs="Times New Roman"/>
          <w:b/>
          <w:bCs/>
          <w:sz w:val="24"/>
          <w:szCs w:val="24"/>
        </w:rPr>
      </w:pPr>
      <w:r w:rsidRPr="004F7FC3">
        <w:rPr>
          <w:rFonts w:ascii="Times New Roman" w:hAnsi="Times New Roman" w:cs="Times New Roman"/>
          <w:b/>
          <w:bCs/>
          <w:sz w:val="24"/>
          <w:szCs w:val="24"/>
        </w:rPr>
        <w:t>Table 4.4 Descriptive Statistics on Operational Performance, N=164</w:t>
      </w:r>
    </w:p>
    <w:tbl>
      <w:tblPr>
        <w:tblStyle w:val="TableGrid2"/>
        <w:tblW w:w="9710" w:type="dxa"/>
        <w:tblBorders>
          <w:top w:val="single" w:sz="18" w:space="0" w:color="000000"/>
          <w:left w:val="single" w:sz="18" w:space="0" w:color="000000"/>
          <w:bottom w:val="single" w:sz="18" w:space="0" w:color="000000"/>
          <w:right w:val="single" w:sz="18" w:space="0" w:color="000000"/>
          <w:insideH w:val="single" w:sz="6" w:space="0" w:color="auto"/>
          <w:insideV w:val="single" w:sz="6" w:space="0" w:color="auto"/>
        </w:tblBorders>
        <w:tblLook w:val="04A0" w:firstRow="1" w:lastRow="0" w:firstColumn="1" w:lastColumn="0" w:noHBand="0" w:noVBand="1"/>
      </w:tblPr>
      <w:tblGrid>
        <w:gridCol w:w="5120"/>
        <w:gridCol w:w="1170"/>
        <w:gridCol w:w="1620"/>
        <w:gridCol w:w="1800"/>
      </w:tblGrid>
      <w:tr w:rsidR="00863BE1" w:rsidRPr="004F7FC3" w14:paraId="7F4EB259" w14:textId="77777777" w:rsidTr="00B57B43">
        <w:tc>
          <w:tcPr>
            <w:tcW w:w="5120" w:type="dxa"/>
          </w:tcPr>
          <w:p w14:paraId="795B5297" w14:textId="77777777" w:rsidR="00863BE1" w:rsidRPr="004F7FC3" w:rsidRDefault="00863BE1" w:rsidP="00B57B43">
            <w:pPr>
              <w:spacing w:line="360" w:lineRule="auto"/>
              <w:jc w:val="both"/>
              <w:rPr>
                <w:rFonts w:ascii="Times New Roman" w:eastAsia="Calibri" w:hAnsi="Times New Roman" w:cs="Times New Roman"/>
                <w:b/>
                <w:sz w:val="24"/>
                <w:szCs w:val="24"/>
              </w:rPr>
            </w:pPr>
            <w:r w:rsidRPr="004F7FC3">
              <w:rPr>
                <w:rFonts w:ascii="Times New Roman" w:eastAsia="Calibri" w:hAnsi="Times New Roman" w:cs="Times New Roman"/>
                <w:b/>
                <w:sz w:val="24"/>
                <w:szCs w:val="24"/>
              </w:rPr>
              <w:t>Operational Performance</w:t>
            </w:r>
          </w:p>
        </w:tc>
        <w:tc>
          <w:tcPr>
            <w:tcW w:w="1170" w:type="dxa"/>
          </w:tcPr>
          <w:p w14:paraId="3F7C6A29" w14:textId="77777777" w:rsidR="00863BE1" w:rsidRPr="004F7FC3" w:rsidRDefault="00863BE1" w:rsidP="00B57B43">
            <w:pPr>
              <w:spacing w:line="360" w:lineRule="auto"/>
              <w:jc w:val="both"/>
              <w:rPr>
                <w:rFonts w:ascii="Times New Roman" w:eastAsia="Calibri" w:hAnsi="Times New Roman" w:cs="Times New Roman"/>
                <w:b/>
                <w:sz w:val="24"/>
                <w:szCs w:val="24"/>
              </w:rPr>
            </w:pPr>
            <w:r w:rsidRPr="004F7FC3">
              <w:rPr>
                <w:rFonts w:ascii="Times New Roman" w:eastAsia="Calibri" w:hAnsi="Times New Roman" w:cs="Times New Roman"/>
                <w:b/>
                <w:sz w:val="24"/>
                <w:szCs w:val="24"/>
              </w:rPr>
              <w:t>Mean</w:t>
            </w:r>
          </w:p>
        </w:tc>
        <w:tc>
          <w:tcPr>
            <w:tcW w:w="1620" w:type="dxa"/>
          </w:tcPr>
          <w:p w14:paraId="230171C0" w14:textId="77777777" w:rsidR="00863BE1" w:rsidRPr="004F7FC3" w:rsidRDefault="00863BE1" w:rsidP="00B57B43">
            <w:pPr>
              <w:spacing w:line="360" w:lineRule="auto"/>
              <w:jc w:val="both"/>
              <w:rPr>
                <w:rFonts w:ascii="Times New Roman" w:eastAsia="Calibri" w:hAnsi="Times New Roman" w:cs="Times New Roman"/>
                <w:b/>
                <w:sz w:val="24"/>
                <w:szCs w:val="24"/>
              </w:rPr>
            </w:pPr>
            <w:r w:rsidRPr="004F7FC3">
              <w:rPr>
                <w:rFonts w:ascii="Times New Roman" w:eastAsia="Calibri" w:hAnsi="Times New Roman" w:cs="Times New Roman"/>
                <w:b/>
                <w:sz w:val="24"/>
                <w:szCs w:val="24"/>
              </w:rPr>
              <w:t>Std. Deviation</w:t>
            </w:r>
          </w:p>
        </w:tc>
        <w:tc>
          <w:tcPr>
            <w:tcW w:w="1800" w:type="dxa"/>
          </w:tcPr>
          <w:p w14:paraId="097597D6" w14:textId="77777777" w:rsidR="00863BE1" w:rsidRPr="004F7FC3" w:rsidRDefault="00863BE1" w:rsidP="00B57B43">
            <w:pPr>
              <w:spacing w:line="360" w:lineRule="auto"/>
              <w:jc w:val="both"/>
              <w:rPr>
                <w:rFonts w:ascii="Times New Roman" w:eastAsia="Calibri" w:hAnsi="Times New Roman" w:cs="Times New Roman"/>
                <w:b/>
                <w:sz w:val="24"/>
                <w:szCs w:val="24"/>
              </w:rPr>
            </w:pPr>
            <w:r w:rsidRPr="004F7FC3">
              <w:rPr>
                <w:rFonts w:ascii="Times New Roman" w:eastAsia="Calibri" w:hAnsi="Times New Roman" w:cs="Times New Roman"/>
                <w:b/>
                <w:sz w:val="24"/>
                <w:szCs w:val="24"/>
              </w:rPr>
              <w:t>Interpretation</w:t>
            </w:r>
          </w:p>
        </w:tc>
      </w:tr>
      <w:tr w:rsidR="00863BE1" w:rsidRPr="004F7FC3" w14:paraId="058AA836" w14:textId="77777777" w:rsidTr="00B57B43">
        <w:tc>
          <w:tcPr>
            <w:tcW w:w="5120" w:type="dxa"/>
          </w:tcPr>
          <w:p w14:paraId="091CF6B9" w14:textId="77777777" w:rsidR="00863BE1" w:rsidRPr="004F7FC3" w:rsidRDefault="00863BE1" w:rsidP="00B57B43">
            <w:pPr>
              <w:spacing w:line="360" w:lineRule="auto"/>
              <w:jc w:val="both"/>
              <w:rPr>
                <w:rFonts w:ascii="Times New Roman" w:eastAsia="Calibri" w:hAnsi="Times New Roman" w:cs="Times New Roman"/>
                <w:sz w:val="24"/>
                <w:szCs w:val="24"/>
              </w:rPr>
            </w:pPr>
            <w:bookmarkStart w:id="47" w:name="_Hlk130483081"/>
            <w:r w:rsidRPr="004F7FC3">
              <w:rPr>
                <w:rFonts w:ascii="Times New Roman" w:eastAsia="Calibri" w:hAnsi="Times New Roman" w:cs="Times New Roman"/>
                <w:sz w:val="24"/>
                <w:szCs w:val="24"/>
              </w:rPr>
              <w:t xml:space="preserve">The bank has managed to reduce its costs of operation through well strategic supplier management practices </w:t>
            </w:r>
          </w:p>
        </w:tc>
        <w:tc>
          <w:tcPr>
            <w:tcW w:w="1170" w:type="dxa"/>
          </w:tcPr>
          <w:p w14:paraId="3731CA62"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3.50</w:t>
            </w:r>
          </w:p>
        </w:tc>
        <w:tc>
          <w:tcPr>
            <w:tcW w:w="1620" w:type="dxa"/>
          </w:tcPr>
          <w:p w14:paraId="0C2DEDC4"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1.350</w:t>
            </w:r>
          </w:p>
        </w:tc>
        <w:tc>
          <w:tcPr>
            <w:tcW w:w="1800" w:type="dxa"/>
          </w:tcPr>
          <w:p w14:paraId="59073BB6"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High</w:t>
            </w:r>
          </w:p>
        </w:tc>
      </w:tr>
      <w:bookmarkEnd w:id="47"/>
      <w:tr w:rsidR="00863BE1" w:rsidRPr="004F7FC3" w14:paraId="6DC24D4A" w14:textId="77777777" w:rsidTr="00B57B43">
        <w:tc>
          <w:tcPr>
            <w:tcW w:w="5120" w:type="dxa"/>
          </w:tcPr>
          <w:p w14:paraId="3363D318"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The Bank has achieved customer satisfaction for all its clients</w:t>
            </w:r>
          </w:p>
        </w:tc>
        <w:tc>
          <w:tcPr>
            <w:tcW w:w="1170" w:type="dxa"/>
          </w:tcPr>
          <w:p w14:paraId="17A61165"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3.26</w:t>
            </w:r>
          </w:p>
        </w:tc>
        <w:tc>
          <w:tcPr>
            <w:tcW w:w="1620" w:type="dxa"/>
          </w:tcPr>
          <w:p w14:paraId="58F602B7"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1.368</w:t>
            </w:r>
          </w:p>
        </w:tc>
        <w:tc>
          <w:tcPr>
            <w:tcW w:w="1800" w:type="dxa"/>
          </w:tcPr>
          <w:p w14:paraId="70D31B11"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High</w:t>
            </w:r>
          </w:p>
        </w:tc>
      </w:tr>
      <w:tr w:rsidR="00863BE1" w:rsidRPr="004F7FC3" w14:paraId="5127CEF7" w14:textId="77777777" w:rsidTr="00B57B43">
        <w:tc>
          <w:tcPr>
            <w:tcW w:w="5120" w:type="dxa"/>
          </w:tcPr>
          <w:p w14:paraId="521C024C"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There is timely provision of service in the Bank</w:t>
            </w:r>
          </w:p>
        </w:tc>
        <w:tc>
          <w:tcPr>
            <w:tcW w:w="1170" w:type="dxa"/>
          </w:tcPr>
          <w:p w14:paraId="1791058A"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3.19</w:t>
            </w:r>
          </w:p>
        </w:tc>
        <w:tc>
          <w:tcPr>
            <w:tcW w:w="1620" w:type="dxa"/>
          </w:tcPr>
          <w:p w14:paraId="318E3023"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1.336</w:t>
            </w:r>
          </w:p>
        </w:tc>
        <w:tc>
          <w:tcPr>
            <w:tcW w:w="1800" w:type="dxa"/>
          </w:tcPr>
          <w:p w14:paraId="36D9809D"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High</w:t>
            </w:r>
          </w:p>
        </w:tc>
      </w:tr>
      <w:tr w:rsidR="00863BE1" w:rsidRPr="004F7FC3" w14:paraId="45C00186" w14:textId="77777777" w:rsidTr="00B57B43">
        <w:tc>
          <w:tcPr>
            <w:tcW w:w="5120" w:type="dxa"/>
          </w:tcPr>
          <w:p w14:paraId="7F3BC1F4"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We have been able to generate profit for the last 3 years</w:t>
            </w:r>
          </w:p>
        </w:tc>
        <w:tc>
          <w:tcPr>
            <w:tcW w:w="1170" w:type="dxa"/>
          </w:tcPr>
          <w:p w14:paraId="328CA0E2"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2.79</w:t>
            </w:r>
          </w:p>
        </w:tc>
        <w:tc>
          <w:tcPr>
            <w:tcW w:w="1620" w:type="dxa"/>
          </w:tcPr>
          <w:p w14:paraId="5804BFAA"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1.382</w:t>
            </w:r>
          </w:p>
        </w:tc>
        <w:tc>
          <w:tcPr>
            <w:tcW w:w="1800" w:type="dxa"/>
          </w:tcPr>
          <w:p w14:paraId="4939B420"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Low</w:t>
            </w:r>
          </w:p>
        </w:tc>
      </w:tr>
      <w:tr w:rsidR="00863BE1" w:rsidRPr="004F7FC3" w14:paraId="10E8D1FC" w14:textId="77777777" w:rsidTr="00B57B43">
        <w:tc>
          <w:tcPr>
            <w:tcW w:w="5120" w:type="dxa"/>
          </w:tcPr>
          <w:p w14:paraId="7207399C" w14:textId="77777777" w:rsidR="00863BE1" w:rsidRPr="004F7FC3" w:rsidRDefault="00863BE1" w:rsidP="00B57B43">
            <w:pPr>
              <w:spacing w:line="360" w:lineRule="auto"/>
              <w:jc w:val="both"/>
              <w:rPr>
                <w:rFonts w:ascii="Times New Roman" w:eastAsia="Calibri" w:hAnsi="Times New Roman" w:cs="Times New Roman"/>
                <w:sz w:val="24"/>
                <w:szCs w:val="24"/>
              </w:rPr>
            </w:pPr>
            <w:bookmarkStart w:id="48" w:name="_Hlk130483634"/>
            <w:r w:rsidRPr="004F7FC3">
              <w:rPr>
                <w:rFonts w:ascii="Times New Roman" w:eastAsia="Calibri" w:hAnsi="Times New Roman" w:cs="Times New Roman"/>
                <w:sz w:val="24"/>
                <w:szCs w:val="24"/>
              </w:rPr>
              <w:t>We are able to meet the Operational annual objectives</w:t>
            </w:r>
          </w:p>
        </w:tc>
        <w:tc>
          <w:tcPr>
            <w:tcW w:w="1170" w:type="dxa"/>
          </w:tcPr>
          <w:p w14:paraId="1A39FDE6"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2.06</w:t>
            </w:r>
          </w:p>
        </w:tc>
        <w:tc>
          <w:tcPr>
            <w:tcW w:w="1620" w:type="dxa"/>
          </w:tcPr>
          <w:p w14:paraId="3DCE2D82"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1.191</w:t>
            </w:r>
          </w:p>
        </w:tc>
        <w:tc>
          <w:tcPr>
            <w:tcW w:w="1800" w:type="dxa"/>
          </w:tcPr>
          <w:p w14:paraId="29B49C9C"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Low</w:t>
            </w:r>
          </w:p>
        </w:tc>
      </w:tr>
      <w:tr w:rsidR="00863BE1" w:rsidRPr="004F7FC3" w14:paraId="00D7F3EC" w14:textId="77777777" w:rsidTr="00B57B43">
        <w:trPr>
          <w:trHeight w:val="368"/>
        </w:trPr>
        <w:tc>
          <w:tcPr>
            <w:tcW w:w="5120" w:type="dxa"/>
          </w:tcPr>
          <w:p w14:paraId="4ECC64B2" w14:textId="77777777" w:rsidR="00863BE1" w:rsidRPr="004F7FC3" w:rsidRDefault="00863BE1" w:rsidP="00B57B43">
            <w:pPr>
              <w:spacing w:line="360" w:lineRule="auto"/>
              <w:jc w:val="both"/>
              <w:rPr>
                <w:rFonts w:ascii="Times New Roman" w:eastAsia="Calibri" w:hAnsi="Times New Roman" w:cs="Times New Roman"/>
                <w:sz w:val="24"/>
                <w:szCs w:val="24"/>
              </w:rPr>
            </w:pPr>
            <w:bookmarkStart w:id="49" w:name="_Hlk130483907"/>
            <w:bookmarkEnd w:id="48"/>
            <w:r w:rsidRPr="004F7FC3">
              <w:rPr>
                <w:rFonts w:ascii="Times New Roman" w:eastAsia="Calibri" w:hAnsi="Times New Roman" w:cs="Times New Roman"/>
                <w:sz w:val="24"/>
                <w:szCs w:val="24"/>
              </w:rPr>
              <w:t>We have been able to raise salaries and wages from profit</w:t>
            </w:r>
            <w:bookmarkEnd w:id="49"/>
          </w:p>
        </w:tc>
        <w:tc>
          <w:tcPr>
            <w:tcW w:w="1170" w:type="dxa"/>
          </w:tcPr>
          <w:p w14:paraId="123FEAB1"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2.59</w:t>
            </w:r>
          </w:p>
        </w:tc>
        <w:tc>
          <w:tcPr>
            <w:tcW w:w="1620" w:type="dxa"/>
          </w:tcPr>
          <w:p w14:paraId="391B3C9A"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1.396</w:t>
            </w:r>
          </w:p>
        </w:tc>
        <w:tc>
          <w:tcPr>
            <w:tcW w:w="1800" w:type="dxa"/>
          </w:tcPr>
          <w:p w14:paraId="64F0B18A"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Low</w:t>
            </w:r>
          </w:p>
        </w:tc>
      </w:tr>
      <w:tr w:rsidR="00863BE1" w:rsidRPr="004F7FC3" w14:paraId="4326B60B" w14:textId="77777777" w:rsidTr="00B57B43">
        <w:trPr>
          <w:trHeight w:val="368"/>
        </w:trPr>
        <w:tc>
          <w:tcPr>
            <w:tcW w:w="5120" w:type="dxa"/>
          </w:tcPr>
          <w:p w14:paraId="77B550B7"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We have opened up more outlets in the last years</w:t>
            </w:r>
          </w:p>
        </w:tc>
        <w:tc>
          <w:tcPr>
            <w:tcW w:w="1170" w:type="dxa"/>
          </w:tcPr>
          <w:p w14:paraId="01E66E3A"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2.05</w:t>
            </w:r>
          </w:p>
        </w:tc>
        <w:tc>
          <w:tcPr>
            <w:tcW w:w="1620" w:type="dxa"/>
          </w:tcPr>
          <w:p w14:paraId="001F5BC0"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1.306</w:t>
            </w:r>
          </w:p>
        </w:tc>
        <w:tc>
          <w:tcPr>
            <w:tcW w:w="1800" w:type="dxa"/>
          </w:tcPr>
          <w:p w14:paraId="4E0F7C77"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Low</w:t>
            </w:r>
          </w:p>
        </w:tc>
      </w:tr>
      <w:tr w:rsidR="00863BE1" w:rsidRPr="004F7FC3" w14:paraId="5F0B8DF0" w14:textId="77777777" w:rsidTr="00B57B43">
        <w:trPr>
          <w:trHeight w:val="368"/>
        </w:trPr>
        <w:tc>
          <w:tcPr>
            <w:tcW w:w="5120" w:type="dxa"/>
          </w:tcPr>
          <w:p w14:paraId="3F22A541"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Bank returns on working capital employed has been greater than 50% in the last 3 years</w:t>
            </w:r>
          </w:p>
        </w:tc>
        <w:tc>
          <w:tcPr>
            <w:tcW w:w="1170" w:type="dxa"/>
          </w:tcPr>
          <w:p w14:paraId="2F2A7F9D"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2.26</w:t>
            </w:r>
          </w:p>
        </w:tc>
        <w:tc>
          <w:tcPr>
            <w:tcW w:w="1620" w:type="dxa"/>
          </w:tcPr>
          <w:p w14:paraId="0C6E6B14"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1.213</w:t>
            </w:r>
          </w:p>
        </w:tc>
        <w:tc>
          <w:tcPr>
            <w:tcW w:w="1800" w:type="dxa"/>
          </w:tcPr>
          <w:p w14:paraId="030E84DC" w14:textId="77777777" w:rsidR="00863BE1" w:rsidRPr="004F7FC3" w:rsidRDefault="00863BE1" w:rsidP="00B57B43">
            <w:pPr>
              <w:spacing w:line="360" w:lineRule="auto"/>
              <w:jc w:val="both"/>
              <w:rPr>
                <w:rFonts w:ascii="Times New Roman" w:eastAsia="Calibri" w:hAnsi="Times New Roman" w:cs="Times New Roman"/>
                <w:sz w:val="24"/>
                <w:szCs w:val="24"/>
              </w:rPr>
            </w:pPr>
            <w:r w:rsidRPr="004F7FC3">
              <w:rPr>
                <w:rFonts w:ascii="Times New Roman" w:eastAsia="Calibri" w:hAnsi="Times New Roman" w:cs="Times New Roman"/>
                <w:sz w:val="24"/>
                <w:szCs w:val="24"/>
              </w:rPr>
              <w:t>Low</w:t>
            </w:r>
          </w:p>
        </w:tc>
      </w:tr>
      <w:tr w:rsidR="00863BE1" w:rsidRPr="004F7FC3" w14:paraId="30F2B78F" w14:textId="77777777" w:rsidTr="00B57B43">
        <w:trPr>
          <w:trHeight w:val="368"/>
        </w:trPr>
        <w:tc>
          <w:tcPr>
            <w:tcW w:w="5120" w:type="dxa"/>
          </w:tcPr>
          <w:p w14:paraId="59511BDC" w14:textId="77777777" w:rsidR="00863BE1" w:rsidRPr="004F7FC3" w:rsidRDefault="00863BE1" w:rsidP="00B57B43">
            <w:pPr>
              <w:spacing w:line="360" w:lineRule="auto"/>
              <w:jc w:val="both"/>
              <w:rPr>
                <w:rFonts w:ascii="Times New Roman" w:eastAsia="Calibri" w:hAnsi="Times New Roman" w:cs="Times New Roman"/>
                <w:b/>
                <w:bCs/>
                <w:sz w:val="24"/>
                <w:szCs w:val="24"/>
              </w:rPr>
            </w:pPr>
            <w:r w:rsidRPr="004F7FC3">
              <w:rPr>
                <w:rFonts w:ascii="Times New Roman" w:eastAsia="Calibri" w:hAnsi="Times New Roman" w:cs="Times New Roman"/>
                <w:b/>
                <w:bCs/>
                <w:sz w:val="24"/>
                <w:szCs w:val="24"/>
              </w:rPr>
              <w:t>OVERALL MEAN</w:t>
            </w:r>
          </w:p>
        </w:tc>
        <w:tc>
          <w:tcPr>
            <w:tcW w:w="1170" w:type="dxa"/>
          </w:tcPr>
          <w:p w14:paraId="17A6B871" w14:textId="77777777" w:rsidR="00863BE1" w:rsidRPr="004F7FC3" w:rsidRDefault="00863BE1" w:rsidP="00B57B43">
            <w:pPr>
              <w:spacing w:line="360" w:lineRule="auto"/>
              <w:jc w:val="both"/>
              <w:rPr>
                <w:rFonts w:ascii="Times New Roman" w:eastAsia="Calibri" w:hAnsi="Times New Roman" w:cs="Times New Roman"/>
                <w:b/>
                <w:bCs/>
                <w:sz w:val="24"/>
                <w:szCs w:val="24"/>
              </w:rPr>
            </w:pPr>
            <w:r w:rsidRPr="004F7FC3">
              <w:rPr>
                <w:rFonts w:ascii="Times New Roman" w:eastAsia="Calibri" w:hAnsi="Times New Roman" w:cs="Times New Roman"/>
                <w:b/>
                <w:bCs/>
                <w:sz w:val="24"/>
                <w:szCs w:val="24"/>
              </w:rPr>
              <w:t>2.71</w:t>
            </w:r>
          </w:p>
        </w:tc>
        <w:tc>
          <w:tcPr>
            <w:tcW w:w="1620" w:type="dxa"/>
          </w:tcPr>
          <w:p w14:paraId="71FE81A4" w14:textId="77777777" w:rsidR="00863BE1" w:rsidRPr="004F7FC3" w:rsidRDefault="00863BE1" w:rsidP="00B57B43">
            <w:pPr>
              <w:spacing w:line="360" w:lineRule="auto"/>
              <w:jc w:val="both"/>
              <w:rPr>
                <w:rFonts w:ascii="Times New Roman" w:eastAsia="Calibri" w:hAnsi="Times New Roman" w:cs="Times New Roman"/>
                <w:b/>
                <w:bCs/>
                <w:sz w:val="24"/>
                <w:szCs w:val="24"/>
              </w:rPr>
            </w:pPr>
            <w:r w:rsidRPr="004F7FC3">
              <w:rPr>
                <w:rFonts w:ascii="Times New Roman" w:eastAsia="Calibri" w:hAnsi="Times New Roman" w:cs="Times New Roman"/>
                <w:b/>
                <w:bCs/>
                <w:sz w:val="24"/>
                <w:szCs w:val="24"/>
              </w:rPr>
              <w:t>1.318</w:t>
            </w:r>
          </w:p>
        </w:tc>
        <w:tc>
          <w:tcPr>
            <w:tcW w:w="1800" w:type="dxa"/>
          </w:tcPr>
          <w:p w14:paraId="4BC0726E" w14:textId="77777777" w:rsidR="00863BE1" w:rsidRPr="004F7FC3" w:rsidRDefault="00863BE1" w:rsidP="00B57B43">
            <w:pPr>
              <w:spacing w:line="360" w:lineRule="auto"/>
              <w:jc w:val="both"/>
              <w:rPr>
                <w:rFonts w:ascii="Times New Roman" w:eastAsia="Calibri" w:hAnsi="Times New Roman" w:cs="Times New Roman"/>
                <w:b/>
                <w:bCs/>
                <w:sz w:val="24"/>
                <w:szCs w:val="24"/>
              </w:rPr>
            </w:pPr>
            <w:r w:rsidRPr="004F7FC3">
              <w:rPr>
                <w:rFonts w:ascii="Times New Roman" w:eastAsia="Calibri" w:hAnsi="Times New Roman" w:cs="Times New Roman"/>
                <w:b/>
                <w:bCs/>
                <w:sz w:val="24"/>
                <w:szCs w:val="24"/>
              </w:rPr>
              <w:t>LOW</w:t>
            </w:r>
          </w:p>
        </w:tc>
      </w:tr>
    </w:tbl>
    <w:p w14:paraId="6A78BB5E" w14:textId="77777777" w:rsidR="00863BE1" w:rsidRPr="004F7FC3" w:rsidRDefault="00863BE1" w:rsidP="00863BE1">
      <w:pPr>
        <w:autoSpaceDE w:val="0"/>
        <w:autoSpaceDN w:val="0"/>
        <w:adjustRightInd w:val="0"/>
        <w:spacing w:after="0" w:line="360" w:lineRule="auto"/>
        <w:jc w:val="both"/>
        <w:rPr>
          <w:rFonts w:ascii="Times New Roman" w:eastAsia="Calibri" w:hAnsi="Times New Roman" w:cs="Times New Roman"/>
          <w:b/>
          <w:i/>
          <w:kern w:val="0"/>
          <w:sz w:val="24"/>
          <w:szCs w:val="24"/>
          <w14:ligatures w14:val="none"/>
        </w:rPr>
      </w:pPr>
      <w:r w:rsidRPr="004F7FC3">
        <w:rPr>
          <w:rFonts w:ascii="Times New Roman" w:eastAsia="Calibri" w:hAnsi="Times New Roman" w:cs="Times New Roman"/>
          <w:b/>
          <w:i/>
          <w:kern w:val="0"/>
          <w:sz w:val="24"/>
          <w:szCs w:val="24"/>
          <w14:ligatures w14:val="none"/>
        </w:rPr>
        <w:t>Source: Authors Computation from Primary Data 2023. (With SPSS)</w:t>
      </w:r>
    </w:p>
    <w:p w14:paraId="34B8FDDC" w14:textId="77777777" w:rsidR="00863BE1" w:rsidRPr="004F7FC3" w:rsidRDefault="00863BE1" w:rsidP="00863BE1">
      <w:pPr>
        <w:autoSpaceDE w:val="0"/>
        <w:autoSpaceDN w:val="0"/>
        <w:adjustRightInd w:val="0"/>
        <w:spacing w:after="0" w:line="360" w:lineRule="auto"/>
        <w:jc w:val="both"/>
        <w:rPr>
          <w:rFonts w:ascii="Times New Roman" w:eastAsia="Calibri" w:hAnsi="Times New Roman" w:cs="Times New Roman"/>
          <w:sz w:val="24"/>
          <w:szCs w:val="24"/>
        </w:rPr>
      </w:pPr>
      <w:r w:rsidRPr="004F7FC3">
        <w:rPr>
          <w:rFonts w:ascii="Times New Roman" w:hAnsi="Times New Roman" w:cs="Times New Roman"/>
          <w:sz w:val="24"/>
          <w:szCs w:val="24"/>
        </w:rPr>
        <w:t xml:space="preserve">The study findings regarding the operational performance of Commercial Banks were Low based on the Overall mean of 2.71, SD=1.318 this indicates a low operation performance of the Bank. The bank had managed to reduce its costs of operation through well strategic supplier management practices as per results revealed a high mean of 3.50, SD=1.350 interpreted as high performance. Still the </w:t>
      </w:r>
      <w:r w:rsidRPr="004F7FC3">
        <w:rPr>
          <w:rFonts w:ascii="Times New Roman" w:eastAsia="Calibri" w:hAnsi="Times New Roman" w:cs="Times New Roman"/>
          <w:kern w:val="0"/>
          <w:sz w:val="24"/>
          <w:szCs w:val="24"/>
          <w14:ligatures w14:val="none"/>
        </w:rPr>
        <w:t>Bank has achieved customer satisfaction for all its clients</w:t>
      </w:r>
      <w:r w:rsidRPr="004F7FC3">
        <w:rPr>
          <w:rFonts w:ascii="Times New Roman" w:hAnsi="Times New Roman" w:cs="Times New Roman"/>
          <w:sz w:val="24"/>
          <w:szCs w:val="24"/>
        </w:rPr>
        <w:t xml:space="preserve"> as indicated with the mean of 3.26, SD=1.368 interpreted as high and good performance. </w:t>
      </w:r>
    </w:p>
    <w:p w14:paraId="37EFAC4D" w14:textId="77777777" w:rsidR="00863BE1" w:rsidRPr="004F7FC3" w:rsidRDefault="00863BE1" w:rsidP="00863BE1">
      <w:pPr>
        <w:spacing w:line="360" w:lineRule="auto"/>
        <w:jc w:val="both"/>
        <w:rPr>
          <w:rFonts w:ascii="Times New Roman" w:hAnsi="Times New Roman" w:cs="Times New Roman"/>
          <w:sz w:val="24"/>
          <w:szCs w:val="24"/>
        </w:rPr>
      </w:pPr>
      <w:r w:rsidRPr="004F7FC3">
        <w:rPr>
          <w:rFonts w:ascii="Times New Roman" w:eastAsia="Calibri" w:hAnsi="Times New Roman" w:cs="Times New Roman"/>
          <w:kern w:val="0"/>
          <w:sz w:val="24"/>
          <w:szCs w:val="24"/>
          <w14:ligatures w14:val="none"/>
        </w:rPr>
        <w:t xml:space="preserve">Furthermore, timely provision of service in the Bank had the mean of 3.19 and SD=1.336 interpreted as high. </w:t>
      </w:r>
      <w:r w:rsidRPr="004F7FC3">
        <w:rPr>
          <w:rFonts w:ascii="Times New Roman" w:hAnsi="Times New Roman" w:cs="Times New Roman"/>
          <w:sz w:val="24"/>
          <w:szCs w:val="24"/>
        </w:rPr>
        <w:t xml:space="preserve"> The study findings </w:t>
      </w:r>
      <w:r w:rsidRPr="004F7FC3">
        <w:rPr>
          <w:rFonts w:ascii="Times New Roman" w:eastAsia="Calibri" w:hAnsi="Times New Roman" w:cs="Times New Roman"/>
          <w:kern w:val="0"/>
          <w:sz w:val="24"/>
          <w:szCs w:val="24"/>
          <w14:ligatures w14:val="none"/>
        </w:rPr>
        <w:t>on whether the bank has been able to generate profit for the last 3 years</w:t>
      </w:r>
      <w:r w:rsidRPr="004F7FC3">
        <w:rPr>
          <w:rFonts w:ascii="Times New Roman" w:hAnsi="Times New Roman" w:cs="Times New Roman"/>
          <w:sz w:val="24"/>
          <w:szCs w:val="24"/>
        </w:rPr>
        <w:t xml:space="preserve"> had the mean of 2.79, SD=1.382 interpreted as poor and whether the bank have achieved Operational annual objectives had the mean of 2.06, SD=1.191 interpreted as low. Regarding whether </w:t>
      </w:r>
      <w:r w:rsidRPr="004F7FC3">
        <w:rPr>
          <w:rFonts w:ascii="Times New Roman" w:eastAsia="Calibri" w:hAnsi="Times New Roman" w:cs="Times New Roman"/>
          <w:kern w:val="0"/>
          <w:sz w:val="24"/>
          <w:szCs w:val="24"/>
          <w14:ligatures w14:val="none"/>
        </w:rPr>
        <w:t>the bank had raised salaries and wages from profit</w:t>
      </w:r>
      <w:r w:rsidRPr="004F7FC3">
        <w:rPr>
          <w:rFonts w:ascii="Times New Roman" w:hAnsi="Times New Roman" w:cs="Times New Roman"/>
          <w:sz w:val="24"/>
          <w:szCs w:val="24"/>
        </w:rPr>
        <w:t xml:space="preserve"> had the mean of 2.59, SD=1.396 interpreted as poor. Finally concerning the </w:t>
      </w:r>
      <w:r w:rsidRPr="004F7FC3">
        <w:rPr>
          <w:rFonts w:ascii="Times New Roman" w:eastAsia="Calibri" w:hAnsi="Times New Roman" w:cs="Times New Roman"/>
          <w:kern w:val="0"/>
          <w:sz w:val="24"/>
          <w:szCs w:val="24"/>
          <w14:ligatures w14:val="none"/>
        </w:rPr>
        <w:t>Bank returns on working capital employed was greater than 50% in the last 3 years</w:t>
      </w:r>
      <w:r w:rsidRPr="004F7FC3">
        <w:rPr>
          <w:rFonts w:ascii="Times New Roman" w:hAnsi="Times New Roman" w:cs="Times New Roman"/>
          <w:sz w:val="24"/>
          <w:szCs w:val="24"/>
        </w:rPr>
        <w:t xml:space="preserve"> had the mean of 2.26, SD=1.213 interpreted as low performance. </w:t>
      </w:r>
    </w:p>
    <w:p w14:paraId="00B1D57A" w14:textId="77777777" w:rsidR="00863BE1" w:rsidRPr="004F7FC3" w:rsidRDefault="00863BE1" w:rsidP="00863BE1">
      <w:pPr>
        <w:spacing w:after="200" w:line="360" w:lineRule="auto"/>
        <w:jc w:val="both"/>
        <w:rPr>
          <w:rFonts w:ascii="Times New Roman" w:eastAsia="Calibri" w:hAnsi="Times New Roman" w:cs="Times New Roman"/>
          <w:b/>
          <w:bCs/>
          <w:kern w:val="0"/>
          <w:sz w:val="24"/>
          <w:szCs w:val="24"/>
          <w14:ligatures w14:val="none"/>
        </w:rPr>
      </w:pPr>
      <w:bookmarkStart w:id="50" w:name="_Toc524367212"/>
      <w:r w:rsidRPr="004F7FC3">
        <w:rPr>
          <w:rFonts w:ascii="Times New Roman" w:hAnsi="Times New Roman" w:cs="Times New Roman"/>
          <w:b/>
          <w:bCs/>
          <w:sz w:val="24"/>
          <w:szCs w:val="24"/>
        </w:rPr>
        <w:t xml:space="preserve">Table 4.5 Pearson’s correlation coefficient </w:t>
      </w:r>
      <w:bookmarkStart w:id="51" w:name="_Hlk130488272"/>
      <w:r w:rsidRPr="004F7FC3">
        <w:rPr>
          <w:rFonts w:ascii="Times New Roman" w:hAnsi="Times New Roman" w:cs="Times New Roman"/>
          <w:b/>
          <w:bCs/>
          <w:sz w:val="24"/>
          <w:szCs w:val="24"/>
        </w:rPr>
        <w:t>among</w:t>
      </w:r>
      <w:r w:rsidRPr="004F7FC3">
        <w:rPr>
          <w:rFonts w:ascii="Times New Roman" w:eastAsia="Times New Roman" w:hAnsi="Times New Roman" w:cs="Times New Roman"/>
          <w:b/>
          <w:bCs/>
          <w:color w:val="4F81BD"/>
          <w:kern w:val="0"/>
          <w:sz w:val="24"/>
          <w:szCs w:val="24"/>
          <w14:ligatures w14:val="none"/>
        </w:rPr>
        <w:t xml:space="preserve"> </w:t>
      </w:r>
      <w:bookmarkEnd w:id="50"/>
      <w:r w:rsidRPr="004F7FC3">
        <w:rPr>
          <w:rFonts w:ascii="Times New Roman" w:eastAsia="Calibri" w:hAnsi="Times New Roman" w:cs="Times New Roman"/>
          <w:b/>
          <w:bCs/>
          <w:kern w:val="0"/>
          <w:sz w:val="24"/>
          <w:szCs w:val="24"/>
          <w14:ligatures w14:val="none"/>
        </w:rPr>
        <w:t>trust-Based relationship, information sharing, supplier collaboration</w:t>
      </w:r>
      <w:bookmarkEnd w:id="51"/>
      <w:r w:rsidRPr="004F7FC3">
        <w:rPr>
          <w:rFonts w:ascii="Times New Roman" w:eastAsia="Calibri" w:hAnsi="Times New Roman" w:cs="Times New Roman"/>
          <w:b/>
          <w:bCs/>
          <w:kern w:val="0"/>
          <w:sz w:val="24"/>
          <w:szCs w:val="24"/>
          <w14:ligatures w14:val="none"/>
        </w:rPr>
        <w:t xml:space="preserve"> and operation performance of Commercial Banks</w:t>
      </w:r>
    </w:p>
    <w:tbl>
      <w:tblPr>
        <w:tblStyle w:val="LightShading1"/>
        <w:tblW w:w="5000" w:type="pct"/>
        <w:tblLook w:val="0660" w:firstRow="1" w:lastRow="1" w:firstColumn="0" w:lastColumn="0" w:noHBand="1" w:noVBand="1"/>
      </w:tblPr>
      <w:tblGrid>
        <w:gridCol w:w="2263"/>
        <w:gridCol w:w="2437"/>
        <w:gridCol w:w="2438"/>
        <w:gridCol w:w="2438"/>
      </w:tblGrid>
      <w:tr w:rsidR="00863BE1" w:rsidRPr="004F7FC3" w14:paraId="72BA20BF" w14:textId="77777777" w:rsidTr="00B57B43">
        <w:trPr>
          <w:cnfStyle w:val="100000000000" w:firstRow="1" w:lastRow="0" w:firstColumn="0" w:lastColumn="0" w:oddVBand="0" w:evenVBand="0" w:oddHBand="0" w:evenHBand="0" w:firstRowFirstColumn="0" w:firstRowLastColumn="0" w:lastRowFirstColumn="0" w:lastRowLastColumn="0"/>
          <w:trHeight w:val="478"/>
        </w:trPr>
        <w:tc>
          <w:tcPr>
            <w:tcW w:w="1054" w:type="pct"/>
            <w:tcBorders>
              <w:top w:val="single" w:sz="18" w:space="0" w:color="000000"/>
              <w:left w:val="single" w:sz="18" w:space="0" w:color="000000"/>
            </w:tcBorders>
            <w:noWrap/>
          </w:tcPr>
          <w:p w14:paraId="41575215" w14:textId="77777777" w:rsidR="00863BE1" w:rsidRPr="004F7FC3" w:rsidRDefault="00863BE1" w:rsidP="00B57B43">
            <w:pPr>
              <w:spacing w:line="360" w:lineRule="auto"/>
              <w:jc w:val="both"/>
              <w:rPr>
                <w:rFonts w:ascii="Times New Roman" w:eastAsia="Calibri" w:hAnsi="Times New Roman" w:cs="Times New Roman"/>
              </w:rPr>
            </w:pPr>
            <w:r w:rsidRPr="004F7FC3">
              <w:rPr>
                <w:rFonts w:ascii="Times New Roman" w:eastAsia="Calibri" w:hAnsi="Times New Roman" w:cs="Times New Roman"/>
              </w:rPr>
              <w:t xml:space="preserve">Covariates </w:t>
            </w:r>
          </w:p>
        </w:tc>
        <w:tc>
          <w:tcPr>
            <w:tcW w:w="1315" w:type="pct"/>
            <w:tcBorders>
              <w:top w:val="single" w:sz="18" w:space="0" w:color="000000"/>
            </w:tcBorders>
          </w:tcPr>
          <w:p w14:paraId="4DF4C247" w14:textId="77777777" w:rsidR="00863BE1" w:rsidRPr="004F7FC3" w:rsidRDefault="00863BE1" w:rsidP="00B57B43">
            <w:pPr>
              <w:spacing w:line="360" w:lineRule="auto"/>
              <w:jc w:val="both"/>
              <w:rPr>
                <w:rFonts w:ascii="Times New Roman" w:eastAsia="Calibri" w:hAnsi="Times New Roman" w:cs="Times New Roman"/>
              </w:rPr>
            </w:pPr>
          </w:p>
        </w:tc>
        <w:tc>
          <w:tcPr>
            <w:tcW w:w="1315" w:type="pct"/>
            <w:tcBorders>
              <w:top w:val="single" w:sz="18" w:space="0" w:color="000000"/>
            </w:tcBorders>
          </w:tcPr>
          <w:p w14:paraId="41CDEA25" w14:textId="77777777" w:rsidR="00863BE1" w:rsidRPr="004F7FC3" w:rsidRDefault="00863BE1" w:rsidP="00B57B43">
            <w:pPr>
              <w:spacing w:line="360" w:lineRule="auto"/>
              <w:jc w:val="both"/>
              <w:rPr>
                <w:rFonts w:ascii="Times New Roman" w:eastAsia="Calibri" w:hAnsi="Times New Roman" w:cs="Times New Roman"/>
              </w:rPr>
            </w:pPr>
            <w:r w:rsidRPr="004F7FC3">
              <w:rPr>
                <w:rFonts w:ascii="Times New Roman" w:eastAsia="Calibri" w:hAnsi="Times New Roman" w:cs="Times New Roman"/>
              </w:rPr>
              <w:t xml:space="preserve">Trust-based relationship </w:t>
            </w:r>
          </w:p>
        </w:tc>
        <w:tc>
          <w:tcPr>
            <w:tcW w:w="1315" w:type="pct"/>
            <w:tcBorders>
              <w:top w:val="single" w:sz="18" w:space="0" w:color="000000"/>
              <w:right w:val="single" w:sz="4" w:space="0" w:color="auto"/>
            </w:tcBorders>
          </w:tcPr>
          <w:p w14:paraId="139C6ACE" w14:textId="77777777" w:rsidR="00863BE1" w:rsidRPr="004F7FC3" w:rsidRDefault="00863BE1" w:rsidP="00B57B43">
            <w:pPr>
              <w:spacing w:line="360" w:lineRule="auto"/>
              <w:jc w:val="both"/>
              <w:rPr>
                <w:rFonts w:ascii="Times New Roman" w:eastAsia="Calibri" w:hAnsi="Times New Roman" w:cs="Times New Roman"/>
              </w:rPr>
            </w:pPr>
            <w:r w:rsidRPr="004F7FC3">
              <w:rPr>
                <w:rFonts w:ascii="Times New Roman" w:eastAsia="Calibri" w:hAnsi="Times New Roman" w:cs="Times New Roman"/>
              </w:rPr>
              <w:t>Information sharing</w:t>
            </w:r>
          </w:p>
        </w:tc>
      </w:tr>
      <w:tr w:rsidR="00863BE1" w:rsidRPr="004F7FC3" w14:paraId="2D849DB3" w14:textId="77777777" w:rsidTr="00B57B43">
        <w:trPr>
          <w:trHeight w:val="460"/>
        </w:trPr>
        <w:tc>
          <w:tcPr>
            <w:tcW w:w="1054" w:type="pct"/>
            <w:vMerge w:val="restart"/>
            <w:tcBorders>
              <w:left w:val="single" w:sz="18" w:space="0" w:color="000000"/>
            </w:tcBorders>
            <w:noWrap/>
          </w:tcPr>
          <w:p w14:paraId="69873D44" w14:textId="77777777" w:rsidR="00863BE1" w:rsidRPr="004F7FC3" w:rsidRDefault="00863BE1" w:rsidP="00B57B43">
            <w:pPr>
              <w:spacing w:line="360" w:lineRule="auto"/>
              <w:jc w:val="both"/>
              <w:rPr>
                <w:rFonts w:ascii="Times New Roman" w:eastAsia="Calibri" w:hAnsi="Times New Roman" w:cs="Times New Roman"/>
              </w:rPr>
            </w:pPr>
          </w:p>
          <w:p w14:paraId="0446398A" w14:textId="77777777" w:rsidR="00863BE1" w:rsidRPr="004F7FC3" w:rsidRDefault="00863BE1" w:rsidP="00B57B43">
            <w:pPr>
              <w:spacing w:line="360" w:lineRule="auto"/>
              <w:jc w:val="both"/>
              <w:rPr>
                <w:rFonts w:ascii="Times New Roman" w:eastAsia="Calibri" w:hAnsi="Times New Roman" w:cs="Times New Roman"/>
              </w:rPr>
            </w:pPr>
            <w:r w:rsidRPr="004F7FC3">
              <w:rPr>
                <w:rFonts w:ascii="Times New Roman" w:eastAsia="Calibri" w:hAnsi="Times New Roman" w:cs="Times New Roman"/>
              </w:rPr>
              <w:t xml:space="preserve">Operation performance </w:t>
            </w:r>
          </w:p>
        </w:tc>
        <w:tc>
          <w:tcPr>
            <w:tcW w:w="1315" w:type="pct"/>
          </w:tcPr>
          <w:p w14:paraId="151A22D3" w14:textId="77777777" w:rsidR="00863BE1" w:rsidRPr="004F7FC3" w:rsidRDefault="00863BE1" w:rsidP="00B57B43">
            <w:pPr>
              <w:spacing w:line="360" w:lineRule="auto"/>
              <w:jc w:val="both"/>
              <w:rPr>
                <w:rFonts w:ascii="Times New Roman" w:eastAsia="Times New Roman" w:hAnsi="Times New Roman" w:cs="Times New Roman"/>
                <w:b/>
                <w:iCs/>
              </w:rPr>
            </w:pPr>
            <w:r w:rsidRPr="004F7FC3">
              <w:rPr>
                <w:rFonts w:ascii="Times New Roman" w:eastAsia="Times New Roman" w:hAnsi="Times New Roman" w:cs="Times New Roman"/>
                <w:b/>
                <w:iCs/>
              </w:rPr>
              <w:t xml:space="preserve">Pearson correlation </w:t>
            </w:r>
          </w:p>
        </w:tc>
        <w:tc>
          <w:tcPr>
            <w:tcW w:w="1315" w:type="pct"/>
          </w:tcPr>
          <w:p w14:paraId="26B6BB44" w14:textId="77777777" w:rsidR="00863BE1" w:rsidRPr="004F7FC3" w:rsidRDefault="00863BE1" w:rsidP="00B57B43">
            <w:pPr>
              <w:autoSpaceDE w:val="0"/>
              <w:autoSpaceDN w:val="0"/>
              <w:adjustRightInd w:val="0"/>
              <w:spacing w:line="360" w:lineRule="auto"/>
              <w:ind w:left="60" w:right="60"/>
              <w:jc w:val="both"/>
              <w:rPr>
                <w:rFonts w:ascii="Times New Roman" w:eastAsia="Calibri" w:hAnsi="Times New Roman" w:cs="Times New Roman"/>
              </w:rPr>
            </w:pPr>
            <w:r w:rsidRPr="004F7FC3">
              <w:rPr>
                <w:rFonts w:ascii="Times New Roman" w:eastAsia="Calibri" w:hAnsi="Times New Roman" w:cs="Times New Roman"/>
              </w:rPr>
              <w:t>.209</w:t>
            </w:r>
            <w:r w:rsidRPr="004F7FC3">
              <w:rPr>
                <w:rFonts w:ascii="Times New Roman" w:eastAsia="Calibri" w:hAnsi="Times New Roman" w:cs="Times New Roman"/>
                <w:rtl/>
              </w:rPr>
              <w:t>٭</w:t>
            </w:r>
          </w:p>
        </w:tc>
        <w:tc>
          <w:tcPr>
            <w:tcW w:w="1315" w:type="pct"/>
            <w:tcBorders>
              <w:right w:val="single" w:sz="4" w:space="0" w:color="auto"/>
            </w:tcBorders>
          </w:tcPr>
          <w:p w14:paraId="4B3AE589" w14:textId="77777777" w:rsidR="00863BE1" w:rsidRPr="004F7FC3" w:rsidRDefault="00863BE1" w:rsidP="00B57B43">
            <w:pPr>
              <w:autoSpaceDE w:val="0"/>
              <w:autoSpaceDN w:val="0"/>
              <w:adjustRightInd w:val="0"/>
              <w:spacing w:line="360" w:lineRule="auto"/>
              <w:ind w:left="60" w:right="60"/>
              <w:jc w:val="both"/>
              <w:rPr>
                <w:rFonts w:ascii="Times New Roman" w:eastAsia="Calibri" w:hAnsi="Times New Roman" w:cs="Times New Roman"/>
              </w:rPr>
            </w:pPr>
            <w:r w:rsidRPr="004F7FC3">
              <w:rPr>
                <w:rFonts w:ascii="Times New Roman" w:eastAsia="Calibri" w:hAnsi="Times New Roman" w:cs="Times New Roman"/>
              </w:rPr>
              <w:t>-.259</w:t>
            </w:r>
            <w:r w:rsidRPr="004F7FC3">
              <w:rPr>
                <w:rFonts w:ascii="Times New Roman" w:eastAsia="Calibri" w:hAnsi="Times New Roman" w:cs="Times New Roman"/>
                <w:rtl/>
              </w:rPr>
              <w:t>٭</w:t>
            </w:r>
          </w:p>
        </w:tc>
      </w:tr>
      <w:tr w:rsidR="00863BE1" w:rsidRPr="004F7FC3" w14:paraId="79E8ED94" w14:textId="77777777" w:rsidTr="00B57B43">
        <w:trPr>
          <w:cnfStyle w:val="010000000000" w:firstRow="0" w:lastRow="1" w:firstColumn="0" w:lastColumn="0" w:oddVBand="0" w:evenVBand="0" w:oddHBand="0" w:evenHBand="0" w:firstRowFirstColumn="0" w:firstRowLastColumn="0" w:lastRowFirstColumn="0" w:lastRowLastColumn="0"/>
          <w:trHeight w:val="487"/>
        </w:trPr>
        <w:tc>
          <w:tcPr>
            <w:tcW w:w="1054" w:type="pct"/>
            <w:vMerge/>
            <w:tcBorders>
              <w:left w:val="single" w:sz="18" w:space="0" w:color="000000"/>
            </w:tcBorders>
            <w:noWrap/>
          </w:tcPr>
          <w:p w14:paraId="53A2A934" w14:textId="77777777" w:rsidR="00863BE1" w:rsidRPr="004F7FC3" w:rsidRDefault="00863BE1" w:rsidP="00B57B43">
            <w:pPr>
              <w:spacing w:line="360" w:lineRule="auto"/>
              <w:jc w:val="both"/>
              <w:rPr>
                <w:rFonts w:ascii="Times New Roman" w:eastAsia="Calibri" w:hAnsi="Times New Roman" w:cs="Times New Roman"/>
              </w:rPr>
            </w:pPr>
          </w:p>
        </w:tc>
        <w:tc>
          <w:tcPr>
            <w:tcW w:w="1315" w:type="pct"/>
          </w:tcPr>
          <w:p w14:paraId="22420D2E" w14:textId="77777777" w:rsidR="00863BE1" w:rsidRPr="004F7FC3" w:rsidRDefault="00863BE1" w:rsidP="00B57B43">
            <w:pPr>
              <w:tabs>
                <w:tab w:val="decimal" w:pos="360"/>
              </w:tabs>
              <w:spacing w:line="360" w:lineRule="auto"/>
              <w:jc w:val="both"/>
              <w:rPr>
                <w:rFonts w:ascii="Times New Roman" w:eastAsia="Times New Roman" w:hAnsi="Times New Roman" w:cs="Times New Roman"/>
              </w:rPr>
            </w:pPr>
            <w:r w:rsidRPr="004F7FC3">
              <w:rPr>
                <w:rFonts w:ascii="Times New Roman" w:eastAsia="Times New Roman" w:hAnsi="Times New Roman" w:cs="Times New Roman"/>
              </w:rPr>
              <w:t xml:space="preserve">p-value </w:t>
            </w:r>
          </w:p>
        </w:tc>
        <w:tc>
          <w:tcPr>
            <w:tcW w:w="1315" w:type="pct"/>
          </w:tcPr>
          <w:p w14:paraId="5B0056A8" w14:textId="77777777" w:rsidR="00863BE1" w:rsidRPr="004F7FC3" w:rsidRDefault="00863BE1" w:rsidP="00B57B43">
            <w:pPr>
              <w:autoSpaceDE w:val="0"/>
              <w:autoSpaceDN w:val="0"/>
              <w:adjustRightInd w:val="0"/>
              <w:spacing w:line="360" w:lineRule="auto"/>
              <w:ind w:left="60" w:right="60"/>
              <w:jc w:val="both"/>
              <w:rPr>
                <w:rFonts w:ascii="Times New Roman" w:eastAsia="Calibri" w:hAnsi="Times New Roman" w:cs="Times New Roman"/>
              </w:rPr>
            </w:pPr>
            <w:r w:rsidRPr="004F7FC3">
              <w:rPr>
                <w:rFonts w:ascii="Times New Roman" w:eastAsia="Calibri" w:hAnsi="Times New Roman" w:cs="Times New Roman"/>
              </w:rPr>
              <w:t>.007</w:t>
            </w:r>
          </w:p>
        </w:tc>
        <w:tc>
          <w:tcPr>
            <w:tcW w:w="1315" w:type="pct"/>
            <w:tcBorders>
              <w:right w:val="single" w:sz="4" w:space="0" w:color="auto"/>
            </w:tcBorders>
          </w:tcPr>
          <w:p w14:paraId="370946AB" w14:textId="77777777" w:rsidR="00863BE1" w:rsidRPr="004F7FC3" w:rsidRDefault="00863BE1" w:rsidP="00B57B43">
            <w:pPr>
              <w:autoSpaceDE w:val="0"/>
              <w:autoSpaceDN w:val="0"/>
              <w:adjustRightInd w:val="0"/>
              <w:spacing w:line="360" w:lineRule="auto"/>
              <w:ind w:left="60" w:right="60"/>
              <w:jc w:val="both"/>
              <w:rPr>
                <w:rFonts w:ascii="Times New Roman" w:eastAsia="Calibri" w:hAnsi="Times New Roman" w:cs="Times New Roman"/>
              </w:rPr>
            </w:pPr>
            <w:r w:rsidRPr="004F7FC3">
              <w:rPr>
                <w:rFonts w:ascii="Times New Roman" w:eastAsia="Calibri" w:hAnsi="Times New Roman" w:cs="Times New Roman"/>
              </w:rPr>
              <w:t>.001</w:t>
            </w:r>
          </w:p>
        </w:tc>
      </w:tr>
    </w:tbl>
    <w:p w14:paraId="77EF3056" w14:textId="77777777" w:rsidR="00863BE1" w:rsidRPr="004F7FC3" w:rsidRDefault="00863BE1" w:rsidP="00863BE1">
      <w:pPr>
        <w:autoSpaceDE w:val="0"/>
        <w:autoSpaceDN w:val="0"/>
        <w:adjustRightInd w:val="0"/>
        <w:spacing w:after="0" w:line="360" w:lineRule="auto"/>
        <w:jc w:val="both"/>
        <w:rPr>
          <w:rFonts w:ascii="Times New Roman" w:eastAsia="Calibri" w:hAnsi="Times New Roman" w:cs="Times New Roman"/>
          <w:b/>
          <w:i/>
          <w:kern w:val="0"/>
          <w:sz w:val="24"/>
          <w:szCs w:val="24"/>
          <w14:ligatures w14:val="none"/>
        </w:rPr>
      </w:pPr>
      <w:r w:rsidRPr="004F7FC3">
        <w:rPr>
          <w:rFonts w:ascii="Times New Roman" w:eastAsia="Calibri" w:hAnsi="Times New Roman" w:cs="Times New Roman"/>
          <w:b/>
          <w:i/>
          <w:kern w:val="0"/>
          <w:sz w:val="24"/>
          <w:szCs w:val="24"/>
          <w14:ligatures w14:val="none"/>
        </w:rPr>
        <w:t>Source: Authors’ computation from primary data 2023</w:t>
      </w:r>
    </w:p>
    <w:p w14:paraId="2E1E50E6" w14:textId="77777777" w:rsidR="00863BE1" w:rsidRPr="004F7FC3" w:rsidRDefault="00863BE1" w:rsidP="00863BE1">
      <w:pPr>
        <w:spacing w:after="20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The study established the relationship between trust-Based relationship, information sharing, and operation performance of Commercial Banks.</w:t>
      </w:r>
      <w:r w:rsidRPr="004F7FC3">
        <w:rPr>
          <w:rFonts w:ascii="Times New Roman" w:eastAsia="Calibri" w:hAnsi="Times New Roman" w:cs="Times New Roman"/>
          <w:b/>
          <w:bCs/>
          <w:kern w:val="0"/>
          <w:sz w:val="24"/>
          <w:szCs w:val="24"/>
          <w14:ligatures w14:val="none"/>
        </w:rPr>
        <w:t xml:space="preserve"> </w:t>
      </w:r>
      <w:bookmarkStart w:id="52" w:name="_Hlk130537394"/>
      <w:r w:rsidRPr="004F7FC3">
        <w:rPr>
          <w:rFonts w:ascii="Times New Roman" w:eastAsia="Calibri" w:hAnsi="Times New Roman" w:cs="Times New Roman"/>
          <w:kern w:val="0"/>
          <w:sz w:val="24"/>
          <w:szCs w:val="24"/>
          <w14:ligatures w14:val="none"/>
        </w:rPr>
        <w:t xml:space="preserve">The person correlation coefficient value for Trust-Based relationship and Operational performance of Commercial Bankswas r= 0.209 and the P-value= 0. 007.This implies that there is a low positive relationship between Trust-Based relationship and Operational performance of Commercial Banks. </w:t>
      </w:r>
      <w:bookmarkEnd w:id="52"/>
      <w:r w:rsidRPr="004F7FC3">
        <w:rPr>
          <w:rFonts w:ascii="Times New Roman" w:eastAsia="Calibri" w:hAnsi="Times New Roman" w:cs="Times New Roman"/>
          <w:kern w:val="0"/>
          <w:sz w:val="24"/>
          <w:szCs w:val="24"/>
          <w14:ligatures w14:val="none"/>
        </w:rPr>
        <w:t>However, the P-value of 0.007 suggests the existence of a statistically significant relationship between Trust-Based relationship and Operational performance of Commercial Banks.</w:t>
      </w:r>
    </w:p>
    <w:p w14:paraId="5C12528E" w14:textId="77777777" w:rsidR="00863BE1" w:rsidRPr="004F7FC3" w:rsidRDefault="00863BE1" w:rsidP="00863BE1">
      <w:pPr>
        <w:spacing w:after="20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 xml:space="preserve"> In establishing the relationship between information sharing and operation performance of Commercial Banks, </w:t>
      </w:r>
      <w:bookmarkStart w:id="53" w:name="_Hlk130538105"/>
      <w:r w:rsidRPr="004F7FC3">
        <w:rPr>
          <w:rFonts w:ascii="Times New Roman" w:eastAsia="Calibri" w:hAnsi="Times New Roman" w:cs="Times New Roman"/>
          <w:kern w:val="0"/>
          <w:sz w:val="24"/>
          <w:szCs w:val="24"/>
          <w14:ligatures w14:val="none"/>
        </w:rPr>
        <w:t>the person correlation coefficient was r= -0.259 and a P-value =0. 001.This signified a low negative relationship between information sharing and operation performance of Commercial Banks. On the other hand, the P-value=0.001 implies the presence of a statistically significant relationship between the information sharing and operation performance of Commercial Banks</w:t>
      </w:r>
      <w:bookmarkEnd w:id="53"/>
      <w:r w:rsidRPr="004F7FC3">
        <w:rPr>
          <w:rFonts w:ascii="Times New Roman" w:eastAsia="Calibri" w:hAnsi="Times New Roman" w:cs="Times New Roman"/>
          <w:kern w:val="0"/>
          <w:sz w:val="24"/>
          <w:szCs w:val="24"/>
          <w14:ligatures w14:val="none"/>
        </w:rPr>
        <w:t>. In general observation, trust-Based relationship and information sharing, have a statistically significant relationship with Operational performance of Commercial Banks in Juba, South Sudan</w:t>
      </w:r>
    </w:p>
    <w:p w14:paraId="45F60AF8" w14:textId="77777777" w:rsidR="00863BE1" w:rsidRPr="004F7FC3" w:rsidRDefault="00863BE1" w:rsidP="00863BE1">
      <w:pPr>
        <w:spacing w:line="360" w:lineRule="auto"/>
        <w:jc w:val="both"/>
        <w:rPr>
          <w:rFonts w:ascii="Times New Roman" w:hAnsi="Times New Roman" w:cs="Times New Roman"/>
          <w:b/>
          <w:bCs/>
          <w:sz w:val="24"/>
          <w:szCs w:val="24"/>
        </w:rPr>
      </w:pPr>
      <w:bookmarkStart w:id="54" w:name="_Toc524367213"/>
      <w:r w:rsidRPr="004F7FC3">
        <w:rPr>
          <w:rFonts w:ascii="Times New Roman" w:hAnsi="Times New Roman" w:cs="Times New Roman"/>
          <w:b/>
          <w:bCs/>
          <w:sz w:val="24"/>
          <w:szCs w:val="24"/>
        </w:rPr>
        <w:t>Table 4.6 Multiple Regression Analysis on</w:t>
      </w:r>
      <w:r w:rsidRPr="004F7FC3">
        <w:rPr>
          <w:rFonts w:ascii="Times New Roman" w:eastAsia="Times New Roman" w:hAnsi="Times New Roman" w:cs="Times New Roman"/>
          <w:b/>
          <w:bCs/>
          <w:color w:val="4F81BD"/>
          <w:sz w:val="24"/>
          <w:szCs w:val="24"/>
        </w:rPr>
        <w:t xml:space="preserve"> </w:t>
      </w:r>
      <w:bookmarkEnd w:id="54"/>
      <w:r w:rsidRPr="004F7FC3">
        <w:rPr>
          <w:rFonts w:ascii="Times New Roman" w:hAnsi="Times New Roman" w:cs="Times New Roman"/>
          <w:b/>
          <w:bCs/>
          <w:sz w:val="24"/>
          <w:szCs w:val="24"/>
        </w:rPr>
        <w:t>trust-Based relationship, information sharing, supplier collaboration and operation performance of Commercial Banks</w:t>
      </w:r>
    </w:p>
    <w:tbl>
      <w:tblPr>
        <w:tblStyle w:val="TableGrid1"/>
        <w:tblW w:w="0" w:type="auto"/>
        <w:tblBorders>
          <w:top w:val="single" w:sz="18" w:space="0" w:color="000000"/>
          <w:left w:val="single" w:sz="18" w:space="0" w:color="000000"/>
          <w:bottom w:val="single" w:sz="18" w:space="0" w:color="000000"/>
          <w:right w:val="single" w:sz="18" w:space="0" w:color="000000"/>
        </w:tblBorders>
        <w:tblLook w:val="04A0" w:firstRow="1" w:lastRow="0" w:firstColumn="1" w:lastColumn="0" w:noHBand="0" w:noVBand="1"/>
      </w:tblPr>
      <w:tblGrid>
        <w:gridCol w:w="1819"/>
        <w:gridCol w:w="1198"/>
        <w:gridCol w:w="1199"/>
        <w:gridCol w:w="1688"/>
        <w:gridCol w:w="1248"/>
        <w:gridCol w:w="1045"/>
        <w:gridCol w:w="1174"/>
      </w:tblGrid>
      <w:tr w:rsidR="00863BE1" w:rsidRPr="004F7FC3" w14:paraId="0FA66C1B" w14:textId="77777777" w:rsidTr="00B57B43">
        <w:trPr>
          <w:trHeight w:val="748"/>
        </w:trPr>
        <w:tc>
          <w:tcPr>
            <w:tcW w:w="1819" w:type="dxa"/>
            <w:vMerge w:val="restart"/>
          </w:tcPr>
          <w:p w14:paraId="0B0FAFD4"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b/>
                <w:color w:val="000000" w:themeColor="text1" w:themeShade="BF"/>
                <w:sz w:val="24"/>
                <w:szCs w:val="24"/>
              </w:rPr>
            </w:pPr>
            <w:r w:rsidRPr="004F7FC3">
              <w:rPr>
                <w:rFonts w:ascii="Times New Roman" w:eastAsia="Calibri" w:hAnsi="Times New Roman" w:cs="Times New Roman"/>
                <w:b/>
                <w:color w:val="000000" w:themeColor="text1" w:themeShade="BF"/>
                <w:sz w:val="24"/>
                <w:szCs w:val="24"/>
              </w:rPr>
              <w:t xml:space="preserve">Variables </w:t>
            </w:r>
          </w:p>
        </w:tc>
        <w:tc>
          <w:tcPr>
            <w:tcW w:w="2397" w:type="dxa"/>
            <w:gridSpan w:val="2"/>
          </w:tcPr>
          <w:p w14:paraId="73D9026C"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b/>
                <w:color w:val="000000" w:themeColor="text1" w:themeShade="BF"/>
                <w:sz w:val="24"/>
                <w:szCs w:val="24"/>
              </w:rPr>
            </w:pPr>
            <w:r w:rsidRPr="004F7FC3">
              <w:rPr>
                <w:rFonts w:ascii="Times New Roman" w:eastAsia="Calibri" w:hAnsi="Times New Roman" w:cs="Times New Roman"/>
                <w:b/>
                <w:color w:val="000000" w:themeColor="text1" w:themeShade="BF"/>
                <w:sz w:val="24"/>
                <w:szCs w:val="24"/>
              </w:rPr>
              <w:t>Un standardized</w:t>
            </w:r>
          </w:p>
          <w:p w14:paraId="673EE217"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b/>
                <w:color w:val="000000" w:themeColor="text1" w:themeShade="BF"/>
                <w:sz w:val="24"/>
                <w:szCs w:val="24"/>
              </w:rPr>
            </w:pPr>
            <w:r w:rsidRPr="004F7FC3">
              <w:rPr>
                <w:rFonts w:ascii="Times New Roman" w:eastAsia="Calibri" w:hAnsi="Times New Roman" w:cs="Times New Roman"/>
                <w:b/>
                <w:color w:val="000000" w:themeColor="text1" w:themeShade="BF"/>
                <w:sz w:val="24"/>
                <w:szCs w:val="24"/>
              </w:rPr>
              <w:t>coefficients</w:t>
            </w:r>
          </w:p>
        </w:tc>
        <w:tc>
          <w:tcPr>
            <w:tcW w:w="1688" w:type="dxa"/>
          </w:tcPr>
          <w:p w14:paraId="72748C1B"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b/>
                <w:color w:val="000000" w:themeColor="text1" w:themeShade="BF"/>
                <w:sz w:val="24"/>
                <w:szCs w:val="24"/>
              </w:rPr>
            </w:pPr>
            <w:r w:rsidRPr="004F7FC3">
              <w:rPr>
                <w:rFonts w:ascii="Times New Roman" w:eastAsia="Calibri" w:hAnsi="Times New Roman" w:cs="Times New Roman"/>
                <w:b/>
                <w:color w:val="000000" w:themeColor="text1" w:themeShade="BF"/>
                <w:sz w:val="24"/>
                <w:szCs w:val="24"/>
              </w:rPr>
              <w:t>Standardized coefficients</w:t>
            </w:r>
          </w:p>
        </w:tc>
        <w:tc>
          <w:tcPr>
            <w:tcW w:w="1248" w:type="dxa"/>
          </w:tcPr>
          <w:p w14:paraId="7C2FDC65"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b/>
                <w:color w:val="000000" w:themeColor="text1" w:themeShade="BF"/>
                <w:sz w:val="24"/>
                <w:szCs w:val="24"/>
              </w:rPr>
            </w:pPr>
            <w:r w:rsidRPr="004F7FC3">
              <w:rPr>
                <w:rFonts w:ascii="Times New Roman" w:eastAsia="Calibri" w:hAnsi="Times New Roman" w:cs="Times New Roman"/>
                <w:b/>
                <w:color w:val="000000" w:themeColor="text1" w:themeShade="BF"/>
                <w:sz w:val="24"/>
                <w:szCs w:val="24"/>
              </w:rPr>
              <w:t>t-stat</w:t>
            </w:r>
          </w:p>
        </w:tc>
        <w:tc>
          <w:tcPr>
            <w:tcW w:w="1045" w:type="dxa"/>
          </w:tcPr>
          <w:p w14:paraId="532700CE"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b/>
                <w:color w:val="000000" w:themeColor="text1" w:themeShade="BF"/>
                <w:sz w:val="24"/>
                <w:szCs w:val="24"/>
              </w:rPr>
            </w:pPr>
            <w:r w:rsidRPr="004F7FC3">
              <w:rPr>
                <w:rFonts w:ascii="Times New Roman" w:eastAsia="Calibri" w:hAnsi="Times New Roman" w:cs="Times New Roman"/>
                <w:b/>
                <w:color w:val="000000" w:themeColor="text1" w:themeShade="BF"/>
                <w:sz w:val="24"/>
                <w:szCs w:val="24"/>
              </w:rPr>
              <w:t>sig</w:t>
            </w:r>
          </w:p>
        </w:tc>
        <w:tc>
          <w:tcPr>
            <w:tcW w:w="1174" w:type="dxa"/>
          </w:tcPr>
          <w:p w14:paraId="1A56D141"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b/>
                <w:color w:val="000000" w:themeColor="text1" w:themeShade="BF"/>
                <w:sz w:val="24"/>
                <w:szCs w:val="24"/>
              </w:rPr>
            </w:pPr>
            <w:r w:rsidRPr="004F7FC3">
              <w:rPr>
                <w:rFonts w:ascii="Times New Roman" w:eastAsia="Calibri" w:hAnsi="Times New Roman" w:cs="Times New Roman"/>
                <w:b/>
                <w:color w:val="000000" w:themeColor="text1" w:themeShade="BF"/>
                <w:sz w:val="24"/>
                <w:szCs w:val="24"/>
              </w:rPr>
              <w:t>VIF</w:t>
            </w:r>
          </w:p>
        </w:tc>
      </w:tr>
      <w:tr w:rsidR="00863BE1" w:rsidRPr="004F7FC3" w14:paraId="6FEA3528" w14:textId="77777777" w:rsidTr="00B57B43">
        <w:trPr>
          <w:trHeight w:val="532"/>
        </w:trPr>
        <w:tc>
          <w:tcPr>
            <w:tcW w:w="1819" w:type="dxa"/>
            <w:vMerge/>
          </w:tcPr>
          <w:p w14:paraId="7E8DF1D7"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b/>
                <w:color w:val="000000" w:themeColor="text1" w:themeShade="BF"/>
                <w:sz w:val="24"/>
                <w:szCs w:val="24"/>
              </w:rPr>
            </w:pPr>
          </w:p>
        </w:tc>
        <w:tc>
          <w:tcPr>
            <w:tcW w:w="1198" w:type="dxa"/>
          </w:tcPr>
          <w:p w14:paraId="2683C17D"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b/>
                <w:color w:val="000000" w:themeColor="text1" w:themeShade="BF"/>
                <w:sz w:val="24"/>
                <w:szCs w:val="24"/>
              </w:rPr>
            </w:pPr>
            <w:r w:rsidRPr="004F7FC3">
              <w:rPr>
                <w:rFonts w:ascii="Times New Roman" w:eastAsia="Calibri" w:hAnsi="Times New Roman" w:cs="Times New Roman"/>
                <w:b/>
                <w:color w:val="000000" w:themeColor="text1" w:themeShade="BF"/>
                <w:sz w:val="24"/>
                <w:szCs w:val="24"/>
              </w:rPr>
              <w:t>Β</w:t>
            </w:r>
          </w:p>
        </w:tc>
        <w:tc>
          <w:tcPr>
            <w:tcW w:w="1199" w:type="dxa"/>
          </w:tcPr>
          <w:p w14:paraId="27A29FF8"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b/>
                <w:color w:val="000000" w:themeColor="text1" w:themeShade="BF"/>
                <w:sz w:val="24"/>
                <w:szCs w:val="24"/>
              </w:rPr>
            </w:pPr>
            <w:r w:rsidRPr="004F7FC3">
              <w:rPr>
                <w:rFonts w:ascii="Times New Roman" w:eastAsia="Calibri" w:hAnsi="Times New Roman" w:cs="Times New Roman"/>
                <w:b/>
                <w:color w:val="000000" w:themeColor="text1" w:themeShade="BF"/>
                <w:sz w:val="24"/>
                <w:szCs w:val="24"/>
              </w:rPr>
              <w:t>Std error</w:t>
            </w:r>
          </w:p>
        </w:tc>
        <w:tc>
          <w:tcPr>
            <w:tcW w:w="1688" w:type="dxa"/>
          </w:tcPr>
          <w:p w14:paraId="24DFB27B"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b/>
                <w:color w:val="000000" w:themeColor="text1" w:themeShade="BF"/>
                <w:sz w:val="24"/>
                <w:szCs w:val="24"/>
              </w:rPr>
            </w:pPr>
            <w:r w:rsidRPr="004F7FC3">
              <w:rPr>
                <w:rFonts w:ascii="Times New Roman" w:eastAsia="Calibri" w:hAnsi="Times New Roman" w:cs="Times New Roman"/>
                <w:b/>
                <w:color w:val="000000" w:themeColor="text1" w:themeShade="BF"/>
                <w:sz w:val="24"/>
                <w:szCs w:val="24"/>
              </w:rPr>
              <w:t>B</w:t>
            </w:r>
          </w:p>
        </w:tc>
        <w:tc>
          <w:tcPr>
            <w:tcW w:w="1248" w:type="dxa"/>
          </w:tcPr>
          <w:p w14:paraId="34CED3CE"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color w:val="000000" w:themeColor="text1" w:themeShade="BF"/>
                <w:sz w:val="24"/>
                <w:szCs w:val="24"/>
              </w:rPr>
            </w:pPr>
          </w:p>
        </w:tc>
        <w:tc>
          <w:tcPr>
            <w:tcW w:w="1045" w:type="dxa"/>
          </w:tcPr>
          <w:p w14:paraId="7DA0455F"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b/>
                <w:color w:val="000000" w:themeColor="text1" w:themeShade="BF"/>
                <w:sz w:val="24"/>
                <w:szCs w:val="24"/>
              </w:rPr>
            </w:pPr>
          </w:p>
        </w:tc>
        <w:tc>
          <w:tcPr>
            <w:tcW w:w="1174" w:type="dxa"/>
          </w:tcPr>
          <w:p w14:paraId="08924EEB"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b/>
                <w:color w:val="000000" w:themeColor="text1" w:themeShade="BF"/>
                <w:sz w:val="24"/>
                <w:szCs w:val="24"/>
              </w:rPr>
            </w:pPr>
          </w:p>
        </w:tc>
      </w:tr>
      <w:tr w:rsidR="00863BE1" w:rsidRPr="004F7FC3" w14:paraId="67131CBE" w14:textId="77777777" w:rsidTr="00B57B43">
        <w:tc>
          <w:tcPr>
            <w:tcW w:w="1819" w:type="dxa"/>
          </w:tcPr>
          <w:p w14:paraId="07062AAF"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b/>
                <w:color w:val="000000" w:themeColor="text1" w:themeShade="BF"/>
                <w:sz w:val="24"/>
                <w:szCs w:val="24"/>
              </w:rPr>
            </w:pPr>
            <w:r w:rsidRPr="004F7FC3">
              <w:rPr>
                <w:rFonts w:ascii="Times New Roman" w:eastAsia="Calibri" w:hAnsi="Times New Roman" w:cs="Times New Roman"/>
                <w:b/>
                <w:color w:val="000000" w:themeColor="text1" w:themeShade="BF"/>
                <w:sz w:val="24"/>
                <w:szCs w:val="24"/>
              </w:rPr>
              <w:t>Constant</w:t>
            </w:r>
          </w:p>
        </w:tc>
        <w:tc>
          <w:tcPr>
            <w:tcW w:w="1198" w:type="dxa"/>
          </w:tcPr>
          <w:p w14:paraId="12A02576"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color w:val="000000" w:themeColor="text1" w:themeShade="BF"/>
                <w:sz w:val="24"/>
                <w:szCs w:val="24"/>
              </w:rPr>
            </w:pPr>
            <w:r w:rsidRPr="004F7FC3">
              <w:rPr>
                <w:rFonts w:ascii="Times New Roman" w:eastAsia="Calibri" w:hAnsi="Times New Roman" w:cs="Times New Roman"/>
                <w:color w:val="000000" w:themeColor="text1" w:themeShade="BF"/>
                <w:sz w:val="24"/>
                <w:szCs w:val="24"/>
              </w:rPr>
              <w:t>3.164</w:t>
            </w:r>
          </w:p>
        </w:tc>
        <w:tc>
          <w:tcPr>
            <w:tcW w:w="1199" w:type="dxa"/>
          </w:tcPr>
          <w:p w14:paraId="24C9E7F3"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color w:val="000000" w:themeColor="text1" w:themeShade="BF"/>
                <w:sz w:val="24"/>
                <w:szCs w:val="24"/>
              </w:rPr>
            </w:pPr>
            <w:r w:rsidRPr="004F7FC3">
              <w:rPr>
                <w:rFonts w:ascii="Times New Roman" w:eastAsia="Calibri" w:hAnsi="Times New Roman" w:cs="Times New Roman"/>
                <w:color w:val="000000" w:themeColor="text1" w:themeShade="BF"/>
                <w:sz w:val="24"/>
                <w:szCs w:val="24"/>
              </w:rPr>
              <w:t>0.476</w:t>
            </w:r>
          </w:p>
        </w:tc>
        <w:tc>
          <w:tcPr>
            <w:tcW w:w="1688" w:type="dxa"/>
          </w:tcPr>
          <w:p w14:paraId="70D42513"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b/>
                <w:color w:val="000000" w:themeColor="text1" w:themeShade="BF"/>
                <w:sz w:val="24"/>
                <w:szCs w:val="24"/>
              </w:rPr>
            </w:pPr>
          </w:p>
        </w:tc>
        <w:tc>
          <w:tcPr>
            <w:tcW w:w="1248" w:type="dxa"/>
          </w:tcPr>
          <w:p w14:paraId="159F34E7"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color w:val="000000" w:themeColor="text1" w:themeShade="BF"/>
                <w:sz w:val="24"/>
                <w:szCs w:val="24"/>
              </w:rPr>
            </w:pPr>
            <w:r w:rsidRPr="004F7FC3">
              <w:rPr>
                <w:rFonts w:ascii="Times New Roman" w:eastAsia="Calibri" w:hAnsi="Times New Roman" w:cs="Times New Roman"/>
                <w:color w:val="000000" w:themeColor="text1" w:themeShade="BF"/>
                <w:sz w:val="24"/>
                <w:szCs w:val="24"/>
              </w:rPr>
              <w:t>6.652</w:t>
            </w:r>
          </w:p>
        </w:tc>
        <w:tc>
          <w:tcPr>
            <w:tcW w:w="1045" w:type="dxa"/>
          </w:tcPr>
          <w:p w14:paraId="17BD4415"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color w:val="000000" w:themeColor="text1" w:themeShade="BF"/>
                <w:sz w:val="24"/>
                <w:szCs w:val="24"/>
              </w:rPr>
            </w:pPr>
            <w:r w:rsidRPr="004F7FC3">
              <w:rPr>
                <w:rFonts w:ascii="Times New Roman" w:eastAsia="Calibri" w:hAnsi="Times New Roman" w:cs="Times New Roman"/>
                <w:color w:val="000000" w:themeColor="text1" w:themeShade="BF"/>
                <w:sz w:val="24"/>
                <w:szCs w:val="24"/>
              </w:rPr>
              <w:t>0.000</w:t>
            </w:r>
          </w:p>
        </w:tc>
        <w:tc>
          <w:tcPr>
            <w:tcW w:w="1174" w:type="dxa"/>
          </w:tcPr>
          <w:p w14:paraId="52E99C04"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b/>
                <w:color w:val="000000" w:themeColor="text1" w:themeShade="BF"/>
                <w:sz w:val="24"/>
                <w:szCs w:val="24"/>
              </w:rPr>
            </w:pPr>
          </w:p>
        </w:tc>
      </w:tr>
      <w:tr w:rsidR="00863BE1" w:rsidRPr="004F7FC3" w14:paraId="1D35359E" w14:textId="77777777" w:rsidTr="00B57B43">
        <w:tc>
          <w:tcPr>
            <w:tcW w:w="1819" w:type="dxa"/>
          </w:tcPr>
          <w:p w14:paraId="63429650"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b/>
                <w:color w:val="000000" w:themeColor="text1" w:themeShade="BF"/>
                <w:sz w:val="24"/>
                <w:szCs w:val="24"/>
              </w:rPr>
            </w:pPr>
            <w:r w:rsidRPr="004F7FC3">
              <w:rPr>
                <w:rFonts w:ascii="Times New Roman" w:eastAsia="Calibri" w:hAnsi="Times New Roman" w:cs="Times New Roman"/>
                <w:b/>
                <w:color w:val="000000" w:themeColor="text1" w:themeShade="BF"/>
                <w:sz w:val="24"/>
                <w:szCs w:val="24"/>
              </w:rPr>
              <w:t>Trust Based Relationship</w:t>
            </w:r>
          </w:p>
        </w:tc>
        <w:tc>
          <w:tcPr>
            <w:tcW w:w="1198" w:type="dxa"/>
          </w:tcPr>
          <w:p w14:paraId="0C8D6D7B"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color w:val="000000" w:themeColor="text1" w:themeShade="BF"/>
                <w:sz w:val="24"/>
                <w:szCs w:val="24"/>
              </w:rPr>
            </w:pPr>
            <w:r w:rsidRPr="004F7FC3">
              <w:rPr>
                <w:rFonts w:ascii="Times New Roman" w:eastAsia="Calibri" w:hAnsi="Times New Roman" w:cs="Times New Roman"/>
                <w:color w:val="000000" w:themeColor="text1" w:themeShade="BF"/>
                <w:sz w:val="24"/>
                <w:szCs w:val="24"/>
              </w:rPr>
              <w:t>0.201</w:t>
            </w:r>
          </w:p>
        </w:tc>
        <w:tc>
          <w:tcPr>
            <w:tcW w:w="1199" w:type="dxa"/>
          </w:tcPr>
          <w:p w14:paraId="28ADC92C"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color w:val="000000" w:themeColor="text1" w:themeShade="BF"/>
                <w:sz w:val="24"/>
                <w:szCs w:val="24"/>
              </w:rPr>
            </w:pPr>
            <w:r w:rsidRPr="004F7FC3">
              <w:rPr>
                <w:rFonts w:ascii="Times New Roman" w:eastAsia="Calibri" w:hAnsi="Times New Roman" w:cs="Times New Roman"/>
                <w:color w:val="000000" w:themeColor="text1" w:themeShade="BF"/>
                <w:sz w:val="24"/>
                <w:szCs w:val="24"/>
              </w:rPr>
              <w:t>0.079</w:t>
            </w:r>
          </w:p>
        </w:tc>
        <w:tc>
          <w:tcPr>
            <w:tcW w:w="1688" w:type="dxa"/>
          </w:tcPr>
          <w:p w14:paraId="2E0B6D62"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color w:val="000000" w:themeColor="text1" w:themeShade="BF"/>
                <w:sz w:val="24"/>
                <w:szCs w:val="24"/>
              </w:rPr>
            </w:pPr>
            <w:r w:rsidRPr="004F7FC3">
              <w:rPr>
                <w:rFonts w:ascii="Times New Roman" w:eastAsia="Calibri" w:hAnsi="Times New Roman" w:cs="Times New Roman"/>
                <w:color w:val="000000" w:themeColor="text1" w:themeShade="BF"/>
                <w:sz w:val="24"/>
                <w:szCs w:val="24"/>
              </w:rPr>
              <w:t>0.198</w:t>
            </w:r>
          </w:p>
        </w:tc>
        <w:tc>
          <w:tcPr>
            <w:tcW w:w="1248" w:type="dxa"/>
          </w:tcPr>
          <w:p w14:paraId="07701E9F"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color w:val="000000" w:themeColor="text1" w:themeShade="BF"/>
                <w:sz w:val="24"/>
                <w:szCs w:val="24"/>
              </w:rPr>
            </w:pPr>
            <w:r w:rsidRPr="004F7FC3">
              <w:rPr>
                <w:rFonts w:ascii="Times New Roman" w:eastAsia="Calibri" w:hAnsi="Times New Roman" w:cs="Times New Roman"/>
                <w:color w:val="000000" w:themeColor="text1" w:themeShade="BF"/>
                <w:sz w:val="24"/>
                <w:szCs w:val="24"/>
              </w:rPr>
              <w:t>2.549</w:t>
            </w:r>
          </w:p>
        </w:tc>
        <w:tc>
          <w:tcPr>
            <w:tcW w:w="1045" w:type="dxa"/>
          </w:tcPr>
          <w:p w14:paraId="73538151"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color w:val="000000" w:themeColor="text1" w:themeShade="BF"/>
                <w:sz w:val="24"/>
                <w:szCs w:val="24"/>
              </w:rPr>
            </w:pPr>
            <w:r w:rsidRPr="004F7FC3">
              <w:rPr>
                <w:rFonts w:ascii="Times New Roman" w:eastAsia="Calibri" w:hAnsi="Times New Roman" w:cs="Times New Roman"/>
                <w:color w:val="000000" w:themeColor="text1" w:themeShade="BF"/>
                <w:sz w:val="24"/>
                <w:szCs w:val="24"/>
              </w:rPr>
              <w:t>0.012</w:t>
            </w:r>
          </w:p>
        </w:tc>
        <w:tc>
          <w:tcPr>
            <w:tcW w:w="1174" w:type="dxa"/>
          </w:tcPr>
          <w:p w14:paraId="6594EC2C"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color w:val="000000" w:themeColor="text1" w:themeShade="BF"/>
                <w:sz w:val="24"/>
                <w:szCs w:val="24"/>
              </w:rPr>
            </w:pPr>
            <w:r w:rsidRPr="004F7FC3">
              <w:rPr>
                <w:rFonts w:ascii="Times New Roman" w:eastAsia="Calibri" w:hAnsi="Times New Roman" w:cs="Times New Roman"/>
                <w:color w:val="000000" w:themeColor="text1" w:themeShade="BF"/>
                <w:sz w:val="24"/>
                <w:szCs w:val="24"/>
              </w:rPr>
              <w:t>1.080</w:t>
            </w:r>
          </w:p>
        </w:tc>
      </w:tr>
      <w:tr w:rsidR="00863BE1" w:rsidRPr="004F7FC3" w14:paraId="7DD1B330" w14:textId="77777777" w:rsidTr="00B57B43">
        <w:tc>
          <w:tcPr>
            <w:tcW w:w="1819" w:type="dxa"/>
          </w:tcPr>
          <w:p w14:paraId="1D56BBE0"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b/>
                <w:color w:val="000000" w:themeColor="text1" w:themeShade="BF"/>
                <w:sz w:val="24"/>
                <w:szCs w:val="24"/>
              </w:rPr>
            </w:pPr>
            <w:r w:rsidRPr="004F7FC3">
              <w:rPr>
                <w:rFonts w:ascii="Times New Roman" w:eastAsia="Calibri" w:hAnsi="Times New Roman" w:cs="Times New Roman"/>
                <w:b/>
                <w:color w:val="000000" w:themeColor="text1" w:themeShade="BF"/>
                <w:sz w:val="24"/>
                <w:szCs w:val="24"/>
              </w:rPr>
              <w:t>Information sharing</w:t>
            </w:r>
          </w:p>
        </w:tc>
        <w:tc>
          <w:tcPr>
            <w:tcW w:w="1198" w:type="dxa"/>
          </w:tcPr>
          <w:p w14:paraId="2372532C"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color w:val="000000" w:themeColor="text1" w:themeShade="BF"/>
                <w:sz w:val="24"/>
                <w:szCs w:val="24"/>
              </w:rPr>
            </w:pPr>
            <w:r w:rsidRPr="004F7FC3">
              <w:rPr>
                <w:rFonts w:ascii="Times New Roman" w:eastAsia="Calibri" w:hAnsi="Times New Roman" w:cs="Times New Roman"/>
                <w:color w:val="000000" w:themeColor="text1" w:themeShade="BF"/>
                <w:sz w:val="24"/>
                <w:szCs w:val="24"/>
              </w:rPr>
              <w:t>-0.192</w:t>
            </w:r>
          </w:p>
        </w:tc>
        <w:tc>
          <w:tcPr>
            <w:tcW w:w="1199" w:type="dxa"/>
          </w:tcPr>
          <w:p w14:paraId="73ED8DCE"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color w:val="000000" w:themeColor="text1" w:themeShade="BF"/>
                <w:sz w:val="24"/>
                <w:szCs w:val="24"/>
              </w:rPr>
            </w:pPr>
            <w:r w:rsidRPr="004F7FC3">
              <w:rPr>
                <w:rFonts w:ascii="Times New Roman" w:eastAsia="Calibri" w:hAnsi="Times New Roman" w:cs="Times New Roman"/>
                <w:color w:val="000000" w:themeColor="text1" w:themeShade="BF"/>
                <w:sz w:val="24"/>
                <w:szCs w:val="24"/>
              </w:rPr>
              <w:t>0.065</w:t>
            </w:r>
          </w:p>
        </w:tc>
        <w:tc>
          <w:tcPr>
            <w:tcW w:w="1688" w:type="dxa"/>
          </w:tcPr>
          <w:p w14:paraId="7B661B55"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color w:val="000000" w:themeColor="text1" w:themeShade="BF"/>
                <w:sz w:val="24"/>
                <w:szCs w:val="24"/>
              </w:rPr>
            </w:pPr>
            <w:r w:rsidRPr="004F7FC3">
              <w:rPr>
                <w:rFonts w:ascii="Times New Roman" w:eastAsia="Calibri" w:hAnsi="Times New Roman" w:cs="Times New Roman"/>
                <w:b/>
                <w:color w:val="000000" w:themeColor="text1" w:themeShade="BF"/>
                <w:sz w:val="24"/>
                <w:szCs w:val="24"/>
              </w:rPr>
              <w:t>-</w:t>
            </w:r>
            <w:r w:rsidRPr="004F7FC3">
              <w:rPr>
                <w:rFonts w:ascii="Times New Roman" w:eastAsia="Calibri" w:hAnsi="Times New Roman" w:cs="Times New Roman"/>
                <w:color w:val="000000" w:themeColor="text1" w:themeShade="BF"/>
                <w:sz w:val="24"/>
                <w:szCs w:val="24"/>
              </w:rPr>
              <w:t>0.229</w:t>
            </w:r>
          </w:p>
        </w:tc>
        <w:tc>
          <w:tcPr>
            <w:tcW w:w="1248" w:type="dxa"/>
          </w:tcPr>
          <w:p w14:paraId="173383B1"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color w:val="000000" w:themeColor="text1" w:themeShade="BF"/>
                <w:sz w:val="24"/>
                <w:szCs w:val="24"/>
              </w:rPr>
            </w:pPr>
            <w:r w:rsidRPr="004F7FC3">
              <w:rPr>
                <w:rFonts w:ascii="Times New Roman" w:eastAsia="Calibri" w:hAnsi="Times New Roman" w:cs="Times New Roman"/>
                <w:color w:val="000000" w:themeColor="text1" w:themeShade="BF"/>
                <w:sz w:val="24"/>
                <w:szCs w:val="24"/>
              </w:rPr>
              <w:t>-2.978</w:t>
            </w:r>
          </w:p>
        </w:tc>
        <w:tc>
          <w:tcPr>
            <w:tcW w:w="1045" w:type="dxa"/>
          </w:tcPr>
          <w:p w14:paraId="2E4FE1DD"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color w:val="000000" w:themeColor="text1" w:themeShade="BF"/>
                <w:sz w:val="24"/>
                <w:szCs w:val="24"/>
              </w:rPr>
            </w:pPr>
            <w:r w:rsidRPr="004F7FC3">
              <w:rPr>
                <w:rFonts w:ascii="Times New Roman" w:eastAsia="Calibri" w:hAnsi="Times New Roman" w:cs="Times New Roman"/>
                <w:color w:val="000000" w:themeColor="text1" w:themeShade="BF"/>
                <w:sz w:val="24"/>
                <w:szCs w:val="24"/>
              </w:rPr>
              <w:t>0.003</w:t>
            </w:r>
          </w:p>
        </w:tc>
        <w:tc>
          <w:tcPr>
            <w:tcW w:w="1174" w:type="dxa"/>
          </w:tcPr>
          <w:p w14:paraId="4998967A"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color w:val="000000" w:themeColor="text1" w:themeShade="BF"/>
                <w:sz w:val="24"/>
                <w:szCs w:val="24"/>
              </w:rPr>
            </w:pPr>
            <w:r w:rsidRPr="004F7FC3">
              <w:rPr>
                <w:rFonts w:ascii="Times New Roman" w:eastAsia="Calibri" w:hAnsi="Times New Roman" w:cs="Times New Roman"/>
                <w:color w:val="000000" w:themeColor="text1" w:themeShade="BF"/>
                <w:sz w:val="24"/>
                <w:szCs w:val="24"/>
              </w:rPr>
              <w:t>1.066</w:t>
            </w:r>
          </w:p>
        </w:tc>
      </w:tr>
      <w:tr w:rsidR="00863BE1" w:rsidRPr="004F7FC3" w14:paraId="181DA24C" w14:textId="77777777" w:rsidTr="00B57B43">
        <w:tc>
          <w:tcPr>
            <w:tcW w:w="9371" w:type="dxa"/>
            <w:gridSpan w:val="7"/>
          </w:tcPr>
          <w:p w14:paraId="70D435B7" w14:textId="77777777" w:rsidR="00863BE1" w:rsidRPr="004F7FC3" w:rsidRDefault="00863BE1" w:rsidP="00B57B43">
            <w:pPr>
              <w:autoSpaceDE w:val="0"/>
              <w:autoSpaceDN w:val="0"/>
              <w:adjustRightInd w:val="0"/>
              <w:spacing w:line="360" w:lineRule="auto"/>
              <w:jc w:val="both"/>
              <w:rPr>
                <w:rFonts w:ascii="Times New Roman" w:eastAsia="Calibri" w:hAnsi="Times New Roman" w:cs="Times New Roman"/>
                <w:color w:val="000000" w:themeColor="text1" w:themeShade="BF"/>
                <w:sz w:val="24"/>
                <w:szCs w:val="24"/>
              </w:rPr>
            </w:pPr>
            <w:r w:rsidRPr="004F7FC3">
              <w:rPr>
                <w:rFonts w:ascii="Times New Roman" w:eastAsia="Calibri" w:hAnsi="Times New Roman" w:cs="Times New Roman"/>
                <w:b/>
                <w:color w:val="000000" w:themeColor="text1" w:themeShade="BF"/>
                <w:sz w:val="24"/>
                <w:szCs w:val="24"/>
              </w:rPr>
              <w:t>F. value</w:t>
            </w:r>
            <w:r w:rsidRPr="004F7FC3">
              <w:rPr>
                <w:rFonts w:ascii="Times New Roman" w:eastAsia="Calibri" w:hAnsi="Times New Roman" w:cs="Times New Roman"/>
                <w:color w:val="000000" w:themeColor="text1" w:themeShade="BF"/>
                <w:sz w:val="24"/>
                <w:szCs w:val="24"/>
              </w:rPr>
              <w:t xml:space="preserve"> = 5.188, </w:t>
            </w:r>
            <w:r w:rsidRPr="004F7FC3">
              <w:rPr>
                <w:rFonts w:ascii="Times New Roman" w:eastAsia="Calibri" w:hAnsi="Times New Roman" w:cs="Times New Roman"/>
                <w:b/>
                <w:color w:val="000000" w:themeColor="text1" w:themeShade="BF"/>
                <w:sz w:val="24"/>
                <w:szCs w:val="24"/>
              </w:rPr>
              <w:t>R. squared</w:t>
            </w:r>
            <w:r w:rsidRPr="004F7FC3">
              <w:rPr>
                <w:rFonts w:ascii="Times New Roman" w:eastAsia="Calibri" w:hAnsi="Times New Roman" w:cs="Times New Roman"/>
                <w:color w:val="000000" w:themeColor="text1" w:themeShade="BF"/>
                <w:sz w:val="24"/>
                <w:szCs w:val="24"/>
              </w:rPr>
              <w:t xml:space="preserve"> = 0.115, </w:t>
            </w:r>
            <w:r w:rsidRPr="004F7FC3">
              <w:rPr>
                <w:rFonts w:ascii="Times New Roman" w:eastAsia="Calibri" w:hAnsi="Times New Roman" w:cs="Times New Roman"/>
                <w:b/>
                <w:color w:val="000000" w:themeColor="text1" w:themeShade="BF"/>
                <w:sz w:val="24"/>
                <w:szCs w:val="24"/>
              </w:rPr>
              <w:t>Overall sig value</w:t>
            </w:r>
            <w:r w:rsidRPr="004F7FC3">
              <w:rPr>
                <w:rFonts w:ascii="Times New Roman" w:eastAsia="Calibri" w:hAnsi="Times New Roman" w:cs="Times New Roman"/>
                <w:color w:val="000000" w:themeColor="text1" w:themeShade="BF"/>
                <w:sz w:val="24"/>
                <w:szCs w:val="24"/>
              </w:rPr>
              <w:t xml:space="preserve"> = 0.001, </w:t>
            </w:r>
            <w:r w:rsidRPr="004F7FC3">
              <w:rPr>
                <w:rFonts w:ascii="Times New Roman" w:eastAsia="Calibri" w:hAnsi="Times New Roman" w:cs="Times New Roman"/>
                <w:b/>
                <w:color w:val="000000" w:themeColor="text1" w:themeShade="BF"/>
                <w:sz w:val="24"/>
                <w:szCs w:val="24"/>
              </w:rPr>
              <w:t>df</w:t>
            </w:r>
            <w:r w:rsidRPr="004F7FC3">
              <w:rPr>
                <w:rFonts w:ascii="Times New Roman" w:eastAsia="Calibri" w:hAnsi="Times New Roman" w:cs="Times New Roman"/>
                <w:color w:val="000000" w:themeColor="text1" w:themeShade="BF"/>
                <w:sz w:val="24"/>
                <w:szCs w:val="24"/>
              </w:rPr>
              <w:t xml:space="preserve"> = 4</w:t>
            </w:r>
          </w:p>
        </w:tc>
      </w:tr>
    </w:tbl>
    <w:p w14:paraId="43E7F7FB" w14:textId="77777777" w:rsidR="00863BE1" w:rsidRPr="004F7FC3" w:rsidRDefault="00863BE1" w:rsidP="00863BE1">
      <w:pPr>
        <w:autoSpaceDE w:val="0"/>
        <w:autoSpaceDN w:val="0"/>
        <w:adjustRightInd w:val="0"/>
        <w:spacing w:after="0" w:line="360" w:lineRule="auto"/>
        <w:jc w:val="both"/>
        <w:rPr>
          <w:rFonts w:ascii="Times New Roman" w:eastAsia="Calibri" w:hAnsi="Times New Roman" w:cs="Times New Roman"/>
          <w:b/>
          <w:i/>
          <w:kern w:val="0"/>
          <w:sz w:val="24"/>
          <w:szCs w:val="24"/>
          <w14:ligatures w14:val="none"/>
        </w:rPr>
      </w:pPr>
      <w:r w:rsidRPr="004F7FC3">
        <w:rPr>
          <w:rFonts w:ascii="Times New Roman" w:eastAsia="Calibri" w:hAnsi="Times New Roman" w:cs="Times New Roman"/>
          <w:b/>
          <w:i/>
          <w:kern w:val="0"/>
          <w:sz w:val="24"/>
          <w:szCs w:val="24"/>
          <w14:ligatures w14:val="none"/>
        </w:rPr>
        <w:t>Source: Authors’ computation from primary data2023 (with SPSS).</w:t>
      </w:r>
    </w:p>
    <w:p w14:paraId="35211EC4" w14:textId="77777777" w:rsidR="00863BE1" w:rsidRPr="004F7FC3" w:rsidRDefault="00863BE1" w:rsidP="00863BE1">
      <w:pPr>
        <w:spacing w:after="200" w:line="360" w:lineRule="auto"/>
        <w:jc w:val="both"/>
        <w:rPr>
          <w:rFonts w:ascii="Times New Roman" w:eastAsia="Calibri" w:hAnsi="Times New Roman" w:cs="Times New Roman"/>
          <w:b/>
          <w:bCs/>
          <w:kern w:val="0"/>
          <w:sz w:val="24"/>
          <w:szCs w:val="24"/>
          <w14:ligatures w14:val="none"/>
        </w:rPr>
      </w:pPr>
      <w:r w:rsidRPr="004F7FC3">
        <w:rPr>
          <w:rFonts w:ascii="Times New Roman" w:eastAsia="Calibri" w:hAnsi="Times New Roman" w:cs="Times New Roman"/>
          <w:kern w:val="0"/>
          <w:sz w:val="24"/>
          <w:szCs w:val="24"/>
          <w14:ligatures w14:val="none"/>
        </w:rPr>
        <w:t>Table 4.6 shows the regression analysis of trust-Based relationship, information sharing, supplier collaboration and operation performance of Commercial Banks.</w:t>
      </w:r>
      <w:r w:rsidRPr="004F7FC3">
        <w:rPr>
          <w:rFonts w:ascii="Times New Roman" w:eastAsia="Calibri" w:hAnsi="Times New Roman" w:cs="Times New Roman"/>
          <w:b/>
          <w:bCs/>
          <w:kern w:val="0"/>
          <w:sz w:val="24"/>
          <w:szCs w:val="24"/>
          <w14:ligatures w14:val="none"/>
        </w:rPr>
        <w:t xml:space="preserve"> </w:t>
      </w:r>
      <w:r w:rsidRPr="004F7FC3">
        <w:rPr>
          <w:rFonts w:ascii="Times New Roman" w:eastAsia="Calibri" w:hAnsi="Times New Roman" w:cs="Times New Roman"/>
          <w:kern w:val="0"/>
          <w:sz w:val="24"/>
          <w:szCs w:val="24"/>
          <w14:ligatures w14:val="none"/>
        </w:rPr>
        <w:t>The results from the analysis reveal that the standardized coefficient for Trust-based relationship is 0.198, t-statistic of 2.549 and a P-value 0.012 with a Variance Inflationary Factor (VIF) of 1.080.  Since the t- statistics value is greater than 2 and p-value less than 0.05, this implies a significant relationship between trust-Based relationship, and operation performance of Commercial Banks.</w:t>
      </w:r>
    </w:p>
    <w:p w14:paraId="52A62316" w14:textId="77777777" w:rsidR="00863BE1" w:rsidRPr="004F7FC3" w:rsidRDefault="00863BE1" w:rsidP="00863BE1">
      <w:pPr>
        <w:spacing w:after="200" w:line="360" w:lineRule="auto"/>
        <w:jc w:val="both"/>
        <w:rPr>
          <w:rFonts w:ascii="Times New Roman" w:eastAsia="Calibri" w:hAnsi="Times New Roman" w:cs="Times New Roman"/>
          <w:b/>
          <w:bCs/>
          <w:kern w:val="0"/>
          <w:sz w:val="24"/>
          <w:szCs w:val="24"/>
          <w14:ligatures w14:val="none"/>
        </w:rPr>
      </w:pPr>
      <w:r w:rsidRPr="004F7FC3">
        <w:rPr>
          <w:rFonts w:ascii="Times New Roman" w:eastAsia="Calibri" w:hAnsi="Times New Roman" w:cs="Times New Roman"/>
          <w:kern w:val="0"/>
          <w:sz w:val="24"/>
          <w:szCs w:val="24"/>
          <w14:ligatures w14:val="none"/>
        </w:rPr>
        <w:t>In the same regard, the standardized coefficient of Information sharing is -0.229, t-statistic of -2.978, P-value 0.003 with a VIF of 1.066. This implies that there is a statistically significant relationship between information sharing and operation performance of Commercial Bankssince the calculated P-value (0.003) is less than the standard P-value(α = 0.05).</w:t>
      </w:r>
    </w:p>
    <w:p w14:paraId="4A9CF3AF" w14:textId="77777777" w:rsidR="00863BE1" w:rsidRPr="004F7FC3" w:rsidRDefault="00863BE1" w:rsidP="00863BE1">
      <w:pPr>
        <w:autoSpaceDE w:val="0"/>
        <w:autoSpaceDN w:val="0"/>
        <w:adjustRightInd w:val="0"/>
        <w:spacing w:after="0" w:line="360" w:lineRule="auto"/>
        <w:jc w:val="both"/>
        <w:rPr>
          <w:rFonts w:ascii="Times New Roman" w:eastAsia="Calibri" w:hAnsi="Times New Roman" w:cs="Times New Roman"/>
          <w:b/>
          <w:kern w:val="0"/>
          <w:sz w:val="24"/>
          <w:szCs w:val="24"/>
          <w14:ligatures w14:val="none"/>
        </w:rPr>
      </w:pPr>
      <w:r w:rsidRPr="004F7FC3">
        <w:rPr>
          <w:rFonts w:ascii="Times New Roman" w:eastAsia="Calibri" w:hAnsi="Times New Roman" w:cs="Times New Roman"/>
          <w:kern w:val="0"/>
          <w:sz w:val="24"/>
          <w:szCs w:val="24"/>
          <w14:ligatures w14:val="none"/>
        </w:rPr>
        <w:tab/>
      </w:r>
      <w:r w:rsidRPr="004F7FC3">
        <w:rPr>
          <w:rFonts w:ascii="Times New Roman" w:eastAsia="Calibri" w:hAnsi="Times New Roman" w:cs="Times New Roman"/>
          <w:b/>
          <w:kern w:val="0"/>
          <w:sz w:val="24"/>
          <w:szCs w:val="24"/>
          <w14:ligatures w14:val="none"/>
        </w:rPr>
        <w:t>The estimated regression model and its overall significance in the model</w:t>
      </w:r>
    </w:p>
    <w:p w14:paraId="023D619C" w14:textId="77777777" w:rsidR="00863BE1" w:rsidRPr="004F7FC3" w:rsidRDefault="00863BE1" w:rsidP="00863BE1">
      <w:pPr>
        <w:autoSpaceDE w:val="0"/>
        <w:autoSpaceDN w:val="0"/>
        <w:adjustRightInd w:val="0"/>
        <w:spacing w:after="0" w:line="360" w:lineRule="auto"/>
        <w:jc w:val="both"/>
        <w:rPr>
          <w:rFonts w:ascii="Times New Roman" w:eastAsia="Calibri" w:hAnsi="Times New Roman" w:cs="Times New Roman"/>
          <w:b/>
          <w:kern w:val="0"/>
          <w:sz w:val="24"/>
          <w:szCs w:val="24"/>
          <w14:ligatures w14:val="none"/>
        </w:rPr>
      </w:pPr>
    </w:p>
    <w:p w14:paraId="07D659C5" w14:textId="77777777" w:rsidR="00863BE1" w:rsidRPr="004F7FC3" w:rsidRDefault="00863BE1" w:rsidP="00863BE1">
      <w:pPr>
        <w:autoSpaceDE w:val="0"/>
        <w:autoSpaceDN w:val="0"/>
        <w:adjustRightInd w:val="0"/>
        <w:spacing w:after="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 xml:space="preserve">U= 3.164 + 0.201K – 0.192B </w:t>
      </w:r>
    </w:p>
    <w:p w14:paraId="453E819B" w14:textId="77777777" w:rsidR="00863BE1" w:rsidRPr="004F7FC3" w:rsidRDefault="00863BE1" w:rsidP="00863BE1">
      <w:pPr>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09FEFA22" w14:textId="77777777" w:rsidR="00863BE1" w:rsidRPr="004F7FC3" w:rsidRDefault="00863BE1" w:rsidP="00863BE1">
      <w:pPr>
        <w:tabs>
          <w:tab w:val="center" w:pos="6480"/>
          <w:tab w:val="left" w:pos="8670"/>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 xml:space="preserve">                              Where; U = Operational Performance of Commercial Banks     </w:t>
      </w:r>
    </w:p>
    <w:p w14:paraId="15CEA4F3" w14:textId="77777777" w:rsidR="00863BE1" w:rsidRPr="004F7FC3" w:rsidRDefault="00863BE1" w:rsidP="00863BE1">
      <w:pPr>
        <w:tabs>
          <w:tab w:val="center" w:pos="6480"/>
          <w:tab w:val="left" w:pos="8670"/>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 xml:space="preserve"> Dependent Variable</w:t>
      </w:r>
    </w:p>
    <w:p w14:paraId="339AB367" w14:textId="293321FE" w:rsidR="00863BE1" w:rsidRPr="004F7FC3" w:rsidRDefault="00863BE1" w:rsidP="00863BE1">
      <w:pPr>
        <w:autoSpaceDE w:val="0"/>
        <w:autoSpaceDN w:val="0"/>
        <w:adjustRightInd w:val="0"/>
        <w:spacing w:after="0" w:line="360" w:lineRule="auto"/>
        <w:jc w:val="both"/>
        <w:rPr>
          <w:rFonts w:ascii="Times New Roman" w:eastAsia="Calibri" w:hAnsi="Times New Roman" w:cs="Times New Roman"/>
          <w:kern w:val="0"/>
          <w:sz w:val="24"/>
          <w:szCs w:val="24"/>
          <w14:ligatures w14:val="none"/>
        </w:rPr>
      </w:pPr>
      <w:r w:rsidRPr="004F7FC3">
        <w:rPr>
          <w:rFonts w:ascii="Times New Roman" w:hAnsi="Times New Roman" w:cs="Times New Roman"/>
          <w:noProof/>
          <w:lang w:val="en-IN" w:eastAsia="en-IN"/>
        </w:rPr>
        <mc:AlternateContent>
          <mc:Choice Requires="wps">
            <w:drawing>
              <wp:anchor distT="0" distB="0" distL="114300" distR="114300" simplePos="0" relativeHeight="251659264" behindDoc="0" locked="0" layoutInCell="1" allowOverlap="1" wp14:anchorId="45362BB1" wp14:editId="078F8D79">
                <wp:simplePos x="0" y="0"/>
                <wp:positionH relativeFrom="column">
                  <wp:posOffset>3187700</wp:posOffset>
                </wp:positionH>
                <wp:positionV relativeFrom="paragraph">
                  <wp:posOffset>61595</wp:posOffset>
                </wp:positionV>
                <wp:extent cx="238125" cy="952500"/>
                <wp:effectExtent l="0" t="0" r="28575" b="19050"/>
                <wp:wrapNone/>
                <wp:docPr id="602642103"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 cy="952500"/>
                        </a:xfrm>
                        <a:prstGeom prst="rightBrace">
                          <a:avLst>
                            <a:gd name="adj1" fmla="val 33333"/>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EBCA01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51pt;margin-top:4.85pt;width:18.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"/>
            </w:pict>
          </mc:Fallback>
        </mc:AlternateContent>
      </w:r>
      <w:r w:rsidRPr="004F7FC3">
        <w:rPr>
          <w:rFonts w:ascii="Times New Roman" w:eastAsia="Calibri" w:hAnsi="Times New Roman" w:cs="Times New Roman"/>
          <w:kern w:val="0"/>
          <w:sz w:val="24"/>
          <w:szCs w:val="24"/>
          <w14:ligatures w14:val="none"/>
        </w:rPr>
        <w:t xml:space="preserve">            Strategic supplier management practices       </w:t>
      </w:r>
    </w:p>
    <w:p w14:paraId="50E147F0" w14:textId="77777777" w:rsidR="00863BE1" w:rsidRPr="004F7FC3" w:rsidRDefault="00863BE1" w:rsidP="00863BE1">
      <w:pPr>
        <w:autoSpaceDE w:val="0"/>
        <w:autoSpaceDN w:val="0"/>
        <w:adjustRightInd w:val="0"/>
        <w:spacing w:after="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 xml:space="preserve">                                 K = Trust-Based relationship</w:t>
      </w:r>
    </w:p>
    <w:p w14:paraId="6D91B400" w14:textId="77777777" w:rsidR="00863BE1" w:rsidRPr="004F7FC3" w:rsidRDefault="00863BE1" w:rsidP="00863BE1">
      <w:pPr>
        <w:tabs>
          <w:tab w:val="left" w:pos="8130"/>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 xml:space="preserve">                                 B=   Information sharing                     Independent Variables</w:t>
      </w:r>
    </w:p>
    <w:p w14:paraId="09B360D6" w14:textId="77777777" w:rsidR="00863BE1" w:rsidRPr="004F7FC3" w:rsidRDefault="00863BE1" w:rsidP="00863BE1">
      <w:pPr>
        <w:autoSpaceDE w:val="0"/>
        <w:autoSpaceDN w:val="0"/>
        <w:adjustRightInd w:val="0"/>
        <w:spacing w:after="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 xml:space="preserve">                                                   </w:t>
      </w:r>
    </w:p>
    <w:p w14:paraId="41969688" w14:textId="77777777" w:rsidR="00863BE1" w:rsidRPr="004F7FC3" w:rsidRDefault="00863BE1" w:rsidP="00863BE1">
      <w:pPr>
        <w:spacing w:after="200" w:line="360" w:lineRule="auto"/>
        <w:jc w:val="both"/>
        <w:rPr>
          <w:rFonts w:ascii="Times New Roman" w:hAnsi="Times New Roman" w:cs="Times New Roman"/>
          <w:b/>
          <w:bCs/>
          <w:sz w:val="24"/>
          <w:szCs w:val="24"/>
        </w:rPr>
      </w:pPr>
      <w:r w:rsidRPr="004F7FC3">
        <w:rPr>
          <w:rFonts w:ascii="Times New Roman" w:hAnsi="Times New Roman" w:cs="Times New Roman"/>
          <w:b/>
          <w:bCs/>
          <w:sz w:val="24"/>
          <w:szCs w:val="24"/>
        </w:rPr>
        <w:t xml:space="preserve">5.1Findings </w:t>
      </w:r>
    </w:p>
    <w:p w14:paraId="4919C05D" w14:textId="77777777" w:rsidR="00863BE1" w:rsidRPr="004F7FC3" w:rsidRDefault="00863BE1" w:rsidP="00863BE1">
      <w:pPr>
        <w:spacing w:after="200" w:line="360" w:lineRule="auto"/>
        <w:jc w:val="both"/>
        <w:rPr>
          <w:rFonts w:ascii="Times New Roman" w:eastAsia="Calibri" w:hAnsi="Times New Roman" w:cs="Times New Roman"/>
          <w:b/>
          <w:bCs/>
          <w:kern w:val="0"/>
          <w:sz w:val="24"/>
          <w:szCs w:val="24"/>
          <w14:ligatures w14:val="none"/>
        </w:rPr>
      </w:pPr>
      <w:r w:rsidRPr="004F7FC3">
        <w:rPr>
          <w:rFonts w:ascii="Times New Roman" w:hAnsi="Times New Roman" w:cs="Times New Roman"/>
          <w:sz w:val="24"/>
          <w:szCs w:val="24"/>
        </w:rPr>
        <w:t>Trust-based relationship on operational performance of Commercial Banks. The study findings revealed average mean responses of 3.29, SD=1.204 interpreted as good implying that the state of the trust-based relationship was quite good.</w:t>
      </w:r>
      <w:r w:rsidRPr="004F7FC3">
        <w:rPr>
          <w:rFonts w:ascii="Times New Roman" w:eastAsia="Calibri" w:hAnsi="Times New Roman" w:cs="Times New Roman"/>
          <w:kern w:val="0"/>
          <w:sz w:val="24"/>
          <w:szCs w:val="24"/>
          <w14:ligatures w14:val="none"/>
        </w:rPr>
        <w:t xml:space="preserve"> The person correlation coefficient value for Trust-Based relationship and Operational performance of Commercial Banks was r= 0.209 and the P-value= 0. 007.This implied a low positive relationship between Trust-Based relationship and Operational performance of Commercial Banks.  Furthermore, the results from the analysis reveal that the standardized coefficient for Trust-based relationship is 0.198, t-statistic of 2.549 and a P-value 0.012 with a Variance Inflationary Factor (VIF) of 1.080.  Since the t- statistics value is greater than 2 and p-value less than 0.05, this implied a significant relationship between trust-Based relationship, and operation performance of Commercial Banks.</w:t>
      </w:r>
      <w:r w:rsidRPr="004F7FC3">
        <w:rPr>
          <w:rFonts w:ascii="Times New Roman" w:hAnsi="Times New Roman" w:cs="Times New Roman"/>
        </w:rPr>
        <w:t xml:space="preserve"> </w:t>
      </w:r>
      <w:r w:rsidRPr="004F7FC3">
        <w:rPr>
          <w:rFonts w:ascii="Times New Roman" w:eastAsia="Calibri" w:hAnsi="Times New Roman" w:cs="Times New Roman"/>
          <w:kern w:val="0"/>
          <w:sz w:val="24"/>
          <w:szCs w:val="24"/>
          <w14:ligatures w14:val="none"/>
        </w:rPr>
        <w:t>These findings are backed by previous research studies that undertook to establish a similar purpose as elaborated below According to Douglas &amp; Mattew (2012) argued that trust-based relationship in organizations directly impact, either positively or negatively, on the cost, quality, technology, delivery, flexibility and profits of the firms that incorporate the suppliers’ out into their final products.</w:t>
      </w:r>
    </w:p>
    <w:p w14:paraId="7BF58B45" w14:textId="77777777" w:rsidR="00863BE1" w:rsidRPr="004F7FC3" w:rsidRDefault="00863BE1" w:rsidP="00863BE1">
      <w:pPr>
        <w:spacing w:after="200" w:line="360" w:lineRule="auto"/>
        <w:jc w:val="both"/>
        <w:rPr>
          <w:rFonts w:ascii="Times New Roman" w:eastAsia="Calibri" w:hAnsi="Times New Roman" w:cs="Times New Roman"/>
          <w:kern w:val="0"/>
          <w:sz w:val="24"/>
          <w:szCs w:val="24"/>
          <w14:ligatures w14:val="none"/>
        </w:rPr>
      </w:pPr>
      <w:r w:rsidRPr="004F7FC3">
        <w:rPr>
          <w:rFonts w:ascii="Times New Roman" w:hAnsi="Times New Roman" w:cs="Times New Roman"/>
          <w:sz w:val="24"/>
          <w:szCs w:val="24"/>
        </w:rPr>
        <w:t xml:space="preserve">Information sharing on Operational performance in Commercial Banks, Juba, South Sudan. The study findings showed that information sharing in Commercial Banks was high based on the Overall mean of 3.42, SD=1.182.  </w:t>
      </w:r>
      <w:r w:rsidRPr="004F7FC3">
        <w:rPr>
          <w:rFonts w:ascii="Times New Roman" w:eastAsia="Calibri" w:hAnsi="Times New Roman" w:cs="Times New Roman"/>
          <w:kern w:val="0"/>
          <w:sz w:val="24"/>
          <w:szCs w:val="24"/>
          <w14:ligatures w14:val="none"/>
        </w:rPr>
        <w:t xml:space="preserve">The person correlation coefficient was r= -0.259 and a P-value =0.001. This signified a low negative relationship between information sharing and operation performance of Commercial Banks. On the other hand, the P-value=0.001 implies the presence of a statistically significant relationship between the information sharing and operation performance of Commercial Banks. With standardized coefficient of Information sharing being -0.229, t-statistic of -2.978, P-value 0.003 with a VIF of 1.066. This implied that there is a statistically significant relationship between information sharing and operation performance of Commercial Banks since the calculated P-value (0.003) is less than the standard P-value(α = 0.05). </w:t>
      </w:r>
      <w:r w:rsidRPr="004F7FC3">
        <w:rPr>
          <w:rFonts w:ascii="Times New Roman" w:hAnsi="Times New Roman" w:cs="Times New Roman"/>
          <w:sz w:val="24"/>
          <w:szCs w:val="24"/>
        </w:rPr>
        <w:t xml:space="preserve">The results from the field are in agreement with those of Kearney (2013) argued that sharing of information with supply chain partners is critical to the success of the supply chain. Information sharing is as “frequent information updating among the chain members for effective supply chain management.” </w:t>
      </w:r>
    </w:p>
    <w:p w14:paraId="15ECCDF4" w14:textId="77777777" w:rsidR="00863BE1" w:rsidRPr="004F7FC3" w:rsidRDefault="00863BE1" w:rsidP="00863BE1">
      <w:pPr>
        <w:spacing w:after="200" w:line="360" w:lineRule="auto"/>
        <w:jc w:val="both"/>
        <w:rPr>
          <w:rFonts w:ascii="Times New Roman" w:hAnsi="Times New Roman" w:cs="Times New Roman"/>
          <w:sz w:val="24"/>
          <w:szCs w:val="24"/>
        </w:rPr>
      </w:pPr>
      <w:r w:rsidRPr="004F7FC3">
        <w:rPr>
          <w:rFonts w:ascii="Times New Roman" w:hAnsi="Times New Roman" w:cs="Times New Roman"/>
          <w:b/>
          <w:bCs/>
          <w:sz w:val="24"/>
          <w:szCs w:val="24"/>
        </w:rPr>
        <w:t>5.2 Conclusion</w:t>
      </w:r>
      <w:r w:rsidRPr="004F7FC3">
        <w:rPr>
          <w:rFonts w:ascii="Times New Roman" w:hAnsi="Times New Roman" w:cs="Times New Roman"/>
          <w:sz w:val="24"/>
          <w:szCs w:val="24"/>
        </w:rPr>
        <w:t xml:space="preserve"> </w:t>
      </w:r>
    </w:p>
    <w:p w14:paraId="38A5D518" w14:textId="77777777" w:rsidR="00863BE1" w:rsidRPr="004F7FC3" w:rsidRDefault="00863BE1" w:rsidP="00863BE1">
      <w:pPr>
        <w:spacing w:after="20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 xml:space="preserve">The study obtained a good response rate of 56.9% as recommended by Mugenda and Mugenda (2007) that a response rate of 50% is adequate. </w:t>
      </w:r>
      <w:r w:rsidRPr="004F7FC3">
        <w:rPr>
          <w:rFonts w:ascii="Times New Roman" w:eastAsia="Times New Roman" w:hAnsi="Times New Roman" w:cs="Times New Roman"/>
          <w:kern w:val="0"/>
          <w:sz w:val="24"/>
          <w:szCs w:val="24"/>
          <w14:ligatures w14:val="none"/>
        </w:rPr>
        <w:t xml:space="preserve">53.7% of the respondents were female while 46.3% were male participants. This means that the study findings were reliable since it incorporated responses from both sexes in almost equal proportions and </w:t>
      </w:r>
      <w:r w:rsidRPr="004F7FC3">
        <w:rPr>
          <w:rFonts w:ascii="Times New Roman" w:eastAsia="Calibri" w:hAnsi="Times New Roman" w:cs="Times New Roman"/>
          <w:kern w:val="0"/>
          <w:sz w:val="24"/>
          <w:szCs w:val="24"/>
          <w14:ligatures w14:val="none"/>
        </w:rPr>
        <w:t>majority of the respondents were in a mature age bracket. The study further involved people with satisfactory level of literacy who were in better position to understand and interpret the contents in questionnaire as most of them had diplomas and degrees.</w:t>
      </w:r>
    </w:p>
    <w:p w14:paraId="4CECD02F" w14:textId="77777777" w:rsidR="00863BE1" w:rsidRPr="004F7FC3" w:rsidRDefault="00863BE1" w:rsidP="00863BE1">
      <w:pPr>
        <w:spacing w:after="200" w:line="36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Generally, with the observation of the coefficients that strategic supplier management practices with its indicator of Trust based relationship, information sharing and supplier collaboration relationship factors have direct effect on operational performance of Commercial Banks. However, the overall model is significant at 95% level of significance with (F-value 5.188 and sig value 0.001), explaining up to 11.5% (R-squared=0.115) variation in operation performance of the bank. It is upon this back drop that we can reject the null hypothesis and conclude that there is a statistically significant relationship between trust-based relationship, information sharing and operational performance of Commercial Banks.</w:t>
      </w:r>
    </w:p>
    <w:p w14:paraId="33FB8C71" w14:textId="77777777" w:rsidR="00863BE1" w:rsidRPr="004F7FC3" w:rsidRDefault="00863BE1" w:rsidP="00863BE1">
      <w:pPr>
        <w:spacing w:after="200" w:line="360" w:lineRule="auto"/>
        <w:jc w:val="both"/>
        <w:rPr>
          <w:rFonts w:ascii="Times New Roman" w:hAnsi="Times New Roman" w:cs="Times New Roman"/>
          <w:b/>
          <w:bCs/>
          <w:sz w:val="24"/>
          <w:szCs w:val="24"/>
        </w:rPr>
      </w:pPr>
      <w:r w:rsidRPr="004F7FC3">
        <w:rPr>
          <w:rFonts w:ascii="Times New Roman" w:hAnsi="Times New Roman" w:cs="Times New Roman"/>
          <w:b/>
          <w:bCs/>
          <w:sz w:val="24"/>
          <w:szCs w:val="24"/>
        </w:rPr>
        <w:t xml:space="preserve">5.3 Recommendations </w:t>
      </w:r>
    </w:p>
    <w:p w14:paraId="54479E12" w14:textId="77777777" w:rsidR="00863BE1" w:rsidRPr="004F7FC3" w:rsidRDefault="00863BE1" w:rsidP="00863BE1">
      <w:pPr>
        <w:spacing w:after="200" w:line="360" w:lineRule="auto"/>
        <w:jc w:val="both"/>
        <w:rPr>
          <w:rFonts w:ascii="Times New Roman" w:hAnsi="Times New Roman" w:cs="Times New Roman"/>
          <w:sz w:val="24"/>
          <w:szCs w:val="24"/>
        </w:rPr>
      </w:pPr>
      <w:r w:rsidRPr="004F7FC3">
        <w:rPr>
          <w:rFonts w:ascii="Times New Roman" w:hAnsi="Times New Roman" w:cs="Times New Roman"/>
          <w:sz w:val="24"/>
          <w:szCs w:val="24"/>
        </w:rPr>
        <w:t>The study recommends the need for the organizations to develop clear trust-based relationship and development programs. This will enable Banks to engage in activities that improve the performance of strategic management suppliers’ practices thus resulting in better performance of these Banks.</w:t>
      </w:r>
    </w:p>
    <w:p w14:paraId="5A87FC44" w14:textId="77777777" w:rsidR="00863BE1" w:rsidRPr="004F7FC3" w:rsidRDefault="00863BE1" w:rsidP="00863BE1">
      <w:pPr>
        <w:spacing w:after="200" w:line="360" w:lineRule="auto"/>
        <w:jc w:val="both"/>
        <w:rPr>
          <w:rFonts w:ascii="Times New Roman" w:hAnsi="Times New Roman" w:cs="Times New Roman"/>
          <w:sz w:val="24"/>
          <w:szCs w:val="24"/>
        </w:rPr>
      </w:pPr>
      <w:r w:rsidRPr="004F7FC3">
        <w:rPr>
          <w:rFonts w:ascii="Times New Roman" w:hAnsi="Times New Roman" w:cs="Times New Roman"/>
          <w:sz w:val="24"/>
          <w:szCs w:val="24"/>
        </w:rPr>
        <w:t xml:space="preserve"> There is need for consideration of other factors for Operational to manage profitability for instance attaining more commercially high value segments that can boost the sales through creating a large market base.</w:t>
      </w:r>
    </w:p>
    <w:p w14:paraId="2DE5B3D7" w14:textId="77777777" w:rsidR="00863BE1" w:rsidRPr="004F7FC3" w:rsidRDefault="00863BE1" w:rsidP="00863BE1">
      <w:pPr>
        <w:spacing w:after="200" w:line="360" w:lineRule="auto"/>
        <w:jc w:val="both"/>
        <w:rPr>
          <w:rFonts w:ascii="Times New Roman" w:hAnsi="Times New Roman" w:cs="Times New Roman"/>
          <w:sz w:val="24"/>
          <w:szCs w:val="24"/>
        </w:rPr>
      </w:pPr>
      <w:r w:rsidRPr="004F7FC3">
        <w:rPr>
          <w:rFonts w:ascii="Times New Roman" w:hAnsi="Times New Roman" w:cs="Times New Roman"/>
          <w:sz w:val="24"/>
          <w:szCs w:val="24"/>
        </w:rPr>
        <w:t xml:space="preserve"> Banks should share important information with its suppliers in order to improve on their performance. </w:t>
      </w:r>
    </w:p>
    <w:p w14:paraId="6031119A" w14:textId="77777777" w:rsidR="00863BE1" w:rsidRPr="004F7FC3" w:rsidRDefault="00863BE1" w:rsidP="00863BE1">
      <w:pPr>
        <w:spacing w:after="200" w:line="360" w:lineRule="auto"/>
        <w:jc w:val="both"/>
        <w:rPr>
          <w:rFonts w:ascii="Times New Roman" w:hAnsi="Times New Roman" w:cs="Times New Roman"/>
          <w:sz w:val="24"/>
          <w:szCs w:val="24"/>
        </w:rPr>
      </w:pPr>
      <w:r w:rsidRPr="004F7FC3">
        <w:rPr>
          <w:rFonts w:ascii="Times New Roman" w:hAnsi="Times New Roman" w:cs="Times New Roman"/>
          <w:sz w:val="24"/>
          <w:szCs w:val="24"/>
        </w:rPr>
        <w:t xml:space="preserve">The study further recommended that supply chain managers should use the results of the study to improve on organizational performance by employing strategic relation management (SRM) </w:t>
      </w:r>
    </w:p>
    <w:p w14:paraId="557D1A42" w14:textId="77777777" w:rsidR="00863BE1" w:rsidRPr="004F7FC3" w:rsidRDefault="00863BE1" w:rsidP="00863BE1">
      <w:pPr>
        <w:rPr>
          <w:rFonts w:ascii="Times New Roman" w:hAnsi="Times New Roman" w:cs="Times New Roman"/>
          <w:sz w:val="24"/>
          <w:szCs w:val="24"/>
        </w:rPr>
      </w:pPr>
      <w:r w:rsidRPr="004F7FC3">
        <w:rPr>
          <w:rFonts w:ascii="Times New Roman" w:hAnsi="Times New Roman" w:cs="Times New Roman"/>
          <w:sz w:val="24"/>
          <w:szCs w:val="24"/>
        </w:rPr>
        <w:t>Policies that support SRM should also be put in place as this had been confirmed by research findings to improve organization performance</w:t>
      </w:r>
    </w:p>
    <w:p w14:paraId="3B654399" w14:textId="77777777" w:rsidR="00863BE1" w:rsidRPr="004F7FC3" w:rsidRDefault="00863BE1" w:rsidP="00863BE1">
      <w:pPr>
        <w:rPr>
          <w:rFonts w:ascii="Times New Roman" w:hAnsi="Times New Roman" w:cs="Times New Roman"/>
          <w:sz w:val="24"/>
          <w:szCs w:val="24"/>
        </w:rPr>
      </w:pPr>
      <w:r w:rsidRPr="004F7FC3">
        <w:rPr>
          <w:rFonts w:ascii="Times New Roman" w:hAnsi="Times New Roman" w:cs="Times New Roman"/>
          <w:sz w:val="24"/>
          <w:szCs w:val="24"/>
        </w:rPr>
        <w:br w:type="page"/>
      </w:r>
    </w:p>
    <w:p w14:paraId="36DF1475" w14:textId="77777777" w:rsidR="00863BE1" w:rsidRPr="004F7FC3" w:rsidRDefault="00863BE1" w:rsidP="00863BE1">
      <w:pPr>
        <w:keepNext/>
        <w:keepLines/>
        <w:spacing w:before="360" w:after="120"/>
        <w:jc w:val="center"/>
        <w:outlineLvl w:val="0"/>
        <w:rPr>
          <w:rFonts w:ascii="Times New Roman" w:eastAsia="Calibri" w:hAnsi="Times New Roman" w:cs="Times New Roman"/>
          <w:b/>
          <w:bCs/>
          <w:kern w:val="0"/>
          <w:sz w:val="24"/>
          <w:szCs w:val="28"/>
          <w14:ligatures w14:val="none"/>
        </w:rPr>
      </w:pPr>
      <w:bookmarkStart w:id="55" w:name="_Toc128063122"/>
      <w:bookmarkStart w:id="56" w:name="_Toc130639352"/>
      <w:r w:rsidRPr="004F7FC3">
        <w:rPr>
          <w:rFonts w:ascii="Times New Roman" w:eastAsia="Calibri" w:hAnsi="Times New Roman" w:cs="Times New Roman"/>
          <w:b/>
          <w:bCs/>
          <w:kern w:val="0"/>
          <w:sz w:val="24"/>
          <w:szCs w:val="28"/>
          <w14:ligatures w14:val="none"/>
        </w:rPr>
        <w:t>ACKNOWLEDGMENT</w:t>
      </w:r>
      <w:bookmarkEnd w:id="55"/>
      <w:bookmarkEnd w:id="56"/>
    </w:p>
    <w:p w14:paraId="2720981C" w14:textId="77777777" w:rsidR="00863BE1" w:rsidRPr="004F7FC3" w:rsidRDefault="00863BE1" w:rsidP="00863BE1">
      <w:pPr>
        <w:spacing w:after="200" w:line="480" w:lineRule="auto"/>
        <w:jc w:val="both"/>
        <w:rPr>
          <w:rFonts w:ascii="Times New Roman" w:eastAsia="Calibri" w:hAnsi="Times New Roman" w:cs="Times New Roman"/>
          <w:kern w:val="0"/>
          <w:sz w:val="24"/>
          <w:szCs w:val="24"/>
          <w14:ligatures w14:val="none"/>
        </w:rPr>
      </w:pPr>
      <w:r w:rsidRPr="004F7FC3">
        <w:rPr>
          <w:rFonts w:ascii="Times New Roman" w:eastAsia="Calibri" w:hAnsi="Times New Roman" w:cs="Times New Roman"/>
          <w:kern w:val="0"/>
          <w:sz w:val="24"/>
          <w:szCs w:val="24"/>
          <w14:ligatures w14:val="none"/>
        </w:rPr>
        <w:t xml:space="preserve">My wholehearted appreciation goes the almighty God for his limitless gracious mercies, wisdom, knowledge and understanding grace that has entirely helped me throughout my study program. Exceptional thanks to my parents, friends that have always been my source of inspirations and encouragements. Extra special thanks go to all staff under directorate of higher degrees and research, college of Economics and management for all kinds of cooperation and help during my studies. My gratitude thanks also go my facilitator Dr. Asaba Richard for his professional support and guidance which led to the successful completion of this review article </w:t>
      </w:r>
    </w:p>
    <w:p w14:paraId="28782837" w14:textId="77777777" w:rsidR="00863BE1" w:rsidRPr="004F7FC3" w:rsidRDefault="00863BE1" w:rsidP="00863BE1">
      <w:pPr>
        <w:rPr>
          <w:rFonts w:ascii="Times New Roman" w:eastAsia="OpenSymbol" w:hAnsi="Times New Roman" w:cs="Times New Roman"/>
          <w:kern w:val="0"/>
          <w:sz w:val="24"/>
          <w:szCs w:val="24"/>
          <w:lang w:eastAsia="zh-CN" w:bidi="hi-IN"/>
          <w14:ligatures w14:val="none"/>
        </w:rPr>
      </w:pPr>
      <w:r w:rsidRPr="004F7FC3">
        <w:rPr>
          <w:rFonts w:ascii="Times New Roman" w:eastAsia="OpenSymbol" w:hAnsi="Times New Roman" w:cs="Times New Roman"/>
          <w:kern w:val="0"/>
          <w:sz w:val="24"/>
          <w:szCs w:val="24"/>
          <w:lang w:eastAsia="zh-CN" w:bidi="hi-IN"/>
          <w14:ligatures w14:val="none"/>
        </w:rPr>
        <w:br w:type="page"/>
      </w:r>
    </w:p>
    <w:p w14:paraId="24AB88BE" w14:textId="77777777" w:rsidR="00863BE1" w:rsidRPr="004F7FC3" w:rsidRDefault="00863BE1" w:rsidP="00863BE1">
      <w:pPr>
        <w:widowControl w:val="0"/>
        <w:spacing w:after="0" w:line="360" w:lineRule="auto"/>
        <w:jc w:val="both"/>
        <w:rPr>
          <w:rFonts w:ascii="Times New Roman" w:eastAsia="OpenSymbol" w:hAnsi="Times New Roman" w:cs="Times New Roman"/>
          <w:kern w:val="0"/>
          <w:sz w:val="24"/>
          <w:szCs w:val="24"/>
          <w:lang w:eastAsia="zh-CN" w:bidi="hi-IN"/>
          <w14:ligatures w14:val="none"/>
        </w:rPr>
      </w:pPr>
    </w:p>
    <w:sdt>
      <w:sdtPr>
        <w:rPr>
          <w:rFonts w:ascii="Times New Roman" w:eastAsiaTheme="majorEastAsia" w:hAnsi="Times New Roman" w:cs="Times New Roman"/>
          <w:color w:val="2F5496" w:themeColor="accent1" w:themeShade="BF"/>
          <w:kern w:val="0"/>
          <w:sz w:val="32"/>
          <w:szCs w:val="32"/>
        </w:rPr>
        <w:id w:val="-219294825"/>
        <w:docPartObj>
          <w:docPartGallery w:val="Bibliographies"/>
          <w:docPartUnique/>
        </w:docPartObj>
      </w:sdtPr>
      <w:sdtEndPr>
        <w:rPr>
          <w:rFonts w:eastAsiaTheme="minorHAnsi"/>
          <w:color w:val="auto"/>
          <w:kern w:val="2"/>
          <w:sz w:val="22"/>
          <w:szCs w:val="22"/>
        </w:rPr>
      </w:sdtEndPr>
      <w:sdtContent>
        <w:p w14:paraId="63A9B4CB" w14:textId="77777777" w:rsidR="00863BE1" w:rsidRPr="004F7FC3" w:rsidRDefault="00863BE1" w:rsidP="00863BE1">
          <w:pPr>
            <w:keepNext/>
            <w:keepLines/>
            <w:spacing w:before="240" w:after="0"/>
            <w:jc w:val="center"/>
            <w:outlineLvl w:val="0"/>
            <w:rPr>
              <w:rFonts w:ascii="Times New Roman" w:eastAsiaTheme="majorEastAsia" w:hAnsi="Times New Roman" w:cs="Times New Roman"/>
              <w:color w:val="2F5496" w:themeColor="accent1" w:themeShade="BF"/>
              <w:kern w:val="0"/>
              <w:sz w:val="32"/>
              <w:szCs w:val="32"/>
            </w:rPr>
          </w:pPr>
          <w:r w:rsidRPr="004F7FC3">
            <w:rPr>
              <w:rFonts w:ascii="Times New Roman" w:eastAsiaTheme="majorEastAsia" w:hAnsi="Times New Roman" w:cs="Times New Roman"/>
              <w:color w:val="2F5496" w:themeColor="accent1" w:themeShade="BF"/>
              <w:kern w:val="0"/>
              <w:sz w:val="32"/>
              <w:szCs w:val="32"/>
            </w:rPr>
            <w:t>REFERENCES</w:t>
          </w:r>
        </w:p>
        <w:sdt>
          <w:sdtPr>
            <w:rPr>
              <w:rFonts w:ascii="Times New Roman" w:hAnsi="Times New Roman" w:cs="Times New Roman"/>
            </w:rPr>
            <w:id w:val="-573587230"/>
            <w:bibliography/>
          </w:sdtPr>
          <w:sdtEndPr/>
          <w:sdtContent>
            <w:p w14:paraId="0089AC70" w14:textId="77777777" w:rsidR="00863BE1" w:rsidRPr="004F7FC3" w:rsidRDefault="00863BE1" w:rsidP="00863BE1">
              <w:pPr>
                <w:spacing w:line="360" w:lineRule="auto"/>
                <w:ind w:left="720" w:hanging="720"/>
                <w:jc w:val="both"/>
                <w:rPr>
                  <w:rFonts w:ascii="Times New Roman" w:hAnsi="Times New Roman" w:cs="Times New Roman"/>
                  <w:noProof/>
                  <w:kern w:val="0"/>
                  <w:sz w:val="24"/>
                  <w:szCs w:val="24"/>
                  <w14:ligatures w14:val="none"/>
                </w:rPr>
              </w:pPr>
              <w:r w:rsidRPr="004F7FC3">
                <w:rPr>
                  <w:rFonts w:ascii="Times New Roman" w:hAnsi="Times New Roman" w:cs="Times New Roman"/>
                </w:rPr>
                <w:fldChar w:fldCharType="begin"/>
              </w:r>
              <w:r w:rsidRPr="004F7FC3">
                <w:rPr>
                  <w:rFonts w:ascii="Times New Roman" w:hAnsi="Times New Roman" w:cs="Times New Roman"/>
                </w:rPr>
                <w:instrText xml:space="preserve"> BIBLIOGRAPHY </w:instrText>
              </w:r>
              <w:r w:rsidRPr="004F7FC3">
                <w:rPr>
                  <w:rFonts w:ascii="Times New Roman" w:hAnsi="Times New Roman" w:cs="Times New Roman"/>
                </w:rPr>
                <w:fldChar w:fldCharType="separate"/>
              </w:r>
              <w:r w:rsidRPr="004F7FC3">
                <w:rPr>
                  <w:rFonts w:ascii="Times New Roman" w:hAnsi="Times New Roman" w:cs="Times New Roman"/>
                  <w:noProof/>
                </w:rPr>
                <w:t>B</w:t>
              </w:r>
              <w:r w:rsidRPr="004F7FC3">
                <w:rPr>
                  <w:rFonts w:ascii="Times New Roman" w:hAnsi="Times New Roman" w:cs="Times New Roman"/>
                  <w:noProof/>
                  <w:sz w:val="24"/>
                  <w:szCs w:val="24"/>
                </w:rPr>
                <w:t xml:space="preserve">ank, W. (2022). "Modeling the relationship between firm IT capability, collaboration and performance.". </w:t>
              </w:r>
              <w:r w:rsidRPr="004F7FC3">
                <w:rPr>
                  <w:rFonts w:ascii="Times New Roman" w:hAnsi="Times New Roman" w:cs="Times New Roman"/>
                  <w:i/>
                  <w:iCs/>
                  <w:noProof/>
                  <w:sz w:val="24"/>
                  <w:szCs w:val="24"/>
                </w:rPr>
                <w:t>Journal of Business Logistics</w:t>
              </w:r>
              <w:r w:rsidRPr="004F7FC3">
                <w:rPr>
                  <w:rFonts w:ascii="Times New Roman" w:hAnsi="Times New Roman" w:cs="Times New Roman"/>
                  <w:noProof/>
                  <w:sz w:val="24"/>
                  <w:szCs w:val="24"/>
                </w:rPr>
                <w:t>, 1-23.</w:t>
              </w:r>
            </w:p>
            <w:p w14:paraId="3CA8EC40" w14:textId="77777777" w:rsidR="00863BE1" w:rsidRPr="004F7FC3" w:rsidRDefault="00863BE1" w:rsidP="00863BE1">
              <w:pPr>
                <w:spacing w:line="360" w:lineRule="auto"/>
                <w:ind w:left="720" w:hanging="720"/>
                <w:jc w:val="both"/>
                <w:rPr>
                  <w:rFonts w:ascii="Times New Roman" w:hAnsi="Times New Roman" w:cs="Times New Roman"/>
                  <w:noProof/>
                  <w:sz w:val="24"/>
                  <w:szCs w:val="24"/>
                </w:rPr>
              </w:pPr>
              <w:r w:rsidRPr="004F7FC3">
                <w:rPr>
                  <w:rFonts w:ascii="Times New Roman" w:hAnsi="Times New Roman" w:cs="Times New Roman"/>
                  <w:noProof/>
                  <w:sz w:val="24"/>
                  <w:szCs w:val="24"/>
                </w:rPr>
                <w:t xml:space="preserve">Chaharbaghi. (2007). The problematic of strategy: a way of seeing is also a way of not seeing. </w:t>
              </w:r>
              <w:r w:rsidRPr="004F7FC3">
                <w:rPr>
                  <w:rFonts w:ascii="Times New Roman" w:hAnsi="Times New Roman" w:cs="Times New Roman"/>
                  <w:i/>
                  <w:iCs/>
                  <w:noProof/>
                  <w:sz w:val="24"/>
                  <w:szCs w:val="24"/>
                </w:rPr>
                <w:t>Management Decision</w:t>
              </w:r>
              <w:r w:rsidRPr="004F7FC3">
                <w:rPr>
                  <w:rFonts w:ascii="Times New Roman" w:hAnsi="Times New Roman" w:cs="Times New Roman"/>
                  <w:noProof/>
                  <w:sz w:val="24"/>
                  <w:szCs w:val="24"/>
                </w:rPr>
                <w:t>, 327 - 339 .</w:t>
              </w:r>
            </w:p>
            <w:p w14:paraId="377C297F" w14:textId="77777777" w:rsidR="00863BE1" w:rsidRPr="004F7FC3" w:rsidRDefault="00863BE1" w:rsidP="00863BE1">
              <w:pPr>
                <w:spacing w:line="360" w:lineRule="auto"/>
                <w:ind w:left="720" w:hanging="720"/>
                <w:jc w:val="both"/>
                <w:rPr>
                  <w:rFonts w:ascii="Times New Roman" w:hAnsi="Times New Roman" w:cs="Times New Roman"/>
                  <w:noProof/>
                  <w:sz w:val="24"/>
                  <w:szCs w:val="24"/>
                </w:rPr>
              </w:pPr>
              <w:r w:rsidRPr="004F7FC3">
                <w:rPr>
                  <w:rFonts w:ascii="Times New Roman" w:hAnsi="Times New Roman" w:cs="Times New Roman"/>
                  <w:noProof/>
                  <w:sz w:val="24"/>
                  <w:szCs w:val="24"/>
                </w:rPr>
                <w:t xml:space="preserve">Chandler. (1962). Effect of Information and Knowledge Sharing on Supply Chain Performance: A Survey Based Approach. </w:t>
              </w:r>
              <w:r w:rsidRPr="004F7FC3">
                <w:rPr>
                  <w:rFonts w:ascii="Times New Roman" w:hAnsi="Times New Roman" w:cs="Times New Roman"/>
                  <w:i/>
                  <w:iCs/>
                  <w:noProof/>
                  <w:sz w:val="24"/>
                  <w:szCs w:val="24"/>
                </w:rPr>
                <w:t>Journal of Operations and Supply Chain Management</w:t>
              </w:r>
              <w:r w:rsidRPr="004F7FC3">
                <w:rPr>
                  <w:rFonts w:ascii="Times New Roman" w:hAnsi="Times New Roman" w:cs="Times New Roman"/>
                  <w:noProof/>
                  <w:sz w:val="24"/>
                  <w:szCs w:val="24"/>
                </w:rPr>
                <w:t>, 61–77.</w:t>
              </w:r>
            </w:p>
            <w:p w14:paraId="3150AEB3" w14:textId="77777777" w:rsidR="00863BE1" w:rsidRPr="004F7FC3" w:rsidRDefault="00863BE1" w:rsidP="00863BE1">
              <w:pPr>
                <w:spacing w:line="360" w:lineRule="auto"/>
                <w:ind w:left="720" w:hanging="720"/>
                <w:jc w:val="both"/>
                <w:rPr>
                  <w:rFonts w:ascii="Times New Roman" w:hAnsi="Times New Roman" w:cs="Times New Roman"/>
                  <w:noProof/>
                  <w:sz w:val="24"/>
                  <w:szCs w:val="24"/>
                </w:rPr>
              </w:pPr>
              <w:r w:rsidRPr="004F7FC3">
                <w:rPr>
                  <w:rFonts w:ascii="Times New Roman" w:hAnsi="Times New Roman" w:cs="Times New Roman"/>
                  <w:noProof/>
                  <w:sz w:val="24"/>
                  <w:szCs w:val="24"/>
                </w:rPr>
                <w:t xml:space="preserve">Chemoiywo. (2014). </w:t>
              </w:r>
              <w:r w:rsidRPr="004F7FC3">
                <w:rPr>
                  <w:rFonts w:ascii="Times New Roman" w:hAnsi="Times New Roman" w:cs="Times New Roman"/>
                  <w:i/>
                  <w:iCs/>
                  <w:noProof/>
                  <w:sz w:val="24"/>
                  <w:szCs w:val="24"/>
                </w:rPr>
                <w:t>Public procurement procedures and supply chain performance in state corporations in Kenya.</w:t>
              </w:r>
              <w:r w:rsidRPr="004F7FC3">
                <w:rPr>
                  <w:rFonts w:ascii="Times New Roman" w:hAnsi="Times New Roman" w:cs="Times New Roman"/>
                  <w:noProof/>
                  <w:sz w:val="24"/>
                  <w:szCs w:val="24"/>
                </w:rPr>
                <w:t xml:space="preserve"> Kenya Niarobi: University of Nairobi.</w:t>
              </w:r>
            </w:p>
            <w:p w14:paraId="7F4AE064" w14:textId="77777777" w:rsidR="00863BE1" w:rsidRPr="004F7FC3" w:rsidRDefault="00863BE1" w:rsidP="00863BE1">
              <w:pPr>
                <w:spacing w:line="360" w:lineRule="auto"/>
                <w:ind w:left="720" w:hanging="720"/>
                <w:jc w:val="both"/>
                <w:rPr>
                  <w:rFonts w:ascii="Times New Roman" w:hAnsi="Times New Roman" w:cs="Times New Roman"/>
                  <w:noProof/>
                  <w:sz w:val="24"/>
                  <w:szCs w:val="24"/>
                </w:rPr>
              </w:pPr>
              <w:r w:rsidRPr="004F7FC3">
                <w:rPr>
                  <w:rFonts w:ascii="Times New Roman" w:hAnsi="Times New Roman" w:cs="Times New Roman"/>
                  <w:noProof/>
                  <w:sz w:val="24"/>
                  <w:szCs w:val="24"/>
                </w:rPr>
                <w:t xml:space="preserve">Collins. (2003). </w:t>
              </w:r>
              <w:r w:rsidRPr="004F7FC3">
                <w:rPr>
                  <w:rFonts w:ascii="Times New Roman" w:hAnsi="Times New Roman" w:cs="Times New Roman"/>
                  <w:i/>
                  <w:iCs/>
                  <w:noProof/>
                  <w:sz w:val="24"/>
                  <w:szCs w:val="24"/>
                </w:rPr>
                <w:t>Strategic Supply Management Principles, Theories and Practice.</w:t>
              </w:r>
              <w:r w:rsidRPr="004F7FC3">
                <w:rPr>
                  <w:rFonts w:ascii="Times New Roman" w:hAnsi="Times New Roman" w:cs="Times New Roman"/>
                  <w:noProof/>
                  <w:sz w:val="24"/>
                  <w:szCs w:val="24"/>
                </w:rPr>
                <w:t xml:space="preserve"> Kenya, Nairobi : University of Nairobi.</w:t>
              </w:r>
            </w:p>
            <w:p w14:paraId="768F5496" w14:textId="77777777" w:rsidR="00863BE1" w:rsidRPr="004F7FC3" w:rsidRDefault="00863BE1" w:rsidP="00863BE1">
              <w:pPr>
                <w:spacing w:line="360" w:lineRule="auto"/>
                <w:ind w:left="720" w:hanging="720"/>
                <w:jc w:val="both"/>
                <w:rPr>
                  <w:rFonts w:ascii="Times New Roman" w:hAnsi="Times New Roman" w:cs="Times New Roman"/>
                  <w:noProof/>
                  <w:sz w:val="24"/>
                  <w:szCs w:val="24"/>
                </w:rPr>
              </w:pPr>
              <w:r w:rsidRPr="004F7FC3">
                <w:rPr>
                  <w:rFonts w:ascii="Times New Roman" w:hAnsi="Times New Roman" w:cs="Times New Roman"/>
                  <w:noProof/>
                  <w:sz w:val="24"/>
                  <w:szCs w:val="24"/>
                </w:rPr>
                <w:t xml:space="preserve">Crocker. (2015). </w:t>
              </w:r>
              <w:r w:rsidRPr="004F7FC3">
                <w:rPr>
                  <w:rFonts w:ascii="Times New Roman" w:hAnsi="Times New Roman" w:cs="Times New Roman"/>
                  <w:i/>
                  <w:iCs/>
                  <w:noProof/>
                  <w:sz w:val="24"/>
                  <w:szCs w:val="24"/>
                </w:rPr>
                <w:t>Excellence in Supplier Management: How to Better Manage Contracts with Suppliers and Add Value: Best Practices in Supplier Relationship Management and Supplier Development. London. .</w:t>
              </w:r>
              <w:r w:rsidRPr="004F7FC3">
                <w:rPr>
                  <w:rFonts w:ascii="Times New Roman" w:hAnsi="Times New Roman" w:cs="Times New Roman"/>
                  <w:noProof/>
                  <w:sz w:val="24"/>
                  <w:szCs w:val="24"/>
                </w:rPr>
                <w:t xml:space="preserve"> London: Cambridge Academic. Enteprise. Cambridge.</w:t>
              </w:r>
            </w:p>
            <w:p w14:paraId="73ACECDC" w14:textId="77777777" w:rsidR="00863BE1" w:rsidRPr="004F7FC3" w:rsidRDefault="00863BE1" w:rsidP="00863BE1">
              <w:pPr>
                <w:spacing w:line="360" w:lineRule="auto"/>
                <w:ind w:left="720" w:hanging="720"/>
                <w:jc w:val="both"/>
                <w:rPr>
                  <w:rFonts w:ascii="Times New Roman" w:hAnsi="Times New Roman" w:cs="Times New Roman"/>
                  <w:noProof/>
                  <w:sz w:val="24"/>
                  <w:szCs w:val="24"/>
                </w:rPr>
              </w:pPr>
              <w:r w:rsidRPr="004F7FC3">
                <w:rPr>
                  <w:rFonts w:ascii="Times New Roman" w:hAnsi="Times New Roman" w:cs="Times New Roman"/>
                  <w:noProof/>
                  <w:sz w:val="24"/>
                  <w:szCs w:val="24"/>
                </w:rPr>
                <w:t xml:space="preserve">Ghadge. (2021). A systems approach to modeling for supply chain risks. </w:t>
              </w:r>
              <w:r w:rsidRPr="004F7FC3">
                <w:rPr>
                  <w:rFonts w:ascii="Times New Roman" w:hAnsi="Times New Roman" w:cs="Times New Roman"/>
                  <w:i/>
                  <w:iCs/>
                  <w:noProof/>
                  <w:sz w:val="24"/>
                  <w:szCs w:val="24"/>
                </w:rPr>
                <w:t>An International Journal</w:t>
              </w:r>
              <w:r w:rsidRPr="004F7FC3">
                <w:rPr>
                  <w:rFonts w:ascii="Times New Roman" w:hAnsi="Times New Roman" w:cs="Times New Roman"/>
                  <w:noProof/>
                  <w:sz w:val="24"/>
                  <w:szCs w:val="24"/>
                </w:rPr>
                <w:t>, 523-538.</w:t>
              </w:r>
            </w:p>
            <w:p w14:paraId="4C07A331" w14:textId="77777777" w:rsidR="00863BE1" w:rsidRPr="004F7FC3" w:rsidRDefault="00863BE1" w:rsidP="00863BE1">
              <w:pPr>
                <w:spacing w:line="360" w:lineRule="auto"/>
                <w:ind w:left="720" w:hanging="720"/>
                <w:jc w:val="both"/>
                <w:rPr>
                  <w:rFonts w:ascii="Times New Roman" w:hAnsi="Times New Roman" w:cs="Times New Roman"/>
                  <w:noProof/>
                  <w:sz w:val="24"/>
                  <w:szCs w:val="24"/>
                </w:rPr>
              </w:pPr>
              <w:r w:rsidRPr="004F7FC3">
                <w:rPr>
                  <w:rFonts w:ascii="Times New Roman" w:hAnsi="Times New Roman" w:cs="Times New Roman"/>
                  <w:noProof/>
                  <w:sz w:val="24"/>
                  <w:szCs w:val="24"/>
                </w:rPr>
                <w:t xml:space="preserve">Nelson. (2009). Commercial banking crises in Kenya: Causes and remedies. . </w:t>
              </w:r>
              <w:r w:rsidRPr="004F7FC3">
                <w:rPr>
                  <w:rFonts w:ascii="Times New Roman" w:hAnsi="Times New Roman" w:cs="Times New Roman"/>
                  <w:i/>
                  <w:iCs/>
                  <w:noProof/>
                  <w:sz w:val="24"/>
                  <w:szCs w:val="24"/>
                </w:rPr>
                <w:t>Global Journal of Finance and Banking Issues</w:t>
              </w:r>
              <w:r w:rsidRPr="004F7FC3">
                <w:rPr>
                  <w:rFonts w:ascii="Times New Roman" w:hAnsi="Times New Roman" w:cs="Times New Roman"/>
                  <w:noProof/>
                  <w:sz w:val="24"/>
                  <w:szCs w:val="24"/>
                </w:rPr>
                <w:t>, 23-43.</w:t>
              </w:r>
            </w:p>
            <w:p w14:paraId="5C0C5E99" w14:textId="77777777" w:rsidR="00863BE1" w:rsidRPr="004F7FC3" w:rsidRDefault="00863BE1" w:rsidP="00863BE1">
              <w:pPr>
                <w:spacing w:line="360" w:lineRule="auto"/>
                <w:ind w:left="720" w:hanging="720"/>
                <w:jc w:val="both"/>
                <w:rPr>
                  <w:rFonts w:ascii="Times New Roman" w:hAnsi="Times New Roman" w:cs="Times New Roman"/>
                  <w:noProof/>
                  <w:sz w:val="24"/>
                  <w:szCs w:val="24"/>
                </w:rPr>
              </w:pPr>
              <w:r w:rsidRPr="004F7FC3">
                <w:rPr>
                  <w:rFonts w:ascii="Times New Roman" w:hAnsi="Times New Roman" w:cs="Times New Roman"/>
                  <w:noProof/>
                  <w:sz w:val="24"/>
                  <w:szCs w:val="24"/>
                </w:rPr>
                <w:t xml:space="preserve">Onyango. (2015). Effect of strategic supplier relationship management on internal operational performance of manufacturing firms: A case of East African Breweries Limited, Kenya. </w:t>
              </w:r>
              <w:r w:rsidRPr="004F7FC3">
                <w:rPr>
                  <w:rFonts w:ascii="Times New Roman" w:hAnsi="Times New Roman" w:cs="Times New Roman"/>
                  <w:i/>
                  <w:iCs/>
                  <w:noProof/>
                  <w:sz w:val="24"/>
                  <w:szCs w:val="24"/>
                </w:rPr>
                <w:t>International Journal of Economic</w:t>
              </w:r>
              <w:r w:rsidRPr="004F7FC3">
                <w:rPr>
                  <w:rFonts w:ascii="Times New Roman" w:hAnsi="Times New Roman" w:cs="Times New Roman"/>
                  <w:noProof/>
                  <w:sz w:val="24"/>
                  <w:szCs w:val="24"/>
                </w:rPr>
                <w:t>, 115-124.</w:t>
              </w:r>
            </w:p>
            <w:p w14:paraId="6195FE94" w14:textId="77777777" w:rsidR="00863BE1" w:rsidRPr="004F7FC3" w:rsidRDefault="00863BE1" w:rsidP="00863BE1">
              <w:pPr>
                <w:spacing w:line="360" w:lineRule="auto"/>
                <w:ind w:left="720" w:hanging="720"/>
                <w:jc w:val="both"/>
                <w:rPr>
                  <w:rFonts w:ascii="Times New Roman" w:hAnsi="Times New Roman" w:cs="Times New Roman"/>
                  <w:noProof/>
                  <w:sz w:val="24"/>
                  <w:szCs w:val="24"/>
                </w:rPr>
              </w:pPr>
              <w:r w:rsidRPr="004F7FC3">
                <w:rPr>
                  <w:rFonts w:ascii="Times New Roman" w:hAnsi="Times New Roman" w:cs="Times New Roman"/>
                  <w:noProof/>
                  <w:sz w:val="24"/>
                  <w:szCs w:val="24"/>
                </w:rPr>
                <w:t xml:space="preserve">Spekman. (2021). An integrative framework for supplier relationship management. Vol. 110 (4). </w:t>
              </w:r>
              <w:r w:rsidRPr="004F7FC3">
                <w:rPr>
                  <w:rFonts w:ascii="Times New Roman" w:hAnsi="Times New Roman" w:cs="Times New Roman"/>
                  <w:i/>
                  <w:iCs/>
                  <w:noProof/>
                  <w:sz w:val="24"/>
                  <w:szCs w:val="24"/>
                </w:rPr>
                <w:t>Industrial Management &amp; Data Systems,</w:t>
              </w:r>
              <w:r w:rsidRPr="004F7FC3">
                <w:rPr>
                  <w:rFonts w:ascii="Times New Roman" w:hAnsi="Times New Roman" w:cs="Times New Roman"/>
                  <w:noProof/>
                  <w:sz w:val="24"/>
                  <w:szCs w:val="24"/>
                </w:rPr>
                <w:t>, 495- 515.</w:t>
              </w:r>
            </w:p>
            <w:p w14:paraId="52545C4A" w14:textId="77777777" w:rsidR="00863BE1" w:rsidRPr="004F7FC3" w:rsidRDefault="00863BE1" w:rsidP="00863BE1">
              <w:pPr>
                <w:spacing w:line="360" w:lineRule="auto"/>
                <w:ind w:left="720" w:hanging="720"/>
                <w:jc w:val="both"/>
                <w:rPr>
                  <w:rFonts w:ascii="Times New Roman" w:hAnsi="Times New Roman" w:cs="Times New Roman"/>
                  <w:noProof/>
                  <w:sz w:val="24"/>
                  <w:szCs w:val="24"/>
                </w:rPr>
              </w:pPr>
              <w:r w:rsidRPr="004F7FC3">
                <w:rPr>
                  <w:rFonts w:ascii="Times New Roman" w:hAnsi="Times New Roman" w:cs="Times New Roman"/>
                  <w:noProof/>
                  <w:sz w:val="24"/>
                  <w:szCs w:val="24"/>
                </w:rPr>
                <w:t xml:space="preserve">Wee. (2009). Knowledge Management for Downstream Supply Chain Management of Indian Public Sector Oil Companies. . </w:t>
              </w:r>
              <w:r w:rsidRPr="004F7FC3">
                <w:rPr>
                  <w:rFonts w:ascii="Times New Roman" w:hAnsi="Times New Roman" w:cs="Times New Roman"/>
                  <w:i/>
                  <w:iCs/>
                  <w:noProof/>
                  <w:sz w:val="24"/>
                  <w:szCs w:val="24"/>
                </w:rPr>
                <w:t>Procedia Computer Science, Doctoral dissertation, AAU.</w:t>
              </w:r>
              <w:r w:rsidRPr="004F7FC3">
                <w:rPr>
                  <w:rFonts w:ascii="Times New Roman" w:hAnsi="Times New Roman" w:cs="Times New Roman"/>
                  <w:noProof/>
                  <w:sz w:val="24"/>
                  <w:szCs w:val="24"/>
                </w:rPr>
                <w:t>, 1021-1028 .</w:t>
              </w:r>
            </w:p>
            <w:p w14:paraId="09656BA3" w14:textId="77777777" w:rsidR="00863BE1" w:rsidRPr="004F7FC3" w:rsidRDefault="00863BE1" w:rsidP="00863BE1">
              <w:pPr>
                <w:spacing w:line="360" w:lineRule="auto"/>
                <w:ind w:left="720" w:hanging="720"/>
                <w:jc w:val="both"/>
                <w:rPr>
                  <w:rFonts w:ascii="Times New Roman" w:hAnsi="Times New Roman" w:cs="Times New Roman"/>
                  <w:noProof/>
                  <w:sz w:val="24"/>
                  <w:szCs w:val="24"/>
                </w:rPr>
              </w:pPr>
              <w:r w:rsidRPr="004F7FC3">
                <w:rPr>
                  <w:rFonts w:ascii="Times New Roman" w:hAnsi="Times New Roman" w:cs="Times New Roman"/>
                  <w:noProof/>
                  <w:sz w:val="24"/>
                  <w:szCs w:val="24"/>
                </w:rPr>
                <w:t xml:space="preserve">Weele. (2000). </w:t>
              </w:r>
              <w:r w:rsidRPr="004F7FC3">
                <w:rPr>
                  <w:rFonts w:ascii="Times New Roman" w:hAnsi="Times New Roman" w:cs="Times New Roman"/>
                  <w:i/>
                  <w:iCs/>
                  <w:noProof/>
                  <w:sz w:val="24"/>
                  <w:szCs w:val="24"/>
                </w:rPr>
                <w:t>Purchasing and supply chain management. 2nd ed. Cornwall: Thomson Learning, pp. 152.</w:t>
              </w:r>
              <w:r w:rsidRPr="004F7FC3">
                <w:rPr>
                  <w:rFonts w:ascii="Times New Roman" w:hAnsi="Times New Roman" w:cs="Times New Roman"/>
                  <w:noProof/>
                  <w:sz w:val="24"/>
                  <w:szCs w:val="24"/>
                </w:rPr>
                <w:t xml:space="preserve"> London : London School of Economic.</w:t>
              </w:r>
            </w:p>
            <w:p w14:paraId="12DEFD25" w14:textId="77777777" w:rsidR="00863BE1" w:rsidRPr="004F7FC3" w:rsidRDefault="00863BE1" w:rsidP="00863BE1">
              <w:pPr>
                <w:rPr>
                  <w:rFonts w:ascii="Times New Roman" w:hAnsi="Times New Roman" w:cs="Times New Roman"/>
                </w:rPr>
              </w:pPr>
              <w:r w:rsidRPr="004F7FC3">
                <w:rPr>
                  <w:rFonts w:ascii="Times New Roman" w:hAnsi="Times New Roman" w:cs="Times New Roman"/>
                  <w:b/>
                  <w:bCs/>
                  <w:noProof/>
                </w:rPr>
                <w:fldChar w:fldCharType="end"/>
              </w:r>
            </w:p>
          </w:sdtContent>
        </w:sdt>
      </w:sdtContent>
    </w:sdt>
    <w:bookmarkEnd w:id="8"/>
    <w:p w14:paraId="0FA23F5F" w14:textId="77777777" w:rsidR="00863BE1" w:rsidRPr="004F7FC3" w:rsidRDefault="00863BE1" w:rsidP="00863BE1">
      <w:pPr>
        <w:rPr>
          <w:rFonts w:ascii="Times New Roman" w:eastAsia="Calibri" w:hAnsi="Times New Roman" w:cs="Times New Roman"/>
          <w:b/>
          <w:caps/>
          <w:color w:val="2F5496" w:themeColor="accent1" w:themeShade="BF"/>
          <w:sz w:val="24"/>
          <w:szCs w:val="24"/>
        </w:rPr>
      </w:pPr>
    </w:p>
    <w:p w14:paraId="5E65EB90" w14:textId="77777777" w:rsidR="00863BE1" w:rsidRPr="004F7FC3" w:rsidRDefault="00863BE1" w:rsidP="00863BE1">
      <w:pPr>
        <w:rPr>
          <w:rFonts w:ascii="Times New Roman" w:hAnsi="Times New Roman" w:cs="Times New Roman"/>
        </w:rPr>
      </w:pPr>
    </w:p>
    <w:p w14:paraId="4F678E13" w14:textId="77777777" w:rsidR="00863BE1" w:rsidRPr="004F7FC3" w:rsidRDefault="00863BE1">
      <w:pPr>
        <w:rPr>
          <w:rFonts w:ascii="Times New Roman" w:hAnsi="Times New Roman" w:cs="Times New Roman"/>
        </w:rPr>
      </w:pPr>
    </w:p>
    <w:sectPr w:rsidR="00863BE1" w:rsidRPr="004F7F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5A667" w14:textId="77777777" w:rsidR="00580E04" w:rsidRDefault="00580E04" w:rsidP="00863BE1">
      <w:pPr>
        <w:spacing w:after="0" w:line="240" w:lineRule="auto"/>
      </w:pPr>
      <w:r>
        <w:separator/>
      </w:r>
    </w:p>
  </w:endnote>
  <w:endnote w:type="continuationSeparator" w:id="0">
    <w:p w14:paraId="68146320" w14:textId="77777777" w:rsidR="00580E04" w:rsidRDefault="00580E04" w:rsidP="00863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Times New Roman"/>
    <w:charset w:val="01"/>
    <w:family w:val="roman"/>
    <w:pitch w:val="variable"/>
  </w:font>
  <w:font w:name="New roman times">
    <w:altName w:val="Cambria"/>
    <w:panose1 w:val="00000000000000000000"/>
    <w:charset w:val="00"/>
    <w:family w:val="roman"/>
    <w:notTrueType/>
    <w:pitch w:val="default"/>
  </w:font>
  <w:font w:name="TimesNewRomanPSMT">
    <w:altName w:val="MS Gothic"/>
    <w:panose1 w:val="00000000000000000000"/>
    <w:charset w:val="80"/>
    <w:family w:val="auto"/>
    <w:notTrueType/>
    <w:pitch w:val="default"/>
    <w:sig w:usb0="00000083" w:usb1="08070000" w:usb2="00000010" w:usb3="00000000" w:csb0="00020009"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CB4CA" w14:textId="77777777" w:rsidR="00580E04" w:rsidRDefault="00580E04" w:rsidP="00863BE1">
      <w:pPr>
        <w:spacing w:after="0" w:line="240" w:lineRule="auto"/>
      </w:pPr>
      <w:r>
        <w:separator/>
      </w:r>
    </w:p>
  </w:footnote>
  <w:footnote w:type="continuationSeparator" w:id="0">
    <w:p w14:paraId="09C5930D" w14:textId="77777777" w:rsidR="00580E04" w:rsidRDefault="00580E04" w:rsidP="00863BE1">
      <w:pPr>
        <w:spacing w:after="0" w:line="240" w:lineRule="auto"/>
      </w:pPr>
      <w:r>
        <w:continuationSeparator/>
      </w:r>
    </w:p>
  </w:footnote>
  <w:footnote w:id="1">
    <w:p w14:paraId="070ADB2B" w14:textId="77777777" w:rsidR="00863BE1" w:rsidRPr="005776EE" w:rsidRDefault="00863BE1" w:rsidP="00863BE1">
      <w:pPr>
        <w:pStyle w:val="FootnoteText"/>
        <w:jc w:val="both"/>
        <w:rPr>
          <w:rFonts w:ascii="New roman times" w:hAnsi="New roman times"/>
          <w:sz w:val="24"/>
          <w:szCs w:val="24"/>
        </w:rPr>
      </w:pPr>
      <w:r w:rsidRPr="005776EE">
        <w:rPr>
          <w:rStyle w:val="FootnoteReference"/>
          <w:rFonts w:ascii="New roman times" w:hAnsi="New roman times"/>
          <w:sz w:val="24"/>
          <w:szCs w:val="24"/>
        </w:rPr>
        <w:footnoteRef/>
      </w:r>
      <w:r w:rsidRPr="005776EE">
        <w:rPr>
          <w:rFonts w:ascii="New roman times" w:hAnsi="New roman times"/>
          <w:sz w:val="24"/>
          <w:szCs w:val="24"/>
        </w:rPr>
        <w:t xml:space="preserve"> </w:t>
      </w:r>
      <w:r w:rsidRPr="005776EE">
        <w:rPr>
          <w:rFonts w:ascii="New roman times" w:hAnsi="New roman times"/>
          <w:b/>
          <w:bCs/>
          <w:sz w:val="24"/>
          <w:szCs w:val="24"/>
        </w:rPr>
        <w:t>key words:</w:t>
      </w:r>
      <w:r w:rsidRPr="005776EE">
        <w:rPr>
          <w:rFonts w:ascii="New roman times" w:hAnsi="New roman times"/>
          <w:sz w:val="24"/>
          <w:szCs w:val="24"/>
        </w:rPr>
        <w:t xml:space="preserve"> </w:t>
      </w:r>
      <w:r w:rsidRPr="005776EE">
        <w:rPr>
          <w:rFonts w:ascii="New roman times" w:eastAsia="OpenSymbol" w:hAnsi="New roman times" w:cs="Times New Roman"/>
          <w:bCs/>
          <w:sz w:val="24"/>
          <w:szCs w:val="24"/>
          <w:lang w:eastAsia="zh-CN" w:bidi="hi-IN"/>
        </w:rPr>
        <w:t>Strategic Supplier Management Practices, Operational Performance, Commercial Banks, Juba, South Sudan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BE1"/>
    <w:rsid w:val="001263BF"/>
    <w:rsid w:val="00164CB0"/>
    <w:rsid w:val="003A15BB"/>
    <w:rsid w:val="00463B1E"/>
    <w:rsid w:val="004F7FC3"/>
    <w:rsid w:val="00533E12"/>
    <w:rsid w:val="00580E04"/>
    <w:rsid w:val="006B2953"/>
    <w:rsid w:val="00863BE1"/>
    <w:rsid w:val="00A95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8F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BE1"/>
    <w:pPr>
      <w:spacing w:line="259" w:lineRule="auto"/>
    </w:pPr>
    <w:rPr>
      <w:sz w:val="22"/>
      <w:szCs w:val="22"/>
    </w:rPr>
  </w:style>
  <w:style w:type="paragraph" w:styleId="Heading1">
    <w:name w:val="heading 1"/>
    <w:basedOn w:val="Normal"/>
    <w:next w:val="Normal"/>
    <w:link w:val="Heading1Char"/>
    <w:uiPriority w:val="9"/>
    <w:qFormat/>
    <w:rsid w:val="00863BE1"/>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3BE1"/>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3BE1"/>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3BE1"/>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863BE1"/>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863BE1"/>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863BE1"/>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863BE1"/>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863BE1"/>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B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3B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3B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3B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3B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3B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B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B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BE1"/>
    <w:rPr>
      <w:rFonts w:eastAsiaTheme="majorEastAsia" w:cstheme="majorBidi"/>
      <w:color w:val="272727" w:themeColor="text1" w:themeTint="D8"/>
    </w:rPr>
  </w:style>
  <w:style w:type="paragraph" w:styleId="Title">
    <w:name w:val="Title"/>
    <w:basedOn w:val="Normal"/>
    <w:next w:val="Normal"/>
    <w:link w:val="TitleChar"/>
    <w:uiPriority w:val="10"/>
    <w:qFormat/>
    <w:rsid w:val="00863B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B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BE1"/>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B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BE1"/>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863BE1"/>
    <w:rPr>
      <w:i/>
      <w:iCs/>
      <w:color w:val="404040" w:themeColor="text1" w:themeTint="BF"/>
    </w:rPr>
  </w:style>
  <w:style w:type="paragraph" w:styleId="ListParagraph">
    <w:name w:val="List Paragraph"/>
    <w:basedOn w:val="Normal"/>
    <w:uiPriority w:val="34"/>
    <w:qFormat/>
    <w:rsid w:val="00863BE1"/>
    <w:pPr>
      <w:spacing w:line="278" w:lineRule="auto"/>
      <w:ind w:left="720"/>
      <w:contextualSpacing/>
    </w:pPr>
    <w:rPr>
      <w:sz w:val="24"/>
      <w:szCs w:val="24"/>
    </w:rPr>
  </w:style>
  <w:style w:type="character" w:styleId="IntenseEmphasis">
    <w:name w:val="Intense Emphasis"/>
    <w:basedOn w:val="DefaultParagraphFont"/>
    <w:uiPriority w:val="21"/>
    <w:qFormat/>
    <w:rsid w:val="00863BE1"/>
    <w:rPr>
      <w:i/>
      <w:iCs/>
      <w:color w:val="2F5496" w:themeColor="accent1" w:themeShade="BF"/>
    </w:rPr>
  </w:style>
  <w:style w:type="paragraph" w:styleId="IntenseQuote">
    <w:name w:val="Intense Quote"/>
    <w:basedOn w:val="Normal"/>
    <w:next w:val="Normal"/>
    <w:link w:val="IntenseQuoteChar"/>
    <w:uiPriority w:val="30"/>
    <w:qFormat/>
    <w:rsid w:val="00863BE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863BE1"/>
    <w:rPr>
      <w:i/>
      <w:iCs/>
      <w:color w:val="2F5496" w:themeColor="accent1" w:themeShade="BF"/>
    </w:rPr>
  </w:style>
  <w:style w:type="character" w:styleId="IntenseReference">
    <w:name w:val="Intense Reference"/>
    <w:basedOn w:val="DefaultParagraphFont"/>
    <w:uiPriority w:val="32"/>
    <w:qFormat/>
    <w:rsid w:val="00863BE1"/>
    <w:rPr>
      <w:b/>
      <w:bCs/>
      <w:smallCaps/>
      <w:color w:val="2F5496" w:themeColor="accent1" w:themeShade="BF"/>
      <w:spacing w:val="5"/>
    </w:rPr>
  </w:style>
  <w:style w:type="paragraph" w:styleId="FootnoteText">
    <w:name w:val="footnote text"/>
    <w:basedOn w:val="Normal"/>
    <w:link w:val="FootnoteTextChar"/>
    <w:uiPriority w:val="99"/>
    <w:semiHidden/>
    <w:unhideWhenUsed/>
    <w:rsid w:val="00863B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3BE1"/>
    <w:rPr>
      <w:sz w:val="20"/>
      <w:szCs w:val="20"/>
    </w:rPr>
  </w:style>
  <w:style w:type="character" w:styleId="FootnoteReference">
    <w:name w:val="footnote reference"/>
    <w:basedOn w:val="DefaultParagraphFont"/>
    <w:uiPriority w:val="99"/>
    <w:semiHidden/>
    <w:unhideWhenUsed/>
    <w:rsid w:val="00863BE1"/>
    <w:rPr>
      <w:vertAlign w:val="superscript"/>
    </w:rPr>
  </w:style>
  <w:style w:type="table" w:customStyle="1" w:styleId="TableGrid2">
    <w:name w:val="Table Grid2"/>
    <w:basedOn w:val="TableNormal"/>
    <w:next w:val="TableGrid"/>
    <w:uiPriority w:val="39"/>
    <w:rsid w:val="00863BE1"/>
    <w:pPr>
      <w:spacing w:after="0" w:line="240" w:lineRule="auto"/>
    </w:pPr>
    <w:rPr>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63BE1"/>
    <w:pPr>
      <w:spacing w:after="0" w:line="240" w:lineRule="auto"/>
    </w:pPr>
    <w:rPr>
      <w:kern w:val="0"/>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next w:val="LightShading"/>
    <w:uiPriority w:val="60"/>
    <w:rsid w:val="00863BE1"/>
    <w:pPr>
      <w:spacing w:after="0" w:line="240" w:lineRule="auto"/>
    </w:pPr>
    <w:rPr>
      <w:color w:val="000000"/>
      <w:kern w:val="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semiHidden/>
    <w:unhideWhenUsed/>
    <w:rsid w:val="00863BE1"/>
    <w:pPr>
      <w:spacing w:before="100" w:beforeAutospacing="1" w:after="100" w:afterAutospacing="1" w:line="240" w:lineRule="auto"/>
    </w:pPr>
    <w:rPr>
      <w:rFonts w:ascii="Times New Roman" w:eastAsia="Times New Roman" w:hAnsi="Times New Roman" w:cs="Times New Roman"/>
      <w:kern w:val="0"/>
      <w:sz w:val="24"/>
      <w:szCs w:val="24"/>
    </w:rPr>
  </w:style>
  <w:style w:type="table" w:styleId="TableGrid">
    <w:name w:val="Table Grid"/>
    <w:basedOn w:val="TableNormal"/>
    <w:uiPriority w:val="39"/>
    <w:rsid w:val="00863B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semiHidden/>
    <w:unhideWhenUsed/>
    <w:rsid w:val="00863BE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F7FC3"/>
    <w:rPr>
      <w:color w:val="0563C1" w:themeColor="hyperlink"/>
      <w:u w:val="single"/>
    </w:rPr>
  </w:style>
  <w:style w:type="character" w:customStyle="1" w:styleId="UnresolvedMention">
    <w:name w:val="Unresolved Mention"/>
    <w:basedOn w:val="DefaultParagraphFont"/>
    <w:uiPriority w:val="99"/>
    <w:semiHidden/>
    <w:unhideWhenUsed/>
    <w:rsid w:val="004F7FC3"/>
    <w:rPr>
      <w:color w:val="605E5C"/>
      <w:shd w:val="clear" w:color="auto" w:fill="E1DFDD"/>
    </w:rPr>
  </w:style>
  <w:style w:type="paragraph" w:customStyle="1" w:styleId="Default">
    <w:name w:val="Default"/>
    <w:basedOn w:val="Normal"/>
    <w:rsid w:val="00463B1E"/>
    <w:pPr>
      <w:autoSpaceDE w:val="0"/>
      <w:autoSpaceDN w:val="0"/>
      <w:adjustRightInd w:val="0"/>
      <w:spacing w:before="100" w:beforeAutospacing="1" w:after="0" w:line="240" w:lineRule="auto"/>
    </w:pPr>
    <w:rPr>
      <w:rFonts w:ascii="Cambria" w:eastAsia="Calibri" w:hAnsi="Cambria" w:cs="Times New Roman"/>
      <w:color w:val="000000"/>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BE1"/>
    <w:pPr>
      <w:spacing w:line="259" w:lineRule="auto"/>
    </w:pPr>
    <w:rPr>
      <w:sz w:val="22"/>
      <w:szCs w:val="22"/>
    </w:rPr>
  </w:style>
  <w:style w:type="paragraph" w:styleId="Heading1">
    <w:name w:val="heading 1"/>
    <w:basedOn w:val="Normal"/>
    <w:next w:val="Normal"/>
    <w:link w:val="Heading1Char"/>
    <w:uiPriority w:val="9"/>
    <w:qFormat/>
    <w:rsid w:val="00863BE1"/>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3BE1"/>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3BE1"/>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3BE1"/>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863BE1"/>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863BE1"/>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863BE1"/>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863BE1"/>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863BE1"/>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B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3B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3B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3B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3B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3B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B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B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BE1"/>
    <w:rPr>
      <w:rFonts w:eastAsiaTheme="majorEastAsia" w:cstheme="majorBidi"/>
      <w:color w:val="272727" w:themeColor="text1" w:themeTint="D8"/>
    </w:rPr>
  </w:style>
  <w:style w:type="paragraph" w:styleId="Title">
    <w:name w:val="Title"/>
    <w:basedOn w:val="Normal"/>
    <w:next w:val="Normal"/>
    <w:link w:val="TitleChar"/>
    <w:uiPriority w:val="10"/>
    <w:qFormat/>
    <w:rsid w:val="00863B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B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BE1"/>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B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BE1"/>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863BE1"/>
    <w:rPr>
      <w:i/>
      <w:iCs/>
      <w:color w:val="404040" w:themeColor="text1" w:themeTint="BF"/>
    </w:rPr>
  </w:style>
  <w:style w:type="paragraph" w:styleId="ListParagraph">
    <w:name w:val="List Paragraph"/>
    <w:basedOn w:val="Normal"/>
    <w:uiPriority w:val="34"/>
    <w:qFormat/>
    <w:rsid w:val="00863BE1"/>
    <w:pPr>
      <w:spacing w:line="278" w:lineRule="auto"/>
      <w:ind w:left="720"/>
      <w:contextualSpacing/>
    </w:pPr>
    <w:rPr>
      <w:sz w:val="24"/>
      <w:szCs w:val="24"/>
    </w:rPr>
  </w:style>
  <w:style w:type="character" w:styleId="IntenseEmphasis">
    <w:name w:val="Intense Emphasis"/>
    <w:basedOn w:val="DefaultParagraphFont"/>
    <w:uiPriority w:val="21"/>
    <w:qFormat/>
    <w:rsid w:val="00863BE1"/>
    <w:rPr>
      <w:i/>
      <w:iCs/>
      <w:color w:val="2F5496" w:themeColor="accent1" w:themeShade="BF"/>
    </w:rPr>
  </w:style>
  <w:style w:type="paragraph" w:styleId="IntenseQuote">
    <w:name w:val="Intense Quote"/>
    <w:basedOn w:val="Normal"/>
    <w:next w:val="Normal"/>
    <w:link w:val="IntenseQuoteChar"/>
    <w:uiPriority w:val="30"/>
    <w:qFormat/>
    <w:rsid w:val="00863BE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863BE1"/>
    <w:rPr>
      <w:i/>
      <w:iCs/>
      <w:color w:val="2F5496" w:themeColor="accent1" w:themeShade="BF"/>
    </w:rPr>
  </w:style>
  <w:style w:type="character" w:styleId="IntenseReference">
    <w:name w:val="Intense Reference"/>
    <w:basedOn w:val="DefaultParagraphFont"/>
    <w:uiPriority w:val="32"/>
    <w:qFormat/>
    <w:rsid w:val="00863BE1"/>
    <w:rPr>
      <w:b/>
      <w:bCs/>
      <w:smallCaps/>
      <w:color w:val="2F5496" w:themeColor="accent1" w:themeShade="BF"/>
      <w:spacing w:val="5"/>
    </w:rPr>
  </w:style>
  <w:style w:type="paragraph" w:styleId="FootnoteText">
    <w:name w:val="footnote text"/>
    <w:basedOn w:val="Normal"/>
    <w:link w:val="FootnoteTextChar"/>
    <w:uiPriority w:val="99"/>
    <w:semiHidden/>
    <w:unhideWhenUsed/>
    <w:rsid w:val="00863B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3BE1"/>
    <w:rPr>
      <w:sz w:val="20"/>
      <w:szCs w:val="20"/>
    </w:rPr>
  </w:style>
  <w:style w:type="character" w:styleId="FootnoteReference">
    <w:name w:val="footnote reference"/>
    <w:basedOn w:val="DefaultParagraphFont"/>
    <w:uiPriority w:val="99"/>
    <w:semiHidden/>
    <w:unhideWhenUsed/>
    <w:rsid w:val="00863BE1"/>
    <w:rPr>
      <w:vertAlign w:val="superscript"/>
    </w:rPr>
  </w:style>
  <w:style w:type="table" w:customStyle="1" w:styleId="TableGrid2">
    <w:name w:val="Table Grid2"/>
    <w:basedOn w:val="TableNormal"/>
    <w:next w:val="TableGrid"/>
    <w:uiPriority w:val="39"/>
    <w:rsid w:val="00863BE1"/>
    <w:pPr>
      <w:spacing w:after="0" w:line="240" w:lineRule="auto"/>
    </w:pPr>
    <w:rPr>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63BE1"/>
    <w:pPr>
      <w:spacing w:after="0" w:line="240" w:lineRule="auto"/>
    </w:pPr>
    <w:rPr>
      <w:kern w:val="0"/>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next w:val="LightShading"/>
    <w:uiPriority w:val="60"/>
    <w:rsid w:val="00863BE1"/>
    <w:pPr>
      <w:spacing w:after="0" w:line="240" w:lineRule="auto"/>
    </w:pPr>
    <w:rPr>
      <w:color w:val="000000"/>
      <w:kern w:val="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semiHidden/>
    <w:unhideWhenUsed/>
    <w:rsid w:val="00863BE1"/>
    <w:pPr>
      <w:spacing w:before="100" w:beforeAutospacing="1" w:after="100" w:afterAutospacing="1" w:line="240" w:lineRule="auto"/>
    </w:pPr>
    <w:rPr>
      <w:rFonts w:ascii="Times New Roman" w:eastAsia="Times New Roman" w:hAnsi="Times New Roman" w:cs="Times New Roman"/>
      <w:kern w:val="0"/>
      <w:sz w:val="24"/>
      <w:szCs w:val="24"/>
    </w:rPr>
  </w:style>
  <w:style w:type="table" w:styleId="TableGrid">
    <w:name w:val="Table Grid"/>
    <w:basedOn w:val="TableNormal"/>
    <w:uiPriority w:val="39"/>
    <w:rsid w:val="00863B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semiHidden/>
    <w:unhideWhenUsed/>
    <w:rsid w:val="00863BE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F7FC3"/>
    <w:rPr>
      <w:color w:val="0563C1" w:themeColor="hyperlink"/>
      <w:u w:val="single"/>
    </w:rPr>
  </w:style>
  <w:style w:type="character" w:customStyle="1" w:styleId="UnresolvedMention">
    <w:name w:val="Unresolved Mention"/>
    <w:basedOn w:val="DefaultParagraphFont"/>
    <w:uiPriority w:val="99"/>
    <w:semiHidden/>
    <w:unhideWhenUsed/>
    <w:rsid w:val="004F7FC3"/>
    <w:rPr>
      <w:color w:val="605E5C"/>
      <w:shd w:val="clear" w:color="auto" w:fill="E1DFDD"/>
    </w:rPr>
  </w:style>
  <w:style w:type="paragraph" w:customStyle="1" w:styleId="Default">
    <w:name w:val="Default"/>
    <w:basedOn w:val="Normal"/>
    <w:rsid w:val="00463B1E"/>
    <w:pPr>
      <w:autoSpaceDE w:val="0"/>
      <w:autoSpaceDN w:val="0"/>
      <w:adjustRightInd w:val="0"/>
      <w:spacing w:before="100" w:beforeAutospacing="1" w:after="0" w:line="240" w:lineRule="auto"/>
    </w:pPr>
    <w:rPr>
      <w:rFonts w:ascii="Cambria" w:eastAsia="Calibri" w:hAnsi="Cambria"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Ban22</b:Tag>
    <b:SourceType>JournalArticle</b:SourceType>
    <b:Guid>{ACCD5496-A2D3-47A6-9ADE-682D412032ED}</b:Guid>
    <b:Title>"Modeling the relationship between firm IT capability, collaboration and performance."</b:Title>
    <b:Year>2022</b:Year>
    <b:Author>
      <b:Author>
        <b:NameList>
          <b:Person>
            <b:Last>Bank</b:Last>
            <b:First>World</b:First>
          </b:Person>
        </b:NameList>
      </b:Author>
    </b:Author>
    <b:JournalName>Journal of Business Logistics</b:JournalName>
    <b:Pages>1-23</b:Pages>
    <b:RefOrder>1</b:RefOrder>
  </b:Source>
  <b:Source>
    <b:Tag>Nel09</b:Tag>
    <b:SourceType>JournalArticle</b:SourceType>
    <b:Guid>{339C4969-4837-4820-9DAE-32EC544E15AB}</b:Guid>
    <b:Author>
      <b:Author>
        <b:NameList>
          <b:Person>
            <b:Last>Nelson</b:Last>
          </b:Person>
        </b:NameList>
      </b:Author>
    </b:Author>
    <b:Title>Commercial banking crises in Kenya: Causes and remedies.  </b:Title>
    <b:JournalName>Global Journal of Finance and Banking Issues</b:JournalName>
    <b:Year>2009</b:Year>
    <b:Pages>23-43</b:Pages>
    <b:RefOrder>2</b:RefOrder>
  </b:Source>
  <b:Source>
    <b:Tag>Gha21</b:Tag>
    <b:SourceType>JournalArticle</b:SourceType>
    <b:Guid>{EC8B666D-70BD-408C-BCF2-CF615DFC5EF9}</b:Guid>
    <b:Author>
      <b:Author>
        <b:NameList>
          <b:Person>
            <b:Last>Ghadge</b:Last>
          </b:Person>
        </b:NameList>
      </b:Author>
    </b:Author>
    <b:Title> A systems approach to modeling for supply chain risks.</b:Title>
    <b:JournalName>An International Journal</b:JournalName>
    <b:Year>2021</b:Year>
    <b:Pages>523-538</b:Pages>
    <b:RefOrder>3</b:RefOrder>
  </b:Source>
  <b:Source>
    <b:Tag>Cha07</b:Tag>
    <b:SourceType>JournalArticle</b:SourceType>
    <b:Guid>{7E9C4394-8790-4E48-B7AC-C7F619523B70}</b:Guid>
    <b:Author>
      <b:Author>
        <b:NameList>
          <b:Person>
            <b:Last>Chaharbaghi</b:Last>
          </b:Person>
        </b:NameList>
      </b:Author>
    </b:Author>
    <b:Title>The problematic of strategy: a way of seeing is also a way of not seeing.</b:Title>
    <b:JournalName>Management Decision</b:JournalName>
    <b:Year>2007</b:Year>
    <b:Pages>327 - 339 </b:Pages>
    <b:RefOrder>4</b:RefOrder>
  </b:Source>
  <b:Source>
    <b:Tag>Cha62</b:Tag>
    <b:SourceType>JournalArticle</b:SourceType>
    <b:Guid>{D712E561-A38B-423F-9516-D92C309B9ED2}</b:Guid>
    <b:Author>
      <b:Author>
        <b:NameList>
          <b:Person>
            <b:Last>Chandler</b:Last>
          </b:Person>
        </b:NameList>
      </b:Author>
    </b:Author>
    <b:Title> Effect of Information and Knowledge Sharing on Supply Chain Performance: A Survey Based Approach.</b:Title>
    <b:JournalName> Journal of Operations and Supply Chain Management</b:JournalName>
    <b:Year>1962</b:Year>
    <b:Pages>61–77</b:Pages>
    <b:RefOrder>5</b:RefOrder>
  </b:Source>
  <b:Source>
    <b:Tag>Che14</b:Tag>
    <b:SourceType>Book</b:SourceType>
    <b:Guid>{F6ECA9FC-BC78-4C22-AA30-76D128D3BCE4}</b:Guid>
    <b:Title> Public procurement procedures and supply chain performance in state corporations in Kenya.</b:Title>
    <b:Year>2014</b:Year>
    <b:Author>
      <b:Author>
        <b:NameList>
          <b:Person>
            <b:Last>Chemoiywo</b:Last>
          </b:Person>
        </b:NameList>
      </b:Author>
    </b:Author>
    <b:City>Kenya Niarobi</b:City>
    <b:Publisher>University of Nairobi</b:Publisher>
    <b:RefOrder>6</b:RefOrder>
  </b:Source>
  <b:Source>
    <b:Tag>Wee09</b:Tag>
    <b:SourceType>JournalArticle</b:SourceType>
    <b:Guid>{7F668B1B-36AE-473F-8100-A9C3F9DFD027}</b:Guid>
    <b:Author>
      <b:Author>
        <b:NameList>
          <b:Person>
            <b:Last>Wee</b:Last>
          </b:Person>
        </b:NameList>
      </b:Author>
    </b:Author>
    <b:Title> Knowledge Management for Downstream Supply Chain Management of Indian Public Sector Oil Companies. </b:Title>
    <b:Year>2009</b:Year>
    <b:JournalName>Procedia Computer Science,  Doctoral dissertation, AAU.</b:JournalName>
    <b:Pages>1021-1028 </b:Pages>
    <b:RefOrder>7</b:RefOrder>
  </b:Source>
  <b:Source>
    <b:Tag>Col03</b:Tag>
    <b:SourceType>Book</b:SourceType>
    <b:Guid>{9F6DFA2C-D160-4B4F-926E-75E8695795FB}</b:Guid>
    <b:Author>
      <b:Author>
        <b:NameList>
          <b:Person>
            <b:Last>Collins</b:Last>
          </b:Person>
        </b:NameList>
      </b:Author>
    </b:Author>
    <b:Title> Strategic Supply Management Principles, Theories and Practice</b:Title>
    <b:Year>2003</b:Year>
    <b:City>Kenya, Nairobi </b:City>
    <b:Publisher>University of Nairobi</b:Publisher>
    <b:RefOrder>8</b:RefOrder>
  </b:Source>
  <b:Source>
    <b:Tag>Ony15</b:Tag>
    <b:SourceType>JournalArticle</b:SourceType>
    <b:Guid>{9E09D9A8-33C6-4994-B982-AFEAC0CCDF70}</b:Guid>
    <b:Title> Effect of strategic supplier relationship management on internal operational performance of manufacturing firms: A case of East African Breweries Limited, Kenya.</b:Title>
    <b:Year>2015</b:Year>
    <b:Author>
      <b:Author>
        <b:NameList>
          <b:Person>
            <b:Last>Onyango</b:Last>
          </b:Person>
        </b:NameList>
      </b:Author>
    </b:Author>
    <b:JournalName>International Journal of Economic</b:JournalName>
    <b:Pages>115-124</b:Pages>
    <b:RefOrder>9</b:RefOrder>
  </b:Source>
  <b:Source>
    <b:Tag>Cro15</b:Tag>
    <b:SourceType>Book</b:SourceType>
    <b:Guid>{6130A9A9-4C3B-4670-8CD8-D15CDE815657}</b:Guid>
    <b:Author>
      <b:Author>
        <b:NameList>
          <b:Person>
            <b:Last>Crocker</b:Last>
          </b:Person>
        </b:NameList>
      </b:Author>
    </b:Author>
    <b:Title> Excellence in Supplier Management: How to Better Manage Contracts with Suppliers and Add Value: Best Practices in Supplier Relationship Management and Supplier Development. London. </b:Title>
    <b:Year>2015</b:Year>
    <b:City>London</b:City>
    <b:Publisher>Cambridge Academic. Enteprise. Cambridge</b:Publisher>
    <b:RefOrder>10</b:RefOrder>
  </b:Source>
  <b:Source>
    <b:Tag>Spe21</b:Tag>
    <b:SourceType>JournalArticle</b:SourceType>
    <b:Guid>{5FFA80F4-7A56-4627-9482-A2532D2E58C6}</b:Guid>
    <b:Author>
      <b:Author>
        <b:NameList>
          <b:Person>
            <b:Last>Spekman</b:Last>
          </b:Person>
        </b:NameList>
      </b:Author>
    </b:Author>
    <b:Title> An integrative framework for supplier relationship management.  Vol. 110 (4).</b:Title>
    <b:JournalName>Industrial Management &amp; Data Systems,</b:JournalName>
    <b:Year>2021</b:Year>
    <b:Pages>495- 515</b:Pages>
    <b:RefOrder>11</b:RefOrder>
  </b:Source>
  <b:Source>
    <b:Tag>Wee00</b:Tag>
    <b:SourceType>Book</b:SourceType>
    <b:Guid>{3B02B4CE-61AD-453C-BB99-3F897A338798}</b:Guid>
    <b:Author>
      <b:Author>
        <b:NameList>
          <b:Person>
            <b:Last>Weele</b:Last>
          </b:Person>
        </b:NameList>
      </b:Author>
    </b:Author>
    <b:Title>Purchasing and supply chain management. 2nd ed. Cornwall: Thomson Learning, pp. 152</b:Title>
    <b:Year>2000</b:Year>
    <b:City>London </b:City>
    <b:Publisher>London School of Economic</b:Publisher>
    <b:RefOrder>12</b:RefOrder>
  </b:Source>
</b:Sources>
</file>

<file path=customXml/itemProps1.xml><?xml version="1.0" encoding="utf-8"?>
<ds:datastoreItem xmlns:ds="http://schemas.openxmlformats.org/officeDocument/2006/customXml" ds:itemID="{D935FDF4-EBB3-400E-8307-A6AFF6951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5351</Words>
  <Characters>30505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PUNDIT SENIOR ECONOMIST</dc:creator>
  <cp:keywords/>
  <dc:description/>
  <cp:lastModifiedBy>qwert</cp:lastModifiedBy>
  <cp:revision>4</cp:revision>
  <dcterms:created xsi:type="dcterms:W3CDTF">2026-05-08T12:00:00Z</dcterms:created>
  <dcterms:modified xsi:type="dcterms:W3CDTF">2026-05-09T14:39:00Z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5f8a1d1a-9744-4105-8bad-ff98af0b5c72</vt:lpwstr>
  </property>
</Properties>
</file>