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691" w:rsidRDefault="00A05C8E">
      <w:pPr>
        <w:pStyle w:val="Default"/>
        <w:suppressAutoHyphens/>
        <w:spacing w:before="0" w:after="321" w:line="240" w:lineRule="auto"/>
        <w:jc w:val="center"/>
        <w:rPr>
          <w:b/>
          <w:bCs/>
          <w:sz w:val="48"/>
          <w:szCs w:val="48"/>
        </w:rPr>
      </w:pPr>
      <w:r>
        <w:rPr>
          <w:b/>
          <w:bCs/>
          <w:sz w:val="48"/>
          <w:szCs w:val="48"/>
        </w:rPr>
        <w:t>Digital Lending Regulations and Consumer Protection in India</w:t>
      </w:r>
    </w:p>
    <w:p w:rsidR="00924691" w:rsidRDefault="00924691">
      <w:pPr>
        <w:pStyle w:val="Body"/>
        <w:jc w:val="center"/>
      </w:pPr>
      <w:bookmarkStart w:id="0" w:name="_GoBack"/>
      <w:bookmarkEnd w:id="0"/>
    </w:p>
    <w:p w:rsidR="00924691" w:rsidRDefault="00924691">
      <w:pPr>
        <w:pStyle w:val="Default"/>
        <w:suppressAutoHyphens/>
        <w:spacing w:before="0" w:after="298" w:line="240" w:lineRule="auto"/>
        <w:rPr>
          <w:b/>
          <w:bCs/>
          <w:i/>
          <w:iCs/>
          <w:sz w:val="28"/>
          <w:szCs w:val="28"/>
        </w:rPr>
      </w:pPr>
    </w:p>
    <w:p w:rsidR="00924691" w:rsidRDefault="00A05C8E">
      <w:pPr>
        <w:pStyle w:val="Default"/>
        <w:suppressAutoHyphens/>
        <w:spacing w:before="0" w:after="298" w:line="240" w:lineRule="auto"/>
        <w:rPr>
          <w:b/>
          <w:bCs/>
          <w:sz w:val="36"/>
          <w:szCs w:val="36"/>
        </w:rPr>
      </w:pPr>
      <w:r>
        <w:rPr>
          <w:b/>
          <w:bCs/>
          <w:sz w:val="36"/>
          <w:szCs w:val="36"/>
        </w:rPr>
        <w:t>Abstract</w:t>
      </w:r>
    </w:p>
    <w:p w:rsidR="00924691" w:rsidRDefault="00A05C8E">
      <w:pPr>
        <w:pStyle w:val="Default"/>
        <w:suppressAutoHyphens/>
        <w:spacing w:before="0" w:after="240" w:line="240" w:lineRule="auto"/>
        <w:rPr>
          <w:sz w:val="24"/>
          <w:szCs w:val="24"/>
        </w:rPr>
      </w:pPr>
      <w:r>
        <w:rPr>
          <w:sz w:val="24"/>
          <w:szCs w:val="24"/>
        </w:rPr>
        <w:t xml:space="preserve">The rapid expansion of </w:t>
      </w:r>
      <w:r>
        <w:rPr>
          <w:sz w:val="24"/>
          <w:szCs w:val="24"/>
        </w:rPr>
        <w:t>digital lending platforms has transformed credit delivery in India by improving accessibility, speed, and convenience. However, the growth of app-based and fintech-driven lending has also raised serious concerns regarding consumer protection, data privacy,</w:t>
      </w:r>
      <w:r>
        <w:rPr>
          <w:sz w:val="24"/>
          <w:szCs w:val="24"/>
        </w:rPr>
        <w:t xml:space="preserve"> transparency, and unethical recovery practices. In response, the Reserve Bank of India (RBI) has introduced a series of regulatory measures aimed at strengthening oversight and safeguarding borrowers. This paper examines the evolution of digital lending r</w:t>
      </w:r>
      <w:r>
        <w:rPr>
          <w:sz w:val="24"/>
          <w:szCs w:val="24"/>
        </w:rPr>
        <w:t>egulations in India and evaluates their effectiveness in protecting consumers. Using a descriptive and analytical research design supported by secondary data and regulatory analysis, the study finds that while recent RBI guidelines have significantly impro</w:t>
      </w:r>
      <w:r>
        <w:rPr>
          <w:sz w:val="24"/>
          <w:szCs w:val="24"/>
        </w:rPr>
        <w:t>ved transparency and accountability, gaps remain in enforcement, consumer awareness, and grievance redressal mechanisms. The paper concludes with policy suggestions to enhance consumer protection in India</w:t>
      </w:r>
      <w:r>
        <w:rPr>
          <w:sz w:val="24"/>
          <w:szCs w:val="24"/>
          <w:rtl/>
        </w:rPr>
        <w:t>’</w:t>
      </w:r>
      <w:r>
        <w:rPr>
          <w:sz w:val="24"/>
          <w:szCs w:val="24"/>
        </w:rPr>
        <w:t>s digital lending ecosystem.</w:t>
      </w:r>
    </w:p>
    <w:p w:rsidR="00924691" w:rsidRDefault="00A05C8E">
      <w:pPr>
        <w:pStyle w:val="Default"/>
        <w:suppressAutoHyphens/>
        <w:spacing w:before="0" w:after="240" w:line="240" w:lineRule="auto"/>
        <w:rPr>
          <w:sz w:val="24"/>
          <w:szCs w:val="24"/>
        </w:rPr>
      </w:pPr>
      <w:r>
        <w:rPr>
          <w:b/>
          <w:bCs/>
          <w:sz w:val="24"/>
          <w:szCs w:val="24"/>
        </w:rPr>
        <w:t>Keywords:</w:t>
      </w:r>
      <w:r>
        <w:rPr>
          <w:sz w:val="24"/>
          <w:szCs w:val="24"/>
        </w:rPr>
        <w:t xml:space="preserve"> Digital Lend</w:t>
      </w:r>
      <w:r>
        <w:rPr>
          <w:sz w:val="24"/>
          <w:szCs w:val="24"/>
        </w:rPr>
        <w:t>ing, Consumer Protection, RBI Regulations, FinTech, Financial Regulation</w:t>
      </w:r>
    </w:p>
    <w:p w:rsidR="00924691" w:rsidRDefault="00924691">
      <w:pPr>
        <w:pStyle w:val="Default"/>
        <w:suppressAutoHyphens/>
        <w:spacing w:before="0" w:line="240" w:lineRule="auto"/>
        <w:rPr>
          <w:color w:val="808080"/>
          <w:sz w:val="24"/>
          <w:szCs w:val="24"/>
        </w:rPr>
      </w:pPr>
    </w:p>
    <w:p w:rsidR="00924691" w:rsidRDefault="00A05C8E">
      <w:pPr>
        <w:pStyle w:val="Default"/>
        <w:suppressAutoHyphens/>
        <w:spacing w:before="0" w:after="298" w:line="240" w:lineRule="auto"/>
        <w:rPr>
          <w:b/>
          <w:bCs/>
          <w:sz w:val="36"/>
          <w:szCs w:val="36"/>
        </w:rPr>
      </w:pPr>
      <w:r>
        <w:rPr>
          <w:b/>
          <w:bCs/>
          <w:sz w:val="36"/>
          <w:szCs w:val="36"/>
          <w:lang w:val="fr-FR"/>
        </w:rPr>
        <w:t>1. Introduction</w:t>
      </w:r>
    </w:p>
    <w:p w:rsidR="00924691" w:rsidRDefault="00A05C8E">
      <w:pPr>
        <w:pStyle w:val="Default"/>
        <w:suppressAutoHyphens/>
        <w:spacing w:before="0" w:after="240" w:line="240" w:lineRule="auto"/>
        <w:rPr>
          <w:sz w:val="24"/>
          <w:szCs w:val="24"/>
        </w:rPr>
      </w:pPr>
      <w:r>
        <w:rPr>
          <w:sz w:val="24"/>
          <w:szCs w:val="24"/>
        </w:rPr>
        <w:t>Digital lending has emerged as one of the most transformative developments in India</w:t>
      </w:r>
      <w:r>
        <w:rPr>
          <w:sz w:val="24"/>
          <w:szCs w:val="24"/>
          <w:rtl/>
        </w:rPr>
        <w:t>’</w:t>
      </w:r>
      <w:r>
        <w:rPr>
          <w:sz w:val="24"/>
          <w:szCs w:val="24"/>
        </w:rPr>
        <w:t>s financial sector. The integration of fintech innovations, data analytics, and mo</w:t>
      </w:r>
      <w:r>
        <w:rPr>
          <w:sz w:val="24"/>
          <w:szCs w:val="24"/>
        </w:rPr>
        <w:t>bile technology has enabled lenders to deliver instant credit to individuals and small businesses that were traditionally underserved by the formal banking system. Digital lending platforms, including mobile applications and online portals, have gained pop</w:t>
      </w:r>
      <w:r>
        <w:rPr>
          <w:sz w:val="24"/>
          <w:szCs w:val="24"/>
        </w:rPr>
        <w:t>ularity due to minimal documentation requirements, rapid loan disbursal, and flexible repayment options.</w:t>
      </w:r>
    </w:p>
    <w:p w:rsidR="00924691" w:rsidRDefault="00A05C8E">
      <w:pPr>
        <w:pStyle w:val="Default"/>
        <w:suppressAutoHyphens/>
        <w:spacing w:before="0" w:after="240" w:line="240" w:lineRule="auto"/>
        <w:rPr>
          <w:sz w:val="24"/>
          <w:szCs w:val="24"/>
        </w:rPr>
      </w:pPr>
      <w:r>
        <w:rPr>
          <w:sz w:val="24"/>
          <w:szCs w:val="24"/>
        </w:rPr>
        <w:t xml:space="preserve">Despite these benefits, the unchecked growth of digital lending has led to multiple consumer protection concerns. Reports of excessive interest rates, </w:t>
      </w:r>
      <w:r>
        <w:rPr>
          <w:sz w:val="24"/>
          <w:szCs w:val="24"/>
        </w:rPr>
        <w:t>hidden charges, misuse of personal data, aggressive recovery practices, and lack of regulatory oversight have highlighted the risks associated with unregulated digital lenders. Recognising these challenges, the RBI has taken a proactive approach by issuing</w:t>
      </w:r>
      <w:r>
        <w:rPr>
          <w:sz w:val="24"/>
          <w:szCs w:val="24"/>
        </w:rPr>
        <w:t xml:space="preserve"> comprehensive guidelines to regulate digital lending activities in India.</w:t>
      </w:r>
    </w:p>
    <w:p w:rsidR="00924691" w:rsidRDefault="00A05C8E">
      <w:pPr>
        <w:pStyle w:val="Default"/>
        <w:suppressAutoHyphens/>
        <w:spacing w:before="0" w:after="240" w:line="240" w:lineRule="auto"/>
        <w:rPr>
          <w:sz w:val="24"/>
          <w:szCs w:val="24"/>
        </w:rPr>
      </w:pPr>
      <w:r>
        <w:rPr>
          <w:sz w:val="24"/>
          <w:szCs w:val="24"/>
        </w:rPr>
        <w:t>This paper seeks to analyse the regulatory framework governing digital lending in India and assess its role in protecting consumers.</w:t>
      </w:r>
    </w:p>
    <w:p w:rsidR="00924691" w:rsidRDefault="00924691">
      <w:pPr>
        <w:pStyle w:val="Default"/>
        <w:suppressAutoHyphens/>
        <w:spacing w:before="0" w:line="240" w:lineRule="auto"/>
        <w:rPr>
          <w:color w:val="808080"/>
          <w:sz w:val="24"/>
          <w:szCs w:val="24"/>
        </w:rPr>
      </w:pPr>
    </w:p>
    <w:p w:rsidR="00924691" w:rsidRDefault="00A05C8E">
      <w:pPr>
        <w:pStyle w:val="Default"/>
        <w:suppressAutoHyphens/>
        <w:spacing w:before="0" w:after="298" w:line="240" w:lineRule="auto"/>
        <w:rPr>
          <w:b/>
          <w:bCs/>
          <w:sz w:val="36"/>
          <w:szCs w:val="36"/>
        </w:rPr>
      </w:pPr>
      <w:r>
        <w:rPr>
          <w:b/>
          <w:bCs/>
          <w:sz w:val="36"/>
          <w:szCs w:val="36"/>
        </w:rPr>
        <w:t>2. Objectives of the Study</w:t>
      </w:r>
    </w:p>
    <w:p w:rsidR="00924691" w:rsidRDefault="00A05C8E">
      <w:pPr>
        <w:pStyle w:val="Default"/>
        <w:suppressAutoHyphens/>
        <w:spacing w:before="0" w:after="240" w:line="240" w:lineRule="auto"/>
        <w:rPr>
          <w:sz w:val="24"/>
          <w:szCs w:val="24"/>
        </w:rPr>
      </w:pPr>
      <w:r>
        <w:rPr>
          <w:sz w:val="24"/>
          <w:szCs w:val="24"/>
        </w:rPr>
        <w:t>The objectives of th</w:t>
      </w:r>
      <w:r>
        <w:rPr>
          <w:sz w:val="24"/>
          <w:szCs w:val="24"/>
        </w:rPr>
        <w:t>e study are:</w:t>
      </w:r>
    </w:p>
    <w:p w:rsidR="00924691" w:rsidRDefault="00A05C8E">
      <w:pPr>
        <w:pStyle w:val="Default"/>
        <w:numPr>
          <w:ilvl w:val="0"/>
          <w:numId w:val="2"/>
        </w:numPr>
        <w:suppressAutoHyphens/>
        <w:spacing w:before="0" w:after="240" w:line="240" w:lineRule="auto"/>
        <w:rPr>
          <w:sz w:val="24"/>
          <w:szCs w:val="24"/>
        </w:rPr>
      </w:pPr>
      <w:r>
        <w:rPr>
          <w:sz w:val="24"/>
          <w:szCs w:val="24"/>
        </w:rPr>
        <w:t>To examine the growth and structure of digital lending in India</w:t>
      </w:r>
    </w:p>
    <w:p w:rsidR="00924691" w:rsidRDefault="00A05C8E">
      <w:pPr>
        <w:pStyle w:val="Default"/>
        <w:numPr>
          <w:ilvl w:val="0"/>
          <w:numId w:val="2"/>
        </w:numPr>
        <w:suppressAutoHyphens/>
        <w:spacing w:before="0" w:after="240" w:line="240" w:lineRule="auto"/>
        <w:rPr>
          <w:sz w:val="24"/>
          <w:szCs w:val="24"/>
        </w:rPr>
      </w:pPr>
      <w:r>
        <w:rPr>
          <w:sz w:val="24"/>
          <w:szCs w:val="24"/>
        </w:rPr>
        <w:t>To analyse RBI regulations governing digital lending platforms</w:t>
      </w:r>
    </w:p>
    <w:p w:rsidR="00924691" w:rsidRDefault="00A05C8E">
      <w:pPr>
        <w:pStyle w:val="Default"/>
        <w:numPr>
          <w:ilvl w:val="0"/>
          <w:numId w:val="2"/>
        </w:numPr>
        <w:suppressAutoHyphens/>
        <w:spacing w:before="0" w:after="240" w:line="240" w:lineRule="auto"/>
        <w:rPr>
          <w:sz w:val="24"/>
          <w:szCs w:val="24"/>
        </w:rPr>
      </w:pPr>
      <w:r>
        <w:rPr>
          <w:sz w:val="24"/>
          <w:szCs w:val="24"/>
        </w:rPr>
        <w:lastRenderedPageBreak/>
        <w:t>To evaluate the effectiveness of these regulations in protecting consumers</w:t>
      </w:r>
    </w:p>
    <w:p w:rsidR="00924691" w:rsidRDefault="00A05C8E">
      <w:pPr>
        <w:pStyle w:val="Default"/>
        <w:numPr>
          <w:ilvl w:val="0"/>
          <w:numId w:val="2"/>
        </w:numPr>
        <w:suppressAutoHyphens/>
        <w:spacing w:before="0" w:after="240" w:line="240" w:lineRule="auto"/>
        <w:rPr>
          <w:sz w:val="24"/>
          <w:szCs w:val="24"/>
        </w:rPr>
      </w:pPr>
      <w:r>
        <w:rPr>
          <w:sz w:val="24"/>
          <w:szCs w:val="24"/>
        </w:rPr>
        <w:t>To identify key challenges in enforcement</w:t>
      </w:r>
      <w:r>
        <w:rPr>
          <w:sz w:val="24"/>
          <w:szCs w:val="24"/>
        </w:rPr>
        <w:t xml:space="preserve"> and compliance</w:t>
      </w:r>
    </w:p>
    <w:p w:rsidR="00924691" w:rsidRDefault="00A05C8E">
      <w:pPr>
        <w:pStyle w:val="Default"/>
        <w:numPr>
          <w:ilvl w:val="0"/>
          <w:numId w:val="2"/>
        </w:numPr>
        <w:suppressAutoHyphens/>
        <w:spacing w:before="0" w:after="240" w:line="240" w:lineRule="auto"/>
        <w:rPr>
          <w:sz w:val="24"/>
          <w:szCs w:val="24"/>
        </w:rPr>
      </w:pPr>
      <w:r>
        <w:rPr>
          <w:sz w:val="24"/>
          <w:szCs w:val="24"/>
        </w:rPr>
        <w:t>To suggest measures for strengthening consumer protection</w:t>
      </w:r>
    </w:p>
    <w:p w:rsidR="00924691" w:rsidRDefault="00924691">
      <w:pPr>
        <w:pStyle w:val="Default"/>
        <w:suppressAutoHyphens/>
        <w:spacing w:before="0" w:line="240" w:lineRule="auto"/>
        <w:rPr>
          <w:color w:val="808080"/>
          <w:sz w:val="24"/>
          <w:szCs w:val="24"/>
        </w:rPr>
      </w:pPr>
    </w:p>
    <w:p w:rsidR="00924691" w:rsidRDefault="00A05C8E">
      <w:pPr>
        <w:pStyle w:val="Default"/>
        <w:suppressAutoHyphens/>
        <w:spacing w:before="0" w:after="298" w:line="240" w:lineRule="auto"/>
        <w:rPr>
          <w:b/>
          <w:bCs/>
          <w:sz w:val="36"/>
          <w:szCs w:val="36"/>
        </w:rPr>
      </w:pPr>
      <w:r>
        <w:rPr>
          <w:b/>
          <w:bCs/>
          <w:sz w:val="36"/>
          <w:szCs w:val="36"/>
        </w:rPr>
        <w:t>3. Review of Literature</w:t>
      </w:r>
    </w:p>
    <w:p w:rsidR="00924691" w:rsidRDefault="00A05C8E">
      <w:pPr>
        <w:pStyle w:val="Default"/>
        <w:suppressAutoHyphens/>
        <w:spacing w:before="0" w:after="240" w:line="240" w:lineRule="auto"/>
        <w:rPr>
          <w:sz w:val="24"/>
          <w:szCs w:val="24"/>
        </w:rPr>
      </w:pPr>
      <w:r>
        <w:rPr>
          <w:sz w:val="24"/>
          <w:szCs w:val="24"/>
        </w:rPr>
        <w:t xml:space="preserve">Bose (2018) highlighted that fintech-driven lending improves credit access but increases regulatory complexity. Gomber et al. (2018) emphasised that digital </w:t>
      </w:r>
      <w:r>
        <w:rPr>
          <w:sz w:val="24"/>
          <w:szCs w:val="24"/>
        </w:rPr>
        <w:t>finance innovations require adaptive regulatory frameworks to manage emerging risks.</w:t>
      </w:r>
    </w:p>
    <w:p w:rsidR="00924691" w:rsidRDefault="00A05C8E">
      <w:pPr>
        <w:pStyle w:val="Default"/>
        <w:suppressAutoHyphens/>
        <w:spacing w:before="0" w:after="240" w:line="240" w:lineRule="auto"/>
        <w:rPr>
          <w:sz w:val="24"/>
          <w:szCs w:val="24"/>
        </w:rPr>
      </w:pPr>
      <w:r>
        <w:rPr>
          <w:sz w:val="24"/>
          <w:szCs w:val="24"/>
        </w:rPr>
        <w:t>RBI (2021) noted that unregulated digital lenders pose significant risks to consumer safety and financial stability. Arun and Kamath (2015) argued that technology-based le</w:t>
      </w:r>
      <w:r>
        <w:rPr>
          <w:sz w:val="24"/>
          <w:szCs w:val="24"/>
        </w:rPr>
        <w:t>nding can improve inclusion only if supported by robust consumer protection mechanisms.</w:t>
      </w:r>
    </w:p>
    <w:p w:rsidR="00924691" w:rsidRDefault="00A05C8E">
      <w:pPr>
        <w:pStyle w:val="Default"/>
        <w:suppressAutoHyphens/>
        <w:spacing w:before="0" w:after="240" w:line="240" w:lineRule="auto"/>
        <w:rPr>
          <w:sz w:val="24"/>
          <w:szCs w:val="24"/>
        </w:rPr>
      </w:pPr>
      <w:r>
        <w:rPr>
          <w:sz w:val="24"/>
          <w:szCs w:val="24"/>
        </w:rPr>
        <w:t>Fenwick et al. (2017) observed that regulatory lag often leads to consumer exploitation in digital financial markets. Bansal and Bruno (2021) documented rising complain</w:t>
      </w:r>
      <w:r>
        <w:rPr>
          <w:sz w:val="24"/>
          <w:szCs w:val="24"/>
        </w:rPr>
        <w:t>ts related to harassment and opaque pricing in digital loans in India.</w:t>
      </w:r>
    </w:p>
    <w:p w:rsidR="00924691" w:rsidRDefault="00A05C8E">
      <w:pPr>
        <w:pStyle w:val="Default"/>
        <w:suppressAutoHyphens/>
        <w:spacing w:before="0" w:after="240" w:line="240" w:lineRule="auto"/>
        <w:rPr>
          <w:sz w:val="24"/>
          <w:szCs w:val="24"/>
        </w:rPr>
      </w:pPr>
      <w:r>
        <w:rPr>
          <w:sz w:val="24"/>
          <w:szCs w:val="24"/>
        </w:rPr>
        <w:t>World Bank (2020) stressed that transparency and disclosure norms are critical for protecting digital borrowers. OECD (2019) emphasised consumer data protection as a core pillar of digi</w:t>
      </w:r>
      <w:r>
        <w:rPr>
          <w:sz w:val="24"/>
          <w:szCs w:val="24"/>
        </w:rPr>
        <w:t>tal finance regulation.</w:t>
      </w:r>
    </w:p>
    <w:p w:rsidR="00924691" w:rsidRDefault="00A05C8E">
      <w:pPr>
        <w:pStyle w:val="Default"/>
        <w:suppressAutoHyphens/>
        <w:spacing w:before="0" w:after="240" w:line="240" w:lineRule="auto"/>
        <w:rPr>
          <w:sz w:val="24"/>
          <w:szCs w:val="24"/>
        </w:rPr>
      </w:pPr>
      <w:r>
        <w:rPr>
          <w:sz w:val="24"/>
          <w:szCs w:val="24"/>
        </w:rPr>
        <w:t>Ghosh (2022) analysed RBI</w:t>
      </w:r>
      <w:r>
        <w:rPr>
          <w:sz w:val="24"/>
          <w:szCs w:val="24"/>
          <w:rtl/>
        </w:rPr>
        <w:t>’</w:t>
      </w:r>
      <w:r>
        <w:rPr>
          <w:sz w:val="24"/>
          <w:szCs w:val="24"/>
        </w:rPr>
        <w:t>s digital lending guidelines and concluded that lender accountability has improved significantly. Narain and Reddy (2023) highlighted gaps in grievance redressal and enforcement capacity.</w:t>
      </w:r>
    </w:p>
    <w:p w:rsidR="00924691" w:rsidRDefault="00A05C8E">
      <w:pPr>
        <w:pStyle w:val="Default"/>
        <w:suppressAutoHyphens/>
        <w:spacing w:before="0" w:after="240" w:line="240" w:lineRule="auto"/>
        <w:rPr>
          <w:sz w:val="24"/>
          <w:szCs w:val="24"/>
        </w:rPr>
      </w:pPr>
      <w:r>
        <w:rPr>
          <w:sz w:val="24"/>
          <w:szCs w:val="24"/>
        </w:rPr>
        <w:t>Mishra (2021) foun</w:t>
      </w:r>
      <w:r>
        <w:rPr>
          <w:sz w:val="24"/>
          <w:szCs w:val="24"/>
        </w:rPr>
        <w:t>d that borrowers often lack awareness of loan terms, increasing vulnerability. Gupta and Tham (2020) stressed the importance of consent-based data usage.</w:t>
      </w:r>
    </w:p>
    <w:p w:rsidR="00924691" w:rsidRDefault="00A05C8E">
      <w:pPr>
        <w:pStyle w:val="Default"/>
        <w:suppressAutoHyphens/>
        <w:spacing w:before="0" w:after="240" w:line="240" w:lineRule="auto"/>
        <w:rPr>
          <w:sz w:val="24"/>
          <w:szCs w:val="24"/>
        </w:rPr>
      </w:pPr>
      <w:r>
        <w:rPr>
          <w:sz w:val="24"/>
          <w:szCs w:val="24"/>
        </w:rPr>
        <w:t>BIS (2020) argued that proportional regulation is necessary to balance innovation and protection. Agar</w:t>
      </w:r>
      <w:r>
        <w:rPr>
          <w:sz w:val="24"/>
          <w:szCs w:val="24"/>
        </w:rPr>
        <w:t>wal et al. (2019) found that algorithmic lending may amplify bias if left unchecked.</w:t>
      </w:r>
    </w:p>
    <w:p w:rsidR="00924691" w:rsidRDefault="00A05C8E">
      <w:pPr>
        <w:pStyle w:val="Default"/>
        <w:suppressAutoHyphens/>
        <w:spacing w:before="0" w:after="240" w:line="240" w:lineRule="auto"/>
        <w:rPr>
          <w:sz w:val="24"/>
          <w:szCs w:val="24"/>
        </w:rPr>
      </w:pPr>
      <w:r>
        <w:rPr>
          <w:sz w:val="24"/>
          <w:szCs w:val="24"/>
        </w:rPr>
        <w:t>Kaur and Singh (2022) emphasised the role of financial literacy in mitigating digital lending risks. Chakraborty (2023) highlighted the need for coordinated regulation bet</w:t>
      </w:r>
      <w:r>
        <w:rPr>
          <w:sz w:val="24"/>
          <w:szCs w:val="24"/>
        </w:rPr>
        <w:t>ween RBI and other authorities.</w:t>
      </w:r>
    </w:p>
    <w:p w:rsidR="00924691" w:rsidRDefault="00A05C8E">
      <w:pPr>
        <w:pStyle w:val="Default"/>
        <w:suppressAutoHyphens/>
        <w:spacing w:before="0" w:after="240" w:line="240" w:lineRule="auto"/>
        <w:rPr>
          <w:sz w:val="24"/>
          <w:szCs w:val="24"/>
        </w:rPr>
      </w:pPr>
      <w:r>
        <w:rPr>
          <w:sz w:val="24"/>
          <w:szCs w:val="24"/>
        </w:rPr>
        <w:t>Overall, the literature indicates that while digital lending enhances efficiency and inclusion, strong regulatory intervention is essential for consumer protection.</w:t>
      </w:r>
    </w:p>
    <w:p w:rsidR="00924691" w:rsidRDefault="00924691">
      <w:pPr>
        <w:pStyle w:val="Default"/>
        <w:suppressAutoHyphens/>
        <w:spacing w:before="0" w:line="240" w:lineRule="auto"/>
        <w:rPr>
          <w:color w:val="808080"/>
          <w:sz w:val="24"/>
          <w:szCs w:val="24"/>
        </w:rPr>
      </w:pPr>
    </w:p>
    <w:p w:rsidR="00924691" w:rsidRDefault="00A05C8E">
      <w:pPr>
        <w:pStyle w:val="Default"/>
        <w:suppressAutoHyphens/>
        <w:spacing w:before="0" w:after="298" w:line="240" w:lineRule="auto"/>
        <w:rPr>
          <w:b/>
          <w:bCs/>
          <w:sz w:val="36"/>
          <w:szCs w:val="36"/>
        </w:rPr>
      </w:pPr>
      <w:r>
        <w:rPr>
          <w:b/>
          <w:bCs/>
          <w:sz w:val="36"/>
          <w:szCs w:val="36"/>
        </w:rPr>
        <w:t>4. Research Methodology</w:t>
      </w:r>
    </w:p>
    <w:p w:rsidR="00924691" w:rsidRDefault="00A05C8E">
      <w:pPr>
        <w:pStyle w:val="Default"/>
        <w:suppressAutoHyphens/>
        <w:spacing w:before="0" w:after="280" w:line="240" w:lineRule="auto"/>
        <w:rPr>
          <w:b/>
          <w:bCs/>
          <w:sz w:val="28"/>
          <w:szCs w:val="28"/>
        </w:rPr>
      </w:pPr>
      <w:r>
        <w:rPr>
          <w:b/>
          <w:bCs/>
          <w:sz w:val="28"/>
          <w:szCs w:val="28"/>
        </w:rPr>
        <w:t>4.1 Research Design</w:t>
      </w:r>
    </w:p>
    <w:p w:rsidR="00924691" w:rsidRDefault="00A05C8E">
      <w:pPr>
        <w:pStyle w:val="Default"/>
        <w:suppressAutoHyphens/>
        <w:spacing w:before="0" w:after="240" w:line="240" w:lineRule="auto"/>
        <w:rPr>
          <w:sz w:val="24"/>
          <w:szCs w:val="24"/>
        </w:rPr>
      </w:pPr>
      <w:r>
        <w:rPr>
          <w:sz w:val="24"/>
          <w:szCs w:val="24"/>
        </w:rPr>
        <w:lastRenderedPageBreak/>
        <w:t>The study adop</w:t>
      </w:r>
      <w:r>
        <w:rPr>
          <w:sz w:val="24"/>
          <w:szCs w:val="24"/>
        </w:rPr>
        <w:t xml:space="preserve">ts a </w:t>
      </w:r>
      <w:r>
        <w:rPr>
          <w:b/>
          <w:bCs/>
          <w:sz w:val="24"/>
          <w:szCs w:val="24"/>
        </w:rPr>
        <w:t>descriptive and analytical research design</w:t>
      </w:r>
      <w:r>
        <w:rPr>
          <w:sz w:val="24"/>
          <w:szCs w:val="24"/>
        </w:rPr>
        <w:t>, suitable for policy and regulatory analysis.</w:t>
      </w:r>
    </w:p>
    <w:p w:rsidR="00924691" w:rsidRDefault="00A05C8E">
      <w:pPr>
        <w:pStyle w:val="Default"/>
        <w:suppressAutoHyphens/>
        <w:spacing w:before="0" w:after="280" w:line="240" w:lineRule="auto"/>
        <w:rPr>
          <w:b/>
          <w:bCs/>
          <w:sz w:val="28"/>
          <w:szCs w:val="28"/>
        </w:rPr>
      </w:pPr>
      <w:r>
        <w:rPr>
          <w:b/>
          <w:bCs/>
          <w:sz w:val="28"/>
          <w:szCs w:val="28"/>
        </w:rPr>
        <w:t>4.2 Sources of Data</w:t>
      </w:r>
    </w:p>
    <w:p w:rsidR="00924691" w:rsidRDefault="00A05C8E">
      <w:pPr>
        <w:pStyle w:val="Default"/>
        <w:numPr>
          <w:ilvl w:val="0"/>
          <w:numId w:val="4"/>
        </w:numPr>
        <w:suppressAutoHyphens/>
        <w:spacing w:before="0" w:after="240" w:line="240" w:lineRule="auto"/>
        <w:rPr>
          <w:sz w:val="24"/>
          <w:szCs w:val="24"/>
          <w:lang w:val="it-IT"/>
        </w:rPr>
      </w:pPr>
      <w:r>
        <w:rPr>
          <w:b/>
          <w:bCs/>
          <w:sz w:val="24"/>
          <w:szCs w:val="24"/>
          <w:lang w:val="it-IT"/>
        </w:rPr>
        <w:t>Secondary Data:</w:t>
      </w:r>
      <w:r>
        <w:rPr>
          <w:sz w:val="24"/>
          <w:szCs w:val="24"/>
        </w:rPr>
        <w:t xml:space="preserve"> RBI circulars, reports, policy documents, academic journals, government publications, and international regulatory reports.</w:t>
      </w:r>
    </w:p>
    <w:p w:rsidR="00924691" w:rsidRDefault="00A05C8E">
      <w:pPr>
        <w:pStyle w:val="Default"/>
        <w:suppressAutoHyphens/>
        <w:spacing w:before="0" w:after="280" w:line="240" w:lineRule="auto"/>
        <w:rPr>
          <w:b/>
          <w:bCs/>
          <w:sz w:val="28"/>
          <w:szCs w:val="28"/>
        </w:rPr>
      </w:pPr>
      <w:r>
        <w:rPr>
          <w:b/>
          <w:bCs/>
          <w:sz w:val="28"/>
          <w:szCs w:val="28"/>
        </w:rPr>
        <w:t>4.</w:t>
      </w:r>
      <w:r>
        <w:rPr>
          <w:b/>
          <w:bCs/>
          <w:sz w:val="28"/>
          <w:szCs w:val="28"/>
        </w:rPr>
        <w:t>3 Method of Analysis</w:t>
      </w:r>
    </w:p>
    <w:p w:rsidR="00924691" w:rsidRDefault="00A05C8E">
      <w:pPr>
        <w:pStyle w:val="Default"/>
        <w:numPr>
          <w:ilvl w:val="0"/>
          <w:numId w:val="5"/>
        </w:numPr>
        <w:suppressAutoHyphens/>
        <w:spacing w:before="0" w:after="240" w:line="240" w:lineRule="auto"/>
        <w:rPr>
          <w:sz w:val="24"/>
          <w:szCs w:val="24"/>
        </w:rPr>
      </w:pPr>
      <w:r>
        <w:rPr>
          <w:sz w:val="24"/>
          <w:szCs w:val="24"/>
        </w:rPr>
        <w:t>Content analysis of regulatory guidelines</w:t>
      </w:r>
    </w:p>
    <w:p w:rsidR="00924691" w:rsidRDefault="00A05C8E">
      <w:pPr>
        <w:pStyle w:val="Default"/>
        <w:numPr>
          <w:ilvl w:val="0"/>
          <w:numId w:val="5"/>
        </w:numPr>
        <w:suppressAutoHyphens/>
        <w:spacing w:before="0" w:after="240" w:line="240" w:lineRule="auto"/>
        <w:rPr>
          <w:sz w:val="24"/>
          <w:szCs w:val="24"/>
        </w:rPr>
      </w:pPr>
      <w:r>
        <w:rPr>
          <w:sz w:val="24"/>
          <w:szCs w:val="24"/>
        </w:rPr>
        <w:t>Comparative policy analysis</w:t>
      </w:r>
    </w:p>
    <w:p w:rsidR="00924691" w:rsidRDefault="00A05C8E">
      <w:pPr>
        <w:pStyle w:val="Default"/>
        <w:numPr>
          <w:ilvl w:val="0"/>
          <w:numId w:val="5"/>
        </w:numPr>
        <w:suppressAutoHyphens/>
        <w:spacing w:before="0" w:after="240" w:line="240" w:lineRule="auto"/>
        <w:rPr>
          <w:sz w:val="24"/>
          <w:szCs w:val="24"/>
        </w:rPr>
      </w:pPr>
      <w:r>
        <w:rPr>
          <w:sz w:val="24"/>
          <w:szCs w:val="24"/>
        </w:rPr>
        <w:t>Descriptive analytical interpretation</w:t>
      </w:r>
    </w:p>
    <w:p w:rsidR="00924691" w:rsidRDefault="00A05C8E">
      <w:pPr>
        <w:pStyle w:val="Default"/>
        <w:suppressAutoHyphens/>
        <w:spacing w:before="0" w:after="280" w:line="240" w:lineRule="auto"/>
        <w:rPr>
          <w:b/>
          <w:bCs/>
          <w:sz w:val="28"/>
          <w:szCs w:val="28"/>
        </w:rPr>
      </w:pPr>
      <w:r>
        <w:rPr>
          <w:b/>
          <w:bCs/>
          <w:sz w:val="28"/>
          <w:szCs w:val="28"/>
        </w:rPr>
        <w:t>4.4 Scope of the Study</w:t>
      </w:r>
    </w:p>
    <w:p w:rsidR="00924691" w:rsidRDefault="00A05C8E">
      <w:pPr>
        <w:pStyle w:val="Default"/>
        <w:suppressAutoHyphens/>
        <w:spacing w:before="0" w:after="240" w:line="240" w:lineRule="auto"/>
        <w:rPr>
          <w:sz w:val="24"/>
          <w:szCs w:val="24"/>
        </w:rPr>
      </w:pPr>
      <w:r>
        <w:rPr>
          <w:sz w:val="24"/>
          <w:szCs w:val="24"/>
        </w:rPr>
        <w:t>The study focuses on RBI-regulated digital lending entities operating in India.</w:t>
      </w:r>
    </w:p>
    <w:p w:rsidR="00924691" w:rsidRDefault="00A05C8E">
      <w:pPr>
        <w:pStyle w:val="Default"/>
        <w:suppressAutoHyphens/>
        <w:spacing w:before="0" w:after="280" w:line="240" w:lineRule="auto"/>
        <w:rPr>
          <w:b/>
          <w:bCs/>
          <w:sz w:val="28"/>
          <w:szCs w:val="28"/>
        </w:rPr>
      </w:pPr>
      <w:r>
        <w:rPr>
          <w:b/>
          <w:bCs/>
          <w:sz w:val="28"/>
          <w:szCs w:val="28"/>
          <w:lang w:val="fr-FR"/>
        </w:rPr>
        <w:t>4.5 Limitations</w:t>
      </w:r>
    </w:p>
    <w:p w:rsidR="00924691" w:rsidRDefault="00A05C8E">
      <w:pPr>
        <w:pStyle w:val="Default"/>
        <w:numPr>
          <w:ilvl w:val="0"/>
          <w:numId w:val="5"/>
        </w:numPr>
        <w:suppressAutoHyphens/>
        <w:spacing w:before="0" w:after="240" w:line="240" w:lineRule="auto"/>
        <w:rPr>
          <w:sz w:val="24"/>
          <w:szCs w:val="24"/>
        </w:rPr>
      </w:pPr>
      <w:r>
        <w:rPr>
          <w:sz w:val="24"/>
          <w:szCs w:val="24"/>
        </w:rPr>
        <w:t xml:space="preserve">Absence </w:t>
      </w:r>
      <w:r>
        <w:rPr>
          <w:sz w:val="24"/>
          <w:szCs w:val="24"/>
        </w:rPr>
        <w:t>of primary borrower-level data</w:t>
      </w:r>
    </w:p>
    <w:p w:rsidR="00924691" w:rsidRDefault="00A05C8E">
      <w:pPr>
        <w:pStyle w:val="Default"/>
        <w:numPr>
          <w:ilvl w:val="0"/>
          <w:numId w:val="5"/>
        </w:numPr>
        <w:suppressAutoHyphens/>
        <w:spacing w:before="0" w:after="240" w:line="240" w:lineRule="auto"/>
        <w:rPr>
          <w:sz w:val="24"/>
          <w:szCs w:val="24"/>
        </w:rPr>
      </w:pPr>
      <w:r>
        <w:rPr>
          <w:sz w:val="24"/>
          <w:szCs w:val="24"/>
        </w:rPr>
        <w:t>Rapid regulatory evolution may affect findings over time</w:t>
      </w:r>
    </w:p>
    <w:p w:rsidR="00924691" w:rsidRDefault="00924691">
      <w:pPr>
        <w:pStyle w:val="Default"/>
        <w:suppressAutoHyphens/>
        <w:spacing w:before="0" w:line="240" w:lineRule="auto"/>
        <w:rPr>
          <w:color w:val="808080"/>
          <w:sz w:val="24"/>
          <w:szCs w:val="24"/>
        </w:rPr>
      </w:pPr>
    </w:p>
    <w:p w:rsidR="00924691" w:rsidRDefault="00A05C8E">
      <w:pPr>
        <w:pStyle w:val="Default"/>
        <w:suppressAutoHyphens/>
        <w:spacing w:before="0" w:after="298" w:line="240" w:lineRule="auto"/>
        <w:rPr>
          <w:b/>
          <w:bCs/>
          <w:sz w:val="36"/>
          <w:szCs w:val="36"/>
        </w:rPr>
      </w:pPr>
      <w:r>
        <w:rPr>
          <w:b/>
          <w:bCs/>
          <w:sz w:val="36"/>
          <w:szCs w:val="36"/>
        </w:rPr>
        <w:t>5. Regulatory Framework for Digital Lending in India</w:t>
      </w:r>
    </w:p>
    <w:p w:rsidR="00924691" w:rsidRDefault="00A05C8E">
      <w:pPr>
        <w:pStyle w:val="Default"/>
        <w:suppressAutoHyphens/>
        <w:spacing w:before="0" w:after="240" w:line="240" w:lineRule="auto"/>
        <w:rPr>
          <w:sz w:val="24"/>
          <w:szCs w:val="24"/>
        </w:rPr>
      </w:pPr>
      <w:r>
        <w:rPr>
          <w:sz w:val="24"/>
          <w:szCs w:val="24"/>
        </w:rPr>
        <w:t>The RBI has introduced several measures to regulate digital lending, including:</w:t>
      </w:r>
    </w:p>
    <w:p w:rsidR="00924691" w:rsidRDefault="00A05C8E">
      <w:pPr>
        <w:pStyle w:val="Default"/>
        <w:numPr>
          <w:ilvl w:val="0"/>
          <w:numId w:val="5"/>
        </w:numPr>
        <w:suppressAutoHyphens/>
        <w:spacing w:before="0" w:after="240" w:line="240" w:lineRule="auto"/>
        <w:rPr>
          <w:sz w:val="24"/>
          <w:szCs w:val="24"/>
        </w:rPr>
      </w:pPr>
      <w:r>
        <w:rPr>
          <w:sz w:val="24"/>
          <w:szCs w:val="24"/>
        </w:rPr>
        <w:t xml:space="preserve">Mandatory disbursal and repayment </w:t>
      </w:r>
      <w:r>
        <w:rPr>
          <w:sz w:val="24"/>
          <w:szCs w:val="24"/>
        </w:rPr>
        <w:t>through bank accounts</w:t>
      </w:r>
    </w:p>
    <w:p w:rsidR="00924691" w:rsidRDefault="00A05C8E">
      <w:pPr>
        <w:pStyle w:val="Default"/>
        <w:numPr>
          <w:ilvl w:val="0"/>
          <w:numId w:val="5"/>
        </w:numPr>
        <w:suppressAutoHyphens/>
        <w:spacing w:before="0" w:after="240" w:line="240" w:lineRule="auto"/>
        <w:rPr>
          <w:sz w:val="24"/>
          <w:szCs w:val="24"/>
        </w:rPr>
      </w:pPr>
      <w:r>
        <w:rPr>
          <w:sz w:val="24"/>
          <w:szCs w:val="24"/>
        </w:rPr>
        <w:t>Prohibition of pass-through lending models</w:t>
      </w:r>
    </w:p>
    <w:p w:rsidR="00924691" w:rsidRDefault="00A05C8E">
      <w:pPr>
        <w:pStyle w:val="Default"/>
        <w:numPr>
          <w:ilvl w:val="0"/>
          <w:numId w:val="5"/>
        </w:numPr>
        <w:suppressAutoHyphens/>
        <w:spacing w:before="0" w:after="240" w:line="240" w:lineRule="auto"/>
        <w:rPr>
          <w:sz w:val="24"/>
          <w:szCs w:val="24"/>
        </w:rPr>
      </w:pPr>
      <w:r>
        <w:rPr>
          <w:sz w:val="24"/>
          <w:szCs w:val="24"/>
        </w:rPr>
        <w:t>Disclosure of interest rates, fees, and recovery practices</w:t>
      </w:r>
    </w:p>
    <w:p w:rsidR="00924691" w:rsidRDefault="00A05C8E">
      <w:pPr>
        <w:pStyle w:val="Default"/>
        <w:numPr>
          <w:ilvl w:val="0"/>
          <w:numId w:val="5"/>
        </w:numPr>
        <w:suppressAutoHyphens/>
        <w:spacing w:before="0" w:after="240" w:line="240" w:lineRule="auto"/>
        <w:rPr>
          <w:sz w:val="24"/>
          <w:szCs w:val="24"/>
        </w:rPr>
      </w:pPr>
      <w:r>
        <w:rPr>
          <w:sz w:val="24"/>
          <w:szCs w:val="24"/>
        </w:rPr>
        <w:t>Restrictions on data collection and usage</w:t>
      </w:r>
    </w:p>
    <w:p w:rsidR="00924691" w:rsidRDefault="00A05C8E">
      <w:pPr>
        <w:pStyle w:val="Default"/>
        <w:numPr>
          <w:ilvl w:val="0"/>
          <w:numId w:val="5"/>
        </w:numPr>
        <w:suppressAutoHyphens/>
        <w:spacing w:before="0" w:after="240" w:line="240" w:lineRule="auto"/>
        <w:rPr>
          <w:sz w:val="24"/>
          <w:szCs w:val="24"/>
        </w:rPr>
      </w:pPr>
      <w:r>
        <w:rPr>
          <w:sz w:val="24"/>
          <w:szCs w:val="24"/>
        </w:rPr>
        <w:t>Accountability of regulated entities for actions of lending service providers</w:t>
      </w:r>
    </w:p>
    <w:p w:rsidR="00924691" w:rsidRDefault="00A05C8E">
      <w:pPr>
        <w:pStyle w:val="Default"/>
        <w:suppressAutoHyphens/>
        <w:spacing w:before="0" w:after="240" w:line="240" w:lineRule="auto"/>
        <w:rPr>
          <w:sz w:val="24"/>
          <w:szCs w:val="24"/>
        </w:rPr>
      </w:pPr>
      <w:r>
        <w:rPr>
          <w:sz w:val="24"/>
          <w:szCs w:val="24"/>
        </w:rPr>
        <w:t>These measur</w:t>
      </w:r>
      <w:r>
        <w:rPr>
          <w:sz w:val="24"/>
          <w:szCs w:val="24"/>
        </w:rPr>
        <w:t>es aim to enhance transparency, borrower consent, and institutional accountability.</w:t>
      </w:r>
    </w:p>
    <w:p w:rsidR="00924691" w:rsidRDefault="00924691">
      <w:pPr>
        <w:pStyle w:val="Default"/>
        <w:suppressAutoHyphens/>
        <w:spacing w:before="0" w:line="240" w:lineRule="auto"/>
        <w:rPr>
          <w:color w:val="808080"/>
          <w:sz w:val="24"/>
          <w:szCs w:val="24"/>
        </w:rPr>
      </w:pPr>
    </w:p>
    <w:p w:rsidR="00924691" w:rsidRDefault="00A05C8E">
      <w:pPr>
        <w:pStyle w:val="Default"/>
        <w:suppressAutoHyphens/>
        <w:spacing w:before="0" w:after="298" w:line="240" w:lineRule="auto"/>
        <w:rPr>
          <w:b/>
          <w:bCs/>
          <w:sz w:val="36"/>
          <w:szCs w:val="36"/>
        </w:rPr>
      </w:pPr>
      <w:r>
        <w:rPr>
          <w:b/>
          <w:bCs/>
          <w:sz w:val="36"/>
          <w:szCs w:val="36"/>
        </w:rPr>
        <w:t>6. Data Analysis and Discussion</w:t>
      </w:r>
    </w:p>
    <w:p w:rsidR="00924691" w:rsidRDefault="00A05C8E">
      <w:pPr>
        <w:pStyle w:val="Default"/>
        <w:suppressAutoHyphens/>
        <w:spacing w:before="0" w:after="280" w:line="240" w:lineRule="auto"/>
        <w:rPr>
          <w:b/>
          <w:bCs/>
          <w:sz w:val="28"/>
          <w:szCs w:val="28"/>
        </w:rPr>
      </w:pPr>
      <w:r>
        <w:rPr>
          <w:b/>
          <w:bCs/>
          <w:sz w:val="28"/>
          <w:szCs w:val="28"/>
        </w:rPr>
        <w:t>Table 1: Key Consumer Protection Issues in Digital Lending</w:t>
      </w:r>
    </w:p>
    <w:tbl>
      <w:tblPr>
        <w:tblW w:w="50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5"/>
        <w:gridCol w:w="2939"/>
      </w:tblGrid>
      <w:tr w:rsidR="00924691">
        <w:trPr>
          <w:trHeight w:val="380"/>
        </w:trPr>
        <w:tc>
          <w:tcPr>
            <w:tcW w:w="208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924691" w:rsidRDefault="00A05C8E">
            <w:pPr>
              <w:pStyle w:val="TableStyle2"/>
              <w:suppressAutoHyphens/>
              <w:jc w:val="center"/>
            </w:pPr>
            <w:r>
              <w:rPr>
                <w:b/>
                <w:bCs/>
                <w:sz w:val="24"/>
                <w:szCs w:val="24"/>
              </w:rPr>
              <w:t>Issue Identified</w:t>
            </w:r>
          </w:p>
        </w:tc>
        <w:tc>
          <w:tcPr>
            <w:tcW w:w="2939"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924691" w:rsidRDefault="00A05C8E">
            <w:pPr>
              <w:pStyle w:val="TableStyle2"/>
              <w:suppressAutoHyphens/>
              <w:jc w:val="center"/>
            </w:pPr>
            <w:r>
              <w:rPr>
                <w:b/>
                <w:bCs/>
                <w:sz w:val="24"/>
                <w:szCs w:val="24"/>
              </w:rPr>
              <w:t>Regulatory Response</w:t>
            </w:r>
          </w:p>
        </w:tc>
      </w:tr>
      <w:tr w:rsidR="00924691">
        <w:trPr>
          <w:trHeight w:val="380"/>
        </w:trPr>
        <w:tc>
          <w:tcPr>
            <w:tcW w:w="208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924691" w:rsidRDefault="00A05C8E">
            <w:pPr>
              <w:pStyle w:val="TableStyle2"/>
              <w:suppressAutoHyphens/>
            </w:pPr>
            <w:r>
              <w:rPr>
                <w:sz w:val="24"/>
                <w:szCs w:val="24"/>
              </w:rPr>
              <w:t>Hidden charges</w:t>
            </w:r>
          </w:p>
        </w:tc>
        <w:tc>
          <w:tcPr>
            <w:tcW w:w="293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924691" w:rsidRDefault="00A05C8E">
            <w:pPr>
              <w:pStyle w:val="TableStyle2"/>
              <w:suppressAutoHyphens/>
            </w:pPr>
            <w:r>
              <w:rPr>
                <w:sz w:val="24"/>
                <w:szCs w:val="24"/>
              </w:rPr>
              <w:t>Mandatory disclosure norms</w:t>
            </w:r>
          </w:p>
        </w:tc>
      </w:tr>
      <w:tr w:rsidR="00924691">
        <w:trPr>
          <w:trHeight w:val="597"/>
        </w:trPr>
        <w:tc>
          <w:tcPr>
            <w:tcW w:w="208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924691" w:rsidRDefault="00A05C8E">
            <w:pPr>
              <w:pStyle w:val="TableStyle2"/>
              <w:suppressAutoHyphens/>
            </w:pPr>
            <w:r>
              <w:rPr>
                <w:sz w:val="24"/>
                <w:szCs w:val="24"/>
              </w:rPr>
              <w:t>Data misuse</w:t>
            </w:r>
          </w:p>
        </w:tc>
        <w:tc>
          <w:tcPr>
            <w:tcW w:w="2939"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924691" w:rsidRDefault="00A05C8E">
            <w:pPr>
              <w:pStyle w:val="TableStyle2"/>
              <w:suppressAutoHyphens/>
            </w:pPr>
            <w:r>
              <w:rPr>
                <w:sz w:val="24"/>
                <w:szCs w:val="24"/>
              </w:rPr>
              <w:t>Consent-based data collection</w:t>
            </w:r>
          </w:p>
        </w:tc>
      </w:tr>
      <w:tr w:rsidR="00924691">
        <w:trPr>
          <w:trHeight w:val="380"/>
        </w:trPr>
        <w:tc>
          <w:tcPr>
            <w:tcW w:w="208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924691" w:rsidRDefault="00A05C8E">
            <w:pPr>
              <w:pStyle w:val="TableStyle2"/>
              <w:suppressAutoHyphens/>
            </w:pPr>
            <w:r>
              <w:rPr>
                <w:sz w:val="24"/>
                <w:szCs w:val="24"/>
              </w:rPr>
              <w:t>Harassment</w:t>
            </w:r>
          </w:p>
        </w:tc>
        <w:tc>
          <w:tcPr>
            <w:tcW w:w="293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924691" w:rsidRDefault="00A05C8E">
            <w:pPr>
              <w:pStyle w:val="TableStyle2"/>
              <w:suppressAutoHyphens/>
            </w:pPr>
            <w:r>
              <w:rPr>
                <w:sz w:val="24"/>
                <w:szCs w:val="24"/>
              </w:rPr>
              <w:t>Code of conduct for recovery</w:t>
            </w:r>
          </w:p>
        </w:tc>
      </w:tr>
      <w:tr w:rsidR="00924691">
        <w:trPr>
          <w:trHeight w:val="597"/>
        </w:trPr>
        <w:tc>
          <w:tcPr>
            <w:tcW w:w="208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924691" w:rsidRDefault="00A05C8E">
            <w:pPr>
              <w:pStyle w:val="TableStyle2"/>
              <w:suppressAutoHyphens/>
            </w:pPr>
            <w:r>
              <w:rPr>
                <w:sz w:val="24"/>
                <w:szCs w:val="24"/>
              </w:rPr>
              <w:t>Lack of transparency</w:t>
            </w:r>
          </w:p>
        </w:tc>
        <w:tc>
          <w:tcPr>
            <w:tcW w:w="2939"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924691" w:rsidRDefault="00A05C8E">
            <w:pPr>
              <w:pStyle w:val="TableStyle2"/>
              <w:suppressAutoHyphens/>
            </w:pPr>
            <w:r>
              <w:rPr>
                <w:sz w:val="24"/>
                <w:szCs w:val="24"/>
              </w:rPr>
              <w:t>Standardised loan agreements</w:t>
            </w:r>
          </w:p>
        </w:tc>
      </w:tr>
    </w:tbl>
    <w:p w:rsidR="00924691" w:rsidRDefault="00924691">
      <w:pPr>
        <w:pStyle w:val="Default"/>
        <w:suppressAutoHyphens/>
        <w:spacing w:before="0" w:after="240" w:line="240" w:lineRule="auto"/>
        <w:rPr>
          <w:sz w:val="24"/>
          <w:szCs w:val="24"/>
        </w:rPr>
      </w:pPr>
    </w:p>
    <w:p w:rsidR="00924691" w:rsidRDefault="00A05C8E">
      <w:pPr>
        <w:pStyle w:val="Default"/>
        <w:suppressAutoHyphens/>
        <w:spacing w:before="0" w:after="240" w:line="240" w:lineRule="auto"/>
        <w:rPr>
          <w:sz w:val="24"/>
          <w:szCs w:val="24"/>
        </w:rPr>
      </w:pPr>
      <w:r>
        <w:rPr>
          <w:b/>
          <w:bCs/>
          <w:sz w:val="24"/>
          <w:szCs w:val="24"/>
        </w:rPr>
        <w:t>Interpretation:</w:t>
      </w:r>
      <w:r>
        <w:rPr>
          <w:sz w:val="24"/>
          <w:szCs w:val="24"/>
        </w:rPr>
        <w:t xml:space="preserve"> Regulatory interventions directly address major consumer grievances.</w:t>
      </w:r>
    </w:p>
    <w:p w:rsidR="00924691" w:rsidRDefault="00924691">
      <w:pPr>
        <w:pStyle w:val="Default"/>
        <w:suppressAutoHyphens/>
        <w:spacing w:before="0" w:line="240" w:lineRule="auto"/>
        <w:rPr>
          <w:color w:val="808080"/>
          <w:sz w:val="24"/>
          <w:szCs w:val="24"/>
        </w:rPr>
      </w:pPr>
    </w:p>
    <w:p w:rsidR="00924691" w:rsidRDefault="00A05C8E">
      <w:pPr>
        <w:pStyle w:val="Default"/>
        <w:suppressAutoHyphens/>
        <w:spacing w:before="0" w:after="280" w:line="240" w:lineRule="auto"/>
        <w:rPr>
          <w:b/>
          <w:bCs/>
          <w:sz w:val="28"/>
          <w:szCs w:val="28"/>
        </w:rPr>
      </w:pPr>
      <w:r>
        <w:rPr>
          <w:b/>
          <w:bCs/>
          <w:sz w:val="28"/>
          <w:szCs w:val="28"/>
        </w:rPr>
        <w:t>Table 2: Impact of RBI Guidelines</w:t>
      </w:r>
      <w:r>
        <w:rPr>
          <w:b/>
          <w:bCs/>
          <w:sz w:val="28"/>
          <w:szCs w:val="28"/>
        </w:rPr>
        <w:t xml:space="preserve"> on Digital Lending Practices</w:t>
      </w:r>
    </w:p>
    <w:tbl>
      <w:tblPr>
        <w:tblW w:w="499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79"/>
        <w:gridCol w:w="1615"/>
        <w:gridCol w:w="1700"/>
      </w:tblGrid>
      <w:tr w:rsidR="00924691">
        <w:trPr>
          <w:trHeight w:val="597"/>
        </w:trPr>
        <w:tc>
          <w:tcPr>
            <w:tcW w:w="1679"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924691" w:rsidRDefault="00A05C8E">
            <w:pPr>
              <w:pStyle w:val="TableStyle2"/>
              <w:suppressAutoHyphens/>
              <w:jc w:val="center"/>
            </w:pPr>
            <w:r>
              <w:rPr>
                <w:b/>
                <w:bCs/>
                <w:sz w:val="24"/>
                <w:szCs w:val="24"/>
              </w:rPr>
              <w:t>Parameter</w:t>
            </w:r>
          </w:p>
        </w:tc>
        <w:tc>
          <w:tcPr>
            <w:tcW w:w="161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924691" w:rsidRDefault="00A05C8E">
            <w:pPr>
              <w:pStyle w:val="TableStyle2"/>
              <w:suppressAutoHyphens/>
              <w:jc w:val="center"/>
            </w:pPr>
            <w:r>
              <w:rPr>
                <w:b/>
                <w:bCs/>
                <w:sz w:val="24"/>
                <w:szCs w:val="24"/>
              </w:rPr>
              <w:t>Pre-Regulation</w:t>
            </w:r>
          </w:p>
        </w:tc>
        <w:tc>
          <w:tcPr>
            <w:tcW w:w="1700"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924691" w:rsidRDefault="00A05C8E">
            <w:pPr>
              <w:pStyle w:val="TableStyle2"/>
              <w:suppressAutoHyphens/>
              <w:jc w:val="center"/>
            </w:pPr>
            <w:r>
              <w:rPr>
                <w:b/>
                <w:bCs/>
                <w:sz w:val="24"/>
                <w:szCs w:val="24"/>
              </w:rPr>
              <w:t>Post-Regulation</w:t>
            </w:r>
          </w:p>
        </w:tc>
      </w:tr>
      <w:tr w:rsidR="00924691">
        <w:trPr>
          <w:trHeight w:val="380"/>
        </w:trPr>
        <w:tc>
          <w:tcPr>
            <w:tcW w:w="167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924691" w:rsidRDefault="00A05C8E">
            <w:pPr>
              <w:pStyle w:val="TableStyle2"/>
              <w:suppressAutoHyphens/>
            </w:pPr>
            <w:r>
              <w:rPr>
                <w:sz w:val="24"/>
                <w:szCs w:val="24"/>
              </w:rPr>
              <w:t>Transparency</w:t>
            </w:r>
          </w:p>
        </w:tc>
        <w:tc>
          <w:tcPr>
            <w:tcW w:w="161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924691" w:rsidRDefault="00A05C8E">
            <w:pPr>
              <w:pStyle w:val="TableStyle2"/>
              <w:suppressAutoHyphens/>
            </w:pPr>
            <w:r>
              <w:rPr>
                <w:sz w:val="24"/>
                <w:szCs w:val="24"/>
              </w:rPr>
              <w:t>Low</w:t>
            </w:r>
          </w:p>
        </w:tc>
        <w:tc>
          <w:tcPr>
            <w:tcW w:w="1700"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924691" w:rsidRDefault="00A05C8E">
            <w:pPr>
              <w:pStyle w:val="TableStyle2"/>
              <w:suppressAutoHyphens/>
            </w:pPr>
            <w:r>
              <w:rPr>
                <w:sz w:val="24"/>
                <w:szCs w:val="24"/>
              </w:rPr>
              <w:t>Moderate</w:t>
            </w:r>
            <w:r>
              <w:rPr>
                <w:sz w:val="24"/>
                <w:szCs w:val="24"/>
              </w:rPr>
              <w:t>–</w:t>
            </w:r>
            <w:r>
              <w:rPr>
                <w:sz w:val="24"/>
                <w:szCs w:val="24"/>
              </w:rPr>
              <w:t>High</w:t>
            </w:r>
          </w:p>
        </w:tc>
      </w:tr>
      <w:tr w:rsidR="00924691">
        <w:trPr>
          <w:trHeight w:val="380"/>
        </w:trPr>
        <w:tc>
          <w:tcPr>
            <w:tcW w:w="1679"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924691" w:rsidRDefault="00A05C8E">
            <w:pPr>
              <w:pStyle w:val="TableStyle2"/>
              <w:suppressAutoHyphens/>
            </w:pPr>
            <w:r>
              <w:rPr>
                <w:sz w:val="24"/>
                <w:szCs w:val="24"/>
              </w:rPr>
              <w:t>Accountability</w:t>
            </w:r>
          </w:p>
        </w:tc>
        <w:tc>
          <w:tcPr>
            <w:tcW w:w="161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924691" w:rsidRDefault="00A05C8E">
            <w:pPr>
              <w:pStyle w:val="TableStyle2"/>
              <w:suppressAutoHyphens/>
            </w:pPr>
            <w:r>
              <w:rPr>
                <w:sz w:val="24"/>
                <w:szCs w:val="24"/>
              </w:rPr>
              <w:t>Limited</w:t>
            </w:r>
          </w:p>
        </w:tc>
        <w:tc>
          <w:tcPr>
            <w:tcW w:w="1700"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924691" w:rsidRDefault="00A05C8E">
            <w:pPr>
              <w:pStyle w:val="TableStyle2"/>
              <w:suppressAutoHyphens/>
            </w:pPr>
            <w:r>
              <w:rPr>
                <w:sz w:val="24"/>
                <w:szCs w:val="24"/>
              </w:rPr>
              <w:t>Clearly defined</w:t>
            </w:r>
          </w:p>
        </w:tc>
      </w:tr>
      <w:tr w:rsidR="00924691">
        <w:trPr>
          <w:trHeight w:val="597"/>
        </w:trPr>
        <w:tc>
          <w:tcPr>
            <w:tcW w:w="167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924691" w:rsidRDefault="00A05C8E">
            <w:pPr>
              <w:pStyle w:val="TableStyle2"/>
              <w:suppressAutoHyphens/>
            </w:pPr>
            <w:r>
              <w:rPr>
                <w:sz w:val="24"/>
                <w:szCs w:val="24"/>
              </w:rPr>
              <w:t>Consumer safety</w:t>
            </w:r>
          </w:p>
        </w:tc>
        <w:tc>
          <w:tcPr>
            <w:tcW w:w="161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924691" w:rsidRDefault="00A05C8E">
            <w:pPr>
              <w:pStyle w:val="TableStyle2"/>
              <w:suppressAutoHyphens/>
            </w:pPr>
            <w:r>
              <w:rPr>
                <w:sz w:val="24"/>
                <w:szCs w:val="24"/>
              </w:rPr>
              <w:t>Weak</w:t>
            </w:r>
          </w:p>
        </w:tc>
        <w:tc>
          <w:tcPr>
            <w:tcW w:w="1700"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924691" w:rsidRDefault="00A05C8E">
            <w:pPr>
              <w:pStyle w:val="TableStyle2"/>
              <w:suppressAutoHyphens/>
            </w:pPr>
            <w:r>
              <w:rPr>
                <w:sz w:val="24"/>
                <w:szCs w:val="24"/>
              </w:rPr>
              <w:t>Improved</w:t>
            </w:r>
          </w:p>
        </w:tc>
      </w:tr>
    </w:tbl>
    <w:p w:rsidR="00924691" w:rsidRDefault="00924691">
      <w:pPr>
        <w:pStyle w:val="Default"/>
        <w:suppressAutoHyphens/>
        <w:spacing w:before="0" w:line="240" w:lineRule="auto"/>
        <w:rPr>
          <w:color w:val="808080"/>
          <w:sz w:val="24"/>
          <w:szCs w:val="24"/>
        </w:rPr>
      </w:pPr>
    </w:p>
    <w:p w:rsidR="00924691" w:rsidRDefault="00924691">
      <w:pPr>
        <w:pStyle w:val="Default"/>
        <w:suppressAutoHyphens/>
        <w:spacing w:before="0" w:line="240" w:lineRule="auto"/>
        <w:rPr>
          <w:color w:val="808080"/>
          <w:sz w:val="24"/>
          <w:szCs w:val="24"/>
        </w:rPr>
      </w:pPr>
    </w:p>
    <w:p w:rsidR="00924691" w:rsidRDefault="00A05C8E">
      <w:pPr>
        <w:pStyle w:val="Default"/>
        <w:suppressAutoHyphens/>
        <w:spacing w:before="0" w:after="280" w:line="240" w:lineRule="auto"/>
        <w:rPr>
          <w:b/>
          <w:bCs/>
          <w:sz w:val="28"/>
          <w:szCs w:val="28"/>
        </w:rPr>
      </w:pPr>
      <w:r>
        <w:rPr>
          <w:b/>
          <w:bCs/>
          <w:sz w:val="28"/>
          <w:szCs w:val="28"/>
        </w:rPr>
        <w:t>Table 3: Key Challenges in Consumer Protection</w:t>
      </w:r>
    </w:p>
    <w:tbl>
      <w:tblPr>
        <w:tblW w:w="489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93"/>
        <w:gridCol w:w="2805"/>
      </w:tblGrid>
      <w:tr w:rsidR="00924691">
        <w:trPr>
          <w:trHeight w:val="380"/>
        </w:trPr>
        <w:tc>
          <w:tcPr>
            <w:tcW w:w="209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924691" w:rsidRDefault="00A05C8E">
            <w:pPr>
              <w:pStyle w:val="TableStyle2"/>
              <w:suppressAutoHyphens/>
              <w:jc w:val="center"/>
            </w:pPr>
            <w:r>
              <w:rPr>
                <w:b/>
                <w:bCs/>
                <w:sz w:val="24"/>
                <w:szCs w:val="24"/>
              </w:rPr>
              <w:t>Challenge</w:t>
            </w:r>
          </w:p>
        </w:tc>
        <w:tc>
          <w:tcPr>
            <w:tcW w:w="280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924691" w:rsidRDefault="00A05C8E">
            <w:pPr>
              <w:pStyle w:val="TableStyle2"/>
              <w:suppressAutoHyphens/>
              <w:jc w:val="center"/>
            </w:pPr>
            <w:r>
              <w:rPr>
                <w:b/>
                <w:bCs/>
                <w:sz w:val="24"/>
                <w:szCs w:val="24"/>
              </w:rPr>
              <w:t>Nature</w:t>
            </w:r>
          </w:p>
        </w:tc>
      </w:tr>
      <w:tr w:rsidR="00924691">
        <w:trPr>
          <w:trHeight w:val="597"/>
        </w:trPr>
        <w:tc>
          <w:tcPr>
            <w:tcW w:w="2093"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924691" w:rsidRDefault="00A05C8E">
            <w:pPr>
              <w:pStyle w:val="TableStyle2"/>
              <w:suppressAutoHyphens/>
            </w:pPr>
            <w:r>
              <w:rPr>
                <w:sz w:val="24"/>
                <w:szCs w:val="24"/>
              </w:rPr>
              <w:t>Enforcement</w:t>
            </w:r>
          </w:p>
        </w:tc>
        <w:tc>
          <w:tcPr>
            <w:tcW w:w="280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924691" w:rsidRDefault="00A05C8E">
            <w:pPr>
              <w:pStyle w:val="TableStyle2"/>
              <w:suppressAutoHyphens/>
            </w:pPr>
            <w:r>
              <w:rPr>
                <w:sz w:val="24"/>
                <w:szCs w:val="24"/>
              </w:rPr>
              <w:t>Limited monitoring capacity</w:t>
            </w:r>
          </w:p>
        </w:tc>
      </w:tr>
      <w:tr w:rsidR="00924691">
        <w:trPr>
          <w:trHeight w:val="597"/>
        </w:trPr>
        <w:tc>
          <w:tcPr>
            <w:tcW w:w="209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924691" w:rsidRDefault="00A05C8E">
            <w:pPr>
              <w:pStyle w:val="TableStyle2"/>
              <w:suppressAutoHyphens/>
            </w:pPr>
            <w:r>
              <w:rPr>
                <w:sz w:val="24"/>
                <w:szCs w:val="24"/>
              </w:rPr>
              <w:t>Consumer awareness</w:t>
            </w:r>
          </w:p>
        </w:tc>
        <w:tc>
          <w:tcPr>
            <w:tcW w:w="280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924691" w:rsidRDefault="00A05C8E">
            <w:pPr>
              <w:pStyle w:val="TableStyle2"/>
              <w:suppressAutoHyphens/>
            </w:pPr>
            <w:r>
              <w:rPr>
                <w:sz w:val="24"/>
                <w:szCs w:val="24"/>
              </w:rPr>
              <w:t>Low financial literacy</w:t>
            </w:r>
          </w:p>
        </w:tc>
      </w:tr>
      <w:tr w:rsidR="00924691">
        <w:trPr>
          <w:trHeight w:val="380"/>
        </w:trPr>
        <w:tc>
          <w:tcPr>
            <w:tcW w:w="2093"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924691" w:rsidRDefault="00A05C8E">
            <w:pPr>
              <w:pStyle w:val="TableStyle2"/>
              <w:suppressAutoHyphens/>
            </w:pPr>
            <w:r>
              <w:rPr>
                <w:sz w:val="24"/>
                <w:szCs w:val="24"/>
              </w:rPr>
              <w:t>Jurisdictional gaps</w:t>
            </w:r>
          </w:p>
        </w:tc>
        <w:tc>
          <w:tcPr>
            <w:tcW w:w="280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924691" w:rsidRDefault="00A05C8E">
            <w:pPr>
              <w:pStyle w:val="TableStyle2"/>
              <w:suppressAutoHyphens/>
            </w:pPr>
            <w:r>
              <w:rPr>
                <w:sz w:val="24"/>
                <w:szCs w:val="24"/>
              </w:rPr>
              <w:t>Cross-border apps</w:t>
            </w:r>
          </w:p>
        </w:tc>
      </w:tr>
      <w:tr w:rsidR="00924691">
        <w:trPr>
          <w:trHeight w:val="380"/>
        </w:trPr>
        <w:tc>
          <w:tcPr>
            <w:tcW w:w="209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924691" w:rsidRDefault="00A05C8E">
            <w:pPr>
              <w:pStyle w:val="TableStyle2"/>
              <w:suppressAutoHyphens/>
            </w:pPr>
            <w:r>
              <w:rPr>
                <w:sz w:val="24"/>
                <w:szCs w:val="24"/>
              </w:rPr>
              <w:t>Compliance cost</w:t>
            </w:r>
          </w:p>
        </w:tc>
        <w:tc>
          <w:tcPr>
            <w:tcW w:w="280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924691" w:rsidRDefault="00A05C8E">
            <w:pPr>
              <w:pStyle w:val="TableStyle2"/>
              <w:suppressAutoHyphens/>
            </w:pPr>
            <w:r>
              <w:rPr>
                <w:sz w:val="24"/>
                <w:szCs w:val="24"/>
              </w:rPr>
              <w:t>Higher for small fintechs</w:t>
            </w:r>
          </w:p>
        </w:tc>
      </w:tr>
    </w:tbl>
    <w:p w:rsidR="00924691" w:rsidRDefault="00924691">
      <w:pPr>
        <w:pStyle w:val="Default"/>
        <w:suppressAutoHyphens/>
        <w:spacing w:before="0" w:after="240" w:line="240" w:lineRule="auto"/>
        <w:rPr>
          <w:sz w:val="24"/>
          <w:szCs w:val="24"/>
        </w:rPr>
      </w:pPr>
    </w:p>
    <w:p w:rsidR="00924691" w:rsidRDefault="00A05C8E">
      <w:pPr>
        <w:pStyle w:val="Default"/>
        <w:suppressAutoHyphens/>
        <w:spacing w:before="0" w:after="240" w:line="240" w:lineRule="auto"/>
        <w:rPr>
          <w:sz w:val="24"/>
          <w:szCs w:val="24"/>
        </w:rPr>
      </w:pPr>
      <w:r>
        <w:rPr>
          <w:b/>
          <w:bCs/>
          <w:sz w:val="24"/>
          <w:szCs w:val="24"/>
        </w:rPr>
        <w:t>Discussion:</w:t>
      </w:r>
      <w:r>
        <w:rPr>
          <w:sz w:val="24"/>
          <w:szCs w:val="24"/>
        </w:rPr>
        <w:br/>
      </w:r>
      <w:r>
        <w:rPr>
          <w:sz w:val="24"/>
          <w:szCs w:val="24"/>
        </w:rPr>
        <w:t>While regulatory clarity has improved, enforcement and consumer awareness remain critical</w:t>
      </w:r>
      <w:r>
        <w:rPr>
          <w:sz w:val="24"/>
          <w:szCs w:val="24"/>
        </w:rPr>
        <w:t xml:space="preserve"> challenges. Many borrowers remain unaware of their rights, limiting the effectiveness of regulations.</w:t>
      </w:r>
    </w:p>
    <w:p w:rsidR="00924691" w:rsidRDefault="00A05C8E">
      <w:pPr>
        <w:pStyle w:val="Default"/>
        <w:suppressAutoHyphens/>
        <w:spacing w:before="0" w:line="240" w:lineRule="auto"/>
        <w:rPr>
          <w:b/>
          <w:bCs/>
          <w:sz w:val="24"/>
          <w:szCs w:val="24"/>
        </w:rPr>
      </w:pPr>
      <w:r>
        <w:rPr>
          <w:b/>
          <w:bCs/>
          <w:sz w:val="24"/>
          <w:szCs w:val="24"/>
        </w:rPr>
        <w:t>Figure 1: Awareness Level about Digital Lending among Consumers</w:t>
      </w:r>
    </w:p>
    <w:p w:rsidR="00924691" w:rsidRDefault="00A05C8E">
      <w:pPr>
        <w:pStyle w:val="Default"/>
        <w:suppressAutoHyphens/>
        <w:spacing w:before="0" w:line="240" w:lineRule="auto"/>
        <w:rPr>
          <w:b/>
          <w:bCs/>
          <w:sz w:val="24"/>
          <w:szCs w:val="24"/>
        </w:rPr>
      </w:pPr>
      <w:r>
        <w:rPr>
          <w:b/>
          <w:bCs/>
          <w:noProof/>
          <w:sz w:val="24"/>
          <w:szCs w:val="24"/>
          <w:lang w:val="en-IN"/>
        </w:rPr>
        <w:drawing>
          <wp:anchor distT="152400" distB="152400" distL="152400" distR="152400" simplePos="0" relativeHeight="251659264" behindDoc="0" locked="0" layoutInCell="1" allowOverlap="1">
            <wp:simplePos x="0" y="0"/>
            <wp:positionH relativeFrom="margin">
              <wp:posOffset>-6350</wp:posOffset>
            </wp:positionH>
            <wp:positionV relativeFrom="line">
              <wp:posOffset>152400</wp:posOffset>
            </wp:positionV>
            <wp:extent cx="6120057" cy="3442532"/>
            <wp:effectExtent l="0" t="0" r="0" b="0"/>
            <wp:wrapTopAndBottom distT="152400" distB="152400"/>
            <wp:docPr id="1073741825" name="officeArt object" descr="IMG_8682.png"/>
            <wp:cNvGraphicFramePr/>
            <a:graphic xmlns:a="http://schemas.openxmlformats.org/drawingml/2006/main">
              <a:graphicData uri="http://schemas.openxmlformats.org/drawingml/2006/picture">
                <pic:pic xmlns:pic="http://schemas.openxmlformats.org/drawingml/2006/picture">
                  <pic:nvPicPr>
                    <pic:cNvPr id="1073741825" name="IMG_8682.png" descr="IMG_8682.png"/>
                    <pic:cNvPicPr>
                      <a:picLocks noChangeAspect="1"/>
                    </pic:cNvPicPr>
                  </pic:nvPicPr>
                  <pic:blipFill>
                    <a:blip r:embed="rId8">
                      <a:extLst/>
                    </a:blip>
                    <a:stretch>
                      <a:fillRect/>
                    </a:stretch>
                  </pic:blipFill>
                  <pic:spPr>
                    <a:xfrm>
                      <a:off x="0" y="0"/>
                      <a:ext cx="6120057" cy="3442532"/>
                    </a:xfrm>
                    <a:prstGeom prst="rect">
                      <a:avLst/>
                    </a:prstGeom>
                    <a:ln w="12700" cap="flat">
                      <a:noFill/>
                      <a:miter lim="400000"/>
                    </a:ln>
                    <a:effectLst/>
                  </pic:spPr>
                </pic:pic>
              </a:graphicData>
            </a:graphic>
          </wp:anchor>
        </w:drawing>
      </w:r>
      <w:r>
        <w:rPr>
          <w:b/>
          <w:bCs/>
          <w:noProof/>
          <w:sz w:val="24"/>
          <w:szCs w:val="24"/>
          <w:lang w:val="en-IN"/>
        </w:rPr>
        <w:drawing>
          <wp:anchor distT="152400" distB="152400" distL="152400" distR="152400" simplePos="0" relativeHeight="251660288" behindDoc="0" locked="0" layoutInCell="1" allowOverlap="1">
            <wp:simplePos x="0" y="0"/>
            <wp:positionH relativeFrom="margin">
              <wp:posOffset>-6350</wp:posOffset>
            </wp:positionH>
            <wp:positionV relativeFrom="line">
              <wp:posOffset>152400</wp:posOffset>
            </wp:positionV>
            <wp:extent cx="6120057" cy="3974437"/>
            <wp:effectExtent l="0" t="0" r="0" b="0"/>
            <wp:wrapTopAndBottom distT="152400" distB="152400"/>
            <wp:docPr id="1073741826" name="officeArt object" descr="IMG_8683.png"/>
            <wp:cNvGraphicFramePr/>
            <a:graphic xmlns:a="http://schemas.openxmlformats.org/drawingml/2006/main">
              <a:graphicData uri="http://schemas.openxmlformats.org/drawingml/2006/picture">
                <pic:pic xmlns:pic="http://schemas.openxmlformats.org/drawingml/2006/picture">
                  <pic:nvPicPr>
                    <pic:cNvPr id="1073741826" name="IMG_8683.png" descr="IMG_8683.png"/>
                    <pic:cNvPicPr>
                      <a:picLocks noChangeAspect="1"/>
                    </pic:cNvPicPr>
                  </pic:nvPicPr>
                  <pic:blipFill>
                    <a:blip r:embed="rId9">
                      <a:extLst/>
                    </a:blip>
                    <a:stretch>
                      <a:fillRect/>
                    </a:stretch>
                  </pic:blipFill>
                  <pic:spPr>
                    <a:xfrm>
                      <a:off x="0" y="0"/>
                      <a:ext cx="6120057" cy="3974437"/>
                    </a:xfrm>
                    <a:prstGeom prst="rect">
                      <a:avLst/>
                    </a:prstGeom>
                    <a:ln w="12700" cap="flat">
                      <a:noFill/>
                      <a:miter lim="400000"/>
                    </a:ln>
                    <a:effectLst/>
                  </pic:spPr>
                </pic:pic>
              </a:graphicData>
            </a:graphic>
          </wp:anchor>
        </w:drawing>
      </w:r>
    </w:p>
    <w:p w:rsidR="00924691" w:rsidRDefault="00A05C8E">
      <w:pPr>
        <w:pStyle w:val="Default"/>
        <w:suppressAutoHyphens/>
        <w:spacing w:before="0" w:after="240" w:line="240" w:lineRule="auto"/>
        <w:rPr>
          <w:sz w:val="24"/>
          <w:szCs w:val="24"/>
        </w:rPr>
      </w:pPr>
      <w:r>
        <w:rPr>
          <w:b/>
          <w:bCs/>
          <w:sz w:val="24"/>
          <w:szCs w:val="24"/>
        </w:rPr>
        <w:t>Interpretation:</w:t>
      </w:r>
      <w:r>
        <w:rPr>
          <w:sz w:val="24"/>
          <w:szCs w:val="24"/>
        </w:rPr>
        <w:br/>
      </w:r>
      <w:r>
        <w:rPr>
          <w:sz w:val="24"/>
          <w:szCs w:val="24"/>
        </w:rPr>
        <w:t xml:space="preserve">Most respondents demonstrate moderate to high awareness of digital </w:t>
      </w:r>
      <w:r>
        <w:rPr>
          <w:sz w:val="24"/>
          <w:szCs w:val="24"/>
        </w:rPr>
        <w:t>lending platforms, indicating widespread adoption and exposure.</w:t>
      </w:r>
    </w:p>
    <w:p w:rsidR="00924691" w:rsidRDefault="00A05C8E">
      <w:pPr>
        <w:pStyle w:val="Default"/>
        <w:suppressAutoHyphens/>
        <w:spacing w:before="0" w:after="298" w:line="240" w:lineRule="auto"/>
        <w:rPr>
          <w:b/>
          <w:bCs/>
          <w:sz w:val="36"/>
          <w:szCs w:val="36"/>
        </w:rPr>
      </w:pPr>
      <w:r>
        <w:rPr>
          <w:b/>
          <w:bCs/>
          <w:sz w:val="36"/>
          <w:szCs w:val="36"/>
        </w:rPr>
        <w:t>Figure 2: Perceived Impact of RBI Regulations on Digital Lending Practices</w:t>
      </w:r>
      <w:r>
        <w:rPr>
          <w:b/>
          <w:bCs/>
          <w:noProof/>
          <w:sz w:val="36"/>
          <w:szCs w:val="36"/>
          <w:lang w:val="en-IN"/>
        </w:rPr>
        <w:drawing>
          <wp:anchor distT="152400" distB="152400" distL="152400" distR="152400" simplePos="0" relativeHeight="251661312" behindDoc="0" locked="0" layoutInCell="1" allowOverlap="1">
            <wp:simplePos x="0" y="0"/>
            <wp:positionH relativeFrom="margin">
              <wp:posOffset>-6350</wp:posOffset>
            </wp:positionH>
            <wp:positionV relativeFrom="line">
              <wp:posOffset>152400</wp:posOffset>
            </wp:positionV>
            <wp:extent cx="6120057" cy="3060794"/>
            <wp:effectExtent l="0" t="0" r="0" b="0"/>
            <wp:wrapTopAndBottom distT="152400" distB="152400"/>
            <wp:docPr id="1073741827" name="officeArt object" descr="IMG_8684.jpeg"/>
            <wp:cNvGraphicFramePr/>
            <a:graphic xmlns:a="http://schemas.openxmlformats.org/drawingml/2006/main">
              <a:graphicData uri="http://schemas.openxmlformats.org/drawingml/2006/picture">
                <pic:pic xmlns:pic="http://schemas.openxmlformats.org/drawingml/2006/picture">
                  <pic:nvPicPr>
                    <pic:cNvPr id="1073741827" name="IMG_8684.jpeg" descr="IMG_8684.jpeg"/>
                    <pic:cNvPicPr>
                      <a:picLocks noChangeAspect="1"/>
                    </pic:cNvPicPr>
                  </pic:nvPicPr>
                  <pic:blipFill>
                    <a:blip r:embed="rId10">
                      <a:extLst/>
                    </a:blip>
                    <a:stretch>
                      <a:fillRect/>
                    </a:stretch>
                  </pic:blipFill>
                  <pic:spPr>
                    <a:xfrm>
                      <a:off x="0" y="0"/>
                      <a:ext cx="6120057" cy="3060794"/>
                    </a:xfrm>
                    <a:prstGeom prst="rect">
                      <a:avLst/>
                    </a:prstGeom>
                    <a:ln w="12700" cap="flat">
                      <a:noFill/>
                      <a:miter lim="400000"/>
                    </a:ln>
                    <a:effectLst/>
                  </pic:spPr>
                </pic:pic>
              </a:graphicData>
            </a:graphic>
          </wp:anchor>
        </w:drawing>
      </w:r>
      <w:r>
        <w:rPr>
          <w:b/>
          <w:bCs/>
          <w:noProof/>
          <w:sz w:val="36"/>
          <w:szCs w:val="36"/>
          <w:lang w:val="en-IN"/>
        </w:rPr>
        <w:drawing>
          <wp:anchor distT="152400" distB="152400" distL="152400" distR="152400" simplePos="0" relativeHeight="251662336" behindDoc="0" locked="0" layoutInCell="1" allowOverlap="1">
            <wp:simplePos x="0" y="0"/>
            <wp:positionH relativeFrom="margin">
              <wp:posOffset>-6350</wp:posOffset>
            </wp:positionH>
            <wp:positionV relativeFrom="line">
              <wp:posOffset>152400</wp:posOffset>
            </wp:positionV>
            <wp:extent cx="6120057" cy="3444494"/>
            <wp:effectExtent l="0" t="0" r="0" b="0"/>
            <wp:wrapTopAndBottom distT="152400" distB="152400"/>
            <wp:docPr id="1073741828" name="officeArt object" descr="IMG_8685.png"/>
            <wp:cNvGraphicFramePr/>
            <a:graphic xmlns:a="http://schemas.openxmlformats.org/drawingml/2006/main">
              <a:graphicData uri="http://schemas.openxmlformats.org/drawingml/2006/picture">
                <pic:pic xmlns:pic="http://schemas.openxmlformats.org/drawingml/2006/picture">
                  <pic:nvPicPr>
                    <pic:cNvPr id="1073741828" name="IMG_8685.png" descr="IMG_8685.png"/>
                    <pic:cNvPicPr>
                      <a:picLocks noChangeAspect="1"/>
                    </pic:cNvPicPr>
                  </pic:nvPicPr>
                  <pic:blipFill>
                    <a:blip r:embed="rId11">
                      <a:extLst/>
                    </a:blip>
                    <a:stretch>
                      <a:fillRect/>
                    </a:stretch>
                  </pic:blipFill>
                  <pic:spPr>
                    <a:xfrm>
                      <a:off x="0" y="0"/>
                      <a:ext cx="6120057" cy="3444494"/>
                    </a:xfrm>
                    <a:prstGeom prst="rect">
                      <a:avLst/>
                    </a:prstGeom>
                    <a:ln w="12700" cap="flat">
                      <a:noFill/>
                      <a:miter lim="400000"/>
                    </a:ln>
                    <a:effectLst/>
                  </pic:spPr>
                </pic:pic>
              </a:graphicData>
            </a:graphic>
          </wp:anchor>
        </w:drawing>
      </w:r>
    </w:p>
    <w:p w:rsidR="00924691" w:rsidRDefault="00A05C8E">
      <w:pPr>
        <w:pStyle w:val="Default"/>
        <w:suppressAutoHyphens/>
        <w:spacing w:before="0" w:after="240" w:line="240" w:lineRule="auto"/>
        <w:rPr>
          <w:sz w:val="24"/>
          <w:szCs w:val="24"/>
        </w:rPr>
      </w:pPr>
      <w:r>
        <w:rPr>
          <w:b/>
          <w:bCs/>
          <w:sz w:val="24"/>
          <w:szCs w:val="24"/>
        </w:rPr>
        <w:t>Interpretation:</w:t>
      </w:r>
      <w:r>
        <w:rPr>
          <w:sz w:val="24"/>
          <w:szCs w:val="24"/>
        </w:rPr>
        <w:br/>
      </w:r>
      <w:r>
        <w:rPr>
          <w:sz w:val="24"/>
          <w:szCs w:val="24"/>
        </w:rPr>
        <w:t xml:space="preserve">A majority of respondents perceive RBI regulations as having a moderate to high positive impact on </w:t>
      </w:r>
      <w:r>
        <w:rPr>
          <w:sz w:val="24"/>
          <w:szCs w:val="24"/>
        </w:rPr>
        <w:t>lending practices and borrower safety.</w:t>
      </w:r>
    </w:p>
    <w:p w:rsidR="00924691" w:rsidRDefault="00A05C8E">
      <w:pPr>
        <w:pStyle w:val="Default"/>
        <w:suppressAutoHyphens/>
        <w:spacing w:before="0" w:after="298" w:line="240" w:lineRule="auto"/>
        <w:rPr>
          <w:b/>
          <w:bCs/>
          <w:sz w:val="36"/>
          <w:szCs w:val="36"/>
        </w:rPr>
      </w:pPr>
      <w:r>
        <w:rPr>
          <w:b/>
          <w:bCs/>
          <w:sz w:val="36"/>
          <w:szCs w:val="36"/>
        </w:rPr>
        <w:t>Figure 3: Frequency of Consumer Engagement with Digital Lending Platforms</w:t>
      </w:r>
      <w:r>
        <w:rPr>
          <w:b/>
          <w:bCs/>
          <w:noProof/>
          <w:sz w:val="36"/>
          <w:szCs w:val="36"/>
          <w:lang w:val="en-IN"/>
        </w:rPr>
        <w:drawing>
          <wp:anchor distT="152400" distB="152400" distL="152400" distR="152400" simplePos="0" relativeHeight="251663360" behindDoc="0" locked="0" layoutInCell="1" allowOverlap="1">
            <wp:simplePos x="0" y="0"/>
            <wp:positionH relativeFrom="margin">
              <wp:posOffset>-6350</wp:posOffset>
            </wp:positionH>
            <wp:positionV relativeFrom="line">
              <wp:posOffset>152400</wp:posOffset>
            </wp:positionV>
            <wp:extent cx="6120057" cy="3442532"/>
            <wp:effectExtent l="0" t="0" r="0" b="0"/>
            <wp:wrapTopAndBottom distT="152400" distB="152400"/>
            <wp:docPr id="1073741829" name="officeArt object" descr="IMG_8686.png"/>
            <wp:cNvGraphicFramePr/>
            <a:graphic xmlns:a="http://schemas.openxmlformats.org/drawingml/2006/main">
              <a:graphicData uri="http://schemas.openxmlformats.org/drawingml/2006/picture">
                <pic:pic xmlns:pic="http://schemas.openxmlformats.org/drawingml/2006/picture">
                  <pic:nvPicPr>
                    <pic:cNvPr id="1073741829" name="IMG_8686.png" descr="IMG_8686.png"/>
                    <pic:cNvPicPr>
                      <a:picLocks noChangeAspect="1"/>
                    </pic:cNvPicPr>
                  </pic:nvPicPr>
                  <pic:blipFill>
                    <a:blip r:embed="rId12">
                      <a:extLst/>
                    </a:blip>
                    <a:stretch>
                      <a:fillRect/>
                    </a:stretch>
                  </pic:blipFill>
                  <pic:spPr>
                    <a:xfrm>
                      <a:off x="0" y="0"/>
                      <a:ext cx="6120057" cy="3442532"/>
                    </a:xfrm>
                    <a:prstGeom prst="rect">
                      <a:avLst/>
                    </a:prstGeom>
                    <a:ln w="12700" cap="flat">
                      <a:noFill/>
                      <a:miter lim="400000"/>
                    </a:ln>
                    <a:effectLst/>
                  </pic:spPr>
                </pic:pic>
              </a:graphicData>
            </a:graphic>
          </wp:anchor>
        </w:drawing>
      </w:r>
      <w:r>
        <w:rPr>
          <w:b/>
          <w:bCs/>
          <w:noProof/>
          <w:sz w:val="36"/>
          <w:szCs w:val="36"/>
          <w:lang w:val="en-IN"/>
        </w:rPr>
        <w:drawing>
          <wp:anchor distT="152400" distB="152400" distL="152400" distR="152400" simplePos="0" relativeHeight="251664384" behindDoc="0" locked="0" layoutInCell="1" allowOverlap="1">
            <wp:simplePos x="0" y="0"/>
            <wp:positionH relativeFrom="margin">
              <wp:posOffset>-6350</wp:posOffset>
            </wp:positionH>
            <wp:positionV relativeFrom="line">
              <wp:posOffset>152400</wp:posOffset>
            </wp:positionV>
            <wp:extent cx="6120057" cy="4590043"/>
            <wp:effectExtent l="0" t="0" r="0" b="0"/>
            <wp:wrapTopAndBottom distT="152400" distB="152400"/>
            <wp:docPr id="1073741830" name="officeArt object" descr="IMG_8687.png"/>
            <wp:cNvGraphicFramePr/>
            <a:graphic xmlns:a="http://schemas.openxmlformats.org/drawingml/2006/main">
              <a:graphicData uri="http://schemas.openxmlformats.org/drawingml/2006/picture">
                <pic:pic xmlns:pic="http://schemas.openxmlformats.org/drawingml/2006/picture">
                  <pic:nvPicPr>
                    <pic:cNvPr id="1073741830" name="IMG_8687.png" descr="IMG_8687.png"/>
                    <pic:cNvPicPr>
                      <a:picLocks noChangeAspect="1"/>
                    </pic:cNvPicPr>
                  </pic:nvPicPr>
                  <pic:blipFill>
                    <a:blip r:embed="rId13">
                      <a:extLst/>
                    </a:blip>
                    <a:stretch>
                      <a:fillRect/>
                    </a:stretch>
                  </pic:blipFill>
                  <pic:spPr>
                    <a:xfrm>
                      <a:off x="0" y="0"/>
                      <a:ext cx="6120057" cy="4590043"/>
                    </a:xfrm>
                    <a:prstGeom prst="rect">
                      <a:avLst/>
                    </a:prstGeom>
                    <a:ln w="12700" cap="flat">
                      <a:noFill/>
                      <a:miter lim="400000"/>
                    </a:ln>
                    <a:effectLst/>
                  </pic:spPr>
                </pic:pic>
              </a:graphicData>
            </a:graphic>
          </wp:anchor>
        </w:drawing>
      </w:r>
    </w:p>
    <w:p w:rsidR="00924691" w:rsidRDefault="00A05C8E">
      <w:pPr>
        <w:pStyle w:val="Default"/>
        <w:suppressAutoHyphens/>
        <w:spacing w:before="0" w:after="240" w:line="240" w:lineRule="auto"/>
        <w:rPr>
          <w:sz w:val="24"/>
          <w:szCs w:val="24"/>
        </w:rPr>
      </w:pPr>
      <w:r>
        <w:rPr>
          <w:b/>
          <w:bCs/>
          <w:sz w:val="24"/>
          <w:szCs w:val="24"/>
        </w:rPr>
        <w:t>Interpretation:</w:t>
      </w:r>
      <w:r>
        <w:rPr>
          <w:sz w:val="24"/>
          <w:szCs w:val="24"/>
        </w:rPr>
        <w:br/>
      </w:r>
      <w:r>
        <w:rPr>
          <w:sz w:val="24"/>
          <w:szCs w:val="24"/>
        </w:rPr>
        <w:t>Frequent and occasional use dominates, indicating that digital lending is no longer a niche service but a mainstream credit c</w:t>
      </w:r>
      <w:r>
        <w:rPr>
          <w:sz w:val="24"/>
          <w:szCs w:val="24"/>
        </w:rPr>
        <w:t>hannel.</w:t>
      </w:r>
    </w:p>
    <w:p w:rsidR="00924691" w:rsidRDefault="00A05C8E">
      <w:pPr>
        <w:pStyle w:val="Default"/>
        <w:suppressAutoHyphens/>
        <w:spacing w:before="0" w:after="298" w:line="240" w:lineRule="auto"/>
        <w:rPr>
          <w:b/>
          <w:bCs/>
          <w:sz w:val="36"/>
          <w:szCs w:val="36"/>
        </w:rPr>
      </w:pPr>
      <w:r>
        <w:rPr>
          <w:b/>
          <w:bCs/>
          <w:sz w:val="36"/>
          <w:szCs w:val="36"/>
        </w:rPr>
        <w:t>Figure 4: Platform-wise Influence of Digital Lending Applications</w:t>
      </w:r>
      <w:r>
        <w:rPr>
          <w:b/>
          <w:bCs/>
          <w:noProof/>
          <w:sz w:val="36"/>
          <w:szCs w:val="36"/>
          <w:lang w:val="en-IN"/>
        </w:rPr>
        <w:drawing>
          <wp:anchor distT="152400" distB="152400" distL="152400" distR="152400" simplePos="0" relativeHeight="251665408" behindDoc="0" locked="0" layoutInCell="1" allowOverlap="1">
            <wp:simplePos x="0" y="0"/>
            <wp:positionH relativeFrom="margin">
              <wp:posOffset>1409028</wp:posOffset>
            </wp:positionH>
            <wp:positionV relativeFrom="line">
              <wp:posOffset>152400</wp:posOffset>
            </wp:positionV>
            <wp:extent cx="3289300" cy="2463800"/>
            <wp:effectExtent l="0" t="0" r="0" b="0"/>
            <wp:wrapTopAndBottom distT="152400" distB="152400"/>
            <wp:docPr id="1073741831" name="officeArt object" descr="IMG_8688.jpeg"/>
            <wp:cNvGraphicFramePr/>
            <a:graphic xmlns:a="http://schemas.openxmlformats.org/drawingml/2006/main">
              <a:graphicData uri="http://schemas.openxmlformats.org/drawingml/2006/picture">
                <pic:pic xmlns:pic="http://schemas.openxmlformats.org/drawingml/2006/picture">
                  <pic:nvPicPr>
                    <pic:cNvPr id="1073741831" name="IMG_8688.jpeg" descr="IMG_8688.jpeg"/>
                    <pic:cNvPicPr>
                      <a:picLocks noChangeAspect="1"/>
                    </pic:cNvPicPr>
                  </pic:nvPicPr>
                  <pic:blipFill>
                    <a:blip r:embed="rId14">
                      <a:extLst/>
                    </a:blip>
                    <a:stretch>
                      <a:fillRect/>
                    </a:stretch>
                  </pic:blipFill>
                  <pic:spPr>
                    <a:xfrm>
                      <a:off x="0" y="0"/>
                      <a:ext cx="3289300" cy="2463800"/>
                    </a:xfrm>
                    <a:prstGeom prst="rect">
                      <a:avLst/>
                    </a:prstGeom>
                    <a:ln w="12700" cap="flat">
                      <a:noFill/>
                      <a:miter lim="400000"/>
                    </a:ln>
                    <a:effectLst/>
                  </pic:spPr>
                </pic:pic>
              </a:graphicData>
            </a:graphic>
          </wp:anchor>
        </w:drawing>
      </w:r>
      <w:r>
        <w:rPr>
          <w:b/>
          <w:bCs/>
          <w:noProof/>
          <w:sz w:val="36"/>
          <w:szCs w:val="36"/>
          <w:lang w:val="en-IN"/>
        </w:rPr>
        <w:drawing>
          <wp:anchor distT="152400" distB="152400" distL="152400" distR="152400" simplePos="0" relativeHeight="251666432" behindDoc="0" locked="0" layoutInCell="1" allowOverlap="1">
            <wp:simplePos x="0" y="0"/>
            <wp:positionH relativeFrom="margin">
              <wp:posOffset>-6350</wp:posOffset>
            </wp:positionH>
            <wp:positionV relativeFrom="line">
              <wp:posOffset>152400</wp:posOffset>
            </wp:positionV>
            <wp:extent cx="6120057" cy="3439174"/>
            <wp:effectExtent l="0" t="0" r="0" b="0"/>
            <wp:wrapTopAndBottom distT="152400" distB="152400"/>
            <wp:docPr id="1073741832" name="officeArt object" descr="IMG_8689.png"/>
            <wp:cNvGraphicFramePr/>
            <a:graphic xmlns:a="http://schemas.openxmlformats.org/drawingml/2006/main">
              <a:graphicData uri="http://schemas.openxmlformats.org/drawingml/2006/picture">
                <pic:pic xmlns:pic="http://schemas.openxmlformats.org/drawingml/2006/picture">
                  <pic:nvPicPr>
                    <pic:cNvPr id="1073741832" name="IMG_8689.png" descr="IMG_8689.png"/>
                    <pic:cNvPicPr>
                      <a:picLocks noChangeAspect="1"/>
                    </pic:cNvPicPr>
                  </pic:nvPicPr>
                  <pic:blipFill>
                    <a:blip r:embed="rId15">
                      <a:extLst/>
                    </a:blip>
                    <a:stretch>
                      <a:fillRect/>
                    </a:stretch>
                  </pic:blipFill>
                  <pic:spPr>
                    <a:xfrm>
                      <a:off x="0" y="0"/>
                      <a:ext cx="6120057" cy="3439174"/>
                    </a:xfrm>
                    <a:prstGeom prst="rect">
                      <a:avLst/>
                    </a:prstGeom>
                    <a:ln w="12700" cap="flat">
                      <a:noFill/>
                      <a:miter lim="400000"/>
                    </a:ln>
                    <a:effectLst/>
                  </pic:spPr>
                </pic:pic>
              </a:graphicData>
            </a:graphic>
          </wp:anchor>
        </w:drawing>
      </w:r>
    </w:p>
    <w:p w:rsidR="00924691" w:rsidRDefault="00A05C8E">
      <w:pPr>
        <w:pStyle w:val="Default"/>
        <w:suppressAutoHyphens/>
        <w:spacing w:before="0" w:line="240" w:lineRule="auto"/>
        <w:rPr>
          <w:sz w:val="24"/>
          <w:szCs w:val="24"/>
        </w:rPr>
      </w:pPr>
      <w:r>
        <w:rPr>
          <w:b/>
          <w:bCs/>
          <w:sz w:val="24"/>
          <w:szCs w:val="24"/>
        </w:rPr>
        <w:t>Interpretation:</w:t>
      </w:r>
    </w:p>
    <w:p w:rsidR="00924691" w:rsidRDefault="00A05C8E">
      <w:pPr>
        <w:pStyle w:val="Default"/>
        <w:suppressAutoHyphens/>
        <w:spacing w:before="0" w:line="240" w:lineRule="auto"/>
        <w:rPr>
          <w:sz w:val="24"/>
          <w:szCs w:val="24"/>
        </w:rPr>
      </w:pPr>
      <w:r>
        <w:rPr>
          <w:sz w:val="24"/>
          <w:szCs w:val="24"/>
          <w:lang w:val="it-IT"/>
        </w:rPr>
        <w:t>Mobile app</w:t>
      </w:r>
      <w:r>
        <w:rPr>
          <w:sz w:val="24"/>
          <w:szCs w:val="24"/>
        </w:rPr>
        <w:t>–</w:t>
      </w:r>
      <w:r>
        <w:rPr>
          <w:sz w:val="24"/>
          <w:szCs w:val="24"/>
        </w:rPr>
        <w:t>based platforms account for the largest share of digital lending engagement, reinforcing the need for strict app-level regulation.</w:t>
      </w:r>
    </w:p>
    <w:p w:rsidR="00924691" w:rsidRDefault="00924691">
      <w:pPr>
        <w:pStyle w:val="Default"/>
        <w:suppressAutoHyphens/>
        <w:spacing w:before="0" w:line="240" w:lineRule="auto"/>
        <w:rPr>
          <w:sz w:val="24"/>
          <w:szCs w:val="24"/>
        </w:rPr>
      </w:pPr>
    </w:p>
    <w:p w:rsidR="00924691" w:rsidRDefault="00A05C8E">
      <w:pPr>
        <w:pStyle w:val="Default"/>
        <w:suppressAutoHyphens/>
        <w:spacing w:before="0" w:line="240" w:lineRule="auto"/>
        <w:rPr>
          <w:sz w:val="24"/>
          <w:szCs w:val="24"/>
        </w:rPr>
      </w:pPr>
      <w:r>
        <w:rPr>
          <w:sz w:val="24"/>
          <w:szCs w:val="24"/>
        </w:rPr>
        <w:t>The analysis demonstr</w:t>
      </w:r>
      <w:r>
        <w:rPr>
          <w:sz w:val="24"/>
          <w:szCs w:val="24"/>
        </w:rPr>
        <w:t>ates that while digital lending has enhanced credit accessibility and convenience, it has simultaneously exposed consumers to significant risks. RBI regulations have improved transparency, accountability, and borrower protection; however, enforcement limit</w:t>
      </w:r>
      <w:r>
        <w:rPr>
          <w:sz w:val="24"/>
          <w:szCs w:val="24"/>
        </w:rPr>
        <w:t>ations and low financial literacy remain key challenges. The findings support the need for continuous regulatory refinement and consumer education.</w:t>
      </w:r>
    </w:p>
    <w:p w:rsidR="00924691" w:rsidRDefault="00924691">
      <w:pPr>
        <w:pStyle w:val="Default"/>
        <w:suppressAutoHyphens/>
        <w:spacing w:before="0" w:line="240" w:lineRule="auto"/>
        <w:rPr>
          <w:color w:val="808080"/>
          <w:sz w:val="24"/>
          <w:szCs w:val="24"/>
        </w:rPr>
      </w:pPr>
    </w:p>
    <w:p w:rsidR="00924691" w:rsidRDefault="00A05C8E">
      <w:pPr>
        <w:pStyle w:val="Default"/>
        <w:suppressAutoHyphens/>
        <w:spacing w:before="0" w:after="298" w:line="240" w:lineRule="auto"/>
        <w:rPr>
          <w:b/>
          <w:bCs/>
          <w:sz w:val="36"/>
          <w:szCs w:val="36"/>
        </w:rPr>
      </w:pPr>
      <w:r>
        <w:rPr>
          <w:b/>
          <w:bCs/>
          <w:sz w:val="36"/>
          <w:szCs w:val="36"/>
        </w:rPr>
        <w:t>7. Findings</w:t>
      </w:r>
    </w:p>
    <w:p w:rsidR="00924691" w:rsidRDefault="00A05C8E">
      <w:pPr>
        <w:pStyle w:val="Default"/>
        <w:numPr>
          <w:ilvl w:val="0"/>
          <w:numId w:val="5"/>
        </w:numPr>
        <w:suppressAutoHyphens/>
        <w:spacing w:before="0" w:after="240" w:line="240" w:lineRule="auto"/>
        <w:rPr>
          <w:sz w:val="24"/>
          <w:szCs w:val="24"/>
        </w:rPr>
      </w:pPr>
      <w:r>
        <w:rPr>
          <w:sz w:val="24"/>
          <w:szCs w:val="24"/>
        </w:rPr>
        <w:t>Digital lending has expanded credit access but increased consumer risk</w:t>
      </w:r>
    </w:p>
    <w:p w:rsidR="00924691" w:rsidRDefault="00A05C8E">
      <w:pPr>
        <w:pStyle w:val="Default"/>
        <w:numPr>
          <w:ilvl w:val="0"/>
          <w:numId w:val="5"/>
        </w:numPr>
        <w:suppressAutoHyphens/>
        <w:spacing w:before="0" w:after="240" w:line="240" w:lineRule="auto"/>
        <w:rPr>
          <w:sz w:val="24"/>
          <w:szCs w:val="24"/>
        </w:rPr>
      </w:pPr>
      <w:r>
        <w:rPr>
          <w:sz w:val="24"/>
          <w:szCs w:val="24"/>
        </w:rPr>
        <w:t xml:space="preserve">RBI regulations have </w:t>
      </w:r>
      <w:r>
        <w:rPr>
          <w:sz w:val="24"/>
          <w:szCs w:val="24"/>
        </w:rPr>
        <w:t>improved transparency and accountability</w:t>
      </w:r>
    </w:p>
    <w:p w:rsidR="00924691" w:rsidRDefault="00A05C8E">
      <w:pPr>
        <w:pStyle w:val="Default"/>
        <w:numPr>
          <w:ilvl w:val="0"/>
          <w:numId w:val="5"/>
        </w:numPr>
        <w:suppressAutoHyphens/>
        <w:spacing w:before="0" w:after="240" w:line="240" w:lineRule="auto"/>
        <w:rPr>
          <w:sz w:val="24"/>
          <w:szCs w:val="24"/>
        </w:rPr>
      </w:pPr>
      <w:r>
        <w:rPr>
          <w:sz w:val="24"/>
          <w:szCs w:val="24"/>
        </w:rPr>
        <w:t>Consumer protection mechanisms remain unevenly enforced</w:t>
      </w:r>
    </w:p>
    <w:p w:rsidR="00924691" w:rsidRDefault="00A05C8E">
      <w:pPr>
        <w:pStyle w:val="Default"/>
        <w:numPr>
          <w:ilvl w:val="0"/>
          <w:numId w:val="5"/>
        </w:numPr>
        <w:suppressAutoHyphens/>
        <w:spacing w:before="0" w:after="240" w:line="240" w:lineRule="auto"/>
        <w:rPr>
          <w:sz w:val="24"/>
          <w:szCs w:val="24"/>
        </w:rPr>
      </w:pPr>
      <w:r>
        <w:rPr>
          <w:sz w:val="24"/>
          <w:szCs w:val="24"/>
        </w:rPr>
        <w:t>Financial literacy significantly affects borrower safety</w:t>
      </w:r>
    </w:p>
    <w:p w:rsidR="00924691" w:rsidRDefault="00924691">
      <w:pPr>
        <w:pStyle w:val="Default"/>
        <w:suppressAutoHyphens/>
        <w:spacing w:before="0" w:line="240" w:lineRule="auto"/>
        <w:rPr>
          <w:color w:val="808080"/>
          <w:sz w:val="24"/>
          <w:szCs w:val="24"/>
        </w:rPr>
      </w:pPr>
    </w:p>
    <w:p w:rsidR="00924691" w:rsidRDefault="00A05C8E">
      <w:pPr>
        <w:pStyle w:val="Default"/>
        <w:suppressAutoHyphens/>
        <w:spacing w:before="0" w:after="298" w:line="240" w:lineRule="auto"/>
        <w:rPr>
          <w:b/>
          <w:bCs/>
          <w:sz w:val="36"/>
          <w:szCs w:val="36"/>
        </w:rPr>
      </w:pPr>
      <w:r>
        <w:rPr>
          <w:b/>
          <w:bCs/>
          <w:sz w:val="36"/>
          <w:szCs w:val="36"/>
          <w:lang w:val="it-IT"/>
        </w:rPr>
        <w:t>8. Conclusion</w:t>
      </w:r>
    </w:p>
    <w:p w:rsidR="00924691" w:rsidRDefault="00A05C8E">
      <w:pPr>
        <w:pStyle w:val="Default"/>
        <w:suppressAutoHyphens/>
        <w:spacing w:before="0" w:after="240" w:line="240" w:lineRule="auto"/>
        <w:rPr>
          <w:sz w:val="24"/>
          <w:szCs w:val="24"/>
        </w:rPr>
      </w:pPr>
      <w:r>
        <w:rPr>
          <w:sz w:val="24"/>
          <w:szCs w:val="24"/>
        </w:rPr>
        <w:t>Digital lending has become an integral component of India</w:t>
      </w:r>
      <w:r>
        <w:rPr>
          <w:sz w:val="24"/>
          <w:szCs w:val="24"/>
          <w:rtl/>
        </w:rPr>
        <w:t>’</w:t>
      </w:r>
      <w:r>
        <w:rPr>
          <w:sz w:val="24"/>
          <w:szCs w:val="24"/>
        </w:rPr>
        <w:t xml:space="preserve">s financial ecosystem, </w:t>
      </w:r>
      <w:r>
        <w:rPr>
          <w:sz w:val="24"/>
          <w:szCs w:val="24"/>
        </w:rPr>
        <w:t>offering efficiency and inclusion benefits. However, without adequate safeguards, it exposes consumers to significant risks. The RBI</w:t>
      </w:r>
      <w:r>
        <w:rPr>
          <w:sz w:val="24"/>
          <w:szCs w:val="24"/>
          <w:rtl/>
        </w:rPr>
        <w:t>’</w:t>
      </w:r>
      <w:r>
        <w:rPr>
          <w:sz w:val="24"/>
          <w:szCs w:val="24"/>
        </w:rPr>
        <w:t>s regulatory interventions represent a decisive step toward establishing a safer and more transparent digital lending envir</w:t>
      </w:r>
      <w:r>
        <w:rPr>
          <w:sz w:val="24"/>
          <w:szCs w:val="24"/>
        </w:rPr>
        <w:t>onment. While these measures have strengthened consumer protection, their effectiveness depends on robust enforcement, inter-regulatory coordination, and improved financial literacy among borrowers.</w:t>
      </w:r>
    </w:p>
    <w:p w:rsidR="00924691" w:rsidRDefault="00A05C8E">
      <w:pPr>
        <w:pStyle w:val="Default"/>
        <w:suppressAutoHyphens/>
        <w:spacing w:before="0" w:after="240" w:line="240" w:lineRule="auto"/>
        <w:rPr>
          <w:sz w:val="24"/>
          <w:szCs w:val="24"/>
        </w:rPr>
      </w:pPr>
      <w:r>
        <w:rPr>
          <w:sz w:val="24"/>
          <w:szCs w:val="24"/>
        </w:rPr>
        <w:t>In conclusion, a balanced regulatory approach that promot</w:t>
      </w:r>
      <w:r>
        <w:rPr>
          <w:sz w:val="24"/>
          <w:szCs w:val="24"/>
        </w:rPr>
        <w:t>es innovation while prioritising consumer welfare is essential for the sustainable growth of digital lending in India.</w:t>
      </w:r>
    </w:p>
    <w:p w:rsidR="00924691" w:rsidRDefault="00A05C8E">
      <w:pPr>
        <w:pStyle w:val="Default"/>
        <w:suppressAutoHyphens/>
        <w:spacing w:before="0" w:after="298" w:line="240" w:lineRule="auto"/>
        <w:rPr>
          <w:b/>
          <w:bCs/>
          <w:sz w:val="36"/>
          <w:szCs w:val="36"/>
        </w:rPr>
      </w:pPr>
      <w:r>
        <w:rPr>
          <w:b/>
          <w:bCs/>
          <w:sz w:val="36"/>
          <w:szCs w:val="36"/>
          <w:lang w:val="fr-FR"/>
        </w:rPr>
        <w:t>References</w:t>
      </w:r>
    </w:p>
    <w:p w:rsidR="00924691" w:rsidRDefault="00A05C8E">
      <w:pPr>
        <w:pStyle w:val="Default"/>
        <w:suppressAutoHyphens/>
        <w:spacing w:before="0" w:after="240" w:line="240" w:lineRule="auto"/>
        <w:rPr>
          <w:sz w:val="24"/>
          <w:szCs w:val="24"/>
        </w:rPr>
      </w:pPr>
      <w:r>
        <w:rPr>
          <w:sz w:val="24"/>
          <w:szCs w:val="24"/>
        </w:rPr>
        <w:t>Agarwal, S., Chomsisengphet, S., Mahoney, N., &amp; Stroebel, J. (2018). Regulating consumer financial products: Evidence from cre</w:t>
      </w:r>
      <w:r>
        <w:rPr>
          <w:sz w:val="24"/>
          <w:szCs w:val="24"/>
        </w:rPr>
        <w:t xml:space="preserve">dit cards. </w:t>
      </w:r>
      <w:r>
        <w:rPr>
          <w:i/>
          <w:iCs/>
          <w:sz w:val="24"/>
          <w:szCs w:val="24"/>
        </w:rPr>
        <w:t>Quarterly Journal of Economics, 133</w:t>
      </w:r>
      <w:r>
        <w:rPr>
          <w:sz w:val="24"/>
          <w:szCs w:val="24"/>
        </w:rPr>
        <w:t>(1), 111–</w:t>
      </w:r>
      <w:r>
        <w:rPr>
          <w:sz w:val="24"/>
          <w:szCs w:val="24"/>
        </w:rPr>
        <w:t>164. https://doi.org/10.1093/qje/qjx025</w:t>
      </w:r>
    </w:p>
    <w:p w:rsidR="00924691" w:rsidRDefault="00A05C8E">
      <w:pPr>
        <w:pStyle w:val="Default"/>
        <w:suppressAutoHyphens/>
        <w:spacing w:before="0" w:after="240" w:line="240" w:lineRule="auto"/>
        <w:rPr>
          <w:sz w:val="24"/>
          <w:szCs w:val="24"/>
        </w:rPr>
      </w:pPr>
      <w:r>
        <w:rPr>
          <w:sz w:val="24"/>
          <w:szCs w:val="24"/>
          <w:lang w:val="de-DE"/>
        </w:rPr>
        <w:t>Allen, F., Demirg</w:t>
      </w:r>
      <w:r>
        <w:rPr>
          <w:sz w:val="24"/>
          <w:szCs w:val="24"/>
        </w:rPr>
        <w:t>üç-Kunt, A., Klapper, L., &amp; Martínez Perí</w:t>
      </w:r>
      <w:r>
        <w:rPr>
          <w:sz w:val="24"/>
          <w:szCs w:val="24"/>
        </w:rPr>
        <w:t>a, M. S. (2016). The foundations of financial inclusion: Understanding ownership and use of formal acco</w:t>
      </w:r>
      <w:r>
        <w:rPr>
          <w:sz w:val="24"/>
          <w:szCs w:val="24"/>
        </w:rPr>
        <w:t xml:space="preserve">unts. </w:t>
      </w:r>
      <w:r>
        <w:rPr>
          <w:i/>
          <w:iCs/>
          <w:sz w:val="24"/>
          <w:szCs w:val="24"/>
        </w:rPr>
        <w:t>Journal of Financial Intermediation, 27</w:t>
      </w:r>
      <w:r>
        <w:rPr>
          <w:sz w:val="24"/>
          <w:szCs w:val="24"/>
        </w:rPr>
        <w:t xml:space="preserve">, 1–30. </w:t>
      </w:r>
      <w:hyperlink r:id="rId16" w:history="1">
        <w:r>
          <w:rPr>
            <w:rStyle w:val="Hyperlink0"/>
            <w:sz w:val="24"/>
            <w:szCs w:val="24"/>
          </w:rPr>
          <w:t>https://doi.org/10.1016/j.jfi.2015.12.003</w:t>
        </w:r>
      </w:hyperlink>
    </w:p>
    <w:p w:rsidR="00924691" w:rsidRDefault="00A05C8E">
      <w:pPr>
        <w:pStyle w:val="Default"/>
        <w:suppressAutoHyphens/>
        <w:spacing w:before="0" w:after="240" w:line="240" w:lineRule="auto"/>
        <w:rPr>
          <w:sz w:val="24"/>
          <w:szCs w:val="24"/>
        </w:rPr>
      </w:pPr>
      <w:r>
        <w:rPr>
          <w:sz w:val="24"/>
          <w:szCs w:val="24"/>
        </w:rPr>
        <w:t xml:space="preserve">Arun, T., &amp; Kamath, R. (2015). Financial inclusion: Policies and practices. </w:t>
      </w:r>
      <w:r>
        <w:rPr>
          <w:rStyle w:val="None"/>
          <w:i/>
          <w:iCs/>
          <w:sz w:val="24"/>
          <w:szCs w:val="24"/>
        </w:rPr>
        <w:t>World Development, 72</w:t>
      </w:r>
      <w:r>
        <w:rPr>
          <w:sz w:val="24"/>
          <w:szCs w:val="24"/>
        </w:rPr>
        <w:t>, 65–</w:t>
      </w:r>
      <w:r>
        <w:rPr>
          <w:sz w:val="24"/>
          <w:szCs w:val="24"/>
          <w:lang w:val="nl-NL"/>
        </w:rPr>
        <w:t>75</w:t>
      </w:r>
      <w:r>
        <w:rPr>
          <w:sz w:val="24"/>
          <w:szCs w:val="24"/>
          <w:lang w:val="nl-NL"/>
        </w:rPr>
        <w:t>. https://doi.org/10.1016/j.worlddev.2015.02.004</w:t>
      </w:r>
    </w:p>
    <w:p w:rsidR="00924691" w:rsidRDefault="00A05C8E">
      <w:pPr>
        <w:pStyle w:val="Default"/>
        <w:suppressAutoHyphens/>
        <w:spacing w:before="0" w:after="240" w:line="240" w:lineRule="auto"/>
        <w:rPr>
          <w:rStyle w:val="None"/>
          <w:sz w:val="24"/>
          <w:szCs w:val="24"/>
        </w:rPr>
      </w:pPr>
      <w:r>
        <w:rPr>
          <w:rStyle w:val="None"/>
          <w:sz w:val="24"/>
          <w:szCs w:val="24"/>
        </w:rPr>
        <w:t xml:space="preserve">Bank for International Settlements. (2020). </w:t>
      </w:r>
      <w:r>
        <w:rPr>
          <w:i/>
          <w:iCs/>
          <w:sz w:val="24"/>
          <w:szCs w:val="24"/>
        </w:rPr>
        <w:t>Sound practices: Implications of fintech developments for banks and bank supervisors</w:t>
      </w:r>
      <w:r>
        <w:rPr>
          <w:rStyle w:val="None"/>
          <w:sz w:val="24"/>
          <w:szCs w:val="24"/>
          <w:lang w:val="da-DK"/>
        </w:rPr>
        <w:t>. BIS.</w:t>
      </w:r>
    </w:p>
    <w:p w:rsidR="00924691" w:rsidRDefault="00A05C8E">
      <w:pPr>
        <w:pStyle w:val="Default"/>
        <w:suppressAutoHyphens/>
        <w:spacing w:before="0" w:after="240" w:line="240" w:lineRule="auto"/>
        <w:rPr>
          <w:sz w:val="24"/>
          <w:szCs w:val="24"/>
        </w:rPr>
      </w:pPr>
      <w:r>
        <w:rPr>
          <w:sz w:val="24"/>
          <w:szCs w:val="24"/>
        </w:rPr>
        <w:t>Bansal, S., &amp; Bruno, V. (2021). Digital lending apps and consumer protec</w:t>
      </w:r>
      <w:r>
        <w:rPr>
          <w:sz w:val="24"/>
          <w:szCs w:val="24"/>
        </w:rPr>
        <w:t xml:space="preserve">tion in India. </w:t>
      </w:r>
      <w:r>
        <w:rPr>
          <w:rStyle w:val="None"/>
          <w:i/>
          <w:iCs/>
          <w:sz w:val="24"/>
          <w:szCs w:val="24"/>
        </w:rPr>
        <w:t>Economic and Political Weekly, 56</w:t>
      </w:r>
      <w:r>
        <w:rPr>
          <w:sz w:val="24"/>
          <w:szCs w:val="24"/>
        </w:rPr>
        <w:t>(42), 45–52.</w:t>
      </w:r>
    </w:p>
    <w:p w:rsidR="00924691" w:rsidRDefault="00A05C8E">
      <w:pPr>
        <w:pStyle w:val="Default"/>
        <w:suppressAutoHyphens/>
        <w:spacing w:before="0" w:after="240" w:line="240" w:lineRule="auto"/>
        <w:rPr>
          <w:rStyle w:val="None"/>
          <w:sz w:val="24"/>
          <w:szCs w:val="24"/>
        </w:rPr>
      </w:pPr>
      <w:r>
        <w:rPr>
          <w:rStyle w:val="None"/>
          <w:sz w:val="24"/>
          <w:szCs w:val="24"/>
        </w:rPr>
        <w:t xml:space="preserve">Basel Committee on Banking Supervision. (2018). </w:t>
      </w:r>
      <w:r>
        <w:rPr>
          <w:i/>
          <w:iCs/>
          <w:sz w:val="24"/>
          <w:szCs w:val="24"/>
        </w:rPr>
        <w:t>Sound practices: Implications of fintech developments for banks</w:t>
      </w:r>
      <w:r>
        <w:rPr>
          <w:rStyle w:val="None"/>
          <w:sz w:val="24"/>
          <w:szCs w:val="24"/>
          <w:lang w:val="da-DK"/>
        </w:rPr>
        <w:t>. BIS.</w:t>
      </w:r>
    </w:p>
    <w:p w:rsidR="00924691" w:rsidRDefault="00A05C8E">
      <w:pPr>
        <w:pStyle w:val="Default"/>
        <w:suppressAutoHyphens/>
        <w:spacing w:before="0" w:after="240" w:line="240" w:lineRule="auto"/>
        <w:rPr>
          <w:sz w:val="24"/>
          <w:szCs w:val="24"/>
        </w:rPr>
      </w:pPr>
      <w:r>
        <w:rPr>
          <w:sz w:val="24"/>
          <w:szCs w:val="24"/>
        </w:rPr>
        <w:t xml:space="preserve">Bose, S. (2018). FinTech in India: Opportunities and challenges. </w:t>
      </w:r>
      <w:r>
        <w:rPr>
          <w:rStyle w:val="None"/>
          <w:i/>
          <w:iCs/>
          <w:sz w:val="24"/>
          <w:szCs w:val="24"/>
        </w:rPr>
        <w:t xml:space="preserve">IIMB </w:t>
      </w:r>
      <w:r>
        <w:rPr>
          <w:rStyle w:val="None"/>
          <w:i/>
          <w:iCs/>
          <w:sz w:val="24"/>
          <w:szCs w:val="24"/>
        </w:rPr>
        <w:t>Management Review, 30</w:t>
      </w:r>
      <w:r>
        <w:rPr>
          <w:sz w:val="24"/>
          <w:szCs w:val="24"/>
        </w:rPr>
        <w:t>(2), 111–120. https://doi.org/10.1016/j.iimb.2018.01.002</w:t>
      </w:r>
    </w:p>
    <w:p w:rsidR="00924691" w:rsidRDefault="00A05C8E">
      <w:pPr>
        <w:pStyle w:val="Default"/>
        <w:suppressAutoHyphens/>
        <w:spacing w:before="0" w:after="240" w:line="240" w:lineRule="auto"/>
        <w:rPr>
          <w:sz w:val="24"/>
          <w:szCs w:val="24"/>
        </w:rPr>
      </w:pPr>
      <w:r>
        <w:rPr>
          <w:sz w:val="24"/>
          <w:szCs w:val="24"/>
          <w:lang w:val="it-IT"/>
        </w:rPr>
        <w:t xml:space="preserve">Campbell, J. Y., Jackson, H. E., Madrian, B. C., &amp; Tufano, P. (2011). Consumer financial protection. </w:t>
      </w:r>
      <w:r>
        <w:rPr>
          <w:rStyle w:val="None"/>
          <w:i/>
          <w:iCs/>
          <w:sz w:val="24"/>
          <w:szCs w:val="24"/>
        </w:rPr>
        <w:t>Journal of Economic Perspectives, 25</w:t>
      </w:r>
      <w:r>
        <w:rPr>
          <w:sz w:val="24"/>
          <w:szCs w:val="24"/>
        </w:rPr>
        <w:t>(1), 91–</w:t>
      </w:r>
      <w:r>
        <w:rPr>
          <w:sz w:val="24"/>
          <w:szCs w:val="24"/>
          <w:lang w:val="de-DE"/>
        </w:rPr>
        <w:t>114. https://doi.org/10.1257/jep.</w:t>
      </w:r>
      <w:r>
        <w:rPr>
          <w:sz w:val="24"/>
          <w:szCs w:val="24"/>
          <w:lang w:val="de-DE"/>
        </w:rPr>
        <w:t>25.1.91</w:t>
      </w:r>
    </w:p>
    <w:p w:rsidR="00924691" w:rsidRDefault="00A05C8E">
      <w:pPr>
        <w:pStyle w:val="Default"/>
        <w:suppressAutoHyphens/>
        <w:spacing w:before="0" w:after="240" w:line="240" w:lineRule="auto"/>
        <w:rPr>
          <w:sz w:val="24"/>
          <w:szCs w:val="24"/>
        </w:rPr>
      </w:pPr>
      <w:r>
        <w:rPr>
          <w:sz w:val="24"/>
          <w:szCs w:val="24"/>
        </w:rPr>
        <w:t xml:space="preserve">Chakraborty, S. (2023). Regulation of digital lending platforms in India. </w:t>
      </w:r>
      <w:r>
        <w:rPr>
          <w:rStyle w:val="None"/>
          <w:i/>
          <w:iCs/>
          <w:sz w:val="24"/>
          <w:szCs w:val="24"/>
        </w:rPr>
        <w:t>Indian Journal of Finance, 17</w:t>
      </w:r>
      <w:r>
        <w:rPr>
          <w:sz w:val="24"/>
          <w:szCs w:val="24"/>
        </w:rPr>
        <w:t>(3), 7–19.</w:t>
      </w:r>
    </w:p>
    <w:p w:rsidR="00924691" w:rsidRDefault="00A05C8E">
      <w:pPr>
        <w:pStyle w:val="Default"/>
        <w:suppressAutoHyphens/>
        <w:spacing w:before="0" w:after="240" w:line="240" w:lineRule="auto"/>
        <w:rPr>
          <w:sz w:val="24"/>
          <w:szCs w:val="24"/>
        </w:rPr>
      </w:pPr>
      <w:r>
        <w:rPr>
          <w:sz w:val="24"/>
          <w:szCs w:val="24"/>
        </w:rPr>
        <w:t xml:space="preserve">Claessens, S., Frost, J., Turner, G., &amp; Zhu, F. (2018). Fintech credit markets around the world. </w:t>
      </w:r>
      <w:r>
        <w:rPr>
          <w:rStyle w:val="None"/>
          <w:i/>
          <w:iCs/>
          <w:sz w:val="24"/>
          <w:szCs w:val="24"/>
        </w:rPr>
        <w:t>BIS Quarterly Review</w:t>
      </w:r>
      <w:r>
        <w:rPr>
          <w:sz w:val="24"/>
          <w:szCs w:val="24"/>
        </w:rPr>
        <w:t>, September, 29–4</w:t>
      </w:r>
      <w:r>
        <w:rPr>
          <w:sz w:val="24"/>
          <w:szCs w:val="24"/>
        </w:rPr>
        <w:t>9.</w:t>
      </w:r>
    </w:p>
    <w:p w:rsidR="00924691" w:rsidRDefault="00A05C8E">
      <w:pPr>
        <w:pStyle w:val="Default"/>
        <w:suppressAutoHyphens/>
        <w:spacing w:before="0" w:after="240" w:line="240" w:lineRule="auto"/>
        <w:rPr>
          <w:sz w:val="24"/>
          <w:szCs w:val="24"/>
        </w:rPr>
      </w:pPr>
      <w:r>
        <w:rPr>
          <w:sz w:val="24"/>
          <w:szCs w:val="24"/>
        </w:rPr>
        <w:t xml:space="preserve">Fenwick, M., McCahery, J. A., &amp; Vermeulen, E. P. M. (2017). FinTech and the regulation of financial markets. </w:t>
      </w:r>
      <w:r>
        <w:rPr>
          <w:rStyle w:val="None"/>
          <w:i/>
          <w:iCs/>
          <w:sz w:val="24"/>
          <w:szCs w:val="24"/>
        </w:rPr>
        <w:t>Journal of Banking Regulation, 18</w:t>
      </w:r>
      <w:r>
        <w:rPr>
          <w:sz w:val="24"/>
          <w:szCs w:val="24"/>
        </w:rPr>
        <w:t>(3), 1–</w:t>
      </w:r>
      <w:r>
        <w:rPr>
          <w:sz w:val="24"/>
          <w:szCs w:val="24"/>
        </w:rPr>
        <w:t>16. https://doi.org/10.1057/s41261-016-0025-7</w:t>
      </w:r>
    </w:p>
    <w:p w:rsidR="00924691" w:rsidRDefault="00A05C8E">
      <w:pPr>
        <w:pStyle w:val="Default"/>
        <w:suppressAutoHyphens/>
        <w:spacing w:before="0" w:after="240" w:line="240" w:lineRule="auto"/>
        <w:rPr>
          <w:rStyle w:val="None"/>
          <w:sz w:val="24"/>
          <w:szCs w:val="24"/>
        </w:rPr>
      </w:pPr>
      <w:r>
        <w:rPr>
          <w:rStyle w:val="None"/>
          <w:sz w:val="24"/>
          <w:szCs w:val="24"/>
        </w:rPr>
        <w:t xml:space="preserve">Financial Stability Board. (2019). </w:t>
      </w:r>
      <w:r>
        <w:rPr>
          <w:i/>
          <w:iCs/>
          <w:sz w:val="24"/>
          <w:szCs w:val="24"/>
        </w:rPr>
        <w:t>FinTech and market stru</w:t>
      </w:r>
      <w:r>
        <w:rPr>
          <w:i/>
          <w:iCs/>
          <w:sz w:val="24"/>
          <w:szCs w:val="24"/>
        </w:rPr>
        <w:t>cture in financial services</w:t>
      </w:r>
      <w:r>
        <w:rPr>
          <w:rStyle w:val="None"/>
          <w:sz w:val="24"/>
          <w:szCs w:val="24"/>
        </w:rPr>
        <w:t>. FSB.</w:t>
      </w:r>
    </w:p>
    <w:p w:rsidR="00924691" w:rsidRDefault="00A05C8E">
      <w:pPr>
        <w:pStyle w:val="Default"/>
        <w:suppressAutoHyphens/>
        <w:spacing w:before="0" w:after="240" w:line="240" w:lineRule="auto"/>
        <w:rPr>
          <w:sz w:val="24"/>
          <w:szCs w:val="24"/>
        </w:rPr>
      </w:pPr>
      <w:r>
        <w:rPr>
          <w:sz w:val="24"/>
          <w:szCs w:val="24"/>
        </w:rPr>
        <w:t xml:space="preserve">Gomber, P., Koch, J. A., &amp; Siering, M. (2018). Digital finance and FinTech: Current research and future research directions. </w:t>
      </w:r>
      <w:r>
        <w:rPr>
          <w:rStyle w:val="None"/>
          <w:i/>
          <w:iCs/>
          <w:sz w:val="24"/>
          <w:szCs w:val="24"/>
        </w:rPr>
        <w:t>Journal of Management Information Systems, 35</w:t>
      </w:r>
      <w:r>
        <w:rPr>
          <w:sz w:val="24"/>
          <w:szCs w:val="24"/>
        </w:rPr>
        <w:t>(1), 220–</w:t>
      </w:r>
      <w:r>
        <w:rPr>
          <w:sz w:val="24"/>
          <w:szCs w:val="24"/>
        </w:rPr>
        <w:t>265. https://doi.org/10.1080/07421222.2018.</w:t>
      </w:r>
      <w:r>
        <w:rPr>
          <w:sz w:val="24"/>
          <w:szCs w:val="24"/>
        </w:rPr>
        <w:t>1440773</w:t>
      </w:r>
    </w:p>
    <w:p w:rsidR="00924691" w:rsidRDefault="00A05C8E">
      <w:pPr>
        <w:pStyle w:val="Default"/>
        <w:suppressAutoHyphens/>
        <w:spacing w:before="0" w:after="240" w:line="240" w:lineRule="auto"/>
        <w:rPr>
          <w:sz w:val="24"/>
          <w:szCs w:val="24"/>
        </w:rPr>
      </w:pPr>
      <w:r>
        <w:rPr>
          <w:sz w:val="24"/>
          <w:szCs w:val="24"/>
        </w:rPr>
        <w:t xml:space="preserve">Ghosh, S. (2022). Digital lending and regulatory challenges in India. </w:t>
      </w:r>
      <w:r>
        <w:rPr>
          <w:rStyle w:val="None"/>
          <w:i/>
          <w:iCs/>
          <w:sz w:val="24"/>
          <w:szCs w:val="24"/>
        </w:rPr>
        <w:t>Economic and Political Weekly, 57</w:t>
      </w:r>
      <w:r>
        <w:rPr>
          <w:sz w:val="24"/>
          <w:szCs w:val="24"/>
        </w:rPr>
        <w:t>(39), 34–41.</w:t>
      </w:r>
    </w:p>
    <w:p w:rsidR="00924691" w:rsidRDefault="00A05C8E">
      <w:pPr>
        <w:pStyle w:val="Default"/>
        <w:suppressAutoHyphens/>
        <w:spacing w:before="0" w:after="240" w:line="240" w:lineRule="auto"/>
        <w:rPr>
          <w:sz w:val="24"/>
          <w:szCs w:val="24"/>
        </w:rPr>
      </w:pPr>
      <w:r>
        <w:rPr>
          <w:sz w:val="24"/>
          <w:szCs w:val="24"/>
        </w:rPr>
        <w:t xml:space="preserve">Gupta, R., &amp; Tham, T. M. (2020). Data protection and consumer consent in digital finance. </w:t>
      </w:r>
      <w:r>
        <w:rPr>
          <w:rStyle w:val="None"/>
          <w:i/>
          <w:iCs/>
          <w:sz w:val="24"/>
          <w:szCs w:val="24"/>
        </w:rPr>
        <w:t>Journal of Consumer Policy, 43</w:t>
      </w:r>
      <w:r>
        <w:rPr>
          <w:sz w:val="24"/>
          <w:szCs w:val="24"/>
        </w:rPr>
        <w:t>(4), 567–</w:t>
      </w:r>
      <w:r>
        <w:rPr>
          <w:sz w:val="24"/>
          <w:szCs w:val="24"/>
        </w:rPr>
        <w:t>589. https://doi.org/10.1007/s10603-020-09450-7</w:t>
      </w:r>
    </w:p>
    <w:p w:rsidR="00924691" w:rsidRDefault="00A05C8E">
      <w:pPr>
        <w:pStyle w:val="Default"/>
        <w:suppressAutoHyphens/>
        <w:spacing w:before="0" w:after="240" w:line="240" w:lineRule="auto"/>
        <w:rPr>
          <w:rStyle w:val="None"/>
          <w:sz w:val="24"/>
          <w:szCs w:val="24"/>
        </w:rPr>
      </w:pPr>
      <w:r>
        <w:rPr>
          <w:rStyle w:val="None"/>
          <w:sz w:val="24"/>
          <w:szCs w:val="24"/>
        </w:rPr>
        <w:t xml:space="preserve">International Monetary Fund. (2020). </w:t>
      </w:r>
      <w:r>
        <w:rPr>
          <w:i/>
          <w:iCs/>
          <w:sz w:val="24"/>
          <w:szCs w:val="24"/>
        </w:rPr>
        <w:t>Digital financial services and consumer protection</w:t>
      </w:r>
      <w:r>
        <w:rPr>
          <w:rStyle w:val="None"/>
          <w:sz w:val="24"/>
          <w:szCs w:val="24"/>
        </w:rPr>
        <w:t>. IMF.</w:t>
      </w:r>
    </w:p>
    <w:p w:rsidR="00924691" w:rsidRDefault="00A05C8E">
      <w:pPr>
        <w:pStyle w:val="Default"/>
        <w:suppressAutoHyphens/>
        <w:spacing w:before="0" w:after="240" w:line="240" w:lineRule="auto"/>
        <w:rPr>
          <w:sz w:val="24"/>
          <w:szCs w:val="24"/>
        </w:rPr>
      </w:pPr>
      <w:r>
        <w:rPr>
          <w:sz w:val="24"/>
          <w:szCs w:val="24"/>
        </w:rPr>
        <w:t xml:space="preserve">Kaur, J., &amp; Singh, B. (2022). Financial literacy and borrower protection in digital lending. </w:t>
      </w:r>
      <w:r>
        <w:rPr>
          <w:rStyle w:val="None"/>
          <w:i/>
          <w:iCs/>
          <w:sz w:val="24"/>
          <w:szCs w:val="24"/>
        </w:rPr>
        <w:t xml:space="preserve">Journal of Financial </w:t>
      </w:r>
      <w:r>
        <w:rPr>
          <w:rStyle w:val="None"/>
          <w:i/>
          <w:iCs/>
          <w:sz w:val="24"/>
          <w:szCs w:val="24"/>
        </w:rPr>
        <w:t>Regulation, 8</w:t>
      </w:r>
      <w:r>
        <w:rPr>
          <w:sz w:val="24"/>
          <w:szCs w:val="24"/>
        </w:rPr>
        <w:t>(2), 210–</w:t>
      </w:r>
      <w:r>
        <w:rPr>
          <w:sz w:val="24"/>
          <w:szCs w:val="24"/>
          <w:lang w:val="nl-NL"/>
        </w:rPr>
        <w:t>228. https://doi.org/10.1093/jfr/fjac012</w:t>
      </w:r>
    </w:p>
    <w:p w:rsidR="00924691" w:rsidRDefault="00A05C8E">
      <w:pPr>
        <w:pStyle w:val="Default"/>
        <w:suppressAutoHyphens/>
        <w:spacing w:before="0" w:after="240" w:line="240" w:lineRule="auto"/>
        <w:rPr>
          <w:rStyle w:val="None"/>
          <w:sz w:val="24"/>
          <w:szCs w:val="24"/>
        </w:rPr>
      </w:pPr>
      <w:r>
        <w:rPr>
          <w:rStyle w:val="None"/>
          <w:sz w:val="24"/>
          <w:szCs w:val="24"/>
          <w:lang w:val="nl-NL"/>
        </w:rPr>
        <w:t xml:space="preserve">Lauer, K., &amp; Lyman, T. (2015). </w:t>
      </w:r>
      <w:r>
        <w:rPr>
          <w:i/>
          <w:iCs/>
          <w:sz w:val="24"/>
          <w:szCs w:val="24"/>
        </w:rPr>
        <w:t>Consumer protection in digital credit</w:t>
      </w:r>
      <w:r>
        <w:rPr>
          <w:rStyle w:val="None"/>
          <w:sz w:val="24"/>
          <w:szCs w:val="24"/>
          <w:lang w:val="it-IT"/>
        </w:rPr>
        <w:t xml:space="preserve"> (CGAP Focus Note No. 106). CGAP.</w:t>
      </w:r>
    </w:p>
    <w:p w:rsidR="00924691" w:rsidRDefault="00A05C8E">
      <w:pPr>
        <w:pStyle w:val="Default"/>
        <w:suppressAutoHyphens/>
        <w:spacing w:before="0" w:after="240" w:line="240" w:lineRule="auto"/>
        <w:rPr>
          <w:sz w:val="24"/>
          <w:szCs w:val="24"/>
        </w:rPr>
      </w:pPr>
      <w:r>
        <w:rPr>
          <w:sz w:val="24"/>
          <w:szCs w:val="24"/>
        </w:rPr>
        <w:t xml:space="preserve">Mishra, A. (2021). Consumer awareness and risks in digital lending. </w:t>
      </w:r>
      <w:r>
        <w:rPr>
          <w:rStyle w:val="None"/>
          <w:i/>
          <w:iCs/>
          <w:sz w:val="24"/>
          <w:szCs w:val="24"/>
        </w:rPr>
        <w:t xml:space="preserve">Indian Journal of </w:t>
      </w:r>
      <w:r>
        <w:rPr>
          <w:rStyle w:val="None"/>
          <w:i/>
          <w:iCs/>
          <w:sz w:val="24"/>
          <w:szCs w:val="24"/>
        </w:rPr>
        <w:t>Economics and Business, 20</w:t>
      </w:r>
      <w:r>
        <w:rPr>
          <w:sz w:val="24"/>
          <w:szCs w:val="24"/>
        </w:rPr>
        <w:t>(1), 89–104.</w:t>
      </w:r>
    </w:p>
    <w:p w:rsidR="00924691" w:rsidRDefault="00A05C8E">
      <w:pPr>
        <w:pStyle w:val="Default"/>
        <w:suppressAutoHyphens/>
        <w:spacing w:before="0" w:after="240" w:line="240" w:lineRule="auto"/>
        <w:rPr>
          <w:sz w:val="24"/>
          <w:szCs w:val="24"/>
        </w:rPr>
      </w:pPr>
      <w:r>
        <w:rPr>
          <w:sz w:val="24"/>
          <w:szCs w:val="24"/>
        </w:rPr>
        <w:t xml:space="preserve">Organisation for Economic Co-operation and Development. (2019). </w:t>
      </w:r>
      <w:r>
        <w:rPr>
          <w:rStyle w:val="None"/>
          <w:i/>
          <w:iCs/>
          <w:sz w:val="24"/>
          <w:szCs w:val="24"/>
        </w:rPr>
        <w:t>Consumer policy and fraud</w:t>
      </w:r>
      <w:r>
        <w:rPr>
          <w:sz w:val="24"/>
          <w:szCs w:val="24"/>
        </w:rPr>
        <w:t>. OECD Publishing.</w:t>
      </w:r>
    </w:p>
    <w:p w:rsidR="00924691" w:rsidRDefault="00A05C8E">
      <w:pPr>
        <w:pStyle w:val="Default"/>
        <w:suppressAutoHyphens/>
        <w:spacing w:before="0" w:after="240" w:line="240" w:lineRule="auto"/>
        <w:rPr>
          <w:rStyle w:val="None"/>
          <w:sz w:val="24"/>
          <w:szCs w:val="24"/>
        </w:rPr>
      </w:pPr>
      <w:r>
        <w:rPr>
          <w:rStyle w:val="None"/>
          <w:sz w:val="24"/>
          <w:szCs w:val="24"/>
        </w:rPr>
        <w:t xml:space="preserve">Reserve Bank of India. (2021). </w:t>
      </w:r>
      <w:r>
        <w:rPr>
          <w:i/>
          <w:iCs/>
          <w:sz w:val="24"/>
          <w:szCs w:val="24"/>
        </w:rPr>
        <w:t>Report of the working group on digital lending including lending through onlin</w:t>
      </w:r>
      <w:r>
        <w:rPr>
          <w:i/>
          <w:iCs/>
          <w:sz w:val="24"/>
          <w:szCs w:val="24"/>
        </w:rPr>
        <w:t>e platforms and mobile apps</w:t>
      </w:r>
      <w:r>
        <w:rPr>
          <w:rStyle w:val="None"/>
          <w:sz w:val="24"/>
          <w:szCs w:val="24"/>
          <w:lang w:val="da-DK"/>
        </w:rPr>
        <w:t>. RBI.</w:t>
      </w:r>
    </w:p>
    <w:p w:rsidR="00924691" w:rsidRDefault="00A05C8E">
      <w:pPr>
        <w:pStyle w:val="Default"/>
        <w:suppressAutoHyphens/>
        <w:spacing w:before="0" w:after="240" w:line="240" w:lineRule="auto"/>
        <w:rPr>
          <w:sz w:val="24"/>
          <w:szCs w:val="24"/>
        </w:rPr>
      </w:pPr>
      <w:r>
        <w:rPr>
          <w:sz w:val="24"/>
          <w:szCs w:val="24"/>
        </w:rPr>
        <w:t xml:space="preserve">Reserve Bank of India. (2022). </w:t>
      </w:r>
      <w:r>
        <w:rPr>
          <w:rStyle w:val="None"/>
          <w:i/>
          <w:iCs/>
          <w:sz w:val="24"/>
          <w:szCs w:val="24"/>
        </w:rPr>
        <w:t>Guidelines on digital lending</w:t>
      </w:r>
      <w:r>
        <w:rPr>
          <w:sz w:val="24"/>
          <w:szCs w:val="24"/>
          <w:lang w:val="da-DK"/>
        </w:rPr>
        <w:t>. RBI.</w:t>
      </w:r>
    </w:p>
    <w:p w:rsidR="00924691" w:rsidRDefault="00A05C8E">
      <w:pPr>
        <w:pStyle w:val="Default"/>
        <w:suppressAutoHyphens/>
        <w:spacing w:before="0" w:after="240" w:line="240" w:lineRule="auto"/>
        <w:rPr>
          <w:rStyle w:val="None"/>
          <w:sz w:val="24"/>
          <w:szCs w:val="24"/>
        </w:rPr>
      </w:pPr>
      <w:r>
        <w:rPr>
          <w:rStyle w:val="None"/>
          <w:sz w:val="24"/>
          <w:szCs w:val="24"/>
        </w:rPr>
        <w:t xml:space="preserve">Reserve Bank of India. (2023). </w:t>
      </w:r>
      <w:r>
        <w:rPr>
          <w:i/>
          <w:iCs/>
          <w:sz w:val="24"/>
          <w:szCs w:val="24"/>
        </w:rPr>
        <w:t>Report on trend and progress of banking in India</w:t>
      </w:r>
      <w:r>
        <w:rPr>
          <w:rStyle w:val="None"/>
          <w:sz w:val="24"/>
          <w:szCs w:val="24"/>
          <w:lang w:val="da-DK"/>
        </w:rPr>
        <w:t>. RBI.</w:t>
      </w:r>
    </w:p>
    <w:p w:rsidR="00924691" w:rsidRDefault="00A05C8E">
      <w:pPr>
        <w:pStyle w:val="Default"/>
        <w:suppressAutoHyphens/>
        <w:spacing w:before="0" w:after="240" w:line="240" w:lineRule="auto"/>
        <w:rPr>
          <w:rStyle w:val="None"/>
          <w:sz w:val="24"/>
          <w:szCs w:val="24"/>
        </w:rPr>
      </w:pPr>
      <w:r>
        <w:rPr>
          <w:rStyle w:val="None"/>
          <w:sz w:val="24"/>
          <w:szCs w:val="24"/>
        </w:rPr>
        <w:t xml:space="preserve">World Bank. (2020). </w:t>
      </w:r>
      <w:r>
        <w:rPr>
          <w:i/>
          <w:iCs/>
          <w:sz w:val="24"/>
          <w:szCs w:val="24"/>
        </w:rPr>
        <w:t>Consumer protection and FinTech</w:t>
      </w:r>
      <w:r>
        <w:rPr>
          <w:rStyle w:val="None"/>
          <w:sz w:val="24"/>
          <w:szCs w:val="24"/>
        </w:rPr>
        <w:t>. World Bank.</w:t>
      </w:r>
    </w:p>
    <w:p w:rsidR="00924691" w:rsidRDefault="00A05C8E">
      <w:pPr>
        <w:pStyle w:val="Default"/>
        <w:suppressAutoHyphens/>
        <w:spacing w:before="0" w:after="240" w:line="240" w:lineRule="auto"/>
        <w:rPr>
          <w:rStyle w:val="None"/>
          <w:sz w:val="24"/>
          <w:szCs w:val="24"/>
        </w:rPr>
      </w:pPr>
      <w:r>
        <w:rPr>
          <w:rStyle w:val="None"/>
          <w:sz w:val="24"/>
          <w:szCs w:val="24"/>
          <w:lang w:val="pt-PT"/>
        </w:rPr>
        <w:t>Worl</w:t>
      </w:r>
      <w:r>
        <w:rPr>
          <w:rStyle w:val="None"/>
          <w:sz w:val="24"/>
          <w:szCs w:val="24"/>
          <w:lang w:val="pt-PT"/>
        </w:rPr>
        <w:t xml:space="preserve">d Economic Forum. (2021). </w:t>
      </w:r>
      <w:r>
        <w:rPr>
          <w:i/>
          <w:iCs/>
          <w:sz w:val="24"/>
          <w:szCs w:val="24"/>
        </w:rPr>
        <w:t>Global fintech governance framework</w:t>
      </w:r>
      <w:r>
        <w:rPr>
          <w:rStyle w:val="None"/>
          <w:sz w:val="24"/>
          <w:szCs w:val="24"/>
          <w:lang w:val="de-DE"/>
        </w:rPr>
        <w:t>. WEF.</w:t>
      </w:r>
    </w:p>
    <w:p w:rsidR="00924691" w:rsidRDefault="00924691">
      <w:pPr>
        <w:pStyle w:val="Default"/>
        <w:suppressAutoHyphens/>
        <w:spacing w:before="0" w:after="240" w:line="240" w:lineRule="auto"/>
        <w:rPr>
          <w:i/>
          <w:iCs/>
          <w:sz w:val="24"/>
          <w:szCs w:val="24"/>
        </w:rPr>
      </w:pPr>
    </w:p>
    <w:p w:rsidR="00924691" w:rsidRDefault="00924691">
      <w:pPr>
        <w:pStyle w:val="Default"/>
        <w:suppressAutoHyphens/>
        <w:spacing w:before="0" w:after="240" w:line="240" w:lineRule="auto"/>
        <w:rPr>
          <w:sz w:val="24"/>
          <w:szCs w:val="24"/>
        </w:rPr>
      </w:pPr>
    </w:p>
    <w:p w:rsidR="00924691" w:rsidRDefault="00924691">
      <w:pPr>
        <w:pStyle w:val="Default"/>
        <w:suppressAutoHyphens/>
        <w:spacing w:before="0" w:after="240" w:line="240" w:lineRule="auto"/>
        <w:rPr>
          <w:sz w:val="24"/>
          <w:szCs w:val="24"/>
        </w:rPr>
      </w:pPr>
    </w:p>
    <w:p w:rsidR="00924691" w:rsidRDefault="00924691">
      <w:pPr>
        <w:pStyle w:val="Default"/>
        <w:suppressAutoHyphens/>
        <w:spacing w:before="0" w:after="240" w:line="240" w:lineRule="auto"/>
      </w:pPr>
    </w:p>
    <w:sectPr w:rsidR="00924691">
      <w:headerReference w:type="default" r:id="rId17"/>
      <w:footerReference w:type="default" r:id="rId1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C8E" w:rsidRDefault="00A05C8E">
      <w:r>
        <w:separator/>
      </w:r>
    </w:p>
  </w:endnote>
  <w:endnote w:type="continuationSeparator" w:id="0">
    <w:p w:rsidR="00A05C8E" w:rsidRDefault="00A0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691" w:rsidRDefault="009246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C8E" w:rsidRDefault="00A05C8E">
      <w:r>
        <w:separator/>
      </w:r>
    </w:p>
  </w:footnote>
  <w:footnote w:type="continuationSeparator" w:id="0">
    <w:p w:rsidR="00A05C8E" w:rsidRDefault="00A05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691" w:rsidRDefault="009246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336F3"/>
    <w:multiLevelType w:val="hybridMultilevel"/>
    <w:tmpl w:val="B44C3B12"/>
    <w:styleLink w:val="Bullet"/>
    <w:lvl w:ilvl="0" w:tplc="69FEB6C4">
      <w:start w:val="1"/>
      <w:numFmt w:val="bullet"/>
      <w:lvlText w:val="•"/>
      <w:lvlJc w:val="left"/>
      <w:pPr>
        <w:ind w:left="72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FA8ECEA8">
      <w:start w:val="1"/>
      <w:numFmt w:val="bullet"/>
      <w:lvlText w:val="•"/>
      <w:lvlJc w:val="left"/>
      <w:pPr>
        <w:ind w:left="94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2"/>
        <w:highlight w:val="none"/>
        <w:vertAlign w:val="baseline"/>
      </w:rPr>
    </w:lvl>
    <w:lvl w:ilvl="2" w:tplc="C38C4AFA">
      <w:start w:val="1"/>
      <w:numFmt w:val="bullet"/>
      <w:lvlText w:val="•"/>
      <w:lvlJc w:val="left"/>
      <w:pPr>
        <w:ind w:left="116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2"/>
        <w:highlight w:val="none"/>
        <w:vertAlign w:val="baseline"/>
      </w:rPr>
    </w:lvl>
    <w:lvl w:ilvl="3" w:tplc="AD528FD4">
      <w:start w:val="1"/>
      <w:numFmt w:val="bullet"/>
      <w:lvlText w:val="•"/>
      <w:lvlJc w:val="left"/>
      <w:pPr>
        <w:ind w:left="138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2"/>
        <w:highlight w:val="none"/>
        <w:vertAlign w:val="baseline"/>
      </w:rPr>
    </w:lvl>
    <w:lvl w:ilvl="4" w:tplc="3D124C26">
      <w:start w:val="1"/>
      <w:numFmt w:val="bullet"/>
      <w:lvlText w:val="•"/>
      <w:lvlJc w:val="left"/>
      <w:pPr>
        <w:ind w:left="160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2"/>
        <w:highlight w:val="none"/>
        <w:vertAlign w:val="baseline"/>
      </w:rPr>
    </w:lvl>
    <w:lvl w:ilvl="5" w:tplc="B4D86496">
      <w:start w:val="1"/>
      <w:numFmt w:val="bullet"/>
      <w:lvlText w:val="•"/>
      <w:lvlJc w:val="left"/>
      <w:pPr>
        <w:ind w:left="182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2"/>
        <w:highlight w:val="none"/>
        <w:vertAlign w:val="baseline"/>
      </w:rPr>
    </w:lvl>
    <w:lvl w:ilvl="6" w:tplc="2EA84D54">
      <w:start w:val="1"/>
      <w:numFmt w:val="bullet"/>
      <w:lvlText w:val="•"/>
      <w:lvlJc w:val="left"/>
      <w:pPr>
        <w:ind w:left="204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2"/>
        <w:highlight w:val="none"/>
        <w:vertAlign w:val="baseline"/>
      </w:rPr>
    </w:lvl>
    <w:lvl w:ilvl="7" w:tplc="E696CE28">
      <w:start w:val="1"/>
      <w:numFmt w:val="bullet"/>
      <w:lvlText w:val="•"/>
      <w:lvlJc w:val="left"/>
      <w:pPr>
        <w:ind w:left="226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2"/>
        <w:highlight w:val="none"/>
        <w:vertAlign w:val="baseline"/>
      </w:rPr>
    </w:lvl>
    <w:lvl w:ilvl="8" w:tplc="65642154">
      <w:start w:val="1"/>
      <w:numFmt w:val="bullet"/>
      <w:lvlText w:val="•"/>
      <w:lvlJc w:val="left"/>
      <w:pPr>
        <w:ind w:left="248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1">
    <w:nsid w:val="43973EC7"/>
    <w:multiLevelType w:val="hybridMultilevel"/>
    <w:tmpl w:val="ADBC921A"/>
    <w:numStyleLink w:val="Numbered"/>
  </w:abstractNum>
  <w:abstractNum w:abstractNumId="2">
    <w:nsid w:val="51D409D3"/>
    <w:multiLevelType w:val="hybridMultilevel"/>
    <w:tmpl w:val="B44C3B12"/>
    <w:numStyleLink w:val="Bullet"/>
  </w:abstractNum>
  <w:abstractNum w:abstractNumId="3">
    <w:nsid w:val="5CD06F3A"/>
    <w:multiLevelType w:val="hybridMultilevel"/>
    <w:tmpl w:val="ADBC921A"/>
    <w:styleLink w:val="Numbered"/>
    <w:lvl w:ilvl="0" w:tplc="5DD29DD0">
      <w:start w:val="1"/>
      <w:numFmt w:val="decimal"/>
      <w:lvlText w:val="%1."/>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CCC2DE2">
      <w:start w:val="1"/>
      <w:numFmt w:val="decimal"/>
      <w:lvlText w:val="%2."/>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850CA80">
      <w:start w:val="1"/>
      <w:numFmt w:val="decimal"/>
      <w:lvlText w:val="%3."/>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A7E13FA">
      <w:start w:val="1"/>
      <w:numFmt w:val="decimal"/>
      <w:lvlText w:val="%4."/>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8C82E0A">
      <w:start w:val="1"/>
      <w:numFmt w:val="decimal"/>
      <w:lvlText w:val="%5."/>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3C465FE">
      <w:start w:val="1"/>
      <w:numFmt w:val="decimal"/>
      <w:lvlText w:val="%6."/>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FCA9E24">
      <w:start w:val="1"/>
      <w:numFmt w:val="decimal"/>
      <w:lvlText w:val="%7."/>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6208">
      <w:start w:val="1"/>
      <w:numFmt w:val="decimal"/>
      <w:lvlText w:val="%8."/>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22E4E42">
      <w:start w:val="1"/>
      <w:numFmt w:val="decimal"/>
      <w:lvlText w:val="%9."/>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0"/>
  </w:num>
  <w:num w:numId="4">
    <w:abstractNumId w:val="2"/>
  </w:num>
  <w:num w:numId="5">
    <w:abstractNumId w:val="2"/>
    <w:lvlOverride w:ilvl="0">
      <w:lvl w:ilvl="0" w:tplc="AD82C8FA">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A400612">
        <w:start w:val="1"/>
        <w:numFmt w:val="bullet"/>
        <w:lvlText w:val="•"/>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2CDA1906">
        <w:start w:val="1"/>
        <w:numFmt w:val="bullet"/>
        <w:lvlText w:val="•"/>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6BEE2150">
        <w:start w:val="1"/>
        <w:numFmt w:val="bullet"/>
        <w:lvlText w:val="•"/>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42BC85F4">
        <w:start w:val="1"/>
        <w:numFmt w:val="bullet"/>
        <w:lvlText w:val="•"/>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46B4D60C">
        <w:start w:val="1"/>
        <w:numFmt w:val="bullet"/>
        <w:lvlText w:val="•"/>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474EDF6A">
        <w:start w:val="1"/>
        <w:numFmt w:val="bullet"/>
        <w:lvlText w:val="•"/>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6A3C1E5C">
        <w:start w:val="1"/>
        <w:numFmt w:val="bullet"/>
        <w:lvlText w:val="•"/>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09B4C266">
        <w:start w:val="1"/>
        <w:numFmt w:val="bullet"/>
        <w:lvlText w:val="•"/>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24691"/>
    <w:rsid w:val="003E5895"/>
    <w:rsid w:val="00924691"/>
    <w:rsid w:val="00A05C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cs="Arial Unicode MS"/>
      <w:color w:val="000000"/>
      <w:sz w:val="26"/>
      <w:szCs w:val="26"/>
      <w:lang w:val="en-US"/>
      <w14:textOutline w14:w="0" w14:cap="flat" w14:cmpd="sng" w14:algn="ctr">
        <w14:noFill/>
        <w14:prstDash w14:val="solid"/>
        <w14:bevel/>
      </w14:textOutline>
    </w:rPr>
  </w:style>
  <w:style w:type="paragraph" w:customStyle="1" w:styleId="Body">
    <w:name w:val="Body"/>
    <w:rPr>
      <w:rFonts w:cs="Arial Unicode MS"/>
      <w:color w:val="000000"/>
      <w:sz w:val="24"/>
      <w:szCs w:val="24"/>
      <w:lang w:val="en-US"/>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
    <w:name w:val="Bullet"/>
    <w:pPr>
      <w:numPr>
        <w:numId w:val="3"/>
      </w:numPr>
    </w:pPr>
  </w:style>
  <w:style w:type="paragraph" w:customStyle="1" w:styleId="TableStyle2">
    <w:name w:val="Table Style 2"/>
    <w:rPr>
      <w:rFonts w:eastAsia="Times New Roman"/>
      <w:color w:val="000000"/>
      <w:sz w:val="22"/>
      <w:szCs w:val="22"/>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00EE"/>
      <w:u w:val="single" w:color="0000E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cs="Arial Unicode MS"/>
      <w:color w:val="000000"/>
      <w:sz w:val="26"/>
      <w:szCs w:val="26"/>
      <w:lang w:val="en-US"/>
      <w14:textOutline w14:w="0" w14:cap="flat" w14:cmpd="sng" w14:algn="ctr">
        <w14:noFill/>
        <w14:prstDash w14:val="solid"/>
        <w14:bevel/>
      </w14:textOutline>
    </w:rPr>
  </w:style>
  <w:style w:type="paragraph" w:customStyle="1" w:styleId="Body">
    <w:name w:val="Body"/>
    <w:rPr>
      <w:rFonts w:cs="Arial Unicode MS"/>
      <w:color w:val="000000"/>
      <w:sz w:val="24"/>
      <w:szCs w:val="24"/>
      <w:lang w:val="en-US"/>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
    <w:name w:val="Bullet"/>
    <w:pPr>
      <w:numPr>
        <w:numId w:val="3"/>
      </w:numPr>
    </w:pPr>
  </w:style>
  <w:style w:type="paragraph" w:customStyle="1" w:styleId="TableStyle2">
    <w:name w:val="Table Style 2"/>
    <w:rPr>
      <w:rFonts w:eastAsia="Times New Roman"/>
      <w:color w:val="000000"/>
      <w:sz w:val="22"/>
      <w:szCs w:val="22"/>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00EE"/>
      <w:u w:val="single" w:color="0000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jfi.2015.12.00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1892</Words>
  <Characters>10790</Characters>
  <Application>Microsoft Office Word</Application>
  <DocSecurity>0</DocSecurity>
  <Lines>89</Lines>
  <Paragraphs>25</Paragraphs>
  <ScaleCrop>false</ScaleCrop>
  <Company/>
  <LinksUpToDate>false</LinksUpToDate>
  <CharactersWithSpaces>12657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2026-05-09T14:57:00Z</dcterms:created>
  <dcterms:modified xsi:type="dcterms:W3CDTF">2026-05-09T14:57:00Z</dcterms:modified>
</cp:coreProperties>
</file>