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C84F5" w14:textId="32C588B8" w:rsidR="00342AF5" w:rsidRDefault="00342AF5" w:rsidP="00342AF5">
      <w:pPr>
        <w:spacing w:after="0" w:line="240" w:lineRule="auto"/>
        <w:jc w:val="center"/>
        <w:outlineLvl w:val="0"/>
        <w:rPr>
          <w:rFonts w:ascii="Times New Roman" w:eastAsia="Times New Roman" w:hAnsi="Times New Roman" w:cs="Times New Roman"/>
          <w:b/>
          <w:bCs/>
          <w:kern w:val="36"/>
          <w:sz w:val="36"/>
          <w:szCs w:val="36"/>
        </w:rPr>
      </w:pPr>
      <w:bookmarkStart w:id="0" w:name="_GoBack"/>
      <w:r w:rsidRPr="00342AF5">
        <w:rPr>
          <w:rFonts w:ascii="Times New Roman" w:eastAsia="Times New Roman" w:hAnsi="Times New Roman" w:cs="Times New Roman"/>
          <w:b/>
          <w:bCs/>
          <w:kern w:val="36"/>
          <w:sz w:val="36"/>
          <w:szCs w:val="36"/>
        </w:rPr>
        <w:t>Evolving Landscape of Good Clinical Practice in Clinical Trials: Challenges and Future Perspectives</w:t>
      </w:r>
    </w:p>
    <w:p w14:paraId="46A953C6" w14:textId="77777777" w:rsidR="00342AF5" w:rsidRPr="00342AF5" w:rsidRDefault="00342AF5" w:rsidP="00342AF5">
      <w:pPr>
        <w:spacing w:after="0" w:line="240" w:lineRule="auto"/>
        <w:jc w:val="center"/>
        <w:outlineLvl w:val="0"/>
        <w:rPr>
          <w:rFonts w:ascii="Times New Roman" w:eastAsia="Times New Roman" w:hAnsi="Times New Roman" w:cs="Times New Roman"/>
          <w:b/>
          <w:bCs/>
          <w:kern w:val="36"/>
          <w:sz w:val="36"/>
          <w:szCs w:val="36"/>
        </w:rPr>
      </w:pPr>
    </w:p>
    <w:p w14:paraId="7C356A64"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Abstract</w:t>
      </w:r>
    </w:p>
    <w:p w14:paraId="283F71C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(GCP) serves as the ethical and scientific foundation for conducting clinical trials involving human participants. Over the last decade, clinical research has undergone remarkable transformation due to globalization, technological advancement, decentralized trial models, and evolving regulatory expectations. Modern clinical trials increasingly rely on digital technologies, electronic data systems, artificial intelligence, and remote patient monitoring, creating both opportunities and challenges for researchers and regulatory authorities. Key concerns include increasing protocol complexity, participant safety, informed consent in digital environments, data integrity, cybersecurity, and harmonisation of international regulations. Recent updates in International Council for Harmonisation (ICH) guidelines, particularly ICH E6(R3), emphasize risk-based quality management and patient-centered approaches to clinical research. This review discusses the current challenges in implementing GCP, recent regulatory developments, and future perspectives shaping contemporary clinical trials. Understanding these evolving trends is essential for ensuring ethical conduct, regulatory compliance, and high-quality clinical research.</w:t>
      </w:r>
    </w:p>
    <w:p w14:paraId="24FD4F24" w14:textId="2298A8A3" w:rsidR="00342AF5" w:rsidRPr="00342AF5" w:rsidRDefault="00342AF5" w:rsidP="00342AF5">
      <w:pPr>
        <w:spacing w:after="0" w:line="240" w:lineRule="auto"/>
        <w:rPr>
          <w:rFonts w:ascii="Times New Roman" w:eastAsia="Times New Roman" w:hAnsi="Times New Roman" w:cs="Times New Roman"/>
          <w:sz w:val="24"/>
          <w:szCs w:val="24"/>
        </w:rPr>
      </w:pPr>
    </w:p>
    <w:p w14:paraId="24D1DC1D"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Keywords</w:t>
      </w:r>
    </w:p>
    <w:p w14:paraId="21F61BAE"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Clinical Trials; Research Ethics; Regulatory Affairs; ICH-GCP; Patient Safety; Informed Consent; Clinical Research; Regulatory Compliance; Digital Clinical Trials</w:t>
      </w:r>
    </w:p>
    <w:p w14:paraId="79909F33" w14:textId="738298D8" w:rsidR="00342AF5" w:rsidRPr="00342AF5" w:rsidRDefault="00342AF5" w:rsidP="00342AF5">
      <w:pPr>
        <w:spacing w:after="0" w:line="240" w:lineRule="auto"/>
        <w:rPr>
          <w:rFonts w:ascii="Times New Roman" w:eastAsia="Times New Roman" w:hAnsi="Times New Roman" w:cs="Times New Roman"/>
          <w:sz w:val="24"/>
          <w:szCs w:val="24"/>
        </w:rPr>
      </w:pPr>
    </w:p>
    <w:p w14:paraId="3C38622F"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Introduction</w:t>
      </w:r>
    </w:p>
    <w:p w14:paraId="5A1B8C4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(GCP) is an internationally recognized ethical and scientific standard for the design, conduct, documentation, recording, and reporting of clinical trials involving human participants. The primary purpose of GCP is to ensure the protection of participant rights, safety, dignity, and well-being while maintaining the credibility and integrity of clinical trial data (1).</w:t>
      </w:r>
    </w:p>
    <w:p w14:paraId="6DE051A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concept of ethical clinical research originated from historical ethical frameworks such as the Nuremberg Code, the Declaration of Helsinki, and the Belmont Report. These principles later formed the basis for the International Council for Harmonisation (ICH) guideline for Good Clinical Practice, introduced in 1996 as a unified international standard for clinical research conduct (2).</w:t>
      </w:r>
    </w:p>
    <w:p w14:paraId="51A99523"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Over the past decade, the landscape of clinical research has evolved considerably. Clinical trials have become increasingly multinational, technologically advanced, and data-driven. Digital health technologies, electronic health records, wearable devices, decentralized clinical trial models, and artificial intelligence are now widely integrated into research activities. While these innovations have improved efficiency and accessibility in clinical research, they have also introduced significant ethical, operational, and regulatory challenges (3).</w:t>
      </w:r>
    </w:p>
    <w:p w14:paraId="71CB4A5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In recent years, regulatory authorities and research organizations have placed increasing emphasis on patient-centered approaches, risk-based monitoring, data transparency, and flexible trial management systems. The modernization of ICH E6(R3) reflects the growing need to adapt GCP principles to the changing clinical research environment (4).</w:t>
      </w:r>
    </w:p>
    <w:p w14:paraId="1EEFB14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lastRenderedPageBreak/>
        <w:t>This review aims to discuss the evolving landscape of Good Clinical Practice in modern clinical trials, with particular focus on current challenges, ethical considerations, regulatory developments, and future perspectives.</w:t>
      </w:r>
    </w:p>
    <w:p w14:paraId="6C713B06" w14:textId="742E825D" w:rsidR="00342AF5" w:rsidRPr="00342AF5" w:rsidRDefault="00342AF5" w:rsidP="00342AF5">
      <w:pPr>
        <w:spacing w:after="0" w:line="240" w:lineRule="auto"/>
        <w:rPr>
          <w:rFonts w:ascii="Times New Roman" w:eastAsia="Times New Roman" w:hAnsi="Times New Roman" w:cs="Times New Roman"/>
          <w:sz w:val="24"/>
          <w:szCs w:val="24"/>
        </w:rPr>
      </w:pPr>
    </w:p>
    <w:p w14:paraId="4EF23889"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Evolution of Good Clinical Practice</w:t>
      </w:r>
    </w:p>
    <w:p w14:paraId="3D6FB43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development of Good Clinical Practice has been closely linked to the evolution of research ethics and international regulatory standards. Following unethical human experimentation during the twentieth century, several ethical frameworks were introduced to protect research participants. The Declaration of Helsinki established ethical principles for medical research involving human subjects and remains one of the most influential documents in clinical research ethics (5).</w:t>
      </w:r>
    </w:p>
    <w:p w14:paraId="016170A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International Council for Harmonisation introduced the ICH-GCP guideline to standardize clinical trial conduct across different countries and regulatory systems. The guideline provided a unified framework for investigators, sponsors, ethics committees, and regulatory authorities to ensure participant protection and data reliability (1).</w:t>
      </w:r>
    </w:p>
    <w:p w14:paraId="122BAC3C"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Modern clinical trials differ substantially from traditional research models. Contemporary studies frequently involve multinational collaboration, adaptive trial designs, biomarker-driven therapies, and personalized medicine approaches. Clinical trials also increasingly utilize electronic data capture systems, remote monitoring technologies, and digital communication platforms. These developments have improved research efficiency but have simultaneously increased operational complexity and regulatory demands (6).</w:t>
      </w:r>
    </w:p>
    <w:p w14:paraId="307B2D0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To address these emerging challenges, regulatory agencies such as the United States Food and Drug Administration (FDA), European Medicines Agency (EMA), and Central Drugs Standard Control Organization (CDSCO) have updated guidance documents focusing on risk-based quality management, participant safety, and digital compliance (7).</w:t>
      </w:r>
    </w:p>
    <w:p w14:paraId="007C13FF"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recent draft version of ICH E6(R3) represents a significant modernization of GCP by emphasizing flexibility, proportional oversight, critical-to-quality factors, and technology-enabled trial conduct (4).</w:t>
      </w:r>
    </w:p>
    <w:p w14:paraId="3317C550" w14:textId="374C1934" w:rsidR="00342AF5" w:rsidRPr="00342AF5" w:rsidRDefault="00342AF5" w:rsidP="00342AF5">
      <w:pPr>
        <w:spacing w:after="0" w:line="240" w:lineRule="auto"/>
        <w:rPr>
          <w:rFonts w:ascii="Times New Roman" w:eastAsia="Times New Roman" w:hAnsi="Times New Roman" w:cs="Times New Roman"/>
          <w:sz w:val="24"/>
          <w:szCs w:val="24"/>
        </w:rPr>
      </w:pPr>
    </w:p>
    <w:p w14:paraId="31F95B94"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Current Challenges in Good Clinical Practice</w:t>
      </w:r>
    </w:p>
    <w:p w14:paraId="463B0B5E"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Increasing Complexity of Clinical Trials</w:t>
      </w:r>
    </w:p>
    <w:p w14:paraId="622FDD61"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Clinical trials have become increasingly complex over the past decade due to advancements in biomedical science and precision medicine. Modern studies often involve large multinational collaborations, adaptive protocols, genomic biomarkers, and highly specialized therapeutic interventions.</w:t>
      </w:r>
    </w:p>
    <w:p w14:paraId="614CAFF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Although these innovations improve scientific precision, they also increase the complexity of protocol implementation and regulatory oversight. Complex study procedures may lead to higher rates of protocol deviations, increased operational burden, and difficulties in maintaining compliance with GCP requirements (8).</w:t>
      </w:r>
    </w:p>
    <w:p w14:paraId="5607C636" w14:textId="75BBDA69"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Furthermore, extensive data collection requirements and complicated eligibility criteria can negatively affect participant recruitment and retention.</w:t>
      </w:r>
    </w:p>
    <w:p w14:paraId="42B6EAAD" w14:textId="7E55C47D" w:rsidR="00770097" w:rsidRDefault="00770097" w:rsidP="00342AF5">
      <w:pPr>
        <w:spacing w:after="0" w:line="240" w:lineRule="auto"/>
        <w:rPr>
          <w:rFonts w:ascii="Times New Roman" w:eastAsia="Times New Roman" w:hAnsi="Times New Roman" w:cs="Times New Roman"/>
          <w:sz w:val="24"/>
          <w:szCs w:val="24"/>
        </w:rPr>
      </w:pPr>
    </w:p>
    <w:p w14:paraId="3B5FE0DA" w14:textId="314FFE47" w:rsidR="00770097" w:rsidRPr="00770097" w:rsidRDefault="00770097" w:rsidP="00342AF5">
      <w:pPr>
        <w:spacing w:after="0" w:line="240" w:lineRule="auto"/>
        <w:rPr>
          <w:rFonts w:ascii="Times New Roman" w:hAnsi="Times New Roman" w:cs="Times New Roman"/>
          <w:sz w:val="24"/>
          <w:szCs w:val="24"/>
        </w:rPr>
      </w:pPr>
      <w:r w:rsidRPr="00770097">
        <w:rPr>
          <w:rFonts w:ascii="Times New Roman" w:hAnsi="Times New Roman" w:cs="Times New Roman"/>
          <w:sz w:val="24"/>
          <w:szCs w:val="24"/>
        </w:rPr>
        <w:t>Table 1: Major Challenges in Good Clinical Practice (GCP)</w:t>
      </w:r>
    </w:p>
    <w:tbl>
      <w:tblPr>
        <w:tblStyle w:val="TableGrid"/>
        <w:tblW w:w="0" w:type="auto"/>
        <w:tblLook w:val="04A0" w:firstRow="1" w:lastRow="0" w:firstColumn="1" w:lastColumn="0" w:noHBand="0" w:noVBand="1"/>
      </w:tblPr>
      <w:tblGrid>
        <w:gridCol w:w="3116"/>
        <w:gridCol w:w="3117"/>
        <w:gridCol w:w="3117"/>
      </w:tblGrid>
      <w:tr w:rsidR="00770097" w14:paraId="070422E3" w14:textId="77777777" w:rsidTr="00770097">
        <w:tc>
          <w:tcPr>
            <w:tcW w:w="3116" w:type="dxa"/>
            <w:shd w:val="clear" w:color="auto" w:fill="FFE599" w:themeFill="accent4" w:themeFillTint="66"/>
            <w:vAlign w:val="center"/>
          </w:tcPr>
          <w:p w14:paraId="68997D68" w14:textId="2345A1C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Domain</w:t>
            </w:r>
          </w:p>
        </w:tc>
        <w:tc>
          <w:tcPr>
            <w:tcW w:w="3117" w:type="dxa"/>
            <w:shd w:val="clear" w:color="auto" w:fill="FFE599" w:themeFill="accent4" w:themeFillTint="66"/>
            <w:vAlign w:val="center"/>
          </w:tcPr>
          <w:p w14:paraId="636CF28B" w14:textId="415BCF3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Key Challenges</w:t>
            </w:r>
          </w:p>
        </w:tc>
        <w:tc>
          <w:tcPr>
            <w:tcW w:w="3117" w:type="dxa"/>
            <w:shd w:val="clear" w:color="auto" w:fill="FFE599" w:themeFill="accent4" w:themeFillTint="66"/>
            <w:vAlign w:val="center"/>
          </w:tcPr>
          <w:p w14:paraId="65A1B0AF" w14:textId="7A296A36"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Impact on Clinical Trials</w:t>
            </w:r>
          </w:p>
        </w:tc>
      </w:tr>
      <w:tr w:rsidR="00770097" w14:paraId="6A1C1536" w14:textId="77777777" w:rsidTr="00770097">
        <w:tc>
          <w:tcPr>
            <w:tcW w:w="3116" w:type="dxa"/>
            <w:shd w:val="clear" w:color="auto" w:fill="FFE599" w:themeFill="accent4" w:themeFillTint="66"/>
            <w:vAlign w:val="center"/>
          </w:tcPr>
          <w:p w14:paraId="44BB14DD" w14:textId="21DC95C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Protocol Complexity</w:t>
            </w:r>
          </w:p>
        </w:tc>
        <w:tc>
          <w:tcPr>
            <w:tcW w:w="3117" w:type="dxa"/>
            <w:shd w:val="clear" w:color="auto" w:fill="FFE599" w:themeFill="accent4" w:themeFillTint="66"/>
            <w:vAlign w:val="center"/>
          </w:tcPr>
          <w:p w14:paraId="581C372E" w14:textId="266AA60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 xml:space="preserve">Increasing multicenter, adaptive, and precision-based </w:t>
            </w:r>
            <w:r w:rsidRPr="00770097">
              <w:rPr>
                <w:rFonts w:ascii="Times New Roman" w:eastAsia="Times New Roman" w:hAnsi="Times New Roman" w:cs="Times New Roman"/>
                <w:sz w:val="24"/>
                <w:szCs w:val="24"/>
              </w:rPr>
              <w:lastRenderedPageBreak/>
              <w:t>trial designs</w:t>
            </w:r>
          </w:p>
        </w:tc>
        <w:tc>
          <w:tcPr>
            <w:tcW w:w="3117" w:type="dxa"/>
            <w:shd w:val="clear" w:color="auto" w:fill="FFE599" w:themeFill="accent4" w:themeFillTint="66"/>
            <w:vAlign w:val="center"/>
          </w:tcPr>
          <w:p w14:paraId="4D7DB1D5" w14:textId="646FE68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lastRenderedPageBreak/>
              <w:t xml:space="preserve">Higher protocol deviations, operational burden, delayed </w:t>
            </w:r>
            <w:r w:rsidRPr="00770097">
              <w:rPr>
                <w:rFonts w:ascii="Times New Roman" w:eastAsia="Times New Roman" w:hAnsi="Times New Roman" w:cs="Times New Roman"/>
                <w:sz w:val="24"/>
                <w:szCs w:val="24"/>
              </w:rPr>
              <w:lastRenderedPageBreak/>
              <w:t>completion</w:t>
            </w:r>
          </w:p>
        </w:tc>
      </w:tr>
      <w:tr w:rsidR="00770097" w14:paraId="38B55D2D" w14:textId="77777777" w:rsidTr="00770097">
        <w:tc>
          <w:tcPr>
            <w:tcW w:w="3116" w:type="dxa"/>
            <w:shd w:val="clear" w:color="auto" w:fill="FFE599" w:themeFill="accent4" w:themeFillTint="66"/>
            <w:vAlign w:val="center"/>
          </w:tcPr>
          <w:p w14:paraId="5266BAD7" w14:textId="33EBCBA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lastRenderedPageBreak/>
              <w:t>Ethical Issues</w:t>
            </w:r>
          </w:p>
        </w:tc>
        <w:tc>
          <w:tcPr>
            <w:tcW w:w="3117" w:type="dxa"/>
            <w:shd w:val="clear" w:color="auto" w:fill="FFE599" w:themeFill="accent4" w:themeFillTint="66"/>
            <w:vAlign w:val="center"/>
          </w:tcPr>
          <w:p w14:paraId="4A1ABE78" w14:textId="77F0436B"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Vulnerable populations, fairness in recruitment, risk–benefit imbalance</w:t>
            </w:r>
          </w:p>
        </w:tc>
        <w:tc>
          <w:tcPr>
            <w:tcW w:w="3117" w:type="dxa"/>
            <w:shd w:val="clear" w:color="auto" w:fill="FFE599" w:themeFill="accent4" w:themeFillTint="66"/>
            <w:vAlign w:val="center"/>
          </w:tcPr>
          <w:p w14:paraId="7F09DECD" w14:textId="57574ED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Ethical review difficulties, variability across regions</w:t>
            </w:r>
          </w:p>
        </w:tc>
      </w:tr>
      <w:tr w:rsidR="00770097" w14:paraId="4859B1C2" w14:textId="77777777" w:rsidTr="00770097">
        <w:tc>
          <w:tcPr>
            <w:tcW w:w="3116" w:type="dxa"/>
            <w:shd w:val="clear" w:color="auto" w:fill="FFE599" w:themeFill="accent4" w:themeFillTint="66"/>
            <w:vAlign w:val="center"/>
          </w:tcPr>
          <w:p w14:paraId="20C4672F" w14:textId="4B78686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Informed Consent</w:t>
            </w:r>
          </w:p>
        </w:tc>
        <w:tc>
          <w:tcPr>
            <w:tcW w:w="3117" w:type="dxa"/>
            <w:shd w:val="clear" w:color="auto" w:fill="FFE599" w:themeFill="accent4" w:themeFillTint="66"/>
            <w:vAlign w:val="center"/>
          </w:tcPr>
          <w:p w14:paraId="29B735C4" w14:textId="6549BFCF"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Use of electronic consent and complex medical information</w:t>
            </w:r>
          </w:p>
        </w:tc>
        <w:tc>
          <w:tcPr>
            <w:tcW w:w="3117" w:type="dxa"/>
            <w:shd w:val="clear" w:color="auto" w:fill="FFE599" w:themeFill="accent4" w:themeFillTint="66"/>
            <w:vAlign w:val="center"/>
          </w:tcPr>
          <w:p w14:paraId="749662D0" w14:textId="59504F3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Reduced understanding, digital literacy barriers</w:t>
            </w:r>
          </w:p>
        </w:tc>
      </w:tr>
      <w:tr w:rsidR="00770097" w14:paraId="60F00031" w14:textId="77777777" w:rsidTr="00770097">
        <w:tc>
          <w:tcPr>
            <w:tcW w:w="3116" w:type="dxa"/>
            <w:shd w:val="clear" w:color="auto" w:fill="FFE599" w:themeFill="accent4" w:themeFillTint="66"/>
            <w:vAlign w:val="center"/>
          </w:tcPr>
          <w:p w14:paraId="34054468" w14:textId="78FC348A"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Data Integrity</w:t>
            </w:r>
          </w:p>
        </w:tc>
        <w:tc>
          <w:tcPr>
            <w:tcW w:w="3117" w:type="dxa"/>
            <w:shd w:val="clear" w:color="auto" w:fill="FFE599" w:themeFill="accent4" w:themeFillTint="66"/>
            <w:vAlign w:val="center"/>
          </w:tcPr>
          <w:p w14:paraId="491E16F5" w14:textId="7E78957B"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Electronic data systems, cloud storage, wearable devices</w:t>
            </w:r>
          </w:p>
        </w:tc>
        <w:tc>
          <w:tcPr>
            <w:tcW w:w="3117" w:type="dxa"/>
            <w:shd w:val="clear" w:color="auto" w:fill="FFE599" w:themeFill="accent4" w:themeFillTint="66"/>
            <w:vAlign w:val="center"/>
          </w:tcPr>
          <w:p w14:paraId="2263924B" w14:textId="730B798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Risk of data breaches and manipulation</w:t>
            </w:r>
          </w:p>
        </w:tc>
      </w:tr>
      <w:tr w:rsidR="00770097" w14:paraId="41A39869" w14:textId="77777777" w:rsidTr="00770097">
        <w:tc>
          <w:tcPr>
            <w:tcW w:w="3116" w:type="dxa"/>
            <w:shd w:val="clear" w:color="auto" w:fill="FFE599" w:themeFill="accent4" w:themeFillTint="66"/>
            <w:vAlign w:val="center"/>
          </w:tcPr>
          <w:p w14:paraId="7244336F" w14:textId="1A432FC1"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Regulatory Variability</w:t>
            </w:r>
          </w:p>
        </w:tc>
        <w:tc>
          <w:tcPr>
            <w:tcW w:w="3117" w:type="dxa"/>
            <w:shd w:val="clear" w:color="auto" w:fill="FFE599" w:themeFill="accent4" w:themeFillTint="66"/>
            <w:vAlign w:val="center"/>
          </w:tcPr>
          <w:p w14:paraId="3D762F26" w14:textId="1E8BB9A2"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Differences in global regulatory requirements</w:t>
            </w:r>
          </w:p>
        </w:tc>
        <w:tc>
          <w:tcPr>
            <w:tcW w:w="3117" w:type="dxa"/>
            <w:shd w:val="clear" w:color="auto" w:fill="FFE599" w:themeFill="accent4" w:themeFillTint="66"/>
            <w:vAlign w:val="center"/>
          </w:tcPr>
          <w:p w14:paraId="79FB8829" w14:textId="715D505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Delays in approvals, increased compliance burden</w:t>
            </w:r>
          </w:p>
        </w:tc>
      </w:tr>
      <w:tr w:rsidR="00770097" w14:paraId="7BB7384E" w14:textId="77777777" w:rsidTr="00770097">
        <w:tc>
          <w:tcPr>
            <w:tcW w:w="3116" w:type="dxa"/>
            <w:shd w:val="clear" w:color="auto" w:fill="FFE599" w:themeFill="accent4" w:themeFillTint="66"/>
            <w:vAlign w:val="center"/>
          </w:tcPr>
          <w:p w14:paraId="3C1AD660" w14:textId="23E1222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Decentralized Trials</w:t>
            </w:r>
          </w:p>
        </w:tc>
        <w:tc>
          <w:tcPr>
            <w:tcW w:w="3117" w:type="dxa"/>
            <w:shd w:val="clear" w:color="auto" w:fill="FFE599" w:themeFill="accent4" w:themeFillTint="66"/>
            <w:vAlign w:val="center"/>
          </w:tcPr>
          <w:p w14:paraId="6C9EFFBB" w14:textId="0EE823B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Remote monitoring and home-based assessments</w:t>
            </w:r>
          </w:p>
        </w:tc>
        <w:tc>
          <w:tcPr>
            <w:tcW w:w="3117" w:type="dxa"/>
            <w:shd w:val="clear" w:color="auto" w:fill="FFE599" w:themeFill="accent4" w:themeFillTint="66"/>
            <w:vAlign w:val="center"/>
          </w:tcPr>
          <w:p w14:paraId="2AC5A77D" w14:textId="7AADD18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Limited investigator oversight and validation challenges</w:t>
            </w:r>
          </w:p>
        </w:tc>
      </w:tr>
    </w:tbl>
    <w:p w14:paraId="034BEEE5" w14:textId="7D6FBD9F" w:rsidR="00342AF5" w:rsidRPr="00342AF5" w:rsidRDefault="00342AF5" w:rsidP="00342AF5">
      <w:pPr>
        <w:spacing w:after="0" w:line="240" w:lineRule="auto"/>
        <w:rPr>
          <w:rFonts w:ascii="Times New Roman" w:eastAsia="Times New Roman" w:hAnsi="Times New Roman" w:cs="Times New Roman"/>
          <w:sz w:val="24"/>
          <w:szCs w:val="24"/>
        </w:rPr>
      </w:pPr>
    </w:p>
    <w:p w14:paraId="1318828A"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Ethical Challenges in Clinical Research</w:t>
      </w:r>
    </w:p>
    <w:p w14:paraId="2E54963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Ethical considerations remain central to the implementation of Good Clinical Practice. Ensuring participant safety and maintaining ethical integrity have become more challenging in increasingly complex and technology-driven research environments.</w:t>
      </w:r>
    </w:p>
    <w:p w14:paraId="7E13A1A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Important ethical concerns include protection of vulnerable populations, equitable participant selection, fair risk–benefit assessment, privacy protection, and transparency in data handling. Researchers must ensure that participants fully understand study procedures, potential risks, and expected benefits before enrollment (9).</w:t>
      </w:r>
    </w:p>
    <w:p w14:paraId="522D968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globalization of clinical trials has also introduced ethical variability across countries with different healthcare systems, cultural values, and regulatory structures. Maintaining consistent ethical standards across multinational studies continues to be a significant challenge.</w:t>
      </w:r>
    </w:p>
    <w:p w14:paraId="39F4937B" w14:textId="42CA85E1" w:rsidR="00342AF5" w:rsidRPr="00342AF5" w:rsidRDefault="00342AF5" w:rsidP="00342AF5">
      <w:pPr>
        <w:spacing w:after="0" w:line="240" w:lineRule="auto"/>
        <w:rPr>
          <w:rFonts w:ascii="Times New Roman" w:eastAsia="Times New Roman" w:hAnsi="Times New Roman" w:cs="Times New Roman"/>
          <w:sz w:val="24"/>
          <w:szCs w:val="24"/>
        </w:rPr>
      </w:pPr>
    </w:p>
    <w:p w14:paraId="76CAB8BC"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Challenges in Informed Consent</w:t>
      </w:r>
    </w:p>
    <w:p w14:paraId="5A1E0971"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Informed consent is a fundamental principle of ethical clinical research. Traditionally, informed consent involved face-to-face discussion and written documentation. However, digital technologies have transformed the consent process through electronic informed consent (eConsent) systems.</w:t>
      </w:r>
    </w:p>
    <w:p w14:paraId="4D5D2BB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Electronic consent platforms may improve accessibility, participant engagement, and documentation efficiency. Despite these advantages, concerns remain regarding participant comprehension, digital literacy, data confidentiality, and regulatory acceptance (10).</w:t>
      </w:r>
    </w:p>
    <w:p w14:paraId="0A62C20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In highly technical clinical trials, participants may struggle to fully understand complex scientific information. Ensuring voluntary participation and meaningful understanding remains essential for ethical compliance.</w:t>
      </w:r>
    </w:p>
    <w:p w14:paraId="09BA6961" w14:textId="6E7EF229" w:rsidR="00342AF5" w:rsidRPr="00342AF5" w:rsidRDefault="00342AF5" w:rsidP="00342AF5">
      <w:pPr>
        <w:spacing w:after="0" w:line="240" w:lineRule="auto"/>
        <w:rPr>
          <w:rFonts w:ascii="Times New Roman" w:eastAsia="Times New Roman" w:hAnsi="Times New Roman" w:cs="Times New Roman"/>
          <w:sz w:val="24"/>
          <w:szCs w:val="24"/>
        </w:rPr>
      </w:pPr>
    </w:p>
    <w:p w14:paraId="4F6951C1"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Data Integrity and Cybersecurity</w:t>
      </w:r>
    </w:p>
    <w:p w14:paraId="167236B4"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Modern clinical trials increasingly depend on electronic systems, cloud-based platforms, wearable devices, and remote monitoring technologies for data collection and management. While these tools improve efficiency and real-time monitoring, they also create new risks related to cybersecurity and data integrity.</w:t>
      </w:r>
    </w:p>
    <w:p w14:paraId="36A945D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lastRenderedPageBreak/>
        <w:t>Potential concerns include data breaches, unauthorized access, electronic record manipulation, and inadequate system validation. Regulatory authorities now place substantial emphasis on audit readiness, electronic system validation, and secure data governance practices (11).</w:t>
      </w:r>
    </w:p>
    <w:p w14:paraId="16E960F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Maintaining accurate, reliable, and traceable research data has become a critical component of GCP compliance.</w:t>
      </w:r>
    </w:p>
    <w:p w14:paraId="123A8482" w14:textId="171CFE8A" w:rsidR="00342AF5" w:rsidRPr="00342AF5" w:rsidRDefault="00342AF5" w:rsidP="00342AF5">
      <w:pPr>
        <w:spacing w:after="0" w:line="240" w:lineRule="auto"/>
        <w:rPr>
          <w:rFonts w:ascii="Times New Roman" w:eastAsia="Times New Roman" w:hAnsi="Times New Roman" w:cs="Times New Roman"/>
          <w:sz w:val="24"/>
          <w:szCs w:val="24"/>
        </w:rPr>
      </w:pPr>
    </w:p>
    <w:p w14:paraId="69FA2459"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Regulatory Variability Across Countries</w:t>
      </w:r>
    </w:p>
    <w:p w14:paraId="3C51623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globalization of clinical trials has increased the need for international regulatory harmonisation. However, differences still exist in ethics review procedures, approval timelines, documentation requirements, and safety reporting systems among various countries.</w:t>
      </w:r>
    </w:p>
    <w:p w14:paraId="1931C9C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Lack of regulatory harmonisation may delay study initiation, increase administrative burden, and complicate multinational trial management (12). Researchers and sponsors conducting global trials must comply with multiple regulatory frameworks simultaneously, which often increases operational costs and complexity.</w:t>
      </w:r>
    </w:p>
    <w:p w14:paraId="26176D94" w14:textId="4E5DC07C" w:rsidR="00342AF5" w:rsidRPr="00342AF5" w:rsidRDefault="00342AF5" w:rsidP="00342AF5">
      <w:pPr>
        <w:spacing w:after="0" w:line="240" w:lineRule="auto"/>
        <w:rPr>
          <w:rFonts w:ascii="Times New Roman" w:eastAsia="Times New Roman" w:hAnsi="Times New Roman" w:cs="Times New Roman"/>
          <w:sz w:val="24"/>
          <w:szCs w:val="24"/>
        </w:rPr>
      </w:pPr>
    </w:p>
    <w:p w14:paraId="6BD391C4"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Impact of Decentralized Clinical Trials</w:t>
      </w:r>
    </w:p>
    <w:p w14:paraId="2E8C059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Decentralized clinical trials (DCTs) gained significant attention during the COVID-19 pandemic. These trials utilize telemedicine, remote patient monitoring, wearable devices, and home-based assessments to reduce participant burden and improve accessibility (13).</w:t>
      </w:r>
    </w:p>
    <w:p w14:paraId="4CBF2F3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Decentralized models may improve participant recruitment, retention, and geographic diversity. However, they also present challenges related to investigator oversight, source data verification, technology reliability, and regulatory compliance.</w:t>
      </w:r>
    </w:p>
    <w:p w14:paraId="5D836E7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Ensuring participant safety and maintaining consistent trial quality in remote settings remain important concerns for regulators and investigators.</w:t>
      </w:r>
    </w:p>
    <w:p w14:paraId="1632372F" w14:textId="7DAE3267" w:rsidR="00342AF5" w:rsidRPr="00342AF5" w:rsidRDefault="00342AF5" w:rsidP="00342AF5">
      <w:pPr>
        <w:spacing w:after="0" w:line="240" w:lineRule="auto"/>
        <w:rPr>
          <w:rFonts w:ascii="Times New Roman" w:eastAsia="Times New Roman" w:hAnsi="Times New Roman" w:cs="Times New Roman"/>
          <w:sz w:val="24"/>
          <w:szCs w:val="24"/>
        </w:rPr>
      </w:pPr>
    </w:p>
    <w:p w14:paraId="1F7BB907"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Regulatory Developments in Good Clinical Practice</w:t>
      </w:r>
    </w:p>
    <w:p w14:paraId="687608CC"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ICH E6(R3) Modernization</w:t>
      </w:r>
    </w:p>
    <w:p w14:paraId="133C705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updated ICH E6(R3) guideline represents one of the most important recent developments in Good Clinical Practice. The revised framework focuses on risk-based quality management, proportional oversight, and flexibility in trial conduct.</w:t>
      </w:r>
    </w:p>
    <w:p w14:paraId="10AED1F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guideline encourages sponsors and investigators to identify critical-to-quality factors and implement targeted risk management strategies throughout the clinical trial lifecycle (4).</w:t>
      </w:r>
    </w:p>
    <w:p w14:paraId="1DB8A23B" w14:textId="206ACE07"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ICH E6(R3) also supports the integration of innovative technologies while maintaining participant safety and data reliability.</w:t>
      </w:r>
    </w:p>
    <w:p w14:paraId="3C6EB1D1" w14:textId="77777777" w:rsidR="00770097" w:rsidRDefault="00770097" w:rsidP="00342AF5">
      <w:pPr>
        <w:spacing w:after="0" w:line="240" w:lineRule="auto"/>
        <w:rPr>
          <w:rFonts w:ascii="Times New Roman" w:eastAsia="Times New Roman" w:hAnsi="Times New Roman" w:cs="Times New Roman"/>
          <w:sz w:val="24"/>
          <w:szCs w:val="24"/>
        </w:rPr>
      </w:pPr>
    </w:p>
    <w:p w14:paraId="21C5236C" w14:textId="77777777" w:rsidR="00770097" w:rsidRPr="00342AF5" w:rsidRDefault="00770097" w:rsidP="00342AF5">
      <w:pPr>
        <w:spacing w:after="0" w:line="240" w:lineRule="auto"/>
        <w:rPr>
          <w:rFonts w:ascii="Times New Roman" w:eastAsia="Times New Roman" w:hAnsi="Times New Roman" w:cs="Times New Roman"/>
          <w:sz w:val="24"/>
          <w:szCs w:val="24"/>
        </w:rPr>
      </w:pPr>
    </w:p>
    <w:p w14:paraId="4F347432" w14:textId="1ED0A610" w:rsidR="00342AF5" w:rsidRPr="00342AF5" w:rsidRDefault="00342AF5" w:rsidP="00342AF5">
      <w:pPr>
        <w:spacing w:after="0" w:line="240" w:lineRule="auto"/>
        <w:rPr>
          <w:rFonts w:ascii="Times New Roman" w:eastAsia="Times New Roman" w:hAnsi="Times New Roman" w:cs="Times New Roman"/>
          <w:sz w:val="24"/>
          <w:szCs w:val="24"/>
        </w:rPr>
      </w:pPr>
    </w:p>
    <w:p w14:paraId="2A5A75EF"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Risk-Based Monitoring</w:t>
      </w:r>
    </w:p>
    <w:p w14:paraId="6B6B2E82"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Traditional monitoring approaches relied heavily on routine on-site visits and source data verification. However, modern clinical research increasingly uses risk-based monitoring (RBM) strategies.</w:t>
      </w:r>
    </w:p>
    <w:p w14:paraId="09E42585"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Risk-based monitoring focuses on identifying critical study risks and utilizing centralized monitoring systems to improve efficiency and resource allocation (14). This approach reduces unnecessary workload while maintaining data quality and participant protection.</w:t>
      </w:r>
    </w:p>
    <w:p w14:paraId="10800F33"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Regulatory authorities now widely support RBM as part of modern GCP implementation.</w:t>
      </w:r>
    </w:p>
    <w:p w14:paraId="1BD3CDA1" w14:textId="457F650A" w:rsidR="00342AF5" w:rsidRPr="00342AF5" w:rsidRDefault="00342AF5" w:rsidP="00342AF5">
      <w:pPr>
        <w:spacing w:after="0" w:line="240" w:lineRule="auto"/>
        <w:rPr>
          <w:rFonts w:ascii="Times New Roman" w:eastAsia="Times New Roman" w:hAnsi="Times New Roman" w:cs="Times New Roman"/>
          <w:sz w:val="24"/>
          <w:szCs w:val="24"/>
        </w:rPr>
      </w:pPr>
    </w:p>
    <w:p w14:paraId="27845283"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lastRenderedPageBreak/>
        <w:t>Patient-Centered Clinical Trials</w:t>
      </w:r>
    </w:p>
    <w:p w14:paraId="1A5E27D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Patient-centered research has become an important component of contemporary clinical trial design. Increasingly, patients are involved in protocol development, endpoint selection, and study planning processes.</w:t>
      </w:r>
    </w:p>
    <w:p w14:paraId="292AF1B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Patient engagement may improve recruitment, participant retention, treatment adherence, and overall trial relevance (15). Regulatory agencies now encourage greater incorporation of patient perspectives into clinical research activities.</w:t>
      </w:r>
    </w:p>
    <w:p w14:paraId="6F87E36D" w14:textId="4354176F" w:rsidR="00342AF5" w:rsidRPr="00342AF5" w:rsidRDefault="00342AF5" w:rsidP="00342AF5">
      <w:pPr>
        <w:spacing w:after="0" w:line="240" w:lineRule="auto"/>
        <w:rPr>
          <w:rFonts w:ascii="Times New Roman" w:eastAsia="Times New Roman" w:hAnsi="Times New Roman" w:cs="Times New Roman"/>
          <w:sz w:val="24"/>
          <w:szCs w:val="24"/>
        </w:rPr>
      </w:pPr>
    </w:p>
    <w:p w14:paraId="4B2CC6A8"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Role of Artificial Intelligence and Digital Technologies</w:t>
      </w:r>
    </w:p>
    <w:p w14:paraId="0FCDF0D4"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Artificial intelligence (AI) and digital technologies are transforming modern clinical research. AI applications in clinical trials include participant recruitment, predictive analytics, pharmacovigilance, image interpretation, and automated data analysis.</w:t>
      </w:r>
    </w:p>
    <w:p w14:paraId="6A9CA7A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Artificial intelligence has the potential to improve trial efficiency, accelerate decision-making, and optimize operational workflows. However, concerns remain regarding algorithm transparency, bias, accountability, and ethical oversight (16).</w:t>
      </w:r>
    </w:p>
    <w:p w14:paraId="16D91CDF"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Digital health technologies, wearable devices, and electronic patient-reported outcomes have also expanded opportunities for remote monitoring and real-world evidence generation.</w:t>
      </w:r>
    </w:p>
    <w:p w14:paraId="22355102"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Despite these advantages, regulatory frameworks governing AI integration in clinical trials are still evolving.</w:t>
      </w:r>
    </w:p>
    <w:p w14:paraId="727183D4" w14:textId="0C13DF42" w:rsidR="00342AF5" w:rsidRPr="00342AF5" w:rsidRDefault="00342AF5" w:rsidP="00342AF5">
      <w:pPr>
        <w:spacing w:after="0" w:line="240" w:lineRule="auto"/>
        <w:rPr>
          <w:rFonts w:ascii="Times New Roman" w:eastAsia="Times New Roman" w:hAnsi="Times New Roman" w:cs="Times New Roman"/>
          <w:sz w:val="24"/>
          <w:szCs w:val="24"/>
        </w:rPr>
      </w:pPr>
    </w:p>
    <w:p w14:paraId="07DB4E83"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Future Perspectives</w:t>
      </w:r>
    </w:p>
    <w:p w14:paraId="035F99B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future of Good Clinical Practice is expected to focus on greater flexibility, digital integration, and global regulatory collaboration. Hybrid and decentralized clinical trial models are likely to become increasingly common in future research.</w:t>
      </w:r>
    </w:p>
    <w:p w14:paraId="05979AD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Emerging priorities in GCP include:</w:t>
      </w:r>
    </w:p>
    <w:p w14:paraId="241C7397"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Greater international regulatory harmonisation </w:t>
      </w:r>
    </w:p>
    <w:p w14:paraId="728B2BE3"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Integration of AI governance frameworks </w:t>
      </w:r>
    </w:p>
    <w:p w14:paraId="601FA0F8"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Advanced cybersecurity and data protection systems </w:t>
      </w:r>
    </w:p>
    <w:p w14:paraId="386F2D86"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Expansion of real-world evidence generation </w:t>
      </w:r>
    </w:p>
    <w:p w14:paraId="1C3248F2"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Improved patient engagement strategies </w:t>
      </w:r>
    </w:p>
    <w:p w14:paraId="50252888"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Enhanced transparency in clinical research </w:t>
      </w:r>
    </w:p>
    <w:p w14:paraId="3C90C13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Training investigators and research staff in digital competencies, ethical decision-making, and regulatory compliance will become increasingly important.</w:t>
      </w:r>
    </w:p>
    <w:p w14:paraId="18517D0E" w14:textId="22ECBAAE"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Future GCP frameworks must balance innovation with participant safety, ethical responsibility, and scientific integrity.</w:t>
      </w:r>
    </w:p>
    <w:p w14:paraId="6EC273E2" w14:textId="34E49AAA" w:rsidR="00770097" w:rsidRDefault="00770097" w:rsidP="00342AF5">
      <w:pPr>
        <w:spacing w:after="0" w:line="240" w:lineRule="auto"/>
        <w:rPr>
          <w:rFonts w:ascii="Times New Roman" w:eastAsia="Times New Roman" w:hAnsi="Times New Roman" w:cs="Times New Roman"/>
          <w:sz w:val="24"/>
          <w:szCs w:val="24"/>
        </w:rPr>
      </w:pPr>
    </w:p>
    <w:p w14:paraId="410E4572" w14:textId="605C4930" w:rsidR="00770097" w:rsidRDefault="00770097" w:rsidP="00342AF5">
      <w:pPr>
        <w:spacing w:after="0" w:line="240" w:lineRule="auto"/>
        <w:rPr>
          <w:rFonts w:ascii="Times New Roman" w:eastAsia="Times New Roman" w:hAnsi="Times New Roman" w:cs="Times New Roman"/>
          <w:sz w:val="24"/>
          <w:szCs w:val="24"/>
        </w:rPr>
      </w:pPr>
    </w:p>
    <w:p w14:paraId="4F709C0A" w14:textId="77777777" w:rsidR="00770097" w:rsidRDefault="00770097" w:rsidP="00342AF5">
      <w:pPr>
        <w:spacing w:after="0" w:line="240" w:lineRule="auto"/>
        <w:rPr>
          <w:rFonts w:ascii="Times New Roman" w:eastAsia="Times New Roman" w:hAnsi="Times New Roman" w:cs="Times New Roman"/>
          <w:sz w:val="24"/>
          <w:szCs w:val="24"/>
        </w:rPr>
      </w:pPr>
    </w:p>
    <w:p w14:paraId="0105533A" w14:textId="097C7BE7" w:rsidR="00770097" w:rsidRDefault="00770097" w:rsidP="00342AF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70097">
        <w:rPr>
          <w:rFonts w:ascii="Times New Roman" w:hAnsi="Times New Roman" w:cs="Times New Roman"/>
          <w:sz w:val="24"/>
          <w:szCs w:val="24"/>
        </w:rPr>
        <w:t>able 2: Future Perspectives in Good Clinical Practice</w:t>
      </w:r>
      <w:r>
        <w:rPr>
          <w:rFonts w:ascii="Times New Roman" w:hAnsi="Times New Roman" w:cs="Times New Roman"/>
          <w:sz w:val="24"/>
          <w:szCs w:val="24"/>
        </w:rPr>
        <w:t>:</w:t>
      </w:r>
    </w:p>
    <w:p w14:paraId="07AA0412" w14:textId="77777777" w:rsidR="00770097" w:rsidRPr="00770097" w:rsidRDefault="00770097" w:rsidP="00342AF5">
      <w:pPr>
        <w:spacing w:after="0" w:line="240" w:lineRule="auto"/>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3116"/>
        <w:gridCol w:w="3117"/>
        <w:gridCol w:w="3117"/>
      </w:tblGrid>
      <w:tr w:rsidR="00770097" w14:paraId="7EE294F0" w14:textId="77777777" w:rsidTr="00770097">
        <w:tc>
          <w:tcPr>
            <w:tcW w:w="3116" w:type="dxa"/>
            <w:shd w:val="clear" w:color="auto" w:fill="FFE599" w:themeFill="accent4" w:themeFillTint="66"/>
            <w:vAlign w:val="center"/>
          </w:tcPr>
          <w:p w14:paraId="42481025" w14:textId="2D7E0EB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Area</w:t>
            </w:r>
          </w:p>
        </w:tc>
        <w:tc>
          <w:tcPr>
            <w:tcW w:w="3117" w:type="dxa"/>
            <w:shd w:val="clear" w:color="auto" w:fill="FFE599" w:themeFill="accent4" w:themeFillTint="66"/>
            <w:vAlign w:val="center"/>
          </w:tcPr>
          <w:p w14:paraId="61A021B9" w14:textId="5806F1C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Future Development</w:t>
            </w:r>
          </w:p>
        </w:tc>
        <w:tc>
          <w:tcPr>
            <w:tcW w:w="3117" w:type="dxa"/>
            <w:shd w:val="clear" w:color="auto" w:fill="FFE599" w:themeFill="accent4" w:themeFillTint="66"/>
            <w:vAlign w:val="center"/>
          </w:tcPr>
          <w:p w14:paraId="573A9E95" w14:textId="1D75FF5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Expected Benefit</w:t>
            </w:r>
          </w:p>
        </w:tc>
      </w:tr>
      <w:tr w:rsidR="00770097" w14:paraId="60493DDA" w14:textId="77777777" w:rsidTr="00770097">
        <w:tc>
          <w:tcPr>
            <w:tcW w:w="3116" w:type="dxa"/>
            <w:shd w:val="clear" w:color="auto" w:fill="FFE599" w:themeFill="accent4" w:themeFillTint="66"/>
            <w:vAlign w:val="center"/>
          </w:tcPr>
          <w:p w14:paraId="5578C115" w14:textId="6C2298D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Regulatory Harmonisation</w:t>
            </w:r>
          </w:p>
        </w:tc>
        <w:tc>
          <w:tcPr>
            <w:tcW w:w="3117" w:type="dxa"/>
            <w:shd w:val="clear" w:color="auto" w:fill="FFE599" w:themeFill="accent4" w:themeFillTint="66"/>
            <w:vAlign w:val="center"/>
          </w:tcPr>
          <w:p w14:paraId="14943340" w14:textId="2DAD000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Alignment of global GCP standards (ICH E6 R3)</w:t>
            </w:r>
          </w:p>
        </w:tc>
        <w:tc>
          <w:tcPr>
            <w:tcW w:w="3117" w:type="dxa"/>
            <w:shd w:val="clear" w:color="auto" w:fill="FFE599" w:themeFill="accent4" w:themeFillTint="66"/>
            <w:vAlign w:val="center"/>
          </w:tcPr>
          <w:p w14:paraId="147ED1F4" w14:textId="203BEF5F"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Simplified multinational trials</w:t>
            </w:r>
          </w:p>
        </w:tc>
      </w:tr>
      <w:tr w:rsidR="00770097" w14:paraId="186A5EDE" w14:textId="77777777" w:rsidTr="00770097">
        <w:tc>
          <w:tcPr>
            <w:tcW w:w="3116" w:type="dxa"/>
            <w:shd w:val="clear" w:color="auto" w:fill="FFE599" w:themeFill="accent4" w:themeFillTint="66"/>
            <w:vAlign w:val="center"/>
          </w:tcPr>
          <w:p w14:paraId="74D6C795" w14:textId="365ADFB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Artificial Intelligence</w:t>
            </w:r>
          </w:p>
        </w:tc>
        <w:tc>
          <w:tcPr>
            <w:tcW w:w="3117" w:type="dxa"/>
            <w:shd w:val="clear" w:color="auto" w:fill="FFE599" w:themeFill="accent4" w:themeFillTint="66"/>
            <w:vAlign w:val="center"/>
          </w:tcPr>
          <w:p w14:paraId="6EB394D7" w14:textId="5744240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AI-driven recruitment, monitoring, and analysis</w:t>
            </w:r>
          </w:p>
        </w:tc>
        <w:tc>
          <w:tcPr>
            <w:tcW w:w="3117" w:type="dxa"/>
            <w:shd w:val="clear" w:color="auto" w:fill="FFE599" w:themeFill="accent4" w:themeFillTint="66"/>
            <w:vAlign w:val="center"/>
          </w:tcPr>
          <w:p w14:paraId="7A61E3BA" w14:textId="6C27DAA4"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Faster and more efficient trials</w:t>
            </w:r>
          </w:p>
        </w:tc>
      </w:tr>
      <w:tr w:rsidR="00770097" w14:paraId="72F5FC66" w14:textId="77777777" w:rsidTr="00770097">
        <w:tc>
          <w:tcPr>
            <w:tcW w:w="3116" w:type="dxa"/>
            <w:shd w:val="clear" w:color="auto" w:fill="FFE599" w:themeFill="accent4" w:themeFillTint="66"/>
            <w:vAlign w:val="center"/>
          </w:tcPr>
          <w:p w14:paraId="43C62DB6" w14:textId="4FFBB033"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Risk-Based Monitoring</w:t>
            </w:r>
          </w:p>
        </w:tc>
        <w:tc>
          <w:tcPr>
            <w:tcW w:w="3117" w:type="dxa"/>
            <w:shd w:val="clear" w:color="auto" w:fill="FFE599" w:themeFill="accent4" w:themeFillTint="66"/>
            <w:vAlign w:val="center"/>
          </w:tcPr>
          <w:p w14:paraId="24D46866" w14:textId="05A380A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 xml:space="preserve">Shift from full monitoring to </w:t>
            </w:r>
            <w:r w:rsidRPr="00770097">
              <w:rPr>
                <w:rFonts w:ascii="Times New Roman" w:eastAsia="Times New Roman" w:hAnsi="Times New Roman" w:cs="Times New Roman"/>
                <w:sz w:val="24"/>
                <w:szCs w:val="24"/>
              </w:rPr>
              <w:lastRenderedPageBreak/>
              <w:t>targeted risk approaches</w:t>
            </w:r>
          </w:p>
        </w:tc>
        <w:tc>
          <w:tcPr>
            <w:tcW w:w="3117" w:type="dxa"/>
            <w:shd w:val="clear" w:color="auto" w:fill="FFE599" w:themeFill="accent4" w:themeFillTint="66"/>
            <w:vAlign w:val="center"/>
          </w:tcPr>
          <w:p w14:paraId="03B5DD43" w14:textId="6C8B3E43"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lastRenderedPageBreak/>
              <w:t xml:space="preserve">Cost reduction and better </w:t>
            </w:r>
            <w:r w:rsidRPr="00770097">
              <w:rPr>
                <w:rFonts w:ascii="Times New Roman" w:eastAsia="Times New Roman" w:hAnsi="Times New Roman" w:cs="Times New Roman"/>
                <w:sz w:val="24"/>
                <w:szCs w:val="24"/>
              </w:rPr>
              <w:lastRenderedPageBreak/>
              <w:t>efficiency</w:t>
            </w:r>
          </w:p>
        </w:tc>
      </w:tr>
      <w:tr w:rsidR="00770097" w14:paraId="277F6FEE" w14:textId="77777777" w:rsidTr="00770097">
        <w:tc>
          <w:tcPr>
            <w:tcW w:w="3116" w:type="dxa"/>
            <w:shd w:val="clear" w:color="auto" w:fill="FFE599" w:themeFill="accent4" w:themeFillTint="66"/>
            <w:vAlign w:val="center"/>
          </w:tcPr>
          <w:p w14:paraId="61E0C392" w14:textId="34E0880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lastRenderedPageBreak/>
              <w:t>Decentralized Clinical Trials</w:t>
            </w:r>
          </w:p>
        </w:tc>
        <w:tc>
          <w:tcPr>
            <w:tcW w:w="3117" w:type="dxa"/>
            <w:shd w:val="clear" w:color="auto" w:fill="FFE599" w:themeFill="accent4" w:themeFillTint="66"/>
            <w:vAlign w:val="center"/>
          </w:tcPr>
          <w:p w14:paraId="06BBB540" w14:textId="24CE44F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Hybrid and fully remote trial models</w:t>
            </w:r>
          </w:p>
        </w:tc>
        <w:tc>
          <w:tcPr>
            <w:tcW w:w="3117" w:type="dxa"/>
            <w:shd w:val="clear" w:color="auto" w:fill="FFE599" w:themeFill="accent4" w:themeFillTint="66"/>
            <w:vAlign w:val="center"/>
          </w:tcPr>
          <w:p w14:paraId="6A24F95E" w14:textId="1839615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Improved patient access and retention</w:t>
            </w:r>
          </w:p>
        </w:tc>
      </w:tr>
      <w:tr w:rsidR="00770097" w14:paraId="3ED2601F" w14:textId="77777777" w:rsidTr="00770097">
        <w:tc>
          <w:tcPr>
            <w:tcW w:w="3116" w:type="dxa"/>
            <w:shd w:val="clear" w:color="auto" w:fill="FFE599" w:themeFill="accent4" w:themeFillTint="66"/>
            <w:vAlign w:val="center"/>
          </w:tcPr>
          <w:p w14:paraId="5EF5BCB3" w14:textId="6C58591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Patient-Centered Trials</w:t>
            </w:r>
          </w:p>
        </w:tc>
        <w:tc>
          <w:tcPr>
            <w:tcW w:w="3117" w:type="dxa"/>
            <w:shd w:val="clear" w:color="auto" w:fill="FFE599" w:themeFill="accent4" w:themeFillTint="66"/>
            <w:vAlign w:val="center"/>
          </w:tcPr>
          <w:p w14:paraId="1455048F" w14:textId="145EA552"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Increased patient involvement in design</w:t>
            </w:r>
          </w:p>
        </w:tc>
        <w:tc>
          <w:tcPr>
            <w:tcW w:w="3117" w:type="dxa"/>
            <w:shd w:val="clear" w:color="auto" w:fill="FFE599" w:themeFill="accent4" w:themeFillTint="66"/>
            <w:vAlign w:val="center"/>
          </w:tcPr>
          <w:p w14:paraId="1C9C9A26" w14:textId="0DF8E5E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Better recruitment and real-world relevance</w:t>
            </w:r>
          </w:p>
        </w:tc>
      </w:tr>
    </w:tbl>
    <w:p w14:paraId="0937314B" w14:textId="7168A9F6" w:rsidR="00342AF5" w:rsidRPr="00342AF5" w:rsidRDefault="00342AF5" w:rsidP="00342AF5">
      <w:pPr>
        <w:spacing w:after="0" w:line="240" w:lineRule="auto"/>
        <w:rPr>
          <w:rFonts w:ascii="Times New Roman" w:eastAsia="Times New Roman" w:hAnsi="Times New Roman" w:cs="Times New Roman"/>
          <w:sz w:val="24"/>
          <w:szCs w:val="24"/>
        </w:rPr>
      </w:pPr>
    </w:p>
    <w:p w14:paraId="256ACE5C"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Conclusion</w:t>
      </w:r>
    </w:p>
    <w:p w14:paraId="0D7B572C"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continues to evolve in response to rapid scientific advancement, technological innovation, and changing healthcare needs. Contemporary clinical trials offer new opportunities for improving patient care and accelerating medical innovation; however, they also introduce substantial ethical, operational, and regulatory challenges.</w:t>
      </w:r>
    </w:p>
    <w:p w14:paraId="4FCBEBD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Maintaining participant safety, ensuring data integrity, strengthening cybersecurity, and adapting regulatory systems to emerging technologies remain critical priorities in modern clinical research. Recent developments such as ICH E6(R3), risk-based monitoring, decentralized clinical trials, and patient-centered research approaches are reshaping the future of clinical trial conduct.</w:t>
      </w:r>
    </w:p>
    <w:p w14:paraId="5D24053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 balanced integration of innovation, ethical responsibility, and regulatory compliance will be essential for ensuring reliable, transparent, and patient-centered clinical research in the future.</w:t>
      </w:r>
    </w:p>
    <w:p w14:paraId="49E965A6" w14:textId="574D2B0A" w:rsidR="00342AF5" w:rsidRPr="00342AF5" w:rsidRDefault="00342AF5" w:rsidP="00342AF5">
      <w:pPr>
        <w:spacing w:after="0" w:line="240" w:lineRule="auto"/>
        <w:rPr>
          <w:rFonts w:ascii="Times New Roman" w:eastAsia="Times New Roman" w:hAnsi="Times New Roman" w:cs="Times New Roman"/>
          <w:sz w:val="24"/>
          <w:szCs w:val="24"/>
        </w:rPr>
      </w:pPr>
    </w:p>
    <w:p w14:paraId="19ED7A82"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References</w:t>
      </w:r>
    </w:p>
    <w:p w14:paraId="4681819A"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International Council for Harmonisation. ICH Harmonised Guideline for Good Clinical Practice E6(R2). 2016. </w:t>
      </w:r>
    </w:p>
    <w:p w14:paraId="7155C982" w14:textId="4501EBB2"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Vijayananthan A, Nawawi O.</w:t>
      </w:r>
      <w:r w:rsidRPr="00342AF5">
        <w:rPr>
          <w:rFonts w:ascii="Times New Roman" w:eastAsia="Times New Roman" w:hAnsi="Times New Roman" w:cs="Times New Roman"/>
          <w:sz w:val="24"/>
          <w:szCs w:val="24"/>
        </w:rPr>
        <w:t xml:space="preserve"> The importance of Good Clinical Practice guidelines and its role in clinical trials. </w:t>
      </w:r>
      <w:r w:rsidRPr="00342AF5">
        <w:rPr>
          <w:rFonts w:ascii="Times New Roman" w:eastAsia="Times New Roman" w:hAnsi="Times New Roman" w:cs="Times New Roman"/>
          <w:i/>
          <w:iCs/>
          <w:sz w:val="24"/>
          <w:szCs w:val="24"/>
        </w:rPr>
        <w:t>Biomed Imaging Interv J.</w:t>
      </w:r>
      <w:r w:rsidRPr="00342AF5">
        <w:rPr>
          <w:rFonts w:ascii="Times New Roman" w:eastAsia="Times New Roman" w:hAnsi="Times New Roman" w:cs="Times New Roman"/>
          <w:sz w:val="24"/>
          <w:szCs w:val="24"/>
        </w:rPr>
        <w:t xml:space="preserve"> 2008;4(1</w:t>
      </w:r>
      <w:r w:rsidR="00770097" w:rsidRPr="00342AF5">
        <w:rPr>
          <w:rFonts w:ascii="Times New Roman" w:eastAsia="Times New Roman" w:hAnsi="Times New Roman" w:cs="Times New Roman"/>
          <w:sz w:val="24"/>
          <w:szCs w:val="24"/>
        </w:rPr>
        <w:t>): e</w:t>
      </w:r>
      <w:r w:rsidRPr="00342AF5">
        <w:rPr>
          <w:rFonts w:ascii="Times New Roman" w:eastAsia="Times New Roman" w:hAnsi="Times New Roman" w:cs="Times New Roman"/>
          <w:sz w:val="24"/>
          <w:szCs w:val="24"/>
        </w:rPr>
        <w:t xml:space="preserve">5. </w:t>
      </w:r>
    </w:p>
    <w:p w14:paraId="032074E5"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Umscheid CA, Margolis DJ, Grossman CE</w:t>
      </w:r>
      <w:r w:rsidRPr="00342AF5">
        <w:rPr>
          <w:rFonts w:ascii="Times New Roman" w:eastAsia="Times New Roman" w:hAnsi="Times New Roman" w:cs="Times New Roman"/>
          <w:sz w:val="24"/>
          <w:szCs w:val="24"/>
        </w:rPr>
        <w:t xml:space="preserve">. Key concepts of clinical trials. </w:t>
      </w:r>
      <w:r w:rsidRPr="00342AF5">
        <w:rPr>
          <w:rFonts w:ascii="Times New Roman" w:eastAsia="Times New Roman" w:hAnsi="Times New Roman" w:cs="Times New Roman"/>
          <w:i/>
          <w:iCs/>
          <w:sz w:val="24"/>
          <w:szCs w:val="24"/>
        </w:rPr>
        <w:t>Clin Transl Sci.</w:t>
      </w:r>
      <w:r w:rsidRPr="00342AF5">
        <w:rPr>
          <w:rFonts w:ascii="Times New Roman" w:eastAsia="Times New Roman" w:hAnsi="Times New Roman" w:cs="Times New Roman"/>
          <w:sz w:val="24"/>
          <w:szCs w:val="24"/>
        </w:rPr>
        <w:t xml:space="preserve"> 2011;4(5):367–371. </w:t>
      </w:r>
    </w:p>
    <w:p w14:paraId="0F3121A1"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International Council for Harmonisation. ICH E6(R3) Draft Guideline for Good Clinical Practice. 2023. </w:t>
      </w:r>
    </w:p>
    <w:p w14:paraId="6AE3C5F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World Medical Association. Declaration of Helsinki: Ethical Principles for Medical Research Involving Human Subjects. 2013. </w:t>
      </w:r>
    </w:p>
    <w:p w14:paraId="3F2DEF6B" w14:textId="1A708698"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Getz KA, Campo RA.</w:t>
      </w:r>
      <w:r w:rsidRPr="00342AF5">
        <w:rPr>
          <w:rFonts w:ascii="Times New Roman" w:eastAsia="Times New Roman" w:hAnsi="Times New Roman" w:cs="Times New Roman"/>
          <w:sz w:val="24"/>
          <w:szCs w:val="24"/>
        </w:rPr>
        <w:t xml:space="preserve"> Trial complexity and clinical research performance. </w:t>
      </w:r>
      <w:r w:rsidRPr="00342AF5">
        <w:rPr>
          <w:rFonts w:ascii="Times New Roman" w:eastAsia="Times New Roman" w:hAnsi="Times New Roman" w:cs="Times New Roman"/>
          <w:i/>
          <w:iCs/>
          <w:sz w:val="24"/>
          <w:szCs w:val="24"/>
        </w:rPr>
        <w:t>Am J Ther.</w:t>
      </w:r>
      <w:r w:rsidRPr="00342AF5">
        <w:rPr>
          <w:rFonts w:ascii="Times New Roman" w:eastAsia="Times New Roman" w:hAnsi="Times New Roman" w:cs="Times New Roman"/>
          <w:sz w:val="24"/>
          <w:szCs w:val="24"/>
        </w:rPr>
        <w:t xml:space="preserve"> 2017;24(6</w:t>
      </w:r>
      <w:r w:rsidR="00770097" w:rsidRPr="00342AF5">
        <w:rPr>
          <w:rFonts w:ascii="Times New Roman" w:eastAsia="Times New Roman" w:hAnsi="Times New Roman" w:cs="Times New Roman"/>
          <w:sz w:val="24"/>
          <w:szCs w:val="24"/>
        </w:rPr>
        <w:t>): e</w:t>
      </w:r>
      <w:r w:rsidRPr="00342AF5">
        <w:rPr>
          <w:rFonts w:ascii="Times New Roman" w:eastAsia="Times New Roman" w:hAnsi="Times New Roman" w:cs="Times New Roman"/>
          <w:sz w:val="24"/>
          <w:szCs w:val="24"/>
        </w:rPr>
        <w:t xml:space="preserve">679–e685. </w:t>
      </w:r>
    </w:p>
    <w:p w14:paraId="6046A45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U.S. Food and Drug Administration</w:t>
      </w:r>
      <w:r w:rsidRPr="00342AF5">
        <w:rPr>
          <w:rFonts w:ascii="Times New Roman" w:eastAsia="Times New Roman" w:hAnsi="Times New Roman" w:cs="Times New Roman"/>
          <w:sz w:val="24"/>
          <w:szCs w:val="24"/>
        </w:rPr>
        <w:t xml:space="preserve">. Risk-Based Monitoring Guidance for Industry. 2019. </w:t>
      </w:r>
    </w:p>
    <w:p w14:paraId="111AF6CC"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Getz KA.</w:t>
      </w:r>
      <w:r w:rsidRPr="00342AF5">
        <w:rPr>
          <w:rFonts w:ascii="Times New Roman" w:eastAsia="Times New Roman" w:hAnsi="Times New Roman" w:cs="Times New Roman"/>
          <w:sz w:val="24"/>
          <w:szCs w:val="24"/>
        </w:rPr>
        <w:t xml:space="preserve"> Protocol complexity and clinical trial execution challenges. </w:t>
      </w:r>
      <w:r w:rsidRPr="00342AF5">
        <w:rPr>
          <w:rFonts w:ascii="Times New Roman" w:eastAsia="Times New Roman" w:hAnsi="Times New Roman" w:cs="Times New Roman"/>
          <w:i/>
          <w:iCs/>
          <w:sz w:val="24"/>
          <w:szCs w:val="24"/>
        </w:rPr>
        <w:t>Drug Inf J.</w:t>
      </w:r>
      <w:r w:rsidRPr="00342AF5">
        <w:rPr>
          <w:rFonts w:ascii="Times New Roman" w:eastAsia="Times New Roman" w:hAnsi="Times New Roman" w:cs="Times New Roman"/>
          <w:sz w:val="24"/>
          <w:szCs w:val="24"/>
        </w:rPr>
        <w:t xml:space="preserve"> 2015;49(4):451–457. </w:t>
      </w:r>
    </w:p>
    <w:p w14:paraId="527AA02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Kadam RA</w:t>
      </w:r>
      <w:r w:rsidRPr="00342AF5">
        <w:rPr>
          <w:rFonts w:ascii="Times New Roman" w:eastAsia="Times New Roman" w:hAnsi="Times New Roman" w:cs="Times New Roman"/>
          <w:sz w:val="24"/>
          <w:szCs w:val="24"/>
        </w:rPr>
        <w:t xml:space="preserve">. Informed consent process: A step further towards making it meaningful. </w:t>
      </w:r>
      <w:r w:rsidRPr="00342AF5">
        <w:rPr>
          <w:rFonts w:ascii="Times New Roman" w:eastAsia="Times New Roman" w:hAnsi="Times New Roman" w:cs="Times New Roman"/>
          <w:i/>
          <w:iCs/>
          <w:sz w:val="24"/>
          <w:szCs w:val="24"/>
        </w:rPr>
        <w:t>Perspect Clin Res.</w:t>
      </w:r>
      <w:r w:rsidRPr="00342AF5">
        <w:rPr>
          <w:rFonts w:ascii="Times New Roman" w:eastAsia="Times New Roman" w:hAnsi="Times New Roman" w:cs="Times New Roman"/>
          <w:sz w:val="24"/>
          <w:szCs w:val="24"/>
        </w:rPr>
        <w:t xml:space="preserve"> 2017;8(3):107–112. </w:t>
      </w:r>
    </w:p>
    <w:p w14:paraId="455E491D" w14:textId="6FBCDBBC"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Grady C, et al</w:t>
      </w:r>
      <w:r w:rsidRPr="00342AF5">
        <w:rPr>
          <w:rFonts w:ascii="Times New Roman" w:eastAsia="Times New Roman" w:hAnsi="Times New Roman" w:cs="Times New Roman"/>
          <w:sz w:val="24"/>
          <w:szCs w:val="24"/>
        </w:rPr>
        <w:t xml:space="preserve">. Broad consent for research with biological samples. </w:t>
      </w:r>
      <w:r w:rsidRPr="00342AF5">
        <w:rPr>
          <w:rFonts w:ascii="Times New Roman" w:eastAsia="Times New Roman" w:hAnsi="Times New Roman" w:cs="Times New Roman"/>
          <w:i/>
          <w:iCs/>
          <w:sz w:val="24"/>
          <w:szCs w:val="24"/>
        </w:rPr>
        <w:t>N Engl J Med.</w:t>
      </w:r>
      <w:r w:rsidRPr="00342AF5">
        <w:rPr>
          <w:rFonts w:ascii="Times New Roman" w:eastAsia="Times New Roman" w:hAnsi="Times New Roman" w:cs="Times New Roman"/>
          <w:sz w:val="24"/>
          <w:szCs w:val="24"/>
        </w:rPr>
        <w:t xml:space="preserve"> </w:t>
      </w:r>
      <w:r w:rsidR="00770097" w:rsidRPr="00342AF5">
        <w:rPr>
          <w:rFonts w:ascii="Times New Roman" w:eastAsia="Times New Roman" w:hAnsi="Times New Roman" w:cs="Times New Roman"/>
          <w:sz w:val="24"/>
          <w:szCs w:val="24"/>
        </w:rPr>
        <w:t>2015; 372:195</w:t>
      </w:r>
      <w:r w:rsidRPr="00342AF5">
        <w:rPr>
          <w:rFonts w:ascii="Times New Roman" w:eastAsia="Times New Roman" w:hAnsi="Times New Roman" w:cs="Times New Roman"/>
          <w:sz w:val="24"/>
          <w:szCs w:val="24"/>
        </w:rPr>
        <w:t xml:space="preserve">–197. </w:t>
      </w:r>
    </w:p>
    <w:p w14:paraId="4D27B4AD"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U.S. Food and Drug Administration. Data Integrity and Compliance with CGMP Guidance for Industry. 2018. </w:t>
      </w:r>
    </w:p>
    <w:p w14:paraId="074B3435"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Singh JA, et al</w:t>
      </w:r>
      <w:r w:rsidRPr="00342AF5">
        <w:rPr>
          <w:rFonts w:ascii="Times New Roman" w:eastAsia="Times New Roman" w:hAnsi="Times New Roman" w:cs="Times New Roman"/>
          <w:sz w:val="24"/>
          <w:szCs w:val="24"/>
        </w:rPr>
        <w:t xml:space="preserve">. Ethics review of multicenter clinical trials: Challenges and opportunities. </w:t>
      </w:r>
      <w:r w:rsidRPr="00342AF5">
        <w:rPr>
          <w:rFonts w:ascii="Times New Roman" w:eastAsia="Times New Roman" w:hAnsi="Times New Roman" w:cs="Times New Roman"/>
          <w:i/>
          <w:iCs/>
          <w:sz w:val="24"/>
          <w:szCs w:val="24"/>
        </w:rPr>
        <w:t>Clin Investig.</w:t>
      </w:r>
      <w:r w:rsidRPr="00342AF5">
        <w:rPr>
          <w:rFonts w:ascii="Times New Roman" w:eastAsia="Times New Roman" w:hAnsi="Times New Roman" w:cs="Times New Roman"/>
          <w:sz w:val="24"/>
          <w:szCs w:val="24"/>
        </w:rPr>
        <w:t xml:space="preserve"> 2019;9(2):45–52. </w:t>
      </w:r>
    </w:p>
    <w:p w14:paraId="6B1E832F"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Izmailova ES, Ellis R, Benko C</w:t>
      </w:r>
      <w:r w:rsidRPr="00342AF5">
        <w:rPr>
          <w:rFonts w:ascii="Times New Roman" w:eastAsia="Times New Roman" w:hAnsi="Times New Roman" w:cs="Times New Roman"/>
          <w:sz w:val="24"/>
          <w:szCs w:val="24"/>
        </w:rPr>
        <w:t xml:space="preserve">. Remote monitoring in clinical trials during the COVID-19 pandemic. </w:t>
      </w:r>
      <w:r w:rsidRPr="00342AF5">
        <w:rPr>
          <w:rFonts w:ascii="Times New Roman" w:eastAsia="Times New Roman" w:hAnsi="Times New Roman" w:cs="Times New Roman"/>
          <w:i/>
          <w:iCs/>
          <w:sz w:val="24"/>
          <w:szCs w:val="24"/>
        </w:rPr>
        <w:t>Clin Transl Sci.</w:t>
      </w:r>
      <w:r w:rsidRPr="00342AF5">
        <w:rPr>
          <w:rFonts w:ascii="Times New Roman" w:eastAsia="Times New Roman" w:hAnsi="Times New Roman" w:cs="Times New Roman"/>
          <w:sz w:val="24"/>
          <w:szCs w:val="24"/>
        </w:rPr>
        <w:t xml:space="preserve"> 2020;13(5):838–841. </w:t>
      </w:r>
    </w:p>
    <w:p w14:paraId="0C9B892E"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lastRenderedPageBreak/>
        <w:t>TransCelerate BioPharma Inc.</w:t>
      </w:r>
      <w:r w:rsidRPr="00342AF5">
        <w:rPr>
          <w:rFonts w:ascii="Times New Roman" w:eastAsia="Times New Roman" w:hAnsi="Times New Roman" w:cs="Times New Roman"/>
          <w:sz w:val="24"/>
          <w:szCs w:val="24"/>
        </w:rPr>
        <w:t xml:space="preserve"> Risk-Based Monitoring Methodology. 2017. </w:t>
      </w:r>
    </w:p>
    <w:p w14:paraId="45EA5ACA" w14:textId="1D8C3A00"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Crocker JC, et al</w:t>
      </w:r>
      <w:r w:rsidRPr="00342AF5">
        <w:rPr>
          <w:rFonts w:ascii="Times New Roman" w:eastAsia="Times New Roman" w:hAnsi="Times New Roman" w:cs="Times New Roman"/>
          <w:sz w:val="24"/>
          <w:szCs w:val="24"/>
        </w:rPr>
        <w:t xml:space="preserve">. Patient and public involvement in clinical trial design and conduct. </w:t>
      </w:r>
      <w:r w:rsidRPr="00342AF5">
        <w:rPr>
          <w:rFonts w:ascii="Times New Roman" w:eastAsia="Times New Roman" w:hAnsi="Times New Roman" w:cs="Times New Roman"/>
          <w:i/>
          <w:iCs/>
          <w:sz w:val="24"/>
          <w:szCs w:val="24"/>
        </w:rPr>
        <w:t>BMJ.</w:t>
      </w:r>
      <w:r w:rsidRPr="00342AF5">
        <w:rPr>
          <w:rFonts w:ascii="Times New Roman" w:eastAsia="Times New Roman" w:hAnsi="Times New Roman" w:cs="Times New Roman"/>
          <w:sz w:val="24"/>
          <w:szCs w:val="24"/>
        </w:rPr>
        <w:t xml:space="preserve"> 2018;</w:t>
      </w:r>
      <w:r w:rsidR="00770097" w:rsidRPr="00342AF5">
        <w:rPr>
          <w:rFonts w:ascii="Times New Roman" w:eastAsia="Times New Roman" w:hAnsi="Times New Roman" w:cs="Times New Roman"/>
          <w:sz w:val="24"/>
          <w:szCs w:val="24"/>
        </w:rPr>
        <w:t>363: k</w:t>
      </w:r>
      <w:r w:rsidRPr="00342AF5">
        <w:rPr>
          <w:rFonts w:ascii="Times New Roman" w:eastAsia="Times New Roman" w:hAnsi="Times New Roman" w:cs="Times New Roman"/>
          <w:sz w:val="24"/>
          <w:szCs w:val="24"/>
        </w:rPr>
        <w:t xml:space="preserve">4738. </w:t>
      </w:r>
    </w:p>
    <w:p w14:paraId="4AA9D03F" w14:textId="492742D6"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Yu KH, Beam AL, Kohane IS</w:t>
      </w:r>
      <w:r w:rsidRPr="00342AF5">
        <w:rPr>
          <w:rFonts w:ascii="Times New Roman" w:eastAsia="Times New Roman" w:hAnsi="Times New Roman" w:cs="Times New Roman"/>
          <w:sz w:val="24"/>
          <w:szCs w:val="24"/>
        </w:rPr>
        <w:t xml:space="preserve">. Artificial intelligence in healthcare. </w:t>
      </w:r>
      <w:r w:rsidRPr="00342AF5">
        <w:rPr>
          <w:rFonts w:ascii="Times New Roman" w:eastAsia="Times New Roman" w:hAnsi="Times New Roman" w:cs="Times New Roman"/>
          <w:i/>
          <w:iCs/>
          <w:sz w:val="24"/>
          <w:szCs w:val="24"/>
        </w:rPr>
        <w:t>Nat Biomed Eng.</w:t>
      </w:r>
      <w:r w:rsidRPr="00342AF5">
        <w:rPr>
          <w:rFonts w:ascii="Times New Roman" w:eastAsia="Times New Roman" w:hAnsi="Times New Roman" w:cs="Times New Roman"/>
          <w:sz w:val="24"/>
          <w:szCs w:val="24"/>
        </w:rPr>
        <w:t xml:space="preserve"> </w:t>
      </w:r>
      <w:r w:rsidR="00770097" w:rsidRPr="00342AF5">
        <w:rPr>
          <w:rFonts w:ascii="Times New Roman" w:eastAsia="Times New Roman" w:hAnsi="Times New Roman" w:cs="Times New Roman"/>
          <w:sz w:val="24"/>
          <w:szCs w:val="24"/>
        </w:rPr>
        <w:t>2018; 2:719</w:t>
      </w:r>
      <w:r w:rsidRPr="00342AF5">
        <w:rPr>
          <w:rFonts w:ascii="Times New Roman" w:eastAsia="Times New Roman" w:hAnsi="Times New Roman" w:cs="Times New Roman"/>
          <w:sz w:val="24"/>
          <w:szCs w:val="24"/>
        </w:rPr>
        <w:t>–731.</w:t>
      </w:r>
    </w:p>
    <w:bookmarkEnd w:id="0"/>
    <w:p w14:paraId="4C980105" w14:textId="77777777" w:rsidR="00494931" w:rsidRPr="00342AF5" w:rsidRDefault="00494931" w:rsidP="00342AF5">
      <w:pPr>
        <w:spacing w:after="0"/>
        <w:rPr>
          <w:rFonts w:ascii="Times New Roman" w:hAnsi="Times New Roman" w:cs="Times New Roman"/>
          <w:sz w:val="24"/>
          <w:szCs w:val="24"/>
        </w:rPr>
      </w:pPr>
    </w:p>
    <w:sectPr w:rsidR="00494931" w:rsidRPr="00342AF5" w:rsidSect="00886E5E">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17FF2" w14:textId="77777777" w:rsidR="00A33F57" w:rsidRDefault="00A33F57" w:rsidP="00886E5E">
      <w:pPr>
        <w:spacing w:after="0" w:line="240" w:lineRule="auto"/>
      </w:pPr>
      <w:r>
        <w:separator/>
      </w:r>
    </w:p>
  </w:endnote>
  <w:endnote w:type="continuationSeparator" w:id="0">
    <w:p w14:paraId="784EA283" w14:textId="77777777" w:rsidR="00A33F57" w:rsidRDefault="00A33F57" w:rsidP="0088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42512"/>
      <w:docPartObj>
        <w:docPartGallery w:val="Page Numbers (Bottom of Page)"/>
        <w:docPartUnique/>
      </w:docPartObj>
    </w:sdtPr>
    <w:sdtEndPr>
      <w:rPr>
        <w:color w:val="7F7F7F" w:themeColor="background1" w:themeShade="7F"/>
        <w:spacing w:val="60"/>
      </w:rPr>
    </w:sdtEndPr>
    <w:sdtContent>
      <w:p w14:paraId="7BE5D690" w14:textId="39719FD2" w:rsidR="00886E5E" w:rsidRDefault="00886E5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00E16" w:rsidRPr="00B00E16">
          <w:rPr>
            <w:b/>
            <w:bCs/>
            <w:noProof/>
          </w:rPr>
          <w:t>7</w:t>
        </w:r>
        <w:r>
          <w:rPr>
            <w:b/>
            <w:bCs/>
            <w:noProof/>
          </w:rPr>
          <w:fldChar w:fldCharType="end"/>
        </w:r>
        <w:r>
          <w:rPr>
            <w:b/>
            <w:bCs/>
          </w:rPr>
          <w:t xml:space="preserve"> | </w:t>
        </w:r>
        <w:r>
          <w:rPr>
            <w:color w:val="7F7F7F" w:themeColor="background1" w:themeShade="7F"/>
            <w:spacing w:val="60"/>
          </w:rPr>
          <w:t>Page</w:t>
        </w:r>
      </w:p>
    </w:sdtContent>
  </w:sdt>
  <w:p w14:paraId="539C25B3" w14:textId="77777777" w:rsidR="00886E5E" w:rsidRDefault="00886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637DC" w14:textId="77777777" w:rsidR="00A33F57" w:rsidRDefault="00A33F57" w:rsidP="00886E5E">
      <w:pPr>
        <w:spacing w:after="0" w:line="240" w:lineRule="auto"/>
      </w:pPr>
      <w:r>
        <w:separator/>
      </w:r>
    </w:p>
  </w:footnote>
  <w:footnote w:type="continuationSeparator" w:id="0">
    <w:p w14:paraId="673D32ED" w14:textId="77777777" w:rsidR="00A33F57" w:rsidRDefault="00A33F57" w:rsidP="00886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33A"/>
    <w:multiLevelType w:val="multilevel"/>
    <w:tmpl w:val="54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2205D"/>
    <w:multiLevelType w:val="multilevel"/>
    <w:tmpl w:val="B1F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72C8E"/>
    <w:multiLevelType w:val="multilevel"/>
    <w:tmpl w:val="208C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B6156"/>
    <w:multiLevelType w:val="multilevel"/>
    <w:tmpl w:val="E17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D62CB"/>
    <w:multiLevelType w:val="multilevel"/>
    <w:tmpl w:val="B2B2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24372"/>
    <w:multiLevelType w:val="multilevel"/>
    <w:tmpl w:val="38F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D4BEB"/>
    <w:multiLevelType w:val="multilevel"/>
    <w:tmpl w:val="9B2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4F7A88"/>
    <w:multiLevelType w:val="multilevel"/>
    <w:tmpl w:val="0AE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AC55AA"/>
    <w:multiLevelType w:val="multilevel"/>
    <w:tmpl w:val="252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117E35"/>
    <w:multiLevelType w:val="multilevel"/>
    <w:tmpl w:val="004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DD5CCA"/>
    <w:multiLevelType w:val="multilevel"/>
    <w:tmpl w:val="E95A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61B6E"/>
    <w:multiLevelType w:val="multilevel"/>
    <w:tmpl w:val="DF56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3319BD"/>
    <w:multiLevelType w:val="multilevel"/>
    <w:tmpl w:val="265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2"/>
  </w:num>
  <w:num w:numId="5">
    <w:abstractNumId w:val="0"/>
  </w:num>
  <w:num w:numId="6">
    <w:abstractNumId w:val="7"/>
  </w:num>
  <w:num w:numId="7">
    <w:abstractNumId w:val="11"/>
  </w:num>
  <w:num w:numId="8">
    <w:abstractNumId w:val="9"/>
  </w:num>
  <w:num w:numId="9">
    <w:abstractNumId w:val="1"/>
  </w:num>
  <w:num w:numId="10">
    <w:abstractNumId w:val="6"/>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5E"/>
    <w:rsid w:val="002815CD"/>
    <w:rsid w:val="00342AF5"/>
    <w:rsid w:val="00494931"/>
    <w:rsid w:val="006F5497"/>
    <w:rsid w:val="00770097"/>
    <w:rsid w:val="00886E5E"/>
    <w:rsid w:val="00A33F57"/>
    <w:rsid w:val="00B00E16"/>
    <w:rsid w:val="00B518B6"/>
    <w:rsid w:val="00B8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6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E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6E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6E5E"/>
    <w:rPr>
      <w:i/>
      <w:iCs/>
    </w:rPr>
  </w:style>
  <w:style w:type="paragraph" w:styleId="Header">
    <w:name w:val="header"/>
    <w:basedOn w:val="Normal"/>
    <w:link w:val="HeaderChar"/>
    <w:uiPriority w:val="99"/>
    <w:unhideWhenUsed/>
    <w:rsid w:val="0088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5E"/>
  </w:style>
  <w:style w:type="paragraph" w:styleId="Footer">
    <w:name w:val="footer"/>
    <w:basedOn w:val="Normal"/>
    <w:link w:val="FooterChar"/>
    <w:uiPriority w:val="99"/>
    <w:unhideWhenUsed/>
    <w:rsid w:val="0088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5E"/>
  </w:style>
  <w:style w:type="table" w:styleId="TableGrid">
    <w:name w:val="Table Grid"/>
    <w:basedOn w:val="TableNormal"/>
    <w:uiPriority w:val="39"/>
    <w:rsid w:val="0077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700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6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E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6E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6E5E"/>
    <w:rPr>
      <w:i/>
      <w:iCs/>
    </w:rPr>
  </w:style>
  <w:style w:type="paragraph" w:styleId="Header">
    <w:name w:val="header"/>
    <w:basedOn w:val="Normal"/>
    <w:link w:val="HeaderChar"/>
    <w:uiPriority w:val="99"/>
    <w:unhideWhenUsed/>
    <w:rsid w:val="0088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5E"/>
  </w:style>
  <w:style w:type="paragraph" w:styleId="Footer">
    <w:name w:val="footer"/>
    <w:basedOn w:val="Normal"/>
    <w:link w:val="FooterChar"/>
    <w:uiPriority w:val="99"/>
    <w:unhideWhenUsed/>
    <w:rsid w:val="0088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5E"/>
  </w:style>
  <w:style w:type="table" w:styleId="TableGrid">
    <w:name w:val="Table Grid"/>
    <w:basedOn w:val="TableNormal"/>
    <w:uiPriority w:val="39"/>
    <w:rsid w:val="0077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7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8065">
      <w:bodyDiv w:val="1"/>
      <w:marLeft w:val="0"/>
      <w:marRight w:val="0"/>
      <w:marTop w:val="0"/>
      <w:marBottom w:val="0"/>
      <w:divBdr>
        <w:top w:val="none" w:sz="0" w:space="0" w:color="auto"/>
        <w:left w:val="none" w:sz="0" w:space="0" w:color="auto"/>
        <w:bottom w:val="none" w:sz="0" w:space="0" w:color="auto"/>
        <w:right w:val="none" w:sz="0" w:space="0" w:color="auto"/>
      </w:divBdr>
      <w:divsChild>
        <w:div w:id="1921131320">
          <w:marLeft w:val="0"/>
          <w:marRight w:val="0"/>
          <w:marTop w:val="0"/>
          <w:marBottom w:val="0"/>
          <w:divBdr>
            <w:top w:val="none" w:sz="0" w:space="0" w:color="auto"/>
            <w:left w:val="none" w:sz="0" w:space="0" w:color="auto"/>
            <w:bottom w:val="none" w:sz="0" w:space="0" w:color="auto"/>
            <w:right w:val="none" w:sz="0" w:space="0" w:color="auto"/>
          </w:divBdr>
          <w:divsChild>
            <w:div w:id="1910115865">
              <w:marLeft w:val="0"/>
              <w:marRight w:val="0"/>
              <w:marTop w:val="0"/>
              <w:marBottom w:val="0"/>
              <w:divBdr>
                <w:top w:val="none" w:sz="0" w:space="0" w:color="auto"/>
                <w:left w:val="none" w:sz="0" w:space="0" w:color="auto"/>
                <w:bottom w:val="none" w:sz="0" w:space="0" w:color="auto"/>
                <w:right w:val="none" w:sz="0" w:space="0" w:color="auto"/>
              </w:divBdr>
              <w:divsChild>
                <w:div w:id="853812176">
                  <w:marLeft w:val="0"/>
                  <w:marRight w:val="0"/>
                  <w:marTop w:val="0"/>
                  <w:marBottom w:val="0"/>
                  <w:divBdr>
                    <w:top w:val="none" w:sz="0" w:space="0" w:color="auto"/>
                    <w:left w:val="none" w:sz="0" w:space="0" w:color="auto"/>
                    <w:bottom w:val="none" w:sz="0" w:space="0" w:color="auto"/>
                    <w:right w:val="none" w:sz="0" w:space="0" w:color="auto"/>
                  </w:divBdr>
                  <w:divsChild>
                    <w:div w:id="1012297420">
                      <w:marLeft w:val="0"/>
                      <w:marRight w:val="0"/>
                      <w:marTop w:val="0"/>
                      <w:marBottom w:val="0"/>
                      <w:divBdr>
                        <w:top w:val="none" w:sz="0" w:space="0" w:color="auto"/>
                        <w:left w:val="none" w:sz="0" w:space="0" w:color="auto"/>
                        <w:bottom w:val="none" w:sz="0" w:space="0" w:color="auto"/>
                        <w:right w:val="none" w:sz="0" w:space="0" w:color="auto"/>
                      </w:divBdr>
                      <w:divsChild>
                        <w:div w:id="1519150999">
                          <w:marLeft w:val="0"/>
                          <w:marRight w:val="0"/>
                          <w:marTop w:val="0"/>
                          <w:marBottom w:val="0"/>
                          <w:divBdr>
                            <w:top w:val="none" w:sz="0" w:space="0" w:color="auto"/>
                            <w:left w:val="none" w:sz="0" w:space="0" w:color="auto"/>
                            <w:bottom w:val="none" w:sz="0" w:space="0" w:color="auto"/>
                            <w:right w:val="none" w:sz="0" w:space="0" w:color="auto"/>
                          </w:divBdr>
                          <w:divsChild>
                            <w:div w:id="1528909952">
                              <w:marLeft w:val="0"/>
                              <w:marRight w:val="0"/>
                              <w:marTop w:val="0"/>
                              <w:marBottom w:val="0"/>
                              <w:divBdr>
                                <w:top w:val="none" w:sz="0" w:space="0" w:color="auto"/>
                                <w:left w:val="none" w:sz="0" w:space="0" w:color="auto"/>
                                <w:bottom w:val="none" w:sz="0" w:space="0" w:color="auto"/>
                                <w:right w:val="none" w:sz="0" w:space="0" w:color="auto"/>
                              </w:divBdr>
                              <w:divsChild>
                                <w:div w:id="1299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154971">
      <w:bodyDiv w:val="1"/>
      <w:marLeft w:val="0"/>
      <w:marRight w:val="0"/>
      <w:marTop w:val="0"/>
      <w:marBottom w:val="0"/>
      <w:divBdr>
        <w:top w:val="none" w:sz="0" w:space="0" w:color="auto"/>
        <w:left w:val="none" w:sz="0" w:space="0" w:color="auto"/>
        <w:bottom w:val="none" w:sz="0" w:space="0" w:color="auto"/>
        <w:right w:val="none" w:sz="0" w:space="0" w:color="auto"/>
      </w:divBdr>
    </w:div>
    <w:div w:id="1056777045">
      <w:bodyDiv w:val="1"/>
      <w:marLeft w:val="0"/>
      <w:marRight w:val="0"/>
      <w:marTop w:val="0"/>
      <w:marBottom w:val="0"/>
      <w:divBdr>
        <w:top w:val="none" w:sz="0" w:space="0" w:color="auto"/>
        <w:left w:val="none" w:sz="0" w:space="0" w:color="auto"/>
        <w:bottom w:val="none" w:sz="0" w:space="0" w:color="auto"/>
        <w:right w:val="none" w:sz="0" w:space="0" w:color="auto"/>
      </w:divBdr>
    </w:div>
    <w:div w:id="1750619999">
      <w:bodyDiv w:val="1"/>
      <w:marLeft w:val="0"/>
      <w:marRight w:val="0"/>
      <w:marTop w:val="0"/>
      <w:marBottom w:val="0"/>
      <w:divBdr>
        <w:top w:val="none" w:sz="0" w:space="0" w:color="auto"/>
        <w:left w:val="none" w:sz="0" w:space="0" w:color="auto"/>
        <w:bottom w:val="none" w:sz="0" w:space="0" w:color="auto"/>
        <w:right w:val="none" w:sz="0" w:space="0" w:color="auto"/>
      </w:divBdr>
      <w:divsChild>
        <w:div w:id="1997108895">
          <w:marLeft w:val="0"/>
          <w:marRight w:val="0"/>
          <w:marTop w:val="0"/>
          <w:marBottom w:val="0"/>
          <w:divBdr>
            <w:top w:val="none" w:sz="0" w:space="0" w:color="auto"/>
            <w:left w:val="none" w:sz="0" w:space="0" w:color="auto"/>
            <w:bottom w:val="none" w:sz="0" w:space="0" w:color="auto"/>
            <w:right w:val="none" w:sz="0" w:space="0" w:color="auto"/>
          </w:divBdr>
          <w:divsChild>
            <w:div w:id="1341354922">
              <w:marLeft w:val="0"/>
              <w:marRight w:val="0"/>
              <w:marTop w:val="0"/>
              <w:marBottom w:val="0"/>
              <w:divBdr>
                <w:top w:val="none" w:sz="0" w:space="0" w:color="auto"/>
                <w:left w:val="none" w:sz="0" w:space="0" w:color="auto"/>
                <w:bottom w:val="none" w:sz="0" w:space="0" w:color="auto"/>
                <w:right w:val="none" w:sz="0" w:space="0" w:color="auto"/>
              </w:divBdr>
              <w:divsChild>
                <w:div w:id="614990453">
                  <w:marLeft w:val="0"/>
                  <w:marRight w:val="0"/>
                  <w:marTop w:val="0"/>
                  <w:marBottom w:val="0"/>
                  <w:divBdr>
                    <w:top w:val="none" w:sz="0" w:space="0" w:color="auto"/>
                    <w:left w:val="none" w:sz="0" w:space="0" w:color="auto"/>
                    <w:bottom w:val="none" w:sz="0" w:space="0" w:color="auto"/>
                    <w:right w:val="none" w:sz="0" w:space="0" w:color="auto"/>
                  </w:divBdr>
                  <w:divsChild>
                    <w:div w:id="319966604">
                      <w:marLeft w:val="0"/>
                      <w:marRight w:val="0"/>
                      <w:marTop w:val="0"/>
                      <w:marBottom w:val="0"/>
                      <w:divBdr>
                        <w:top w:val="none" w:sz="0" w:space="0" w:color="auto"/>
                        <w:left w:val="none" w:sz="0" w:space="0" w:color="auto"/>
                        <w:bottom w:val="none" w:sz="0" w:space="0" w:color="auto"/>
                        <w:right w:val="none" w:sz="0" w:space="0" w:color="auto"/>
                      </w:divBdr>
                      <w:divsChild>
                        <w:div w:id="855075251">
                          <w:marLeft w:val="0"/>
                          <w:marRight w:val="0"/>
                          <w:marTop w:val="0"/>
                          <w:marBottom w:val="0"/>
                          <w:divBdr>
                            <w:top w:val="none" w:sz="0" w:space="0" w:color="auto"/>
                            <w:left w:val="none" w:sz="0" w:space="0" w:color="auto"/>
                            <w:bottom w:val="none" w:sz="0" w:space="0" w:color="auto"/>
                            <w:right w:val="none" w:sz="0" w:space="0" w:color="auto"/>
                          </w:divBdr>
                          <w:divsChild>
                            <w:div w:id="2046784985">
                              <w:marLeft w:val="0"/>
                              <w:marRight w:val="0"/>
                              <w:marTop w:val="0"/>
                              <w:marBottom w:val="0"/>
                              <w:divBdr>
                                <w:top w:val="none" w:sz="0" w:space="0" w:color="auto"/>
                                <w:left w:val="none" w:sz="0" w:space="0" w:color="auto"/>
                                <w:bottom w:val="none" w:sz="0" w:space="0" w:color="auto"/>
                                <w:right w:val="none" w:sz="0" w:space="0" w:color="auto"/>
                              </w:divBdr>
                              <w:divsChild>
                                <w:div w:id="3021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9383-FA0E-482E-A430-A039A25A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4</cp:revision>
  <dcterms:created xsi:type="dcterms:W3CDTF">2026-05-08T10:34:00Z</dcterms:created>
  <dcterms:modified xsi:type="dcterms:W3CDTF">2026-05-09T15:05:00Z</dcterms:modified>
</cp:coreProperties>
</file>