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FD3" w:rsidRPr="0024006E" w:rsidRDefault="00677AED">
      <w:pPr>
        <w:spacing w:after="200"/>
        <w:jc w:val="center"/>
        <w:rPr>
          <w:color w:val="000000" w:themeColor="text1"/>
        </w:rPr>
      </w:pPr>
      <w:r w:rsidRPr="0024006E">
        <w:rPr>
          <w:b/>
          <w:bCs/>
          <w:color w:val="000000" w:themeColor="text1"/>
          <w:sz w:val="28"/>
          <w:szCs w:val="28"/>
        </w:rPr>
        <w:t>Climate Change and Food Undernourishment: Evidence from a Global Panel on Soil Health, Rural Vulnerability, and Agroecological Heterogeneity</w:t>
      </w:r>
    </w:p>
    <w:p w:rsidR="0024006E" w:rsidRPr="0024006E" w:rsidRDefault="0024006E">
      <w:pPr>
        <w:spacing w:after="400"/>
        <w:jc w:val="center"/>
        <w:rPr>
          <w:color w:val="000000" w:themeColor="text1"/>
          <w:lang w:val="en-US"/>
        </w:rPr>
      </w:pPr>
      <w:bookmarkStart w:id="0" w:name="_GoBack"/>
      <w:bookmarkEnd w:id="0"/>
    </w:p>
    <w:p w:rsidR="00C36FD3" w:rsidRPr="0024006E" w:rsidRDefault="00677AED">
      <w:pPr>
        <w:spacing w:before="240" w:after="80"/>
        <w:jc w:val="center"/>
        <w:rPr>
          <w:color w:val="000000" w:themeColor="text1"/>
        </w:rPr>
      </w:pPr>
      <w:r w:rsidRPr="0024006E">
        <w:rPr>
          <w:b/>
          <w:bCs/>
          <w:color w:val="000000" w:themeColor="text1"/>
          <w:sz w:val="24"/>
          <w:szCs w:val="24"/>
        </w:rPr>
        <w:t>Abstract</w:t>
      </w:r>
    </w:p>
    <w:p w:rsidR="00C36FD3" w:rsidRPr="0024006E" w:rsidRDefault="00677AED">
      <w:pPr>
        <w:spacing w:after="160" w:line="320" w:lineRule="auto"/>
        <w:ind w:left="720" w:right="720"/>
        <w:jc w:val="both"/>
        <w:rPr>
          <w:color w:val="000000" w:themeColor="text1"/>
        </w:rPr>
      </w:pPr>
      <w:r w:rsidRPr="0024006E">
        <w:rPr>
          <w:color w:val="000000" w:themeColor="text1"/>
          <w:sz w:val="20"/>
          <w:szCs w:val="20"/>
        </w:rPr>
        <w:t>Climate change poses one of the most severe structural threats to global food security, yet the pathways through which climatic anomalies translate into food undernourishment remain empirically underspecified. This study examines the nonlinear relationship</w:t>
      </w:r>
      <w:r w:rsidRPr="0024006E">
        <w:rPr>
          <w:color w:val="000000" w:themeColor="text1"/>
          <w:sz w:val="20"/>
          <w:szCs w:val="20"/>
        </w:rPr>
        <w:t xml:space="preserve">s between temperature change, annual precipitation, greenhouse gas (GHG) emissions, and biological nitrogen fixation </w:t>
      </w:r>
      <w:r w:rsidR="0024006E" w:rsidRPr="0024006E">
        <w:rPr>
          <w:color w:val="000000" w:themeColor="text1"/>
          <w:sz w:val="20"/>
          <w:szCs w:val="20"/>
        </w:rPr>
        <w:t>-</w:t>
      </w:r>
      <w:r w:rsidRPr="0024006E">
        <w:rPr>
          <w:color w:val="000000" w:themeColor="text1"/>
          <w:sz w:val="20"/>
          <w:szCs w:val="20"/>
        </w:rPr>
        <w:t xml:space="preserve"> a proxy for soil health </w:t>
      </w:r>
      <w:r w:rsidR="0024006E" w:rsidRPr="0024006E">
        <w:rPr>
          <w:color w:val="000000" w:themeColor="text1"/>
          <w:sz w:val="20"/>
          <w:szCs w:val="20"/>
        </w:rPr>
        <w:t>-</w:t>
      </w:r>
      <w:r w:rsidRPr="0024006E">
        <w:rPr>
          <w:color w:val="000000" w:themeColor="text1"/>
          <w:sz w:val="20"/>
          <w:szCs w:val="20"/>
        </w:rPr>
        <w:t xml:space="preserve"> and the prevalence of food undernourishment. Using a balanced panel dataset of 133 countries over 21 years (200</w:t>
      </w:r>
      <w:r w:rsidRPr="0024006E">
        <w:rPr>
          <w:color w:val="000000" w:themeColor="text1"/>
          <w:sz w:val="20"/>
          <w:szCs w:val="20"/>
        </w:rPr>
        <w:t>1–2021), the study employs Fixed Effects econometric models to isolate within-country climate effects while controlling for socioeconomic heterogeneity. Findings confirm that climate change significantly worsens food undernourishment through multiple pathw</w:t>
      </w:r>
      <w:r w:rsidRPr="0024006E">
        <w:rPr>
          <w:color w:val="000000" w:themeColor="text1"/>
          <w:sz w:val="20"/>
          <w:szCs w:val="20"/>
        </w:rPr>
        <w:t xml:space="preserve">ays: GHG emissions increase undernourishment prevalence, biological fixation reduces it, and climatic extremes in precipitation and temperature produce nonlinear, threshold-based effects. Crucially, rural populations act as an amplifying channel </w:t>
      </w:r>
      <w:r w:rsidR="0024006E" w:rsidRPr="0024006E">
        <w:rPr>
          <w:color w:val="000000" w:themeColor="text1"/>
          <w:sz w:val="20"/>
          <w:szCs w:val="20"/>
        </w:rPr>
        <w:t>-</w:t>
      </w:r>
      <w:r w:rsidRPr="0024006E">
        <w:rPr>
          <w:color w:val="000000" w:themeColor="text1"/>
          <w:sz w:val="20"/>
          <w:szCs w:val="20"/>
        </w:rPr>
        <w:t xml:space="preserve"> the inte</w:t>
      </w:r>
      <w:r w:rsidRPr="0024006E">
        <w:rPr>
          <w:color w:val="000000" w:themeColor="text1"/>
          <w:sz w:val="20"/>
          <w:szCs w:val="20"/>
        </w:rPr>
        <w:t>raction of climate anomalies with rural population share substantially intensifies undernourishment risk. Analysis across tropical, subtropical, and temperate agroecological zones reveals divergent regional sensitivities, with tropical zones most exposed a</w:t>
      </w:r>
      <w:r w:rsidRPr="0024006E">
        <w:rPr>
          <w:color w:val="000000" w:themeColor="text1"/>
          <w:sz w:val="20"/>
          <w:szCs w:val="20"/>
        </w:rPr>
        <w:t>nd temperate zones potentially benefiting marginally from moderate warming. Biological fixation emerges as a universal mitigating factor across all zones, underscoring the policy relevance of soil health conservation. These findings contribute to the liter</w:t>
      </w:r>
      <w:r w:rsidRPr="0024006E">
        <w:rPr>
          <w:color w:val="000000" w:themeColor="text1"/>
          <w:sz w:val="20"/>
          <w:szCs w:val="20"/>
        </w:rPr>
        <w:t xml:space="preserve">ature on </w:t>
      </w:r>
      <w:r w:rsidR="0024006E" w:rsidRPr="0024006E">
        <w:rPr>
          <w:color w:val="000000" w:themeColor="text1"/>
          <w:sz w:val="20"/>
          <w:szCs w:val="20"/>
          <w:lang w:val="en-US"/>
        </w:rPr>
        <w:t xml:space="preserve">the </w:t>
      </w:r>
      <w:r w:rsidRPr="0024006E">
        <w:rPr>
          <w:color w:val="000000" w:themeColor="text1"/>
          <w:sz w:val="20"/>
          <w:szCs w:val="20"/>
        </w:rPr>
        <w:t>climate-food nexus by introducing biological fixation as a novel variable, incorporating rural demographic mediation, and providing agroecological disaggregation of impacts.</w:t>
      </w:r>
    </w:p>
    <w:p w:rsidR="00C36FD3" w:rsidRPr="0024006E" w:rsidRDefault="00677AED">
      <w:pPr>
        <w:spacing w:after="400"/>
        <w:ind w:left="720" w:right="720"/>
        <w:jc w:val="both"/>
        <w:rPr>
          <w:i/>
          <w:iCs/>
          <w:color w:val="000000" w:themeColor="text1"/>
          <w:sz w:val="20"/>
          <w:szCs w:val="20"/>
        </w:rPr>
      </w:pPr>
      <w:r w:rsidRPr="0024006E">
        <w:rPr>
          <w:b/>
          <w:bCs/>
          <w:color w:val="000000" w:themeColor="text1"/>
          <w:sz w:val="20"/>
          <w:szCs w:val="20"/>
        </w:rPr>
        <w:t xml:space="preserve">Keywords: </w:t>
      </w:r>
      <w:r w:rsidRPr="0024006E">
        <w:rPr>
          <w:i/>
          <w:iCs/>
          <w:color w:val="000000" w:themeColor="text1"/>
          <w:sz w:val="20"/>
          <w:szCs w:val="20"/>
        </w:rPr>
        <w:t>biological fixation, climate change, food undernourishment,</w:t>
      </w:r>
      <w:r w:rsidRPr="0024006E">
        <w:rPr>
          <w:i/>
          <w:iCs/>
          <w:color w:val="000000" w:themeColor="text1"/>
          <w:sz w:val="20"/>
          <w:szCs w:val="20"/>
        </w:rPr>
        <w:t xml:space="preserve"> fixed effects, panel data, rural population, agroecological zones</w:t>
      </w: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C36FD3" w:rsidRPr="0024006E" w:rsidRDefault="00677AED">
      <w:pPr>
        <w:pStyle w:val="Heading1"/>
        <w:rPr>
          <w:color w:val="000000" w:themeColor="text1"/>
        </w:rPr>
      </w:pPr>
      <w:r w:rsidRPr="0024006E">
        <w:rPr>
          <w:color w:val="000000" w:themeColor="text1"/>
        </w:rPr>
        <w:t>1. Introduction</w:t>
      </w:r>
    </w:p>
    <w:p w:rsidR="00C36FD3" w:rsidRPr="0024006E" w:rsidRDefault="00677AED">
      <w:pPr>
        <w:spacing w:after="160" w:line="360" w:lineRule="auto"/>
        <w:ind w:firstLine="720"/>
        <w:jc w:val="both"/>
        <w:rPr>
          <w:color w:val="000000" w:themeColor="text1"/>
        </w:rPr>
      </w:pPr>
      <w:r w:rsidRPr="0024006E">
        <w:rPr>
          <w:color w:val="000000" w:themeColor="text1"/>
        </w:rPr>
        <w:t xml:space="preserve">Food security remains one of the most pressing global development challenges of the 21st century. According to the Food and Agriculture Organization (FAO), food security encompasses four dimensions: availability, accessibility, utilization, and stability. </w:t>
      </w:r>
      <w:r w:rsidRPr="0024006E">
        <w:rPr>
          <w:color w:val="000000" w:themeColor="text1"/>
        </w:rPr>
        <w:t xml:space="preserve">The FAO operationalizes food security at the national level through the prevalence of food undernourishment </w:t>
      </w:r>
      <w:r w:rsidR="0024006E" w:rsidRPr="0024006E">
        <w:rPr>
          <w:color w:val="000000" w:themeColor="text1"/>
        </w:rPr>
        <w:t>-</w:t>
      </w:r>
      <w:r w:rsidRPr="0024006E">
        <w:rPr>
          <w:color w:val="000000" w:themeColor="text1"/>
        </w:rPr>
        <w:t xml:space="preserve"> a measure that reflects not only production deficits but also distributional and nutritional failures. As of 2023, approximately 9.1% of the globa</w:t>
      </w:r>
      <w:r w:rsidRPr="0024006E">
        <w:rPr>
          <w:color w:val="000000" w:themeColor="text1"/>
        </w:rPr>
        <w:t>l population faces undernourishment, with the burden concentrated overwhelmingly in developing countries.</w:t>
      </w:r>
    </w:p>
    <w:p w:rsidR="00C36FD3" w:rsidRPr="0024006E" w:rsidRDefault="00677AED">
      <w:pPr>
        <w:spacing w:after="160" w:line="360" w:lineRule="auto"/>
        <w:ind w:firstLine="720"/>
        <w:jc w:val="both"/>
        <w:rPr>
          <w:color w:val="000000" w:themeColor="text1"/>
        </w:rPr>
      </w:pPr>
      <w:r w:rsidRPr="0024006E">
        <w:rPr>
          <w:color w:val="000000" w:themeColor="text1"/>
        </w:rPr>
        <w:t xml:space="preserve">Climate change has emerged as a critical structural driver of food insecurity. Year-on-year changes in atmospheric conditions </w:t>
      </w:r>
      <w:r w:rsidR="0024006E" w:rsidRPr="0024006E">
        <w:rPr>
          <w:color w:val="000000" w:themeColor="text1"/>
        </w:rPr>
        <w:t>-</w:t>
      </w:r>
      <w:r w:rsidRPr="0024006E">
        <w:rPr>
          <w:color w:val="000000" w:themeColor="text1"/>
        </w:rPr>
        <w:t xml:space="preserve"> including shifts in te</w:t>
      </w:r>
      <w:r w:rsidRPr="0024006E">
        <w:rPr>
          <w:color w:val="000000" w:themeColor="text1"/>
        </w:rPr>
        <w:t xml:space="preserve">mperature, precipitation patterns, and the frequency of extreme weather events </w:t>
      </w:r>
      <w:r w:rsidR="0024006E" w:rsidRPr="0024006E">
        <w:rPr>
          <w:color w:val="000000" w:themeColor="text1"/>
        </w:rPr>
        <w:t>-</w:t>
      </w:r>
      <w:r w:rsidRPr="0024006E">
        <w:rPr>
          <w:color w:val="000000" w:themeColor="text1"/>
        </w:rPr>
        <w:t xml:space="preserve"> disrupt agricultural systems and jeopardize nutritional outcomes across the globe. In 1980, total CO₂ equivalent emissions stood at 33.35 billion tonnes; by 2023, this figure </w:t>
      </w:r>
      <w:r w:rsidRPr="0024006E">
        <w:rPr>
          <w:color w:val="000000" w:themeColor="text1"/>
        </w:rPr>
        <w:t>had risen to 53.82 billion tonnes (Hannah et al., 2020; World Bank Data). These emissions drive the very climatic deviations that threaten food systems worldwide.</w:t>
      </w:r>
    </w:p>
    <w:p w:rsidR="00C36FD3" w:rsidRPr="0024006E" w:rsidRDefault="00677AED">
      <w:pPr>
        <w:spacing w:after="160" w:line="360" w:lineRule="auto"/>
        <w:ind w:firstLine="720"/>
        <w:jc w:val="both"/>
        <w:rPr>
          <w:color w:val="000000" w:themeColor="text1"/>
        </w:rPr>
      </w:pPr>
      <w:r w:rsidRPr="0024006E">
        <w:rPr>
          <w:color w:val="000000" w:themeColor="text1"/>
        </w:rPr>
        <w:t>Despite the growing body of literature on climate change and food security, significant empir</w:t>
      </w:r>
      <w:r w:rsidRPr="0024006E">
        <w:rPr>
          <w:color w:val="000000" w:themeColor="text1"/>
        </w:rPr>
        <w:t xml:space="preserve">ical gaps persist. Most existing studies measure food security through crop production or yield, rather than through the prevalence of undernourishment </w:t>
      </w:r>
      <w:r w:rsidR="0024006E" w:rsidRPr="0024006E">
        <w:rPr>
          <w:color w:val="000000" w:themeColor="text1"/>
        </w:rPr>
        <w:t>-</w:t>
      </w:r>
      <w:r w:rsidRPr="0024006E">
        <w:rPr>
          <w:color w:val="000000" w:themeColor="text1"/>
        </w:rPr>
        <w:t xml:space="preserve"> a more comprehensive indicator that captures accessibility, affordability, and nutritional dimensions.</w:t>
      </w:r>
      <w:r w:rsidRPr="0024006E">
        <w:rPr>
          <w:color w:val="000000" w:themeColor="text1"/>
        </w:rPr>
        <w:t xml:space="preserve"> Moreover, the majority of studies rely on linear specifications of climate variables, which fail to capture threshold effects and nonlinear dynamics well-documented in agronomic research (Schlenker &amp; Roberts, 2009). Prior work has also tended to focus on </w:t>
      </w:r>
      <w:r w:rsidRPr="0024006E">
        <w:rPr>
          <w:color w:val="000000" w:themeColor="text1"/>
        </w:rPr>
        <w:t>specific regions or countries, limiting generalizability.</w:t>
      </w:r>
    </w:p>
    <w:p w:rsidR="00C36FD3" w:rsidRPr="0024006E" w:rsidRDefault="00677AED">
      <w:pPr>
        <w:spacing w:after="160" w:line="360" w:lineRule="auto"/>
        <w:ind w:firstLine="720"/>
        <w:jc w:val="both"/>
        <w:rPr>
          <w:color w:val="000000" w:themeColor="text1"/>
        </w:rPr>
      </w:pPr>
      <w:r w:rsidRPr="0024006E">
        <w:rPr>
          <w:color w:val="000000" w:themeColor="text1"/>
        </w:rPr>
        <w:t xml:space="preserve">Two underexplored dimensions motivate this study. First, soil health </w:t>
      </w:r>
      <w:r w:rsidR="0024006E" w:rsidRPr="0024006E">
        <w:rPr>
          <w:color w:val="000000" w:themeColor="text1"/>
        </w:rPr>
        <w:t>-</w:t>
      </w:r>
      <w:r w:rsidRPr="0024006E">
        <w:rPr>
          <w:color w:val="000000" w:themeColor="text1"/>
        </w:rPr>
        <w:t xml:space="preserve"> specifically biological nitrogen fixation </w:t>
      </w:r>
      <w:r w:rsidR="0024006E" w:rsidRPr="0024006E">
        <w:rPr>
          <w:color w:val="000000" w:themeColor="text1"/>
        </w:rPr>
        <w:t>-</w:t>
      </w:r>
      <w:r w:rsidRPr="0024006E">
        <w:rPr>
          <w:color w:val="000000" w:themeColor="text1"/>
        </w:rPr>
        <w:t xml:space="preserve"> has received little attention in food security econometrics. Biological fixation is</w:t>
      </w:r>
      <w:r w:rsidRPr="0024006E">
        <w:rPr>
          <w:color w:val="000000" w:themeColor="text1"/>
        </w:rPr>
        <w:t xml:space="preserve"> the process by which living organisms convert atmospheric nitrogen into plant-available forms, reflecting the microbial activity and nutrient-cycling efficiency essential for sustainable agricultural productivity. As climate change degrades soil quality t</w:t>
      </w:r>
      <w:r w:rsidRPr="0024006E">
        <w:rPr>
          <w:color w:val="000000" w:themeColor="text1"/>
        </w:rPr>
        <w:t xml:space="preserve">hrough moisture stress, leaching, and disrupted organic cycling, the role of biological fixation in buffering food security outcomes deserves systematic examination. Second, rural populations </w:t>
      </w:r>
      <w:r w:rsidR="0024006E" w:rsidRPr="0024006E">
        <w:rPr>
          <w:color w:val="000000" w:themeColor="text1"/>
        </w:rPr>
        <w:t>-</w:t>
      </w:r>
      <w:r w:rsidRPr="0024006E">
        <w:rPr>
          <w:color w:val="000000" w:themeColor="text1"/>
        </w:rPr>
        <w:t xml:space="preserve"> who bear the greatest exposure to climate-sensitive agricultur</w:t>
      </w:r>
      <w:r w:rsidRPr="0024006E">
        <w:rPr>
          <w:color w:val="000000" w:themeColor="text1"/>
        </w:rPr>
        <w:t xml:space="preserve">e, have the lowest </w:t>
      </w:r>
      <w:r w:rsidRPr="0024006E">
        <w:rPr>
          <w:color w:val="000000" w:themeColor="text1"/>
        </w:rPr>
        <w:lastRenderedPageBreak/>
        <w:t xml:space="preserve">adaptive capacity, and face the most acute food insecurity </w:t>
      </w:r>
      <w:r w:rsidR="0024006E" w:rsidRPr="0024006E">
        <w:rPr>
          <w:color w:val="000000" w:themeColor="text1"/>
        </w:rPr>
        <w:t>-</w:t>
      </w:r>
      <w:r w:rsidRPr="0024006E">
        <w:rPr>
          <w:color w:val="000000" w:themeColor="text1"/>
        </w:rPr>
        <w:t xml:space="preserve"> have rarely been modeled as a mediating or moderating variable in climate-food security research.</w:t>
      </w:r>
    </w:p>
    <w:p w:rsidR="00C36FD3" w:rsidRPr="0024006E" w:rsidRDefault="00677AED">
      <w:pPr>
        <w:spacing w:after="160" w:line="360" w:lineRule="auto"/>
        <w:ind w:firstLine="720"/>
        <w:jc w:val="both"/>
        <w:rPr>
          <w:color w:val="000000" w:themeColor="text1"/>
        </w:rPr>
      </w:pPr>
      <w:r w:rsidRPr="0024006E">
        <w:rPr>
          <w:color w:val="000000" w:themeColor="text1"/>
        </w:rPr>
        <w:t>This paper addresses these gaps through three innovations: (1) incorporating b</w:t>
      </w:r>
      <w:r w:rsidRPr="0024006E">
        <w:rPr>
          <w:color w:val="000000" w:themeColor="text1"/>
        </w:rPr>
        <w:t>iological nitrogen fixation as a novel indicator of ecological resilience; (2) modeling rural population share as an interaction term that channels the effect of climate anomalies on undernourishment; and (3) disaggregating results across tropical, subtrop</w:t>
      </w:r>
      <w:r w:rsidRPr="0024006E">
        <w:rPr>
          <w:color w:val="000000" w:themeColor="text1"/>
        </w:rPr>
        <w:t>ical, and temperate agroecological zones to capture spatial heterogeneity. Using a 21-year panel of 133 countries and Fixed Effects econometric models, the study provides robust global evidence on the climate-undernourishment nexus.</w:t>
      </w:r>
    </w:p>
    <w:p w:rsidR="00C36FD3" w:rsidRPr="0024006E" w:rsidRDefault="00677AED">
      <w:pPr>
        <w:pStyle w:val="Heading1"/>
        <w:rPr>
          <w:color w:val="000000" w:themeColor="text1"/>
        </w:rPr>
      </w:pPr>
      <w:r w:rsidRPr="0024006E">
        <w:rPr>
          <w:color w:val="000000" w:themeColor="text1"/>
        </w:rPr>
        <w:t>2. Literature Review</w:t>
      </w:r>
    </w:p>
    <w:p w:rsidR="00C36FD3" w:rsidRPr="0024006E" w:rsidRDefault="00677AED">
      <w:pPr>
        <w:pStyle w:val="Heading2"/>
        <w:rPr>
          <w:color w:val="000000" w:themeColor="text1"/>
        </w:rPr>
      </w:pPr>
      <w:r w:rsidRPr="0024006E">
        <w:rPr>
          <w:color w:val="000000" w:themeColor="text1"/>
        </w:rPr>
        <w:t>2.</w:t>
      </w:r>
      <w:r w:rsidRPr="0024006E">
        <w:rPr>
          <w:color w:val="000000" w:themeColor="text1"/>
        </w:rPr>
        <w:t>1 Theoretical Foundations</w:t>
      </w:r>
    </w:p>
    <w:p w:rsidR="00C36FD3" w:rsidRPr="0024006E" w:rsidRDefault="00677AED">
      <w:pPr>
        <w:spacing w:after="160" w:line="360" w:lineRule="auto"/>
        <w:ind w:firstLine="720"/>
        <w:jc w:val="both"/>
        <w:rPr>
          <w:color w:val="000000" w:themeColor="text1"/>
        </w:rPr>
      </w:pPr>
      <w:r w:rsidRPr="0024006E">
        <w:rPr>
          <w:color w:val="000000" w:themeColor="text1"/>
        </w:rPr>
        <w:t>The study draws on several theoretical frameworks that collectively illuminate how climate change translates into food undernourishment. The Ricardian model of agricultural productivity (Mendelsohn, Nordhaus &amp; Shaw, 1994) posits t</w:t>
      </w:r>
      <w:r w:rsidRPr="0024006E">
        <w:rPr>
          <w:color w:val="000000" w:themeColor="text1"/>
        </w:rPr>
        <w:t xml:space="preserve">hat climatic variables </w:t>
      </w:r>
      <w:r w:rsidR="0024006E" w:rsidRPr="0024006E">
        <w:rPr>
          <w:color w:val="000000" w:themeColor="text1"/>
        </w:rPr>
        <w:t>-</w:t>
      </w:r>
      <w:r w:rsidRPr="0024006E">
        <w:rPr>
          <w:color w:val="000000" w:themeColor="text1"/>
        </w:rPr>
        <w:t xml:space="preserve"> temperature and rainfall </w:t>
      </w:r>
      <w:r w:rsidR="0024006E" w:rsidRPr="0024006E">
        <w:rPr>
          <w:color w:val="000000" w:themeColor="text1"/>
        </w:rPr>
        <w:t>-</w:t>
      </w:r>
      <w:r w:rsidRPr="0024006E">
        <w:rPr>
          <w:color w:val="000000" w:themeColor="text1"/>
        </w:rPr>
        <w:t xml:space="preserve"> exert nonlinear effects on farm productivity, with regional variation in climate sensitivity. This framework directly informs the study's nonlinear specification of temperature and precipitation and the f</w:t>
      </w:r>
      <w:r w:rsidRPr="0024006E">
        <w:rPr>
          <w:color w:val="000000" w:themeColor="text1"/>
        </w:rPr>
        <w:t>ocus on biological fixation as a proxy for the soil-based determinants of farm value.</w:t>
      </w:r>
    </w:p>
    <w:p w:rsidR="00C36FD3" w:rsidRPr="0024006E" w:rsidRDefault="00677AED">
      <w:pPr>
        <w:spacing w:after="160" w:line="360" w:lineRule="auto"/>
        <w:ind w:firstLine="720"/>
        <w:jc w:val="both"/>
        <w:rPr>
          <w:color w:val="000000" w:themeColor="text1"/>
        </w:rPr>
      </w:pPr>
      <w:r w:rsidRPr="0024006E">
        <w:rPr>
          <w:color w:val="000000" w:themeColor="text1"/>
        </w:rPr>
        <w:t xml:space="preserve">Nordhaus's (2018) integrated assessment model treats climate change as a negative externality </w:t>
      </w:r>
      <w:r w:rsidR="0024006E" w:rsidRPr="0024006E">
        <w:rPr>
          <w:color w:val="000000" w:themeColor="text1"/>
        </w:rPr>
        <w:t>-</w:t>
      </w:r>
      <w:r w:rsidRPr="0024006E">
        <w:rPr>
          <w:color w:val="000000" w:themeColor="text1"/>
        </w:rPr>
        <w:t xml:space="preserve"> unpredictable in its consequences and inequitably distributed, with develo</w:t>
      </w:r>
      <w:r w:rsidRPr="0024006E">
        <w:rPr>
          <w:color w:val="000000" w:themeColor="text1"/>
        </w:rPr>
        <w:t xml:space="preserve">ping nations bearing disproportionate costs. Amartya Sen's Entitlement Approach (1982) extends this by demonstrating that food insecurity is not merely a production problem but a failure of access and entitlement, shaped by socioeconomic and institutional </w:t>
      </w:r>
      <w:r w:rsidRPr="0024006E">
        <w:rPr>
          <w:color w:val="000000" w:themeColor="text1"/>
        </w:rPr>
        <w:t>factors. This motivates the inclusion of GDP per capita and food supply as controls. The Sustainable Livelihoods Framework (Chambers &amp; Conway, 1992) further argues that rural populations face compound vulnerability through reduced natural capital, weakened</w:t>
      </w:r>
      <w:r w:rsidRPr="0024006E">
        <w:rPr>
          <w:color w:val="000000" w:themeColor="text1"/>
        </w:rPr>
        <w:t xml:space="preserve"> productivity, and limited institutional support under climate stress. Malthusian theory contextualizes greenhouse gas emissions as the structural driver of climate-induced agricultural disruption, including rural-urban migration and demographic destabiliz</w:t>
      </w:r>
      <w:r w:rsidRPr="0024006E">
        <w:rPr>
          <w:color w:val="000000" w:themeColor="text1"/>
        </w:rPr>
        <w:t>ation.</w:t>
      </w:r>
    </w:p>
    <w:p w:rsidR="00C36FD3" w:rsidRPr="0024006E" w:rsidRDefault="00677AED">
      <w:pPr>
        <w:pStyle w:val="Heading2"/>
        <w:rPr>
          <w:color w:val="000000" w:themeColor="text1"/>
        </w:rPr>
      </w:pPr>
      <w:r w:rsidRPr="0024006E">
        <w:rPr>
          <w:color w:val="000000" w:themeColor="text1"/>
        </w:rPr>
        <w:t>2.2 Empirical Evidence</w:t>
      </w:r>
    </w:p>
    <w:p w:rsidR="00C36FD3" w:rsidRPr="0024006E" w:rsidRDefault="00677AED">
      <w:pPr>
        <w:spacing w:after="160" w:line="360" w:lineRule="auto"/>
        <w:ind w:firstLine="720"/>
        <w:jc w:val="both"/>
        <w:rPr>
          <w:color w:val="000000" w:themeColor="text1"/>
        </w:rPr>
      </w:pPr>
      <w:r w:rsidRPr="0024006E">
        <w:rPr>
          <w:color w:val="000000" w:themeColor="text1"/>
        </w:rPr>
        <w:t>Empirical studies have established significant linkages between climatic variability and food security outcomes. Chandio et al. (2020) found, using panel dynamic least squares for South Asian countries, that a 1% increase in t</w:t>
      </w:r>
      <w:r w:rsidRPr="0024006E">
        <w:rPr>
          <w:color w:val="000000" w:themeColor="text1"/>
        </w:rPr>
        <w:t xml:space="preserve">emperature reduced crop production by 1.93%, though the study was limited by a focus on production and a linear specification. Mahrous (2019) demonstrated using Fixed </w:t>
      </w:r>
      <w:r w:rsidRPr="0024006E">
        <w:rPr>
          <w:color w:val="000000" w:themeColor="text1"/>
        </w:rPr>
        <w:lastRenderedPageBreak/>
        <w:t>Effects panel data for East African countries that a 1% increment in rainfall decreased f</w:t>
      </w:r>
      <w:r w:rsidRPr="0024006E">
        <w:rPr>
          <w:color w:val="000000" w:themeColor="text1"/>
        </w:rPr>
        <w:t>ood insecurity by 0.32%, while temperature exerted negative consequences overall.</w:t>
      </w:r>
    </w:p>
    <w:p w:rsidR="00C36FD3" w:rsidRPr="0024006E" w:rsidRDefault="00677AED">
      <w:pPr>
        <w:spacing w:after="160" w:line="360" w:lineRule="auto"/>
        <w:ind w:firstLine="720"/>
        <w:jc w:val="both"/>
        <w:rPr>
          <w:color w:val="000000" w:themeColor="text1"/>
        </w:rPr>
      </w:pPr>
      <w:r w:rsidRPr="0024006E">
        <w:rPr>
          <w:color w:val="000000" w:themeColor="text1"/>
        </w:rPr>
        <w:t>Lloyd et al. (2011) developed a process-based model finding that projected climate change would increase moderate child stunting by up to 129% in South Asia and Africa relati</w:t>
      </w:r>
      <w:r w:rsidRPr="0024006E">
        <w:rPr>
          <w:color w:val="000000" w:themeColor="text1"/>
        </w:rPr>
        <w:t>ve to no-climate-change scenarios. Lobell et al. (2008) showed that prioritizing climate adaptation for food security required accounting for nonlinear temperature effects in major staple crops. Schlenker &amp; Roberts (2009) demonstrated the superiority of no</w:t>
      </w:r>
      <w:r w:rsidRPr="0024006E">
        <w:rPr>
          <w:color w:val="000000" w:themeColor="text1"/>
        </w:rPr>
        <w:t>nlinear over linear climate specifications in capturing damage functions for crop yields.</w:t>
      </w:r>
    </w:p>
    <w:p w:rsidR="00C36FD3" w:rsidRPr="0024006E" w:rsidRDefault="00677AED">
      <w:pPr>
        <w:spacing w:after="160" w:line="360" w:lineRule="auto"/>
        <w:ind w:firstLine="720"/>
        <w:jc w:val="both"/>
        <w:rPr>
          <w:color w:val="000000" w:themeColor="text1"/>
        </w:rPr>
      </w:pPr>
      <w:r w:rsidRPr="0024006E">
        <w:rPr>
          <w:color w:val="000000" w:themeColor="text1"/>
        </w:rPr>
        <w:t>Regarding soil health, Ladha et al. (2022) emphasized the importance of biological nitrogen fixation for sustainable crop production in cereal systems, though the bro</w:t>
      </w:r>
      <w:r w:rsidRPr="0024006E">
        <w:rPr>
          <w:color w:val="000000" w:themeColor="text1"/>
        </w:rPr>
        <w:t xml:space="preserve">ader implications for national-level undernourishment outcomes remained unexplored. The link between biological fixation, long-term soil fertility, and food security has not been empirically tested at the global panel level </w:t>
      </w:r>
      <w:r w:rsidR="0024006E" w:rsidRPr="0024006E">
        <w:rPr>
          <w:color w:val="000000" w:themeColor="text1"/>
        </w:rPr>
        <w:t>-</w:t>
      </w:r>
      <w:r w:rsidRPr="0024006E">
        <w:rPr>
          <w:color w:val="000000" w:themeColor="text1"/>
        </w:rPr>
        <w:t xml:space="preserve"> a gap this study addresses dir</w:t>
      </w:r>
      <w:r w:rsidRPr="0024006E">
        <w:rPr>
          <w:color w:val="000000" w:themeColor="text1"/>
        </w:rPr>
        <w:t>ectly.</w:t>
      </w:r>
    </w:p>
    <w:p w:rsidR="00C36FD3" w:rsidRPr="0024006E" w:rsidRDefault="00677AED">
      <w:pPr>
        <w:spacing w:after="160" w:line="360" w:lineRule="auto"/>
        <w:ind w:firstLine="720"/>
        <w:jc w:val="both"/>
        <w:rPr>
          <w:color w:val="000000" w:themeColor="text1"/>
        </w:rPr>
      </w:pPr>
      <w:r w:rsidRPr="0024006E">
        <w:rPr>
          <w:color w:val="000000" w:themeColor="text1"/>
        </w:rPr>
        <w:t>On agroecological heterogeneity, Chen et al. (2017) found that temperate regions may benefit moderately from warming while suffering from excess rainfall, but the analysis was spatially limited. Hertel &amp; Lobell (2014) demonstrated that adaptive capa</w:t>
      </w:r>
      <w:r w:rsidRPr="0024006E">
        <w:rPr>
          <w:color w:val="000000" w:themeColor="text1"/>
        </w:rPr>
        <w:t>city differentials between high- and low-income countries shape the magnitude of climate impacts on agriculture, with implications for agroecological zone-level analysis.</w:t>
      </w:r>
    </w:p>
    <w:p w:rsidR="00C36FD3" w:rsidRPr="0024006E" w:rsidRDefault="00677AED">
      <w:pPr>
        <w:pStyle w:val="Heading2"/>
        <w:rPr>
          <w:color w:val="000000" w:themeColor="text1"/>
        </w:rPr>
      </w:pPr>
      <w:r w:rsidRPr="0024006E">
        <w:rPr>
          <w:color w:val="000000" w:themeColor="text1"/>
        </w:rPr>
        <w:t>2.3 Research Gaps</w:t>
      </w:r>
    </w:p>
    <w:p w:rsidR="00C36FD3" w:rsidRPr="0024006E" w:rsidRDefault="00677AED">
      <w:pPr>
        <w:spacing w:after="160" w:line="360" w:lineRule="auto"/>
        <w:ind w:firstLine="720"/>
        <w:jc w:val="both"/>
        <w:rPr>
          <w:color w:val="000000" w:themeColor="text1"/>
        </w:rPr>
      </w:pPr>
      <w:r w:rsidRPr="0024006E">
        <w:rPr>
          <w:color w:val="000000" w:themeColor="text1"/>
        </w:rPr>
        <w:t>The existing literature exhibits several systematic gaps this paper</w:t>
      </w:r>
      <w:r w:rsidRPr="0024006E">
        <w:rPr>
          <w:color w:val="000000" w:themeColor="text1"/>
        </w:rPr>
        <w:t xml:space="preserve"> addresses. First, the predominant use of crop yield or production as a food security proxy fails to capture the accessibility, distribution, and nutritional dimensions embedded in undernourishment prevalence. Second, linear specifications of climatic vari</w:t>
      </w:r>
      <w:r w:rsidRPr="0024006E">
        <w:rPr>
          <w:color w:val="000000" w:themeColor="text1"/>
        </w:rPr>
        <w:t>ables fail to capture threshold effects that are theoretically and empirically well-established. Third, global panel studies rarely model the rural population as an interaction or mediating variable, despite rural communities representing the primary trans</w:t>
      </w:r>
      <w:r w:rsidRPr="0024006E">
        <w:rPr>
          <w:color w:val="000000" w:themeColor="text1"/>
        </w:rPr>
        <w:t xml:space="preserve">mission channel of climate shocks to food outcomes. Fourth, biological fixation has been almost entirely absent from macro-level food security models, despite its agronomic importance. Fifth, few studies disaggregate results across agroecological zones at </w:t>
      </w:r>
      <w:r w:rsidRPr="0024006E">
        <w:rPr>
          <w:color w:val="000000" w:themeColor="text1"/>
        </w:rPr>
        <w:t>the global level.</w:t>
      </w:r>
    </w:p>
    <w:p w:rsidR="00C36FD3" w:rsidRPr="0024006E" w:rsidRDefault="00677AED">
      <w:pPr>
        <w:pStyle w:val="Heading1"/>
        <w:rPr>
          <w:color w:val="000000" w:themeColor="text1"/>
        </w:rPr>
      </w:pPr>
      <w:r w:rsidRPr="0024006E">
        <w:rPr>
          <w:color w:val="000000" w:themeColor="text1"/>
        </w:rPr>
        <w:t>3. Conceptual Framework</w:t>
      </w:r>
    </w:p>
    <w:p w:rsidR="00C36FD3" w:rsidRPr="0024006E" w:rsidRDefault="00677AED">
      <w:pPr>
        <w:spacing w:after="160" w:line="360" w:lineRule="auto"/>
        <w:ind w:firstLine="720"/>
        <w:jc w:val="both"/>
        <w:rPr>
          <w:color w:val="000000" w:themeColor="text1"/>
        </w:rPr>
      </w:pPr>
      <w:r w:rsidRPr="0024006E">
        <w:rPr>
          <w:color w:val="000000" w:themeColor="text1"/>
        </w:rPr>
        <w:t xml:space="preserve">The study's conceptual framework positions four climatic variables </w:t>
      </w:r>
      <w:r w:rsidR="0024006E" w:rsidRPr="0024006E">
        <w:rPr>
          <w:color w:val="000000" w:themeColor="text1"/>
        </w:rPr>
        <w:t>-</w:t>
      </w:r>
      <w:r w:rsidRPr="0024006E">
        <w:rPr>
          <w:color w:val="000000" w:themeColor="text1"/>
        </w:rPr>
        <w:t xml:space="preserve"> temperature change, annual precipitation, greenhouse gas emissions, and biological fixation </w:t>
      </w:r>
      <w:r w:rsidR="0024006E" w:rsidRPr="0024006E">
        <w:rPr>
          <w:color w:val="000000" w:themeColor="text1"/>
        </w:rPr>
        <w:t>-</w:t>
      </w:r>
      <w:r w:rsidRPr="0024006E">
        <w:rPr>
          <w:color w:val="000000" w:themeColor="text1"/>
        </w:rPr>
        <w:t xml:space="preserve"> as the primary independent drivers of </w:t>
      </w:r>
      <w:r w:rsidRPr="0024006E">
        <w:rPr>
          <w:color w:val="000000" w:themeColor="text1"/>
        </w:rPr>
        <w:lastRenderedPageBreak/>
        <w:t>the prevalenc</w:t>
      </w:r>
      <w:r w:rsidRPr="0024006E">
        <w:rPr>
          <w:color w:val="000000" w:themeColor="text1"/>
        </w:rPr>
        <w:t xml:space="preserve">e of food undernourishment. Socioeconomic controls (GDP per capita, food supply per kcal, and total arable land) account for national-level mediating conditions. Rural population share enters as both a direct predictor and an interaction term with climate </w:t>
      </w:r>
      <w:r w:rsidRPr="0024006E">
        <w:rPr>
          <w:color w:val="000000" w:themeColor="text1"/>
        </w:rPr>
        <w:t>variables, reflecting its role as a vulnerability amplifier. Agroecological zone classification captures spatial heterogeneity in climate sensitivity.</w:t>
      </w:r>
    </w:p>
    <w:p w:rsidR="00C36FD3" w:rsidRPr="0024006E" w:rsidRDefault="00677AED">
      <w:pPr>
        <w:spacing w:after="160" w:line="360" w:lineRule="auto"/>
        <w:ind w:firstLine="720"/>
        <w:jc w:val="both"/>
        <w:rPr>
          <w:color w:val="000000" w:themeColor="text1"/>
        </w:rPr>
      </w:pPr>
      <w:r w:rsidRPr="0024006E">
        <w:rPr>
          <w:color w:val="000000" w:themeColor="text1"/>
        </w:rPr>
        <w:t>The framework recognizes that the relationship between climate change and undernourishment operates throu</w:t>
      </w:r>
      <w:r w:rsidRPr="0024006E">
        <w:rPr>
          <w:color w:val="000000" w:themeColor="text1"/>
        </w:rPr>
        <w:t>gh multiple pathways: reduced agricultural productivity, disrupted supply chains, increased market volatility, degraded soil health, and diminished adaptive capacity. These effects are modeled as nonlinear, reflecting the threshold dynamics documented in t</w:t>
      </w:r>
      <w:r w:rsidRPr="0024006E">
        <w:rPr>
          <w:color w:val="000000" w:themeColor="text1"/>
        </w:rPr>
        <w:t>he agronomic literature.</w:t>
      </w:r>
    </w:p>
    <w:p w:rsidR="00C36FD3" w:rsidRPr="0024006E" w:rsidRDefault="00677AED">
      <w:pPr>
        <w:pStyle w:val="Heading1"/>
        <w:rPr>
          <w:color w:val="000000" w:themeColor="text1"/>
        </w:rPr>
      </w:pPr>
      <w:r w:rsidRPr="0024006E">
        <w:rPr>
          <w:color w:val="000000" w:themeColor="text1"/>
        </w:rPr>
        <w:t>4. Methodology</w:t>
      </w:r>
    </w:p>
    <w:p w:rsidR="00C36FD3" w:rsidRPr="0024006E" w:rsidRDefault="00677AED">
      <w:pPr>
        <w:pStyle w:val="Heading2"/>
        <w:rPr>
          <w:color w:val="000000" w:themeColor="text1"/>
        </w:rPr>
      </w:pPr>
      <w:r w:rsidRPr="0024006E">
        <w:rPr>
          <w:color w:val="000000" w:themeColor="text1"/>
        </w:rPr>
        <w:t>4.1 Data and Sample</w:t>
      </w:r>
    </w:p>
    <w:p w:rsidR="00C36FD3" w:rsidRPr="0024006E" w:rsidRDefault="00677AED">
      <w:pPr>
        <w:spacing w:after="160" w:line="360" w:lineRule="auto"/>
        <w:ind w:firstLine="720"/>
        <w:jc w:val="both"/>
        <w:rPr>
          <w:color w:val="000000" w:themeColor="text1"/>
        </w:rPr>
      </w:pPr>
      <w:r w:rsidRPr="0024006E">
        <w:rPr>
          <w:color w:val="000000" w:themeColor="text1"/>
        </w:rPr>
        <w:t>The study uses a balanced panel dataset from 133 countries spanning 2001 to 2021, capturing a period of intensifying climate change and persistent food security challenges. Countries with undernou</w:t>
      </w:r>
      <w:r w:rsidRPr="0024006E">
        <w:rPr>
          <w:color w:val="000000" w:themeColor="text1"/>
        </w:rPr>
        <w:t>rishment prevalence below 1.5% are excluded, as these high-income nations exhibit negligible food insecurity and would introduce structural heterogeneity incompatible with the study's focus on climate-vulnerable populations. The sample encompasses countrie</w:t>
      </w:r>
      <w:r w:rsidRPr="0024006E">
        <w:rPr>
          <w:color w:val="000000" w:themeColor="text1"/>
        </w:rPr>
        <w:t xml:space="preserve">s from South Asia, Sub-Saharan Africa, Latin America, Southeast Asia, and the Middle East </w:t>
      </w:r>
      <w:r w:rsidR="0024006E" w:rsidRPr="0024006E">
        <w:rPr>
          <w:color w:val="000000" w:themeColor="text1"/>
        </w:rPr>
        <w:t>-</w:t>
      </w:r>
      <w:r w:rsidRPr="0024006E">
        <w:rPr>
          <w:color w:val="000000" w:themeColor="text1"/>
        </w:rPr>
        <w:t xml:space="preserve"> regions where climate-food linkages are most consequential.</w:t>
      </w:r>
    </w:p>
    <w:p w:rsidR="00C36FD3" w:rsidRPr="0024006E" w:rsidRDefault="00677AED">
      <w:pPr>
        <w:spacing w:after="160" w:line="360" w:lineRule="auto"/>
        <w:ind w:firstLine="720"/>
        <w:jc w:val="both"/>
        <w:rPr>
          <w:color w:val="000000" w:themeColor="text1"/>
        </w:rPr>
      </w:pPr>
      <w:r w:rsidRPr="0024006E">
        <w:rPr>
          <w:color w:val="000000" w:themeColor="text1"/>
        </w:rPr>
        <w:t>All climatic and socioeconomic variables are constructed as three-year moving averages to smooth short-t</w:t>
      </w:r>
      <w:r w:rsidRPr="0024006E">
        <w:rPr>
          <w:color w:val="000000" w:themeColor="text1"/>
        </w:rPr>
        <w:t>erm fluctuations, capture the delayed effects of climate change on agricultural and nutritional outcomes, and reduce the influence of transient weather events. This approach follows Schlenker &amp; Roberts (2009) and is appropriate given that the mechanisms li</w:t>
      </w:r>
      <w:r w:rsidRPr="0024006E">
        <w:rPr>
          <w:color w:val="000000" w:themeColor="text1"/>
        </w:rPr>
        <w:t xml:space="preserve">nking climate to undernourishment </w:t>
      </w:r>
      <w:r w:rsidR="0024006E" w:rsidRPr="0024006E">
        <w:rPr>
          <w:color w:val="000000" w:themeColor="text1"/>
        </w:rPr>
        <w:t>-</w:t>
      </w:r>
      <w:r w:rsidRPr="0024006E">
        <w:rPr>
          <w:color w:val="000000" w:themeColor="text1"/>
        </w:rPr>
        <w:t xml:space="preserve"> including soil degradation, multi-season crop failure, and shifts in food prices </w:t>
      </w:r>
      <w:r w:rsidR="0024006E" w:rsidRPr="0024006E">
        <w:rPr>
          <w:color w:val="000000" w:themeColor="text1"/>
        </w:rPr>
        <w:t>-</w:t>
      </w:r>
      <w:r w:rsidRPr="0024006E">
        <w:rPr>
          <w:color w:val="000000" w:themeColor="text1"/>
        </w:rPr>
        <w:t xml:space="preserve"> operate over extended time horizons.</w:t>
      </w:r>
    </w:p>
    <w:p w:rsidR="00C36FD3" w:rsidRPr="0024006E" w:rsidRDefault="00677AED">
      <w:pPr>
        <w:pStyle w:val="Heading2"/>
        <w:rPr>
          <w:color w:val="000000" w:themeColor="text1"/>
        </w:rPr>
      </w:pPr>
      <w:r w:rsidRPr="0024006E">
        <w:rPr>
          <w:color w:val="000000" w:themeColor="text1"/>
        </w:rPr>
        <w:t>4.2 Variables</w:t>
      </w:r>
    </w:p>
    <w:p w:rsidR="00C36FD3" w:rsidRPr="0024006E" w:rsidRDefault="00677AED">
      <w:pPr>
        <w:spacing w:after="160" w:line="360" w:lineRule="auto"/>
        <w:ind w:firstLine="720"/>
        <w:jc w:val="both"/>
        <w:rPr>
          <w:color w:val="000000" w:themeColor="text1"/>
        </w:rPr>
      </w:pPr>
      <w:r w:rsidRPr="0024006E">
        <w:rPr>
          <w:b/>
          <w:bCs/>
          <w:color w:val="000000" w:themeColor="text1"/>
        </w:rPr>
        <w:t xml:space="preserve">Dependent variable: </w:t>
      </w:r>
      <w:r w:rsidRPr="0024006E">
        <w:rPr>
          <w:color w:val="000000" w:themeColor="text1"/>
        </w:rPr>
        <w:t xml:space="preserve">Prevalence of food undernourishment (%), sourced from FAO, </w:t>
      </w:r>
      <w:r w:rsidRPr="0024006E">
        <w:rPr>
          <w:color w:val="000000" w:themeColor="text1"/>
        </w:rPr>
        <w:t>measured as the share of the national population unable to meet minimum dietary energy requirements.</w:t>
      </w:r>
    </w:p>
    <w:p w:rsidR="00C36FD3" w:rsidRPr="0024006E" w:rsidRDefault="00677AED">
      <w:pPr>
        <w:spacing w:after="160" w:line="360" w:lineRule="auto"/>
        <w:ind w:firstLine="720"/>
        <w:jc w:val="both"/>
        <w:rPr>
          <w:color w:val="000000" w:themeColor="text1"/>
        </w:rPr>
      </w:pPr>
      <w:r w:rsidRPr="0024006E">
        <w:rPr>
          <w:b/>
          <w:bCs/>
          <w:color w:val="000000" w:themeColor="text1"/>
        </w:rPr>
        <w:t xml:space="preserve">Independent variables: </w:t>
      </w:r>
      <w:r w:rsidRPr="0024006E">
        <w:rPr>
          <w:color w:val="000000" w:themeColor="text1"/>
        </w:rPr>
        <w:t xml:space="preserve">(i) Temperature change (°C), sourced from FAO </w:t>
      </w:r>
      <w:r w:rsidR="0024006E" w:rsidRPr="0024006E">
        <w:rPr>
          <w:color w:val="000000" w:themeColor="text1"/>
        </w:rPr>
        <w:t>-</w:t>
      </w:r>
      <w:r w:rsidRPr="0024006E">
        <w:rPr>
          <w:color w:val="000000" w:themeColor="text1"/>
        </w:rPr>
        <w:t xml:space="preserve"> annual deviation from historical norms, capturing climate stress on agriculture; ent</w:t>
      </w:r>
      <w:r w:rsidRPr="0024006E">
        <w:rPr>
          <w:color w:val="000000" w:themeColor="text1"/>
        </w:rPr>
        <w:t xml:space="preserve">ered in quadratic form to model nonlinearity. (ii) Annual precipitation (mm), from NASA Global Precipitation Measurement Mission </w:t>
      </w:r>
      <w:r w:rsidR="0024006E" w:rsidRPr="0024006E">
        <w:rPr>
          <w:color w:val="000000" w:themeColor="text1"/>
        </w:rPr>
        <w:t>-</w:t>
      </w:r>
      <w:r w:rsidRPr="0024006E">
        <w:rPr>
          <w:color w:val="000000" w:themeColor="text1"/>
        </w:rPr>
        <w:t xml:space="preserve"> captures both drought and flood risk; entered as squared term. (iii) Greenhouse gas emissions (CO₂ equivalent, million </w:t>
      </w:r>
      <w:r w:rsidRPr="0024006E">
        <w:rPr>
          <w:color w:val="000000" w:themeColor="text1"/>
        </w:rPr>
        <w:lastRenderedPageBreak/>
        <w:t>tonnes</w:t>
      </w:r>
      <w:r w:rsidRPr="0024006E">
        <w:rPr>
          <w:color w:val="000000" w:themeColor="text1"/>
        </w:rPr>
        <w:t xml:space="preserve">), from the World Bank </w:t>
      </w:r>
      <w:r w:rsidR="0024006E" w:rsidRPr="0024006E">
        <w:rPr>
          <w:color w:val="000000" w:themeColor="text1"/>
        </w:rPr>
        <w:t>-</w:t>
      </w:r>
      <w:r w:rsidRPr="0024006E">
        <w:rPr>
          <w:color w:val="000000" w:themeColor="text1"/>
        </w:rPr>
        <w:t xml:space="preserve"> the primary driver of anthropogenic climate change. (iv) Biological fixation (kg/m²), from FAO </w:t>
      </w:r>
      <w:r w:rsidR="0024006E" w:rsidRPr="0024006E">
        <w:rPr>
          <w:color w:val="000000" w:themeColor="text1"/>
        </w:rPr>
        <w:t>-</w:t>
      </w:r>
      <w:r w:rsidRPr="0024006E">
        <w:rPr>
          <w:color w:val="000000" w:themeColor="text1"/>
        </w:rPr>
        <w:t xml:space="preserve"> proxy for soil health and microbial nitrogen-cycling capacity.</w:t>
      </w:r>
    </w:p>
    <w:p w:rsidR="00C36FD3" w:rsidRPr="0024006E" w:rsidRDefault="00677AED">
      <w:pPr>
        <w:spacing w:after="160" w:line="360" w:lineRule="auto"/>
        <w:ind w:firstLine="720"/>
        <w:jc w:val="both"/>
        <w:rPr>
          <w:color w:val="000000" w:themeColor="text1"/>
        </w:rPr>
      </w:pPr>
      <w:r w:rsidRPr="0024006E">
        <w:rPr>
          <w:b/>
          <w:bCs/>
          <w:color w:val="000000" w:themeColor="text1"/>
        </w:rPr>
        <w:t xml:space="preserve">Control variables: </w:t>
      </w:r>
      <w:r w:rsidRPr="0024006E">
        <w:rPr>
          <w:color w:val="000000" w:themeColor="text1"/>
        </w:rPr>
        <w:t>GDP per capita (IMF), food supply per kcal per capit</w:t>
      </w:r>
      <w:r w:rsidRPr="0024006E">
        <w:rPr>
          <w:color w:val="000000" w:themeColor="text1"/>
        </w:rPr>
        <w:t>a (FAO), and total arable land (World Bank). These capture national economic capacity, food availability, and agricultural resource base.</w:t>
      </w:r>
    </w:p>
    <w:p w:rsidR="00C36FD3" w:rsidRPr="0024006E" w:rsidRDefault="00677AED">
      <w:pPr>
        <w:spacing w:after="160" w:line="360" w:lineRule="auto"/>
        <w:ind w:firstLine="720"/>
        <w:jc w:val="both"/>
        <w:rPr>
          <w:color w:val="000000" w:themeColor="text1"/>
        </w:rPr>
      </w:pPr>
      <w:r w:rsidRPr="0024006E">
        <w:rPr>
          <w:b/>
          <w:bCs/>
          <w:color w:val="000000" w:themeColor="text1"/>
        </w:rPr>
        <w:t xml:space="preserve">Interaction and heterogeneity terms: </w:t>
      </w:r>
      <w:r w:rsidRPr="0024006E">
        <w:rPr>
          <w:color w:val="000000" w:themeColor="text1"/>
        </w:rPr>
        <w:t>Rural population share (World Bank) interacted with temperature and precipitation</w:t>
      </w:r>
      <w:r w:rsidRPr="0024006E">
        <w:rPr>
          <w:color w:val="000000" w:themeColor="text1"/>
        </w:rPr>
        <w:t xml:space="preserve"> to model demographic amplification of climate effects. Agroecological zone classification (modified Koppen: tropical, subtropical, temperate) to capture spatial heterogeneity.</w:t>
      </w:r>
    </w:p>
    <w:p w:rsidR="00C36FD3" w:rsidRPr="0024006E" w:rsidRDefault="00677AED">
      <w:pPr>
        <w:spacing w:before="160" w:after="80"/>
        <w:jc w:val="center"/>
        <w:rPr>
          <w:color w:val="000000" w:themeColor="text1"/>
        </w:rPr>
      </w:pPr>
      <w:r w:rsidRPr="0024006E">
        <w:rPr>
          <w:i/>
          <w:iCs/>
          <w:color w:val="000000" w:themeColor="text1"/>
        </w:rPr>
        <w:t>Table 1</w:t>
      </w:r>
    </w:p>
    <w:p w:rsidR="00C36FD3" w:rsidRPr="0024006E" w:rsidRDefault="00677AED">
      <w:pPr>
        <w:spacing w:before="160" w:after="80"/>
        <w:jc w:val="center"/>
        <w:rPr>
          <w:color w:val="000000" w:themeColor="text1"/>
        </w:rPr>
      </w:pPr>
      <w:r w:rsidRPr="0024006E">
        <w:rPr>
          <w:i/>
          <w:iCs/>
          <w:color w:val="000000" w:themeColor="text1"/>
        </w:rPr>
        <w:t>Sources of Variables</w:t>
      </w:r>
    </w:p>
    <w:tbl>
      <w:tblPr>
        <w:tblW w:w="9360" w:type="dxa"/>
        <w:tblBorders>
          <w:bottom w:val="single" w:sz="2" w:space="0" w:color="FFFFFF" w:themeColor="background1"/>
        </w:tblBorders>
        <w:tblCellMar>
          <w:left w:w="10" w:type="dxa"/>
          <w:right w:w="10" w:type="dxa"/>
        </w:tblCellMar>
        <w:tblLook w:val="04A0" w:firstRow="1" w:lastRow="0" w:firstColumn="1" w:lastColumn="0" w:noHBand="0" w:noVBand="1"/>
      </w:tblPr>
      <w:tblGrid>
        <w:gridCol w:w="4680"/>
        <w:gridCol w:w="4680"/>
      </w:tblGrid>
      <w:tr w:rsidR="0024006E" w:rsidRPr="0024006E" w:rsidTr="0024006E">
        <w:tc>
          <w:tcPr>
            <w:tcW w:w="468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b/>
                <w:bCs/>
                <w:color w:val="000000" w:themeColor="text1"/>
                <w:sz w:val="20"/>
                <w:szCs w:val="20"/>
              </w:rPr>
              <w:t>Variable</w:t>
            </w:r>
          </w:p>
        </w:tc>
        <w:tc>
          <w:tcPr>
            <w:tcW w:w="46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Source</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 xml:space="preserve">Prevalence of Food </w:t>
            </w:r>
            <w:r w:rsidRPr="0024006E">
              <w:rPr>
                <w:color w:val="000000" w:themeColor="text1"/>
                <w:sz w:val="20"/>
                <w:szCs w:val="20"/>
              </w:rPr>
              <w:t>Undernourishment</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Biological Fixation</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Temperature Change</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Food Supply (kcal)</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Annual Precipitation</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NASA Global Precipitation Measurement Mission</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GHG Emissions</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World Bank</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GDP Per Capita</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IMF</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Total Arable Land</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World Bank</w:t>
            </w:r>
          </w:p>
        </w:tc>
      </w:tr>
      <w:tr w:rsidR="0024006E" w:rsidRPr="0024006E" w:rsidTr="0024006E">
        <w:tc>
          <w:tcPr>
            <w:tcW w:w="4680" w:type="dxa"/>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Rural Population</w:t>
            </w:r>
          </w:p>
        </w:tc>
        <w:tc>
          <w:tcPr>
            <w:tcW w:w="4680" w:type="dxa"/>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World Bank</w:t>
            </w:r>
          </w:p>
        </w:tc>
      </w:tr>
    </w:tbl>
    <w:p w:rsidR="00C36FD3" w:rsidRPr="0024006E" w:rsidRDefault="00C36FD3">
      <w:pPr>
        <w:rPr>
          <w:color w:val="000000" w:themeColor="text1"/>
        </w:rPr>
      </w:pPr>
    </w:p>
    <w:p w:rsidR="00C36FD3" w:rsidRPr="0024006E" w:rsidRDefault="00677AED">
      <w:pPr>
        <w:pStyle w:val="Heading2"/>
        <w:rPr>
          <w:color w:val="000000" w:themeColor="text1"/>
        </w:rPr>
      </w:pPr>
      <w:r w:rsidRPr="0024006E">
        <w:rPr>
          <w:color w:val="000000" w:themeColor="text1"/>
        </w:rPr>
        <w:t>4.3 Empirical Model</w:t>
      </w:r>
    </w:p>
    <w:p w:rsidR="00C36FD3" w:rsidRPr="0024006E" w:rsidRDefault="00677AED">
      <w:pPr>
        <w:spacing w:after="160" w:line="360" w:lineRule="auto"/>
        <w:ind w:firstLine="720"/>
        <w:jc w:val="both"/>
        <w:rPr>
          <w:color w:val="000000" w:themeColor="text1"/>
        </w:rPr>
      </w:pPr>
      <w:r w:rsidRPr="0024006E">
        <w:rPr>
          <w:color w:val="000000" w:themeColor="text1"/>
        </w:rPr>
        <w:t>The primary empirical model follows a Fixed Effects (FE) panel regression:</w:t>
      </w:r>
    </w:p>
    <w:p w:rsidR="00C36FD3" w:rsidRPr="0024006E" w:rsidRDefault="00677AED">
      <w:pPr>
        <w:spacing w:before="120" w:after="120"/>
        <w:jc w:val="center"/>
        <w:rPr>
          <w:color w:val="000000" w:themeColor="text1"/>
        </w:rPr>
      </w:pPr>
      <w:r w:rsidRPr="0024006E">
        <w:rPr>
          <w:i/>
          <w:iCs/>
          <w:color w:val="000000" w:themeColor="text1"/>
        </w:rPr>
        <w:t>Undernourishmentit = β₀ + β₁ Temperature²it + β₂ Precipitation²it + β₃ GHGit + β₄ BiologicalFixationit + β₅ RuralPopulationit + β₆ Xit + αi + εit</w:t>
      </w:r>
    </w:p>
    <w:p w:rsidR="00C36FD3" w:rsidRPr="0024006E" w:rsidRDefault="00677AED">
      <w:pPr>
        <w:spacing w:after="160" w:line="360" w:lineRule="auto"/>
        <w:ind w:firstLine="720"/>
        <w:jc w:val="both"/>
        <w:rPr>
          <w:color w:val="000000" w:themeColor="text1"/>
        </w:rPr>
      </w:pPr>
      <w:r w:rsidRPr="0024006E">
        <w:rPr>
          <w:color w:val="000000" w:themeColor="text1"/>
        </w:rPr>
        <w:t>wh</w:t>
      </w:r>
      <w:r w:rsidRPr="0024006E">
        <w:rPr>
          <w:color w:val="000000" w:themeColor="text1"/>
        </w:rPr>
        <w:t>ere i indexes countries, t indexes years, Xit is a vector of control variables, and αi captures country-specific fixed effects controlling for time-invariant heterogeneity. Four pre-estimation diagnostics were conducted before proceeding to estimation. Fir</w:t>
      </w:r>
      <w:r w:rsidRPr="0024006E">
        <w:rPr>
          <w:color w:val="000000" w:themeColor="text1"/>
        </w:rPr>
        <w:t>st, the Im-Pesaran-Shin (2003) panel unit root test was applied to all variables; results confirmed the absence of unit roots, indicating stationarity across the panel. Second, variance inflation factor (VIF) diagnostics confirmed no problematic multicolli</w:t>
      </w:r>
      <w:r w:rsidRPr="0024006E">
        <w:rPr>
          <w:color w:val="000000" w:themeColor="text1"/>
        </w:rPr>
        <w:t xml:space="preserve">nearity among the regressors. Third, model selection between Fixed Effects and Random Effects was determined via the Hausman (1978) specification test, which rejected the null hypothesis of no systematic difference </w:t>
      </w:r>
      <w:r w:rsidRPr="0024006E">
        <w:rPr>
          <w:color w:val="000000" w:themeColor="text1"/>
        </w:rPr>
        <w:lastRenderedPageBreak/>
        <w:t>between FE and RE estimators (χ² statisti</w:t>
      </w:r>
      <w:r w:rsidRPr="0024006E">
        <w:rPr>
          <w:color w:val="000000" w:themeColor="text1"/>
        </w:rPr>
        <w:t xml:space="preserve">c, p&lt;0.01), confirming FE as the appropriate and consistent estimator. Fourth, potential endogeneity was examined using the Durbin-Wu-Hausman auxiliary regression approach: residuals from an initial OLS estimation were extracted and included as regressors </w:t>
      </w:r>
      <w:r w:rsidRPr="0024006E">
        <w:rPr>
          <w:color w:val="000000" w:themeColor="text1"/>
        </w:rPr>
        <w:t>in a subsequent estimation; their statistical insignificance confirmed no evidence of endogeneity in the primary regressors (Wooldridge, 2003).  Two post-estimation diagnostics further validated the model. Pesaran’s (2004) CD test for cross-sectional depen</w:t>
      </w:r>
      <w:r w:rsidRPr="0024006E">
        <w:rPr>
          <w:color w:val="000000" w:themeColor="text1"/>
        </w:rPr>
        <w:t xml:space="preserve">dence returned a p-value of 0.3161, indicating no significant cross-sectional dependence in the residuals. The Drukker-Wooldridge test for first-order autocorrelation in panel data returned a p-value of 0.063 </w:t>
      </w:r>
      <w:r w:rsidR="0024006E" w:rsidRPr="0024006E">
        <w:rPr>
          <w:color w:val="000000" w:themeColor="text1"/>
        </w:rPr>
        <w:t>-</w:t>
      </w:r>
      <w:r w:rsidRPr="0024006E">
        <w:rPr>
          <w:color w:val="000000" w:themeColor="text1"/>
        </w:rPr>
        <w:t xml:space="preserve"> statistically insignificant at the 5% level </w:t>
      </w:r>
      <w:r w:rsidR="0024006E" w:rsidRPr="0024006E">
        <w:rPr>
          <w:color w:val="000000" w:themeColor="text1"/>
        </w:rPr>
        <w:t>-</w:t>
      </w:r>
      <w:r w:rsidRPr="0024006E">
        <w:rPr>
          <w:color w:val="000000" w:themeColor="text1"/>
        </w:rPr>
        <w:t xml:space="preserve"> confirming that serial correlation does not materially distort the estimates (Wooldridge, 2003; Wursten, 2018). Collectively, these diagnostics confirm that the Fixed Effects model assumptions are satisfactorily met and that the reported estimates are rel</w:t>
      </w:r>
      <w:r w:rsidRPr="0024006E">
        <w:rPr>
          <w:color w:val="000000" w:themeColor="text1"/>
        </w:rPr>
        <w:t>iable.</w:t>
      </w:r>
    </w:p>
    <w:p w:rsidR="00C36FD3" w:rsidRPr="0024006E" w:rsidRDefault="00677AED">
      <w:pPr>
        <w:spacing w:after="160" w:line="360" w:lineRule="auto"/>
        <w:ind w:firstLine="720"/>
        <w:jc w:val="both"/>
        <w:rPr>
          <w:color w:val="000000" w:themeColor="text1"/>
        </w:rPr>
      </w:pPr>
      <w:r w:rsidRPr="0024006E">
        <w:rPr>
          <w:color w:val="000000" w:themeColor="text1"/>
        </w:rPr>
        <w:t>Interaction models extend the base specification with terms for rural population multiplied by temperature and precipitation (squared), capturing the amplification of climate effects through demographic vulnerability. Agroecological heterogeneity is</w:t>
      </w:r>
      <w:r w:rsidRPr="0024006E">
        <w:rPr>
          <w:color w:val="000000" w:themeColor="text1"/>
        </w:rPr>
        <w:t xml:space="preserve"> examined through zone-stratified OLS regressions for tropical, subtropical, and temperate country groups.</w:t>
      </w:r>
    </w:p>
    <w:p w:rsidR="00C36FD3" w:rsidRPr="0024006E" w:rsidRDefault="00677AED">
      <w:pPr>
        <w:pStyle w:val="Heading1"/>
        <w:rPr>
          <w:color w:val="000000" w:themeColor="text1"/>
        </w:rPr>
      </w:pPr>
      <w:r w:rsidRPr="0024006E">
        <w:rPr>
          <w:color w:val="000000" w:themeColor="text1"/>
        </w:rPr>
        <w:t>5. Results</w:t>
      </w:r>
    </w:p>
    <w:p w:rsidR="00C36FD3" w:rsidRPr="0024006E" w:rsidRDefault="00677AED">
      <w:pPr>
        <w:pStyle w:val="Heading2"/>
        <w:rPr>
          <w:color w:val="000000" w:themeColor="text1"/>
        </w:rPr>
      </w:pPr>
      <w:r w:rsidRPr="0024006E">
        <w:rPr>
          <w:color w:val="000000" w:themeColor="text1"/>
        </w:rPr>
        <w:t>5.1 Descriptive Statistics</w:t>
      </w:r>
    </w:p>
    <w:p w:rsidR="00C36FD3" w:rsidRPr="0024006E" w:rsidRDefault="00677AED">
      <w:pPr>
        <w:spacing w:before="160" w:after="80"/>
        <w:jc w:val="center"/>
        <w:rPr>
          <w:color w:val="000000" w:themeColor="text1"/>
        </w:rPr>
      </w:pPr>
      <w:r w:rsidRPr="0024006E">
        <w:rPr>
          <w:i/>
          <w:iCs/>
          <w:color w:val="000000" w:themeColor="text1"/>
        </w:rPr>
        <w:t>Table 2</w:t>
      </w:r>
    </w:p>
    <w:p w:rsidR="00C36FD3" w:rsidRPr="0024006E" w:rsidRDefault="00677AED">
      <w:pPr>
        <w:spacing w:before="160" w:after="80"/>
        <w:jc w:val="center"/>
        <w:rPr>
          <w:color w:val="000000" w:themeColor="text1"/>
        </w:rPr>
      </w:pPr>
      <w:r w:rsidRPr="0024006E">
        <w:rPr>
          <w:i/>
          <w:iCs/>
          <w:color w:val="000000" w:themeColor="text1"/>
        </w:rPr>
        <w:t>Descriptive Statistics</w:t>
      </w: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800"/>
        <w:gridCol w:w="1312"/>
        <w:gridCol w:w="1312"/>
        <w:gridCol w:w="1312"/>
        <w:gridCol w:w="1312"/>
        <w:gridCol w:w="1312"/>
      </w:tblGrid>
      <w:tr w:rsidR="0024006E" w:rsidRPr="0024006E" w:rsidTr="0024006E">
        <w:tc>
          <w:tcPr>
            <w:tcW w:w="280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b/>
                <w:bCs/>
                <w:color w:val="000000" w:themeColor="text1"/>
                <w:sz w:val="20"/>
                <w:szCs w:val="20"/>
              </w:rPr>
              <w:t>Variable</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Obs</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Mean</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Std. Dev.</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Min</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Max</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GHG Emissions (CO₂e, mt)</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0.264</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0.434</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326,111</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369,900,000</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Temperature Change (°C)</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1.035</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0.354</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0.2</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2.515</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Biological Fixation (kg/m²)</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216,672</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556,007</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4.68</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4,990,064</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Annual Precipitation (mm)</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1,159.1</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476.2</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100.6</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3,343.9</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Total Arable Land (000 ha)</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5,183.2</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10,819.0</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0.63</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105,630.8</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Undernourishment (%)</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14.33</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6.85</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2.5</w:t>
            </w:r>
          </w:p>
        </w:tc>
        <w:tc>
          <w:tcPr>
            <w:tcW w:w="1312"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49.0</w:t>
            </w:r>
          </w:p>
        </w:tc>
      </w:tr>
    </w:tbl>
    <w:p w:rsidR="00C36FD3" w:rsidRPr="0024006E" w:rsidRDefault="00C36FD3">
      <w:pPr>
        <w:rPr>
          <w:color w:val="000000" w:themeColor="text1"/>
        </w:rPr>
      </w:pPr>
    </w:p>
    <w:p w:rsidR="00C36FD3" w:rsidRPr="0024006E" w:rsidRDefault="00677AED">
      <w:pPr>
        <w:spacing w:after="160" w:line="360" w:lineRule="auto"/>
        <w:ind w:firstLine="720"/>
        <w:jc w:val="both"/>
        <w:rPr>
          <w:color w:val="000000" w:themeColor="text1"/>
        </w:rPr>
      </w:pPr>
      <w:r w:rsidRPr="0024006E">
        <w:rPr>
          <w:color w:val="000000" w:themeColor="text1"/>
        </w:rPr>
        <w:t>The descriptive statistics reveal substantial cross-country variability across all key variables (Table 2). The mean prevalence of food undernourishment is 14.33% but ranges from 2.5% to 49%, refl</w:t>
      </w:r>
      <w:r w:rsidRPr="0024006E">
        <w:rPr>
          <w:color w:val="000000" w:themeColor="text1"/>
        </w:rPr>
        <w:t xml:space="preserve">ecting deep global inequality in nutritional outcomes. Average annual temperature change is 1.035°C, with variation from 0.2°C to 2.515°C </w:t>
      </w:r>
      <w:r w:rsidR="0024006E" w:rsidRPr="0024006E">
        <w:rPr>
          <w:color w:val="000000" w:themeColor="text1"/>
        </w:rPr>
        <w:t>-</w:t>
      </w:r>
      <w:r w:rsidRPr="0024006E">
        <w:rPr>
          <w:color w:val="000000" w:themeColor="text1"/>
        </w:rPr>
        <w:t xml:space="preserve"> a range that, given the documented nonlinearity of climate impacts, implies markedly different exposure to food inse</w:t>
      </w:r>
      <w:r w:rsidRPr="0024006E">
        <w:rPr>
          <w:color w:val="000000" w:themeColor="text1"/>
        </w:rPr>
        <w:t xml:space="preserve">curity risks. GHG emissions and biological </w:t>
      </w:r>
      <w:r w:rsidRPr="0024006E">
        <w:rPr>
          <w:color w:val="000000" w:themeColor="text1"/>
        </w:rPr>
        <w:lastRenderedPageBreak/>
        <w:t>fixation also show extensive variation, justifying the use of Fixed Effects to control for country-level unobserved heterogeneity.</w:t>
      </w:r>
    </w:p>
    <w:p w:rsidR="0024006E" w:rsidRPr="0024006E" w:rsidRDefault="0024006E">
      <w:pPr>
        <w:spacing w:after="160" w:line="360" w:lineRule="auto"/>
        <w:ind w:firstLine="720"/>
        <w:jc w:val="both"/>
        <w:rPr>
          <w:color w:val="000000" w:themeColor="text1"/>
        </w:rPr>
      </w:pPr>
    </w:p>
    <w:p w:rsidR="0024006E" w:rsidRPr="0024006E" w:rsidRDefault="0024006E">
      <w:pPr>
        <w:spacing w:after="160" w:line="360" w:lineRule="auto"/>
        <w:ind w:firstLine="720"/>
        <w:jc w:val="both"/>
        <w:rPr>
          <w:color w:val="000000" w:themeColor="text1"/>
        </w:rPr>
      </w:pPr>
    </w:p>
    <w:p w:rsidR="0024006E" w:rsidRPr="0024006E" w:rsidRDefault="0024006E">
      <w:pPr>
        <w:spacing w:after="160" w:line="360" w:lineRule="auto"/>
        <w:ind w:firstLine="720"/>
        <w:jc w:val="both"/>
        <w:rPr>
          <w:color w:val="000000" w:themeColor="text1"/>
        </w:rPr>
      </w:pPr>
    </w:p>
    <w:p w:rsidR="00C36FD3" w:rsidRPr="0024006E" w:rsidRDefault="00677AED">
      <w:pPr>
        <w:pStyle w:val="Heading2"/>
        <w:rPr>
          <w:color w:val="000000" w:themeColor="text1"/>
        </w:rPr>
      </w:pPr>
      <w:r w:rsidRPr="0024006E">
        <w:rPr>
          <w:color w:val="000000" w:themeColor="text1"/>
        </w:rPr>
        <w:t>5.2 Main Regression Results</w:t>
      </w:r>
    </w:p>
    <w:p w:rsidR="00C36FD3" w:rsidRPr="0024006E" w:rsidRDefault="00677AED">
      <w:pPr>
        <w:spacing w:before="160" w:after="80"/>
        <w:jc w:val="center"/>
        <w:rPr>
          <w:color w:val="000000" w:themeColor="text1"/>
        </w:rPr>
      </w:pPr>
      <w:r w:rsidRPr="0024006E">
        <w:rPr>
          <w:i/>
          <w:iCs/>
          <w:color w:val="000000" w:themeColor="text1"/>
        </w:rPr>
        <w:t>Table 3</w:t>
      </w:r>
    </w:p>
    <w:p w:rsidR="00C36FD3" w:rsidRPr="0024006E" w:rsidRDefault="00677AED">
      <w:pPr>
        <w:spacing w:before="160" w:after="80"/>
        <w:jc w:val="center"/>
        <w:rPr>
          <w:color w:val="000000" w:themeColor="text1"/>
        </w:rPr>
      </w:pPr>
      <w:r w:rsidRPr="0024006E">
        <w:rPr>
          <w:i/>
          <w:iCs/>
          <w:color w:val="000000" w:themeColor="text1"/>
        </w:rPr>
        <w:t xml:space="preserve">Effect of Climate Variables on Food </w:t>
      </w:r>
      <w:r w:rsidRPr="0024006E">
        <w:rPr>
          <w:i/>
          <w:iCs/>
          <w:color w:val="000000" w:themeColor="text1"/>
        </w:rPr>
        <w:t>Undernourishment (OLS, FE, and RE Estimates)</w:t>
      </w: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3120"/>
        <w:gridCol w:w="2080"/>
        <w:gridCol w:w="2080"/>
        <w:gridCol w:w="2080"/>
      </w:tblGrid>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b/>
                <w:bCs/>
                <w:color w:val="000000" w:themeColor="text1"/>
                <w:sz w:val="20"/>
                <w:szCs w:val="20"/>
              </w:rPr>
              <w:t>Variable</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OLS</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FE</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RE</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Precipitation²</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-0.227**</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-0.157***</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-0.182**</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(-2.42)</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(-1.70)</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(-1.99)</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Temperature²</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0.405***</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-0.67</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-0.116</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(2.82)</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(-0.41)</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(0.75)</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Biological Fixation</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-0.0116***</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-0.0126***</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-0.012***</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(-5.33)</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(-5.33)</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(-5.33)</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GHG Emissions</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0.011**</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0.0146***</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0.0013***</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(-3.79)</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(-5.16)</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(-4.93)</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Controls</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Adj. R²</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0.123</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0.230</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0.270</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F-statistic</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52.021</w:t>
            </w:r>
          </w:p>
        </w:tc>
        <w:tc>
          <w:tcPr>
            <w:tcW w:w="208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34.85</w:t>
            </w:r>
          </w:p>
        </w:tc>
        <w:tc>
          <w:tcPr>
            <w:tcW w:w="2080" w:type="dxa"/>
            <w:shd w:val="clear" w:color="auto" w:fill="auto"/>
            <w:tcMar>
              <w:top w:w="80" w:type="dxa"/>
              <w:left w:w="120" w:type="dxa"/>
              <w:bottom w:w="80" w:type="dxa"/>
              <w:right w:w="120" w:type="dxa"/>
            </w:tcMar>
          </w:tcPr>
          <w:p w:rsidR="00C36FD3" w:rsidRPr="0024006E" w:rsidRDefault="0024006E">
            <w:pPr>
              <w:jc w:val="center"/>
              <w:rPr>
                <w:color w:val="000000" w:themeColor="text1"/>
              </w:rPr>
            </w:pPr>
            <w:r w:rsidRPr="0024006E">
              <w:rPr>
                <w:color w:val="000000" w:themeColor="text1"/>
                <w:sz w:val="20"/>
                <w:szCs w:val="20"/>
              </w:rPr>
              <w:t>-</w:t>
            </w:r>
          </w:p>
        </w:tc>
      </w:tr>
    </w:tbl>
    <w:p w:rsidR="00C36FD3" w:rsidRPr="0024006E" w:rsidRDefault="00677AED">
      <w:pPr>
        <w:spacing w:before="80" w:after="160"/>
        <w:rPr>
          <w:color w:val="000000" w:themeColor="text1"/>
        </w:rPr>
      </w:pPr>
      <w:r w:rsidRPr="0024006E">
        <w:rPr>
          <w:i/>
          <w:iCs/>
          <w:color w:val="000000" w:themeColor="text1"/>
          <w:sz w:val="18"/>
          <w:szCs w:val="18"/>
        </w:rPr>
        <w:t>Note: t-statistics in parentheses. *** p&lt;0.01; ** p&lt;0.05; * p&lt;0.10. Controls include GDP per</w:t>
      </w:r>
      <w:r w:rsidRPr="0024006E">
        <w:rPr>
          <w:i/>
          <w:iCs/>
          <w:color w:val="000000" w:themeColor="text1"/>
          <w:sz w:val="18"/>
          <w:szCs w:val="18"/>
        </w:rPr>
        <w:t xml:space="preserve"> capita, food supply per kcal, and total arable land.</w:t>
      </w:r>
    </w:p>
    <w:p w:rsidR="00C36FD3" w:rsidRPr="0024006E" w:rsidRDefault="00677AED">
      <w:pPr>
        <w:spacing w:after="160" w:line="360" w:lineRule="auto"/>
        <w:ind w:firstLine="720"/>
        <w:jc w:val="both"/>
        <w:rPr>
          <w:color w:val="000000" w:themeColor="text1"/>
        </w:rPr>
      </w:pPr>
      <w:r w:rsidRPr="0024006E">
        <w:rPr>
          <w:color w:val="000000" w:themeColor="text1"/>
        </w:rPr>
        <w:t xml:space="preserve">The Fixed Effects results are preferred, as confirmed by the Hausman test (p&lt;0.01), and are the basis for primary interpretation (Table 3). Greenhouse gas emissions are the strongest positive predictor </w:t>
      </w:r>
      <w:r w:rsidRPr="0024006E">
        <w:rPr>
          <w:color w:val="000000" w:themeColor="text1"/>
        </w:rPr>
        <w:t>of undernourishment: each one-million-tonne increase in GHG emissions is associated with a 0.0146 percentage point increase in undernourishment prevalence (p&lt;0.01). This is consistent across all three estimators and confirms GHG emissions as a robust struc</w:t>
      </w:r>
      <w:r w:rsidRPr="0024006E">
        <w:rPr>
          <w:color w:val="000000" w:themeColor="text1"/>
        </w:rPr>
        <w:t>tural driver of food insecurity.</w:t>
      </w:r>
    </w:p>
    <w:p w:rsidR="00C36FD3" w:rsidRPr="0024006E" w:rsidRDefault="00677AED">
      <w:pPr>
        <w:spacing w:after="160" w:line="360" w:lineRule="auto"/>
        <w:ind w:firstLine="720"/>
        <w:jc w:val="both"/>
        <w:rPr>
          <w:color w:val="000000" w:themeColor="text1"/>
        </w:rPr>
      </w:pPr>
      <w:r w:rsidRPr="0024006E">
        <w:rPr>
          <w:color w:val="000000" w:themeColor="text1"/>
        </w:rPr>
        <w:t>Biological fixation is the strongest negative predictor and the most consistent finding across all models: a one-unit increase in biological fixation is associated with a 0.0126 percentage point reduction in undernourishmen</w:t>
      </w:r>
      <w:r w:rsidRPr="0024006E">
        <w:rPr>
          <w:color w:val="000000" w:themeColor="text1"/>
        </w:rPr>
        <w:t>t (FE, p&lt;0.01). This result is economically meaningful and statistically robust, identifying soil health as a critical but underutilized lever for food security policy.</w:t>
      </w:r>
    </w:p>
    <w:p w:rsidR="00C36FD3" w:rsidRPr="0024006E" w:rsidRDefault="00677AED">
      <w:pPr>
        <w:spacing w:after="160" w:line="360" w:lineRule="auto"/>
        <w:ind w:firstLine="720"/>
        <w:jc w:val="both"/>
        <w:rPr>
          <w:color w:val="000000" w:themeColor="text1"/>
        </w:rPr>
      </w:pPr>
      <w:r w:rsidRPr="0024006E">
        <w:rPr>
          <w:color w:val="000000" w:themeColor="text1"/>
        </w:rPr>
        <w:lastRenderedPageBreak/>
        <w:t>Precipitation (squared) is negatively associated with undernourishment in all models, r</w:t>
      </w:r>
      <w:r w:rsidRPr="0024006E">
        <w:rPr>
          <w:color w:val="000000" w:themeColor="text1"/>
        </w:rPr>
        <w:t>eflecting the benefit of rainfall within a moderate range. The nonlinear specification captures the threshold dynamic: after a point, additional precipitation (e.g., flooding) reverses the benefit. The FE coefficient of -0.157 (p&lt;0.01) indicates that, on n</w:t>
      </w:r>
      <w:r w:rsidRPr="0024006E">
        <w:rPr>
          <w:color w:val="000000" w:themeColor="text1"/>
        </w:rPr>
        <w:t>et, countries with higher rainfall experience lower undernourishment within the observed range.</w:t>
      </w:r>
    </w:p>
    <w:p w:rsidR="00C36FD3" w:rsidRPr="0024006E" w:rsidRDefault="00677AED">
      <w:pPr>
        <w:spacing w:after="160" w:line="360" w:lineRule="auto"/>
        <w:ind w:firstLine="720"/>
        <w:jc w:val="both"/>
        <w:rPr>
          <w:color w:val="000000" w:themeColor="text1"/>
        </w:rPr>
      </w:pPr>
      <w:r w:rsidRPr="0024006E">
        <w:rPr>
          <w:color w:val="000000" w:themeColor="text1"/>
        </w:rPr>
        <w:t>Temperature change is significant in OLS (positive, 0.405, p&lt;0.01) but not in the Fixed Effects model. This divergence is theoretically informative. OLS capture</w:t>
      </w:r>
      <w:r w:rsidRPr="0024006E">
        <w:rPr>
          <w:color w:val="000000" w:themeColor="text1"/>
        </w:rPr>
        <w:t xml:space="preserve">s between-country variation </w:t>
      </w:r>
      <w:r w:rsidR="0024006E" w:rsidRPr="0024006E">
        <w:rPr>
          <w:color w:val="000000" w:themeColor="text1"/>
        </w:rPr>
        <w:t>-</w:t>
      </w:r>
      <w:r w:rsidRPr="0024006E">
        <w:rPr>
          <w:color w:val="000000" w:themeColor="text1"/>
        </w:rPr>
        <w:t xml:space="preserve"> hotter countries are, on average, more food insecure </w:t>
      </w:r>
      <w:r w:rsidR="0024006E" w:rsidRPr="0024006E">
        <w:rPr>
          <w:color w:val="000000" w:themeColor="text1"/>
        </w:rPr>
        <w:t>-</w:t>
      </w:r>
      <w:r w:rsidRPr="0024006E">
        <w:rPr>
          <w:color w:val="000000" w:themeColor="text1"/>
        </w:rPr>
        <w:t xml:space="preserve"> reflecting the cross-sectional climate penalty. Fixed Effects removes between-country differences and identifies the within-country effect of temperature changes over time</w:t>
      </w:r>
      <w:r w:rsidRPr="0024006E">
        <w:rPr>
          <w:color w:val="000000" w:themeColor="text1"/>
        </w:rPr>
        <w:t>; this effect is smaller and less precisely estimated, consistent with Burke et al. (2015), who found that gradual within-country temperature increments require longer time series or larger deviations to register statistically. The divergence does not indi</w:t>
      </w:r>
      <w:r w:rsidRPr="0024006E">
        <w:rPr>
          <w:color w:val="000000" w:themeColor="text1"/>
        </w:rPr>
        <w:t>cate model failure but rather reflects the difference in what variation each estimator identifies.</w:t>
      </w:r>
    </w:p>
    <w:p w:rsidR="00C36FD3" w:rsidRPr="0024006E" w:rsidRDefault="00677AED">
      <w:pPr>
        <w:pStyle w:val="Heading2"/>
        <w:rPr>
          <w:color w:val="000000" w:themeColor="text1"/>
        </w:rPr>
      </w:pPr>
      <w:r w:rsidRPr="0024006E">
        <w:rPr>
          <w:color w:val="000000" w:themeColor="text1"/>
        </w:rPr>
        <w:t>5.3 Interaction Effects: Rural Population as a Vulnerability Amplifier</w:t>
      </w:r>
    </w:p>
    <w:p w:rsidR="00C36FD3" w:rsidRPr="0024006E" w:rsidRDefault="00677AED">
      <w:pPr>
        <w:spacing w:before="160" w:after="80"/>
        <w:jc w:val="center"/>
        <w:rPr>
          <w:color w:val="000000" w:themeColor="text1"/>
        </w:rPr>
      </w:pPr>
      <w:r w:rsidRPr="0024006E">
        <w:rPr>
          <w:i/>
          <w:iCs/>
          <w:color w:val="000000" w:themeColor="text1"/>
        </w:rPr>
        <w:t>Table 4</w:t>
      </w:r>
    </w:p>
    <w:p w:rsidR="00C36FD3" w:rsidRPr="0024006E" w:rsidRDefault="00677AED">
      <w:pPr>
        <w:spacing w:before="160" w:after="80"/>
        <w:jc w:val="center"/>
        <w:rPr>
          <w:color w:val="000000" w:themeColor="text1"/>
        </w:rPr>
      </w:pPr>
      <w:r w:rsidRPr="0024006E">
        <w:rPr>
          <w:i/>
          <w:iCs/>
          <w:color w:val="000000" w:themeColor="text1"/>
        </w:rPr>
        <w:t>Interaction Effects of Climate Variables and Rural Population</w:t>
      </w: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4680"/>
        <w:gridCol w:w="2340"/>
        <w:gridCol w:w="2340"/>
      </w:tblGrid>
      <w:tr w:rsidR="0024006E" w:rsidRPr="0024006E" w:rsidTr="0024006E">
        <w:tc>
          <w:tcPr>
            <w:tcW w:w="468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b/>
                <w:bCs/>
                <w:color w:val="000000" w:themeColor="text1"/>
                <w:sz w:val="20"/>
                <w:szCs w:val="20"/>
              </w:rPr>
              <w:t>Variable</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FE</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RE</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Precipitation² × Rural Population</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0.168**</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0.012</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(6.39)</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(1.56)</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Temperature² × Rural Population</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0.302***</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0.43***</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(6.39)</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(6.35)</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Controls</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Adj. R²</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0.192</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0.200</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F-statistic</w:t>
            </w:r>
          </w:p>
        </w:tc>
        <w:tc>
          <w:tcPr>
            <w:tcW w:w="2340"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15.42</w:t>
            </w:r>
          </w:p>
        </w:tc>
        <w:tc>
          <w:tcPr>
            <w:tcW w:w="2340" w:type="dxa"/>
            <w:shd w:val="clear" w:color="auto" w:fill="auto"/>
            <w:tcMar>
              <w:top w:w="80" w:type="dxa"/>
              <w:left w:w="120" w:type="dxa"/>
              <w:bottom w:w="80" w:type="dxa"/>
              <w:right w:w="120" w:type="dxa"/>
            </w:tcMar>
          </w:tcPr>
          <w:p w:rsidR="00C36FD3" w:rsidRPr="0024006E" w:rsidRDefault="0024006E">
            <w:pPr>
              <w:jc w:val="center"/>
              <w:rPr>
                <w:color w:val="000000" w:themeColor="text1"/>
              </w:rPr>
            </w:pPr>
            <w:r w:rsidRPr="0024006E">
              <w:rPr>
                <w:color w:val="000000" w:themeColor="text1"/>
                <w:sz w:val="20"/>
                <w:szCs w:val="20"/>
              </w:rPr>
              <w:t>-</w:t>
            </w:r>
          </w:p>
        </w:tc>
      </w:tr>
    </w:tbl>
    <w:p w:rsidR="00C36FD3" w:rsidRPr="0024006E" w:rsidRDefault="00677AED">
      <w:pPr>
        <w:spacing w:before="80" w:after="160"/>
        <w:rPr>
          <w:color w:val="000000" w:themeColor="text1"/>
        </w:rPr>
      </w:pPr>
      <w:r w:rsidRPr="0024006E">
        <w:rPr>
          <w:i/>
          <w:iCs/>
          <w:color w:val="000000" w:themeColor="text1"/>
          <w:sz w:val="18"/>
          <w:szCs w:val="18"/>
        </w:rPr>
        <w:t>Note: t-statistics in parentheses. *** p&lt;0.01; ** p&lt;0.05; * p&lt;</w:t>
      </w:r>
      <w:r w:rsidRPr="0024006E">
        <w:rPr>
          <w:i/>
          <w:iCs/>
          <w:color w:val="000000" w:themeColor="text1"/>
          <w:sz w:val="18"/>
          <w:szCs w:val="18"/>
        </w:rPr>
        <w:t>0.10.</w:t>
      </w:r>
    </w:p>
    <w:p w:rsidR="00C36FD3" w:rsidRPr="0024006E" w:rsidRDefault="00677AED">
      <w:pPr>
        <w:spacing w:after="160" w:line="360" w:lineRule="auto"/>
        <w:ind w:firstLine="720"/>
        <w:jc w:val="both"/>
        <w:rPr>
          <w:color w:val="000000" w:themeColor="text1"/>
        </w:rPr>
      </w:pPr>
      <w:r w:rsidRPr="0024006E">
        <w:rPr>
          <w:color w:val="000000" w:themeColor="text1"/>
        </w:rPr>
        <w:t>The interaction analysis reveals that the effect of climate change on food undernourishment is substantially amplified in countries with larger rural populations (Table 4). The coefficient on Temperature² × Rural Population (0.302, p&lt;</w:t>
      </w:r>
      <w:r w:rsidRPr="0024006E">
        <w:rPr>
          <w:color w:val="000000" w:themeColor="text1"/>
        </w:rPr>
        <w:t xml:space="preserve">0.01) indicates that for each degree Celsius increase in temperature, countries with a higher rural population share experience disproportionately greater increases in undernourishment </w:t>
      </w:r>
      <w:r w:rsidR="0024006E" w:rsidRPr="0024006E">
        <w:rPr>
          <w:color w:val="000000" w:themeColor="text1"/>
        </w:rPr>
        <w:t>-</w:t>
      </w:r>
      <w:r w:rsidRPr="0024006E">
        <w:rPr>
          <w:color w:val="000000" w:themeColor="text1"/>
        </w:rPr>
        <w:t xml:space="preserve"> approximately a 0.604 percentage point increase per degree Celsius in</w:t>
      </w:r>
      <w:r w:rsidRPr="0024006E">
        <w:rPr>
          <w:color w:val="000000" w:themeColor="text1"/>
        </w:rPr>
        <w:t xml:space="preserve"> the rural population component alone. This compound effect reflects the structural vulnerabilities of rural </w:t>
      </w:r>
      <w:r w:rsidRPr="0024006E">
        <w:rPr>
          <w:color w:val="000000" w:themeColor="text1"/>
        </w:rPr>
        <w:lastRenderedPageBreak/>
        <w:t>communities: dependence on climate-sensitive rainfed agriculture, limited market access, lower adaptive capacity, and weaker institutional buffers.</w:t>
      </w:r>
    </w:p>
    <w:p w:rsidR="00C36FD3" w:rsidRPr="0024006E" w:rsidRDefault="00677AED">
      <w:pPr>
        <w:spacing w:after="160" w:line="360" w:lineRule="auto"/>
        <w:ind w:firstLine="720"/>
        <w:jc w:val="both"/>
        <w:rPr>
          <w:color w:val="000000" w:themeColor="text1"/>
        </w:rPr>
      </w:pPr>
      <w:r w:rsidRPr="0024006E">
        <w:rPr>
          <w:color w:val="000000" w:themeColor="text1"/>
        </w:rPr>
        <w:t xml:space="preserve">The interaction of precipitation with rural population is also significant (0.168, p&lt;0.05 in FE), demonstrating that erratic rainfall has a particularly damaging effect on food security in countries with large rural agricultural populations. The reversal </w:t>
      </w:r>
      <w:r w:rsidRPr="0024006E">
        <w:rPr>
          <w:color w:val="000000" w:themeColor="text1"/>
        </w:rPr>
        <w:t>of the rainfall direction (from negative in the main model to positive in the interaction term) suggests that while moderate national-level rainfall is beneficial, disruptions in precipitation patterns disproportionately harm rural agricultural communities</w:t>
      </w:r>
      <w:r w:rsidRPr="0024006E">
        <w:rPr>
          <w:color w:val="000000" w:themeColor="text1"/>
        </w:rPr>
        <w:t xml:space="preserve"> through soil erosion, shifted growing seasons, and post-harvest losses </w:t>
      </w:r>
      <w:r w:rsidR="0024006E" w:rsidRPr="0024006E">
        <w:rPr>
          <w:color w:val="000000" w:themeColor="text1"/>
        </w:rPr>
        <w:t>-</w:t>
      </w:r>
      <w:r w:rsidRPr="0024006E">
        <w:rPr>
          <w:color w:val="000000" w:themeColor="text1"/>
        </w:rPr>
        <w:t xml:space="preserve"> consistent with the findings of Barrett (2010).</w:t>
      </w:r>
    </w:p>
    <w:p w:rsidR="00C36FD3" w:rsidRPr="0024006E" w:rsidRDefault="00677AED">
      <w:pPr>
        <w:spacing w:after="160" w:line="360" w:lineRule="auto"/>
        <w:ind w:firstLine="720"/>
        <w:jc w:val="both"/>
        <w:rPr>
          <w:color w:val="000000" w:themeColor="text1"/>
        </w:rPr>
      </w:pPr>
      <w:r w:rsidRPr="0024006E">
        <w:rPr>
          <w:color w:val="000000" w:themeColor="text1"/>
        </w:rPr>
        <w:t>These results confirm the rural population as an important transmission channel of climate shocks into undernourishment outcomes. They</w:t>
      </w:r>
      <w:r w:rsidRPr="0024006E">
        <w:rPr>
          <w:color w:val="000000" w:themeColor="text1"/>
        </w:rPr>
        <w:t xml:space="preserve"> carry direct implications for where adaptive interventions can achieve the greatest food security dividends.</w:t>
      </w:r>
    </w:p>
    <w:p w:rsidR="00C36FD3" w:rsidRPr="0024006E" w:rsidRDefault="00677AED">
      <w:pPr>
        <w:pStyle w:val="Heading2"/>
        <w:rPr>
          <w:color w:val="000000" w:themeColor="text1"/>
        </w:rPr>
      </w:pPr>
      <w:r w:rsidRPr="0024006E">
        <w:rPr>
          <w:color w:val="000000" w:themeColor="text1"/>
        </w:rPr>
        <w:t>5.4 Agroecological Zone Analysis</w:t>
      </w:r>
    </w:p>
    <w:p w:rsidR="00C36FD3" w:rsidRPr="0024006E" w:rsidRDefault="00677AED">
      <w:pPr>
        <w:spacing w:before="160" w:after="80"/>
        <w:jc w:val="center"/>
        <w:rPr>
          <w:color w:val="000000" w:themeColor="text1"/>
        </w:rPr>
      </w:pPr>
      <w:r w:rsidRPr="0024006E">
        <w:rPr>
          <w:i/>
          <w:iCs/>
          <w:color w:val="000000" w:themeColor="text1"/>
        </w:rPr>
        <w:t>Table 5</w:t>
      </w:r>
    </w:p>
    <w:p w:rsidR="00C36FD3" w:rsidRPr="0024006E" w:rsidRDefault="00677AED">
      <w:pPr>
        <w:spacing w:before="160" w:after="80"/>
        <w:jc w:val="center"/>
        <w:rPr>
          <w:color w:val="000000" w:themeColor="text1"/>
        </w:rPr>
      </w:pPr>
      <w:r w:rsidRPr="0024006E">
        <w:rPr>
          <w:i/>
          <w:iCs/>
          <w:color w:val="000000" w:themeColor="text1"/>
        </w:rPr>
        <w:t>Effect of Climate Change by Agroecological Zone (OLS)</w:t>
      </w: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859"/>
        <w:gridCol w:w="2167"/>
        <w:gridCol w:w="2167"/>
        <w:gridCol w:w="2167"/>
      </w:tblGrid>
      <w:tr w:rsidR="0024006E" w:rsidRPr="0024006E" w:rsidTr="0024006E">
        <w:tc>
          <w:tcPr>
            <w:tcW w:w="286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b/>
                <w:bCs/>
                <w:color w:val="000000" w:themeColor="text1"/>
                <w:sz w:val="20"/>
                <w:szCs w:val="20"/>
              </w:rPr>
              <w:t>Variable</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Tropical</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Sub-tropical</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b/>
                <w:bCs/>
                <w:color w:val="000000" w:themeColor="text1"/>
                <w:sz w:val="20"/>
                <w:szCs w:val="20"/>
              </w:rPr>
              <w:t>Temperate</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Precipita</w:t>
            </w:r>
            <w:r w:rsidRPr="0024006E">
              <w:rPr>
                <w:color w:val="000000" w:themeColor="text1"/>
                <w:sz w:val="20"/>
                <w:szCs w:val="20"/>
              </w:rPr>
              <w:t>tion²</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-0.265**</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-0.075**</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-0.027**</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(-2.13)</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(-2.75)</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(-2.40)</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Temperature²</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5.079***</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6.5**</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-0.96*</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(4.29)</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(2.12)</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(-1.87)</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Biological Fixation</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-0.0933***</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-0.0938***</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-0.085***</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(-3.43)</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(-1.74)</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(-2.52)</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Controls</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Yes</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677AED">
            <w:pPr>
              <w:rPr>
                <w:color w:val="000000" w:themeColor="text1"/>
              </w:rPr>
            </w:pPr>
            <w:r w:rsidRPr="0024006E">
              <w:rPr>
                <w:color w:val="000000" w:themeColor="text1"/>
                <w:sz w:val="20"/>
                <w:szCs w:val="20"/>
              </w:rPr>
              <w:t>Adj. R²</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0.04</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0.037</w:t>
            </w:r>
          </w:p>
        </w:tc>
        <w:tc>
          <w:tcPr>
            <w:tcW w:w="2167" w:type="dxa"/>
            <w:shd w:val="clear" w:color="auto" w:fill="auto"/>
            <w:tcMar>
              <w:top w:w="80" w:type="dxa"/>
              <w:left w:w="120" w:type="dxa"/>
              <w:bottom w:w="80" w:type="dxa"/>
              <w:right w:w="120" w:type="dxa"/>
            </w:tcMar>
          </w:tcPr>
          <w:p w:rsidR="00C36FD3" w:rsidRPr="0024006E" w:rsidRDefault="00677AED">
            <w:pPr>
              <w:jc w:val="center"/>
              <w:rPr>
                <w:color w:val="000000" w:themeColor="text1"/>
              </w:rPr>
            </w:pPr>
            <w:r w:rsidRPr="0024006E">
              <w:rPr>
                <w:color w:val="000000" w:themeColor="text1"/>
                <w:sz w:val="20"/>
                <w:szCs w:val="20"/>
              </w:rPr>
              <w:t>0.04</w:t>
            </w:r>
          </w:p>
        </w:tc>
      </w:tr>
    </w:tbl>
    <w:p w:rsidR="00C36FD3" w:rsidRPr="0024006E" w:rsidRDefault="00677AED">
      <w:pPr>
        <w:spacing w:before="80" w:after="160"/>
        <w:rPr>
          <w:color w:val="000000" w:themeColor="text1"/>
        </w:rPr>
      </w:pPr>
      <w:r w:rsidRPr="0024006E">
        <w:rPr>
          <w:i/>
          <w:iCs/>
          <w:color w:val="000000" w:themeColor="text1"/>
          <w:sz w:val="18"/>
          <w:szCs w:val="18"/>
        </w:rPr>
        <w:t xml:space="preserve">Note: </w:t>
      </w:r>
      <w:r w:rsidRPr="0024006E">
        <w:rPr>
          <w:i/>
          <w:iCs/>
          <w:color w:val="000000" w:themeColor="text1"/>
          <w:sz w:val="18"/>
          <w:szCs w:val="18"/>
        </w:rPr>
        <w:t>Agroecological classification based on modified Koppen climate scheme. t-statistics in parentheses. *** p&lt;0.01; ** p&lt;0.05; * p&lt;0.10.</w:t>
      </w:r>
    </w:p>
    <w:p w:rsidR="00C36FD3" w:rsidRPr="0024006E" w:rsidRDefault="00677AED">
      <w:pPr>
        <w:spacing w:after="160" w:line="360" w:lineRule="auto"/>
        <w:ind w:firstLine="720"/>
        <w:jc w:val="both"/>
        <w:rPr>
          <w:color w:val="000000" w:themeColor="text1"/>
        </w:rPr>
      </w:pPr>
      <w:r w:rsidRPr="0024006E">
        <w:rPr>
          <w:color w:val="000000" w:themeColor="text1"/>
        </w:rPr>
        <w:t xml:space="preserve">The agroecological analysis reveals marked divergence in climate-undernourishment linkages across zones (Table 5). In </w:t>
      </w:r>
      <w:r w:rsidRPr="0024006E">
        <w:rPr>
          <w:color w:val="000000" w:themeColor="text1"/>
        </w:rPr>
        <w:t>tropical zones, temperature change has a large, positive, and highly significant effect on undernourishment (coefficient: 5.079, p&lt;0.01), reflecting the narrow thermal tolerance of tropical staple crops that are already operating near their physiological t</w:t>
      </w:r>
      <w:r w:rsidRPr="0024006E">
        <w:rPr>
          <w:color w:val="000000" w:themeColor="text1"/>
        </w:rPr>
        <w:t xml:space="preserve">hresholds. Even moderate temperature increases push yields below critical levels, consistent with Roberts (2011) and IPCC (2014). Subtropical zones show an even larger temperature coefficient (6.5, p&lt;0.05), suggesting that the highly </w:t>
      </w:r>
      <w:r w:rsidRPr="0024006E">
        <w:rPr>
          <w:color w:val="000000" w:themeColor="text1"/>
        </w:rPr>
        <w:lastRenderedPageBreak/>
        <w:t>variable climate and t</w:t>
      </w:r>
      <w:r w:rsidRPr="0024006E">
        <w:rPr>
          <w:color w:val="000000" w:themeColor="text1"/>
        </w:rPr>
        <w:t>ransitional agricultural systems of these regions are particularly sensitive to temperature shifts.</w:t>
      </w:r>
    </w:p>
    <w:p w:rsidR="00C36FD3" w:rsidRPr="0024006E" w:rsidRDefault="00677AED">
      <w:pPr>
        <w:spacing w:after="160" w:line="360" w:lineRule="auto"/>
        <w:ind w:firstLine="720"/>
        <w:jc w:val="both"/>
        <w:rPr>
          <w:color w:val="000000" w:themeColor="text1"/>
        </w:rPr>
      </w:pPr>
      <w:r w:rsidRPr="0024006E">
        <w:rPr>
          <w:color w:val="000000" w:themeColor="text1"/>
        </w:rPr>
        <w:t>In temperate zones, the temperature coefficient is negative (-0.96, p&lt;0.10), indicating that moderate warming may extend growing seasons, reduce frost incid</w:t>
      </w:r>
      <w:r w:rsidRPr="0024006E">
        <w:rPr>
          <w:color w:val="000000" w:themeColor="text1"/>
        </w:rPr>
        <w:t xml:space="preserve">ence, and marginally improve food security outcomes </w:t>
      </w:r>
      <w:r w:rsidR="0024006E" w:rsidRPr="0024006E">
        <w:rPr>
          <w:color w:val="000000" w:themeColor="text1"/>
        </w:rPr>
        <w:t>-</w:t>
      </w:r>
      <w:r w:rsidRPr="0024006E">
        <w:rPr>
          <w:color w:val="000000" w:themeColor="text1"/>
        </w:rPr>
        <w:t xml:space="preserve"> a finding consistent with Chen et al. (2017). However, this benefit is likely to be contingent on moderate rather than extreme warming; the nonlinear specification implies a threshold beyond which the b</w:t>
      </w:r>
      <w:r w:rsidRPr="0024006E">
        <w:rPr>
          <w:color w:val="000000" w:themeColor="text1"/>
        </w:rPr>
        <w:t>enefit reverses.</w:t>
      </w:r>
    </w:p>
    <w:p w:rsidR="00C36FD3" w:rsidRPr="0024006E" w:rsidRDefault="00677AED">
      <w:pPr>
        <w:spacing w:after="160" w:line="360" w:lineRule="auto"/>
        <w:ind w:firstLine="720"/>
        <w:jc w:val="both"/>
        <w:rPr>
          <w:color w:val="000000" w:themeColor="text1"/>
        </w:rPr>
      </w:pPr>
      <w:r w:rsidRPr="0024006E">
        <w:rPr>
          <w:color w:val="000000" w:themeColor="text1"/>
        </w:rPr>
        <w:t>Precipitation has a consistent negative association with undernourishment across all three zones, with the strongest effect in tropical regions (-0.265, p&lt;0.05), where agriculture is most dependent on rainfall. The universal significance o</w:t>
      </w:r>
      <w:r w:rsidRPr="0024006E">
        <w:rPr>
          <w:color w:val="000000" w:themeColor="text1"/>
        </w:rPr>
        <w:t>f this finding across zones underscores the importance of water availability as a fundamental food security determinant.</w:t>
      </w:r>
    </w:p>
    <w:p w:rsidR="00C36FD3" w:rsidRPr="0024006E" w:rsidRDefault="00677AED">
      <w:pPr>
        <w:spacing w:after="160" w:line="360" w:lineRule="auto"/>
        <w:ind w:firstLine="720"/>
        <w:jc w:val="both"/>
        <w:rPr>
          <w:color w:val="000000" w:themeColor="text1"/>
        </w:rPr>
      </w:pPr>
      <w:r w:rsidRPr="0024006E">
        <w:rPr>
          <w:color w:val="000000" w:themeColor="text1"/>
        </w:rPr>
        <w:t>Most strikingly, biological fixation is negative and highly significant in all three zones (p&lt;0.01, p&lt;0.05, and p&lt;0.01 for tropical, su</w:t>
      </w:r>
      <w:r w:rsidRPr="0024006E">
        <w:rPr>
          <w:color w:val="000000" w:themeColor="text1"/>
        </w:rPr>
        <w:t>btropical, and temperate respectively), confirming its role as a universal mitigating factor independent of regional climate baseline. This finding is particularly important for policy: soil health conservation through biological fixation offers a climate-</w:t>
      </w:r>
      <w:r w:rsidRPr="0024006E">
        <w:rPr>
          <w:color w:val="000000" w:themeColor="text1"/>
        </w:rPr>
        <w:t>resilient food security intervention applicable across all agroecological contexts.</w:t>
      </w:r>
    </w:p>
    <w:p w:rsidR="00C36FD3" w:rsidRPr="0024006E" w:rsidRDefault="00677AED">
      <w:pPr>
        <w:pStyle w:val="Heading1"/>
        <w:rPr>
          <w:color w:val="000000" w:themeColor="text1"/>
        </w:rPr>
      </w:pPr>
      <w:r w:rsidRPr="0024006E">
        <w:rPr>
          <w:color w:val="000000" w:themeColor="text1"/>
        </w:rPr>
        <w:t>6. Discussion</w:t>
      </w:r>
    </w:p>
    <w:p w:rsidR="00C36FD3" w:rsidRPr="0024006E" w:rsidRDefault="00677AED">
      <w:pPr>
        <w:spacing w:after="160" w:line="360" w:lineRule="auto"/>
        <w:ind w:firstLine="720"/>
        <w:jc w:val="both"/>
        <w:rPr>
          <w:color w:val="000000" w:themeColor="text1"/>
        </w:rPr>
      </w:pPr>
      <w:r w:rsidRPr="0024006E">
        <w:rPr>
          <w:color w:val="000000" w:themeColor="text1"/>
        </w:rPr>
        <w:t>This study contributes to the climate-food security literature through three principal empirical advances: the identification of biological fixation as a robu</w:t>
      </w:r>
      <w:r w:rsidRPr="0024006E">
        <w:rPr>
          <w:color w:val="000000" w:themeColor="text1"/>
        </w:rPr>
        <w:t>st and previously underexplored determinant of food undernourishment; the demonstration that rural population share amplifies climate-food linkages; and the documentation of substantial agroecological heterogeneity in how climatic anomalies shape undernour</w:t>
      </w:r>
      <w:r w:rsidRPr="0024006E">
        <w:rPr>
          <w:color w:val="000000" w:themeColor="text1"/>
        </w:rPr>
        <w:t>ishment outcomes.</w:t>
      </w:r>
    </w:p>
    <w:p w:rsidR="00C36FD3" w:rsidRPr="0024006E" w:rsidRDefault="00677AED">
      <w:pPr>
        <w:spacing w:after="160" w:line="360" w:lineRule="auto"/>
        <w:ind w:firstLine="720"/>
        <w:jc w:val="both"/>
        <w:rPr>
          <w:color w:val="000000" w:themeColor="text1"/>
        </w:rPr>
      </w:pPr>
      <w:r w:rsidRPr="0024006E">
        <w:rPr>
          <w:color w:val="000000" w:themeColor="text1"/>
        </w:rPr>
        <w:t>The robustness of the biological fixation finding across all model specifications and all agroecological zones represents the study's most novel contribution. Prior macro-level food security models have overwhelmingly focused on productio</w:t>
      </w:r>
      <w:r w:rsidRPr="0024006E">
        <w:rPr>
          <w:color w:val="000000" w:themeColor="text1"/>
        </w:rPr>
        <w:t xml:space="preserve">n inputs and economic variables, neglecting the soil biological processes that underlie agricultural productivity. The finding that a one-unit increase in biological fixation reduces undernourishment by 0.0126 percentage points </w:t>
      </w:r>
      <w:r w:rsidR="0024006E" w:rsidRPr="0024006E">
        <w:rPr>
          <w:color w:val="000000" w:themeColor="text1"/>
        </w:rPr>
        <w:t>-</w:t>
      </w:r>
      <w:r w:rsidRPr="0024006E">
        <w:rPr>
          <w:color w:val="000000" w:themeColor="text1"/>
        </w:rPr>
        <w:t xml:space="preserve"> consistently, globally, and across all zones </w:t>
      </w:r>
      <w:r w:rsidR="0024006E" w:rsidRPr="0024006E">
        <w:rPr>
          <w:color w:val="000000" w:themeColor="text1"/>
        </w:rPr>
        <w:t>-</w:t>
      </w:r>
      <w:r w:rsidRPr="0024006E">
        <w:rPr>
          <w:color w:val="000000" w:themeColor="text1"/>
        </w:rPr>
        <w:t xml:space="preserve"> provides strong empirical support for directing food security policy attention toward soil health conservation, legume-based cropping systems, and regenerative agriculture. This complements the findings of Va</w:t>
      </w:r>
      <w:r w:rsidRPr="0024006E">
        <w:rPr>
          <w:color w:val="000000" w:themeColor="text1"/>
        </w:rPr>
        <w:t>nlauwe et al. (2010) and Ladha et al. (2022) while extending their implications from crop yield to national-level food security outcomes.</w:t>
      </w:r>
    </w:p>
    <w:p w:rsidR="00C36FD3" w:rsidRPr="0024006E" w:rsidRDefault="00677AED">
      <w:pPr>
        <w:spacing w:after="160" w:line="360" w:lineRule="auto"/>
        <w:ind w:firstLine="720"/>
        <w:jc w:val="both"/>
        <w:rPr>
          <w:color w:val="000000" w:themeColor="text1"/>
        </w:rPr>
      </w:pPr>
      <w:r w:rsidRPr="0024006E">
        <w:rPr>
          <w:color w:val="000000" w:themeColor="text1"/>
        </w:rPr>
        <w:lastRenderedPageBreak/>
        <w:t>The interaction effects establish rural populations not merely as a vulnerable group but as a structural conduit throu</w:t>
      </w:r>
      <w:r w:rsidRPr="0024006E">
        <w:rPr>
          <w:color w:val="000000" w:themeColor="text1"/>
        </w:rPr>
        <w:t xml:space="preserve">gh which climate shocks are amplified into undernourishment outcomes. This is mechanistically consistent with the theoretical frameworks invoked </w:t>
      </w:r>
      <w:r w:rsidR="0024006E" w:rsidRPr="0024006E">
        <w:rPr>
          <w:color w:val="000000" w:themeColor="text1"/>
        </w:rPr>
        <w:t>-</w:t>
      </w:r>
      <w:r w:rsidRPr="0024006E">
        <w:rPr>
          <w:color w:val="000000" w:themeColor="text1"/>
        </w:rPr>
        <w:t xml:space="preserve"> rural communities face the full force of climate-sensitive agriculture, weak institutional buffers, and limit</w:t>
      </w:r>
      <w:r w:rsidRPr="0024006E">
        <w:rPr>
          <w:color w:val="000000" w:themeColor="text1"/>
        </w:rPr>
        <w:t>ed market integration. The empirical finding that the temperature-rural interaction coefficient (0.302) substantially exceeds the main temperature effect implies that failing to model rural demographics in climate-food models leads to systematic underestim</w:t>
      </w:r>
      <w:r w:rsidRPr="0024006E">
        <w:rPr>
          <w:color w:val="000000" w:themeColor="text1"/>
        </w:rPr>
        <w:t xml:space="preserve">ation of climate impacts on food security. The policy implication is direct: rural-targeted climate adaptation </w:t>
      </w:r>
      <w:r w:rsidR="0024006E" w:rsidRPr="0024006E">
        <w:rPr>
          <w:color w:val="000000" w:themeColor="text1"/>
        </w:rPr>
        <w:t>-</w:t>
      </w:r>
      <w:r w:rsidRPr="0024006E">
        <w:rPr>
          <w:color w:val="000000" w:themeColor="text1"/>
        </w:rPr>
        <w:t xml:space="preserve"> extension services, climate-indexed insurance, post-harvest infrastructure </w:t>
      </w:r>
      <w:r w:rsidR="0024006E" w:rsidRPr="0024006E">
        <w:rPr>
          <w:color w:val="000000" w:themeColor="text1"/>
        </w:rPr>
        <w:t>-</w:t>
      </w:r>
      <w:r w:rsidRPr="0024006E">
        <w:rPr>
          <w:color w:val="000000" w:themeColor="text1"/>
        </w:rPr>
        <w:t xml:space="preserve"> is not merely a welfare consideration but a structural interventio</w:t>
      </w:r>
      <w:r w:rsidRPr="0024006E">
        <w:rPr>
          <w:color w:val="000000" w:themeColor="text1"/>
        </w:rPr>
        <w:t>n with measurable food security returns.</w:t>
      </w:r>
    </w:p>
    <w:p w:rsidR="00C36FD3" w:rsidRPr="0024006E" w:rsidRDefault="00677AED">
      <w:pPr>
        <w:spacing w:after="160" w:line="360" w:lineRule="auto"/>
        <w:ind w:firstLine="720"/>
        <w:jc w:val="both"/>
        <w:rPr>
          <w:color w:val="000000" w:themeColor="text1"/>
        </w:rPr>
      </w:pPr>
      <w:r w:rsidRPr="0024006E">
        <w:rPr>
          <w:color w:val="000000" w:themeColor="text1"/>
        </w:rPr>
        <w:t xml:space="preserve">The divergence of temperature effects between OLS and Fixed Effects merits careful interpretation. The positive OLS coefficient reflects genuine cross-sectional variation </w:t>
      </w:r>
      <w:r w:rsidR="0024006E" w:rsidRPr="0024006E">
        <w:rPr>
          <w:color w:val="000000" w:themeColor="text1"/>
        </w:rPr>
        <w:t>-</w:t>
      </w:r>
      <w:r w:rsidRPr="0024006E">
        <w:rPr>
          <w:color w:val="000000" w:themeColor="text1"/>
        </w:rPr>
        <w:t xml:space="preserve"> hotter countries are systematically more f</w:t>
      </w:r>
      <w:r w:rsidRPr="0024006E">
        <w:rPr>
          <w:color w:val="000000" w:themeColor="text1"/>
        </w:rPr>
        <w:t xml:space="preserve">ood insecure </w:t>
      </w:r>
      <w:r w:rsidR="0024006E" w:rsidRPr="0024006E">
        <w:rPr>
          <w:color w:val="000000" w:themeColor="text1"/>
        </w:rPr>
        <w:t>-</w:t>
      </w:r>
      <w:r w:rsidRPr="0024006E">
        <w:rPr>
          <w:color w:val="000000" w:themeColor="text1"/>
        </w:rPr>
        <w:t xml:space="preserve"> while the insignificant FE coefficient reflects the difficulty of identifying within-country temperature effects over the 21-year window at the magnitude of change observed. This does not invalidate the climate-undernourishment relationship;</w:t>
      </w:r>
      <w:r w:rsidRPr="0024006E">
        <w:rPr>
          <w:color w:val="000000" w:themeColor="text1"/>
        </w:rPr>
        <w:t xml:space="preserve"> it reflects that within-country temperature changes over this period, while meaningful agronomically, are of modest magnitude relative to between-country differences. Longer panels or studies with larger within-country temperature deviations would likely </w:t>
      </w:r>
      <w:r w:rsidRPr="0024006E">
        <w:rPr>
          <w:color w:val="000000" w:themeColor="text1"/>
        </w:rPr>
        <w:t>recover significant within-country effects, consistent with Lobell et al. (2008).</w:t>
      </w:r>
    </w:p>
    <w:p w:rsidR="00C36FD3" w:rsidRPr="0024006E" w:rsidRDefault="00677AED">
      <w:pPr>
        <w:spacing w:after="160" w:line="360" w:lineRule="auto"/>
        <w:ind w:firstLine="720"/>
        <w:jc w:val="both"/>
        <w:rPr>
          <w:color w:val="000000" w:themeColor="text1"/>
        </w:rPr>
      </w:pPr>
      <w:r w:rsidRPr="0024006E">
        <w:rPr>
          <w:color w:val="000000" w:themeColor="text1"/>
        </w:rPr>
        <w:t>The GHG emissions finding invites engagement with a potential policy trade-off. Stevanovic et al. (2016) have argued that aggressive emissions mitigation through land-use cha</w:t>
      </w:r>
      <w:r w:rsidRPr="0024006E">
        <w:rPr>
          <w:color w:val="000000" w:themeColor="text1"/>
        </w:rPr>
        <w:t xml:space="preserve">nge could increase food prices and worsen undernourishment. Our results confirm the positive association between GHG emissions and undernourishment but do not directly test this trade-off. The policy implication is that emissions reduction strategies must </w:t>
      </w:r>
      <w:r w:rsidRPr="0024006E">
        <w:rPr>
          <w:color w:val="000000" w:themeColor="text1"/>
        </w:rPr>
        <w:t xml:space="preserve">be designed with food system impacts in mind, avoiding displacement of agricultural land or productivity in ways that exacerbate food insecurity </w:t>
      </w:r>
      <w:r w:rsidR="0024006E" w:rsidRPr="0024006E">
        <w:rPr>
          <w:color w:val="000000" w:themeColor="text1"/>
        </w:rPr>
        <w:t>-</w:t>
      </w:r>
      <w:r w:rsidRPr="0024006E">
        <w:rPr>
          <w:color w:val="000000" w:themeColor="text1"/>
        </w:rPr>
        <w:t xml:space="preserve"> particularly in low-income, rural-dominated economies.</w:t>
      </w:r>
    </w:p>
    <w:p w:rsidR="00C36FD3" w:rsidRPr="0024006E" w:rsidRDefault="00677AED">
      <w:pPr>
        <w:spacing w:after="160" w:line="360" w:lineRule="auto"/>
        <w:ind w:firstLine="720"/>
        <w:jc w:val="both"/>
        <w:rPr>
          <w:color w:val="000000" w:themeColor="text1"/>
        </w:rPr>
      </w:pPr>
      <w:r w:rsidRPr="0024006E">
        <w:rPr>
          <w:color w:val="000000" w:themeColor="text1"/>
        </w:rPr>
        <w:t>The finding that GDP per capita weakly predicts undern</w:t>
      </w:r>
      <w:r w:rsidRPr="0024006E">
        <w:rPr>
          <w:color w:val="000000" w:themeColor="text1"/>
        </w:rPr>
        <w:t>ourishment in Fixed Effects specifications is consistent with Sen's entitlement framework. Economic growth at the national level does not automatically translate into improved food access for the most vulnerable. This suggests that distributional and insti</w:t>
      </w:r>
      <w:r w:rsidRPr="0024006E">
        <w:rPr>
          <w:color w:val="000000" w:themeColor="text1"/>
        </w:rPr>
        <w:t xml:space="preserve">tutional channels </w:t>
      </w:r>
      <w:r w:rsidR="0024006E" w:rsidRPr="0024006E">
        <w:rPr>
          <w:color w:val="000000" w:themeColor="text1"/>
        </w:rPr>
        <w:t>-</w:t>
      </w:r>
      <w:r w:rsidRPr="0024006E">
        <w:rPr>
          <w:color w:val="000000" w:themeColor="text1"/>
        </w:rPr>
        <w:t xml:space="preserve"> food supply systems, rural market access, safety nets </w:t>
      </w:r>
      <w:r w:rsidR="0024006E" w:rsidRPr="0024006E">
        <w:rPr>
          <w:color w:val="000000" w:themeColor="text1"/>
        </w:rPr>
        <w:t>-</w:t>
      </w:r>
      <w:r w:rsidRPr="0024006E">
        <w:rPr>
          <w:color w:val="000000" w:themeColor="text1"/>
        </w:rPr>
        <w:t xml:space="preserve"> matter more than aggregate income for reducing undernourishment, and should be prioritized in food security policy design.</w:t>
      </w:r>
    </w:p>
    <w:p w:rsidR="00C36FD3" w:rsidRPr="0024006E" w:rsidRDefault="00677AED">
      <w:pPr>
        <w:pStyle w:val="Heading1"/>
        <w:rPr>
          <w:color w:val="000000" w:themeColor="text1"/>
        </w:rPr>
      </w:pPr>
      <w:r w:rsidRPr="0024006E">
        <w:rPr>
          <w:color w:val="000000" w:themeColor="text1"/>
        </w:rPr>
        <w:t>7. Conclusion</w:t>
      </w:r>
    </w:p>
    <w:p w:rsidR="00C36FD3" w:rsidRPr="0024006E" w:rsidRDefault="00677AED">
      <w:pPr>
        <w:spacing w:after="160" w:line="360" w:lineRule="auto"/>
        <w:ind w:firstLine="720"/>
        <w:jc w:val="both"/>
        <w:rPr>
          <w:color w:val="000000" w:themeColor="text1"/>
        </w:rPr>
      </w:pPr>
      <w:r w:rsidRPr="0024006E">
        <w:rPr>
          <w:color w:val="000000" w:themeColor="text1"/>
        </w:rPr>
        <w:lastRenderedPageBreak/>
        <w:t xml:space="preserve">This study provides robust global evidence </w:t>
      </w:r>
      <w:r w:rsidRPr="0024006E">
        <w:rPr>
          <w:color w:val="000000" w:themeColor="text1"/>
        </w:rPr>
        <w:t xml:space="preserve">that climate change significantly worsens food undernourishment through multiple, interacting pathways. Using a 21-year panel of 133 countries and Fixed Effects panel econometrics, we establish that GHG emissions, reduced biological fixation, and climatic </w:t>
      </w:r>
      <w:r w:rsidRPr="0024006E">
        <w:rPr>
          <w:color w:val="000000" w:themeColor="text1"/>
        </w:rPr>
        <w:t>extremes in temperature and precipitation are significant determinants of undernourishment prevalence. Rural populations amplify these effects, and agroecological zones mediate the direction and magnitude of climate impacts.</w:t>
      </w:r>
    </w:p>
    <w:p w:rsidR="00C36FD3" w:rsidRPr="0024006E" w:rsidRDefault="00677AED">
      <w:pPr>
        <w:spacing w:after="160" w:line="360" w:lineRule="auto"/>
        <w:ind w:firstLine="720"/>
        <w:jc w:val="both"/>
        <w:rPr>
          <w:color w:val="000000" w:themeColor="text1"/>
        </w:rPr>
      </w:pPr>
      <w:r w:rsidRPr="0024006E">
        <w:rPr>
          <w:color w:val="000000" w:themeColor="text1"/>
        </w:rPr>
        <w:t>Three findings stand out for th</w:t>
      </w:r>
      <w:r w:rsidRPr="0024006E">
        <w:rPr>
          <w:color w:val="000000" w:themeColor="text1"/>
        </w:rPr>
        <w:t xml:space="preserve">eir theoretical and policy implications. First, biological fixation </w:t>
      </w:r>
      <w:r w:rsidR="0024006E" w:rsidRPr="0024006E">
        <w:rPr>
          <w:color w:val="000000" w:themeColor="text1"/>
        </w:rPr>
        <w:t>-</w:t>
      </w:r>
      <w:r w:rsidRPr="0024006E">
        <w:rPr>
          <w:color w:val="000000" w:themeColor="text1"/>
        </w:rPr>
        <w:t xml:space="preserve"> a proxy for soil health </w:t>
      </w:r>
      <w:r w:rsidR="0024006E" w:rsidRPr="0024006E">
        <w:rPr>
          <w:color w:val="000000" w:themeColor="text1"/>
        </w:rPr>
        <w:t>-</w:t>
      </w:r>
      <w:r w:rsidRPr="0024006E">
        <w:rPr>
          <w:color w:val="000000" w:themeColor="text1"/>
        </w:rPr>
        <w:t xml:space="preserve"> is the most consistent negative predictor of undernourishment across all specifications and zones. This establishes a direct empirical link between ecological s</w:t>
      </w:r>
      <w:r w:rsidRPr="0024006E">
        <w:rPr>
          <w:color w:val="000000" w:themeColor="text1"/>
        </w:rPr>
        <w:t>oil processes and national food security outcomes, opening a new and policy-relevant channel for intervention. Second, the rural population interaction reveals that climate adaptation must be spatially and demographically targeted: aggregate national polic</w:t>
      </w:r>
      <w:r w:rsidRPr="0024006E">
        <w:rPr>
          <w:color w:val="000000" w:themeColor="text1"/>
        </w:rPr>
        <w:t xml:space="preserve">ies that fail to address rural vulnerability will systematically underestimate and underaddress climate-induced food insecurity. Third, the agroecological heterogeneity analysis establishes that no single climate adaptation strategy is appropriate for all </w:t>
      </w:r>
      <w:r w:rsidRPr="0024006E">
        <w:rPr>
          <w:color w:val="000000" w:themeColor="text1"/>
        </w:rPr>
        <w:t xml:space="preserve">zones </w:t>
      </w:r>
      <w:r w:rsidR="0024006E" w:rsidRPr="0024006E">
        <w:rPr>
          <w:color w:val="000000" w:themeColor="text1"/>
        </w:rPr>
        <w:t>-</w:t>
      </w:r>
      <w:r w:rsidRPr="0024006E">
        <w:rPr>
          <w:color w:val="000000" w:themeColor="text1"/>
        </w:rPr>
        <w:t xml:space="preserve"> tropical and subtropical zones require urgent temperature and drought adaptation, while temperate zones may benefit from carefully managed warming.</w:t>
      </w:r>
    </w:p>
    <w:p w:rsidR="00C36FD3" w:rsidRPr="0024006E" w:rsidRDefault="00677AED">
      <w:pPr>
        <w:spacing w:after="160" w:line="360" w:lineRule="auto"/>
        <w:ind w:firstLine="720"/>
        <w:jc w:val="both"/>
        <w:rPr>
          <w:color w:val="000000" w:themeColor="text1"/>
        </w:rPr>
      </w:pPr>
      <w:r w:rsidRPr="0024006E">
        <w:rPr>
          <w:color w:val="000000" w:themeColor="text1"/>
        </w:rPr>
        <w:t xml:space="preserve">The study's limitations include a relatively low R-squared </w:t>
      </w:r>
      <w:r w:rsidR="0024006E" w:rsidRPr="0024006E">
        <w:rPr>
          <w:color w:val="000000" w:themeColor="text1"/>
        </w:rPr>
        <w:t>-</w:t>
      </w:r>
      <w:r w:rsidRPr="0024006E">
        <w:rPr>
          <w:color w:val="000000" w:themeColor="text1"/>
        </w:rPr>
        <w:t xml:space="preserve"> reflecting the many structural factors </w:t>
      </w:r>
      <w:r w:rsidRPr="0024006E">
        <w:rPr>
          <w:color w:val="000000" w:themeColor="text1"/>
        </w:rPr>
        <w:t>beyond climate that shape undernourishment, including trade, supply chains, governance, and health infrastructure. Future research should incorporate these dimensions, explore household-level data to capture within-country distributional effects, apply ins</w:t>
      </w:r>
      <w:r w:rsidRPr="0024006E">
        <w:rPr>
          <w:color w:val="000000" w:themeColor="text1"/>
        </w:rPr>
        <w:t>trumental variable approaches as a robustness check on causal identification, and extend the time series as longer panels become available. The role of governmental policies, agricultural mechanization, and technological adaptation in mediating climate-foo</w:t>
      </w:r>
      <w:r w:rsidRPr="0024006E">
        <w:rPr>
          <w:color w:val="000000" w:themeColor="text1"/>
        </w:rPr>
        <w:t>d linkages also represents a productive direction for future work.</w:t>
      </w:r>
    </w:p>
    <w:p w:rsidR="00C36FD3" w:rsidRPr="0024006E" w:rsidRDefault="00677AED">
      <w:pPr>
        <w:pStyle w:val="Heading1"/>
        <w:rPr>
          <w:color w:val="000000" w:themeColor="text1"/>
        </w:rPr>
      </w:pPr>
      <w:r w:rsidRPr="0024006E">
        <w:rPr>
          <w:color w:val="000000" w:themeColor="text1"/>
        </w:rPr>
        <w:t>8. Policy Recommendations</w:t>
      </w:r>
    </w:p>
    <w:p w:rsidR="00C36FD3" w:rsidRPr="0024006E" w:rsidRDefault="00677AED">
      <w:pPr>
        <w:spacing w:after="160" w:line="360" w:lineRule="auto"/>
        <w:ind w:firstLine="720"/>
        <w:jc w:val="both"/>
        <w:rPr>
          <w:color w:val="000000" w:themeColor="text1"/>
        </w:rPr>
      </w:pPr>
      <w:r w:rsidRPr="0024006E">
        <w:rPr>
          <w:color w:val="000000" w:themeColor="text1"/>
        </w:rPr>
        <w:t>The empirical findings generate four actionable policy recommendations applicable across the climate-vulnerable economies represented in this dataset.</w:t>
      </w:r>
    </w:p>
    <w:p w:rsidR="00C36FD3" w:rsidRPr="0024006E" w:rsidRDefault="00677AED">
      <w:pPr>
        <w:spacing w:after="160" w:line="360" w:lineRule="auto"/>
        <w:ind w:firstLine="720"/>
        <w:jc w:val="both"/>
        <w:rPr>
          <w:color w:val="000000" w:themeColor="text1"/>
        </w:rPr>
      </w:pPr>
      <w:r w:rsidRPr="0024006E">
        <w:rPr>
          <w:b/>
          <w:bCs/>
          <w:color w:val="000000" w:themeColor="text1"/>
        </w:rPr>
        <w:t>Prioritize s</w:t>
      </w:r>
      <w:r w:rsidRPr="0024006E">
        <w:rPr>
          <w:b/>
          <w:bCs/>
          <w:color w:val="000000" w:themeColor="text1"/>
        </w:rPr>
        <w:t xml:space="preserve">oil health as a climate adaptation mechanism. </w:t>
      </w:r>
      <w:r w:rsidRPr="0024006E">
        <w:rPr>
          <w:color w:val="000000" w:themeColor="text1"/>
        </w:rPr>
        <w:t xml:space="preserve">Countries and international agencies should invest in biological fixation-enhancing practices </w:t>
      </w:r>
      <w:r w:rsidR="0024006E" w:rsidRPr="0024006E">
        <w:rPr>
          <w:color w:val="000000" w:themeColor="text1"/>
        </w:rPr>
        <w:t>-</w:t>
      </w:r>
      <w:r w:rsidRPr="0024006E">
        <w:rPr>
          <w:color w:val="000000" w:themeColor="text1"/>
        </w:rPr>
        <w:t xml:space="preserve"> legume intercropping, reduced synthetic fertilizer dependence, organic composting, and regenerative agriculture </w:t>
      </w:r>
      <w:r w:rsidR="0024006E" w:rsidRPr="0024006E">
        <w:rPr>
          <w:color w:val="000000" w:themeColor="text1"/>
        </w:rPr>
        <w:t>-</w:t>
      </w:r>
      <w:r w:rsidRPr="0024006E">
        <w:rPr>
          <w:color w:val="000000" w:themeColor="text1"/>
        </w:rPr>
        <w:t xml:space="preserve"> </w:t>
      </w:r>
      <w:r w:rsidRPr="0024006E">
        <w:rPr>
          <w:color w:val="000000" w:themeColor="text1"/>
        </w:rPr>
        <w:t>as core food security interventions. Policies that treat food security and environmental management as separate domains will miss this critical synergy.</w:t>
      </w:r>
    </w:p>
    <w:p w:rsidR="00C36FD3" w:rsidRPr="0024006E" w:rsidRDefault="00677AED">
      <w:pPr>
        <w:spacing w:after="160" w:line="360" w:lineRule="auto"/>
        <w:ind w:firstLine="720"/>
        <w:jc w:val="both"/>
        <w:rPr>
          <w:color w:val="000000" w:themeColor="text1"/>
        </w:rPr>
      </w:pPr>
      <w:r w:rsidRPr="0024006E">
        <w:rPr>
          <w:b/>
          <w:bCs/>
          <w:color w:val="000000" w:themeColor="text1"/>
        </w:rPr>
        <w:lastRenderedPageBreak/>
        <w:t xml:space="preserve">Design rural-centered climate adaptation programs. </w:t>
      </w:r>
      <w:r w:rsidRPr="0024006E">
        <w:rPr>
          <w:color w:val="000000" w:themeColor="text1"/>
        </w:rPr>
        <w:t>Climate adaptation for food security must be spatial</w:t>
      </w:r>
      <w:r w:rsidRPr="0024006E">
        <w:rPr>
          <w:color w:val="000000" w:themeColor="text1"/>
        </w:rPr>
        <w:t>ly disaggregated to reach rural agricultural communities. Agricultural extension services, climate-indexed insurance, localized storage infrastructure, and decentralized food distribution systems represent high-return investments in the populations most ex</w:t>
      </w:r>
      <w:r w:rsidRPr="0024006E">
        <w:rPr>
          <w:color w:val="000000" w:themeColor="text1"/>
        </w:rPr>
        <w:t>posed to climate-food shocks.</w:t>
      </w:r>
    </w:p>
    <w:p w:rsidR="00C36FD3" w:rsidRPr="0024006E" w:rsidRDefault="00677AED">
      <w:pPr>
        <w:spacing w:after="160" w:line="360" w:lineRule="auto"/>
        <w:ind w:firstLine="720"/>
        <w:jc w:val="both"/>
        <w:rPr>
          <w:color w:val="000000" w:themeColor="text1"/>
        </w:rPr>
      </w:pPr>
      <w:r w:rsidRPr="0024006E">
        <w:rPr>
          <w:b/>
          <w:bCs/>
          <w:color w:val="000000" w:themeColor="text1"/>
        </w:rPr>
        <w:t xml:space="preserve">Implement agroecologically differentiated strategies. </w:t>
      </w:r>
      <w:r w:rsidRPr="0024006E">
        <w:rPr>
          <w:color w:val="000000" w:themeColor="text1"/>
        </w:rPr>
        <w:t>Tropical and subtropical regions require drought-resilient crop varieties, water harvesting, and expanded irrigation. Temperate regions can leverage extended growing season</w:t>
      </w:r>
      <w:r w:rsidRPr="0024006E">
        <w:rPr>
          <w:color w:val="000000" w:themeColor="text1"/>
        </w:rPr>
        <w:t>s but must monitor emerging pest and disease risks. One-size-fits-all food security policies are inefficient and potentially counterproductive in the face of documented agroecological heterogeneity.</w:t>
      </w:r>
    </w:p>
    <w:p w:rsidR="00C36FD3" w:rsidRPr="0024006E" w:rsidRDefault="00677AED">
      <w:pPr>
        <w:spacing w:after="160" w:line="360" w:lineRule="auto"/>
        <w:ind w:firstLine="720"/>
        <w:jc w:val="both"/>
        <w:rPr>
          <w:color w:val="000000" w:themeColor="text1"/>
        </w:rPr>
      </w:pPr>
      <w:r w:rsidRPr="0024006E">
        <w:rPr>
          <w:b/>
          <w:bCs/>
          <w:color w:val="000000" w:themeColor="text1"/>
        </w:rPr>
        <w:t>Align emissions reduction policies with food system impac</w:t>
      </w:r>
      <w:r w:rsidRPr="0024006E">
        <w:rPr>
          <w:b/>
          <w:bCs/>
          <w:color w:val="000000" w:themeColor="text1"/>
        </w:rPr>
        <w:t xml:space="preserve">ts. </w:t>
      </w:r>
      <w:r w:rsidRPr="0024006E">
        <w:rPr>
          <w:color w:val="000000" w:themeColor="text1"/>
        </w:rPr>
        <w:t>GHG reduction strategies must be evaluated for their food security consequences. Agricultural productivity trade-offs of mitigation policies should be explicitly assessed, particularly in countries highly dependent on land-intensive agriculture, and co</w:t>
      </w:r>
      <w:r w:rsidRPr="0024006E">
        <w:rPr>
          <w:color w:val="000000" w:themeColor="text1"/>
        </w:rPr>
        <w:t>mplementary investments in food security resilience should accompany mitigation commitments.</w:t>
      </w:r>
    </w:p>
    <w:p w:rsidR="005F074A" w:rsidRDefault="005F074A">
      <w:pPr>
        <w:pStyle w:val="Heading1"/>
        <w:rPr>
          <w:color w:val="000000" w:themeColor="text1"/>
        </w:rPr>
      </w:pPr>
    </w:p>
    <w:p w:rsidR="005F074A" w:rsidRDefault="005F074A" w:rsidP="005F074A">
      <w:pPr>
        <w:pStyle w:val="Heading1"/>
      </w:pPr>
      <w:r>
        <w:t>Declaration of Competing Interests</w:t>
      </w:r>
    </w:p>
    <w:p w:rsidR="005F074A" w:rsidRDefault="005F074A" w:rsidP="005F074A">
      <w:pPr>
        <w:spacing w:after="160" w:line="360" w:lineRule="auto"/>
        <w:ind w:firstLine="720"/>
        <w:jc w:val="both"/>
      </w:pPr>
      <w:r>
        <w:t>The author declares no competing financial or non-financial interests in relation to the work described in this manuscript.</w:t>
      </w:r>
    </w:p>
    <w:p w:rsidR="005F074A" w:rsidRDefault="005F074A" w:rsidP="005F074A">
      <w:pPr>
        <w:pStyle w:val="Heading1"/>
      </w:pPr>
      <w:r>
        <w:t>CRediT Authorship Contribution Statement</w:t>
      </w:r>
    </w:p>
    <w:p w:rsidR="005F074A" w:rsidRDefault="005F074A" w:rsidP="005F074A">
      <w:pPr>
        <w:spacing w:after="160" w:line="360" w:lineRule="auto"/>
        <w:ind w:firstLine="720"/>
        <w:jc w:val="both"/>
      </w:pPr>
      <w:r>
        <w:rPr>
          <w:b/>
        </w:rPr>
        <w:t xml:space="preserve">Aayush Poudel: </w:t>
      </w:r>
      <w:r>
        <w:t xml:space="preserve">Conceptualization, Data curation, Formal analysis, Investigation, Methodology, Visualization, Writing </w:t>
      </w:r>
      <w:r>
        <w:rPr>
          <w:lang w:val="en-US"/>
        </w:rPr>
        <w:t>-</w:t>
      </w:r>
      <w:r>
        <w:t xml:space="preserve"> original draft, Writing </w:t>
      </w:r>
      <w:r>
        <w:rPr>
          <w:lang w:val="en-US"/>
        </w:rPr>
        <w:t>-</w:t>
      </w:r>
      <w:r>
        <w:t xml:space="preserve"> review &amp; editing.</w:t>
      </w:r>
    </w:p>
    <w:p w:rsidR="005F074A" w:rsidRDefault="005F074A" w:rsidP="005F074A">
      <w:pPr>
        <w:pStyle w:val="Heading1"/>
      </w:pPr>
    </w:p>
    <w:p w:rsidR="005F074A" w:rsidRDefault="005F074A" w:rsidP="005F074A">
      <w:pPr>
        <w:pStyle w:val="Heading1"/>
      </w:pPr>
      <w:r>
        <w:t>Declaration of Generative AI and AI-Assisted Technologies in the Writing Process</w:t>
      </w:r>
    </w:p>
    <w:p w:rsidR="005F074A" w:rsidRDefault="005F074A" w:rsidP="005F074A">
      <w:pPr>
        <w:spacing w:after="160" w:line="360" w:lineRule="auto"/>
        <w:ind w:firstLine="720"/>
        <w:jc w:val="both"/>
      </w:pPr>
      <w:r>
        <w:t xml:space="preserve">During the preparation of this manuscript, the author used Claude (Anthropic) to assist with structural reorganisation, academic prose editing, and formatting of the paper from an original Master’s thesis. All intellectual content </w:t>
      </w:r>
      <w:r>
        <w:rPr>
          <w:lang w:val="en-US"/>
        </w:rPr>
        <w:t>-</w:t>
      </w:r>
      <w:r>
        <w:t xml:space="preserve"> including the research design, data collection, empirical analysis, interpretation of results, and conclusions </w:t>
      </w:r>
      <w:r>
        <w:rPr>
          <w:lang w:val="en-US"/>
        </w:rPr>
        <w:t>-</w:t>
      </w:r>
      <w:r>
        <w:t xml:space="preserve"> was conducted entirely by the author. The author reviewed and </w:t>
      </w:r>
      <w:r>
        <w:lastRenderedPageBreak/>
        <w:t>edited all AI-assisted output and takes full responsibility for the accuracy and integrity of the published work. No generative AI tools were used to create figures, images, or artwork.</w:t>
      </w: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C36FD3" w:rsidRPr="0024006E" w:rsidRDefault="00677AED">
      <w:pPr>
        <w:pStyle w:val="Heading1"/>
        <w:rPr>
          <w:color w:val="000000" w:themeColor="text1"/>
        </w:rPr>
      </w:pPr>
      <w:r w:rsidRPr="0024006E">
        <w:rPr>
          <w:color w:val="000000" w:themeColor="text1"/>
        </w:rPr>
        <w:t>References</w:t>
      </w:r>
    </w:p>
    <w:p w:rsidR="00C36FD3" w:rsidRPr="0024006E" w:rsidRDefault="00677AED">
      <w:pPr>
        <w:spacing w:after="80"/>
        <w:ind w:left="720" w:hanging="720"/>
        <w:jc w:val="both"/>
        <w:rPr>
          <w:color w:val="000000" w:themeColor="text1"/>
        </w:rPr>
      </w:pPr>
      <w:r w:rsidRPr="0024006E">
        <w:rPr>
          <w:color w:val="000000" w:themeColor="text1"/>
          <w:sz w:val="20"/>
          <w:szCs w:val="20"/>
        </w:rPr>
        <w:t>Barrett,C.B.</w:t>
      </w:r>
      <w:r w:rsidR="005F074A">
        <w:rPr>
          <w:color w:val="000000" w:themeColor="text1"/>
          <w:sz w:val="20"/>
          <w:szCs w:val="20"/>
          <w:lang w:val="en-US"/>
        </w:rPr>
        <w:t xml:space="preserve"> </w:t>
      </w:r>
      <w:r w:rsidRPr="0024006E">
        <w:rPr>
          <w:color w:val="000000" w:themeColor="text1"/>
          <w:sz w:val="20"/>
          <w:szCs w:val="20"/>
        </w:rPr>
        <w:t>(2010).</w:t>
      </w:r>
      <w:r w:rsidR="005F074A">
        <w:rPr>
          <w:color w:val="000000" w:themeColor="text1"/>
          <w:sz w:val="20"/>
          <w:szCs w:val="20"/>
          <w:lang w:val="en-US"/>
        </w:rPr>
        <w:t xml:space="preserve"> </w:t>
      </w:r>
      <w:r w:rsidRPr="0024006E">
        <w:rPr>
          <w:color w:val="000000" w:themeColor="text1"/>
          <w:sz w:val="20"/>
          <w:szCs w:val="20"/>
        </w:rPr>
        <w:t>Measuring food insecurity. Science, 327(5967), 825–828. https://doi.org/10.1126/science.1182768</w:t>
      </w:r>
    </w:p>
    <w:p w:rsidR="00C36FD3" w:rsidRPr="0024006E" w:rsidRDefault="00677AED">
      <w:pPr>
        <w:spacing w:after="80"/>
        <w:ind w:left="720" w:hanging="720"/>
        <w:jc w:val="both"/>
        <w:rPr>
          <w:color w:val="000000" w:themeColor="text1"/>
        </w:rPr>
      </w:pPr>
      <w:r w:rsidRPr="0024006E">
        <w:rPr>
          <w:color w:val="000000" w:themeColor="text1"/>
          <w:sz w:val="20"/>
          <w:szCs w:val="20"/>
        </w:rPr>
        <w:t>Burke, M., Hsiang, S. M., &amp; Miguel, E. (2015). Global non-linear effect of temperature on economic production. Nature, 527(7577), 235–239. https://doi.org/10.1038/nature15725</w:t>
      </w:r>
    </w:p>
    <w:p w:rsidR="00C36FD3" w:rsidRPr="0024006E" w:rsidRDefault="00677AED">
      <w:pPr>
        <w:spacing w:after="80"/>
        <w:ind w:left="720" w:hanging="720"/>
        <w:jc w:val="both"/>
        <w:rPr>
          <w:color w:val="000000" w:themeColor="text1"/>
        </w:rPr>
      </w:pPr>
      <w:r w:rsidRPr="0024006E">
        <w:rPr>
          <w:color w:val="000000" w:themeColor="text1"/>
          <w:sz w:val="20"/>
          <w:szCs w:val="20"/>
        </w:rPr>
        <w:t>Chambers, R., &amp; Conway, G. (1992). Sustainable rural livelihoods: Practical conce</w:t>
      </w:r>
      <w:r w:rsidRPr="0024006E">
        <w:rPr>
          <w:color w:val="000000" w:themeColor="text1"/>
          <w:sz w:val="20"/>
          <w:szCs w:val="20"/>
        </w:rPr>
        <w:t>pts for the 21st century. IDS Discussion Paper 296.</w:t>
      </w:r>
    </w:p>
    <w:p w:rsidR="00C36FD3" w:rsidRPr="0024006E" w:rsidRDefault="00677AED">
      <w:pPr>
        <w:spacing w:after="80"/>
        <w:ind w:left="720" w:hanging="720"/>
        <w:jc w:val="both"/>
        <w:rPr>
          <w:color w:val="000000" w:themeColor="text1"/>
        </w:rPr>
      </w:pPr>
      <w:r w:rsidRPr="0024006E">
        <w:rPr>
          <w:color w:val="000000" w:themeColor="text1"/>
          <w:sz w:val="20"/>
          <w:szCs w:val="20"/>
        </w:rPr>
        <w:t>Chandio, A. A., Akram, W., Ahmad, F., &amp; Ahmad, M. (2020). Dynamic relationship among agriculture-energy-forestry and carbon dioxide emissions. Environmental Science and Pollution Research, 27(27), 34078–3</w:t>
      </w:r>
      <w:r w:rsidRPr="0024006E">
        <w:rPr>
          <w:color w:val="000000" w:themeColor="text1"/>
          <w:sz w:val="20"/>
          <w:szCs w:val="20"/>
        </w:rPr>
        <w:t>4089.</w:t>
      </w:r>
    </w:p>
    <w:p w:rsidR="00C36FD3" w:rsidRPr="0024006E" w:rsidRDefault="00677AED">
      <w:pPr>
        <w:spacing w:after="80"/>
        <w:ind w:left="720" w:hanging="720"/>
        <w:jc w:val="both"/>
        <w:rPr>
          <w:color w:val="000000" w:themeColor="text1"/>
        </w:rPr>
      </w:pPr>
      <w:r w:rsidRPr="0024006E">
        <w:rPr>
          <w:color w:val="000000" w:themeColor="text1"/>
          <w:sz w:val="20"/>
          <w:szCs w:val="20"/>
        </w:rPr>
        <w:t>Chen, J., McCarl, B. A., &amp; Thayer, A. (2017). Climate change and food security: Threats and adaptation. Frontiers of Economics and Globalization, 69–84.</w:t>
      </w:r>
    </w:p>
    <w:p w:rsidR="00C36FD3" w:rsidRPr="0024006E" w:rsidRDefault="00677AED">
      <w:pPr>
        <w:spacing w:after="80"/>
        <w:ind w:left="720" w:hanging="720"/>
        <w:jc w:val="both"/>
        <w:rPr>
          <w:color w:val="000000" w:themeColor="text1"/>
        </w:rPr>
      </w:pPr>
      <w:r w:rsidRPr="0024006E">
        <w:rPr>
          <w:color w:val="000000" w:themeColor="text1"/>
          <w:sz w:val="20"/>
          <w:szCs w:val="20"/>
        </w:rPr>
        <w:t>Food and Agriculture Organization [FAO]. (2003). A conceptual framework for national agricultural</w:t>
      </w:r>
      <w:r w:rsidRPr="0024006E">
        <w:rPr>
          <w:color w:val="000000" w:themeColor="text1"/>
          <w:sz w:val="20"/>
          <w:szCs w:val="20"/>
        </w:rPr>
        <w:t>, rural development, and food security strategies and policies. FAO, Rome.</w:t>
      </w:r>
    </w:p>
    <w:p w:rsidR="00C36FD3" w:rsidRPr="0024006E" w:rsidRDefault="00677AED">
      <w:pPr>
        <w:spacing w:after="80"/>
        <w:ind w:left="720" w:hanging="720"/>
        <w:jc w:val="both"/>
        <w:rPr>
          <w:color w:val="000000" w:themeColor="text1"/>
        </w:rPr>
      </w:pPr>
      <w:r w:rsidRPr="0024006E">
        <w:rPr>
          <w:color w:val="000000" w:themeColor="text1"/>
          <w:sz w:val="20"/>
          <w:szCs w:val="20"/>
        </w:rPr>
        <w:t>Food and Agriculture Organization [FAO]. (2023). The State of Food Security and Nutrition in the World 2023. FAO, Rome. https://doi.org/10.4060/cc3017en</w:t>
      </w:r>
    </w:p>
    <w:p w:rsidR="00C36FD3" w:rsidRPr="0024006E" w:rsidRDefault="00677AED">
      <w:pPr>
        <w:spacing w:after="80"/>
        <w:ind w:left="720" w:hanging="720"/>
        <w:jc w:val="both"/>
        <w:rPr>
          <w:color w:val="000000" w:themeColor="text1"/>
        </w:rPr>
      </w:pPr>
      <w:r w:rsidRPr="0024006E">
        <w:rPr>
          <w:color w:val="000000" w:themeColor="text1"/>
          <w:sz w:val="20"/>
          <w:szCs w:val="20"/>
        </w:rPr>
        <w:t>Hausman, J. A. (1978). Speci</w:t>
      </w:r>
      <w:r w:rsidRPr="0024006E">
        <w:rPr>
          <w:color w:val="000000" w:themeColor="text1"/>
          <w:sz w:val="20"/>
          <w:szCs w:val="20"/>
        </w:rPr>
        <w:t>fication tests in econometrics. Econometrica, 46(6), 1251–1271.</w:t>
      </w:r>
    </w:p>
    <w:p w:rsidR="00C36FD3" w:rsidRPr="0024006E" w:rsidRDefault="00677AED">
      <w:pPr>
        <w:spacing w:after="80"/>
        <w:ind w:left="720" w:hanging="720"/>
        <w:jc w:val="both"/>
        <w:rPr>
          <w:color w:val="000000" w:themeColor="text1"/>
        </w:rPr>
      </w:pPr>
      <w:r w:rsidRPr="0024006E">
        <w:rPr>
          <w:color w:val="000000" w:themeColor="text1"/>
          <w:sz w:val="20"/>
          <w:szCs w:val="20"/>
        </w:rPr>
        <w:t>Hatfield, J. L., &amp; Prueger, J. H. (2015). Temperature extremes: Effect on plant growth and development. Weather and Climate Extremes, 10, 4–10.</w:t>
      </w:r>
    </w:p>
    <w:p w:rsidR="00C36FD3" w:rsidRPr="0024006E" w:rsidRDefault="00677AED">
      <w:pPr>
        <w:spacing w:after="80"/>
        <w:ind w:left="720" w:hanging="720"/>
        <w:jc w:val="both"/>
        <w:rPr>
          <w:color w:val="000000" w:themeColor="text1"/>
        </w:rPr>
      </w:pPr>
      <w:r w:rsidRPr="0024006E">
        <w:rPr>
          <w:color w:val="000000" w:themeColor="text1"/>
          <w:sz w:val="20"/>
          <w:szCs w:val="20"/>
        </w:rPr>
        <w:t>Hertel, T. W., &amp; Lobell, D. B. (2014). Agricultu</w:t>
      </w:r>
      <w:r w:rsidRPr="0024006E">
        <w:rPr>
          <w:color w:val="000000" w:themeColor="text1"/>
          <w:sz w:val="20"/>
          <w:szCs w:val="20"/>
        </w:rPr>
        <w:t>ral adaptation to climate change in rich and poor countries. Energy Economics, 46, 562–575.</w:t>
      </w:r>
    </w:p>
    <w:p w:rsidR="00C36FD3" w:rsidRPr="0024006E" w:rsidRDefault="00677AED">
      <w:pPr>
        <w:spacing w:after="80"/>
        <w:ind w:left="720" w:hanging="720"/>
        <w:jc w:val="both"/>
        <w:rPr>
          <w:color w:val="000000" w:themeColor="text1"/>
        </w:rPr>
      </w:pPr>
      <w:r w:rsidRPr="0024006E">
        <w:rPr>
          <w:color w:val="000000" w:themeColor="text1"/>
          <w:sz w:val="20"/>
          <w:szCs w:val="20"/>
        </w:rPr>
        <w:t>IPCC. (2014). Climate Change 2014: Impacts, Adaptation, and Vulnerability. Cambridge University Press.</w:t>
      </w:r>
    </w:p>
    <w:p w:rsidR="00C36FD3" w:rsidRPr="0024006E" w:rsidRDefault="00677AED">
      <w:pPr>
        <w:spacing w:after="80"/>
        <w:ind w:left="720" w:hanging="720"/>
        <w:jc w:val="both"/>
        <w:rPr>
          <w:color w:val="000000" w:themeColor="text1"/>
        </w:rPr>
      </w:pPr>
      <w:r w:rsidRPr="0024006E">
        <w:rPr>
          <w:color w:val="000000" w:themeColor="text1"/>
          <w:sz w:val="20"/>
          <w:szCs w:val="20"/>
        </w:rPr>
        <w:t>IPCC. (2021). Climate Change 2021: The Physical Science Basis</w:t>
      </w:r>
      <w:r w:rsidRPr="0024006E">
        <w:rPr>
          <w:color w:val="000000" w:themeColor="text1"/>
          <w:sz w:val="20"/>
          <w:szCs w:val="20"/>
        </w:rPr>
        <w:t>. Cambridge University Press.</w:t>
      </w:r>
    </w:p>
    <w:p w:rsidR="00C36FD3" w:rsidRPr="0024006E" w:rsidRDefault="00677AED">
      <w:pPr>
        <w:spacing w:after="80"/>
        <w:ind w:left="720" w:hanging="720"/>
        <w:jc w:val="both"/>
        <w:rPr>
          <w:color w:val="000000" w:themeColor="text1"/>
        </w:rPr>
      </w:pPr>
      <w:r w:rsidRPr="0024006E">
        <w:rPr>
          <w:color w:val="000000" w:themeColor="text1"/>
          <w:sz w:val="20"/>
          <w:szCs w:val="20"/>
        </w:rPr>
        <w:t>Ladha, J. K., Peoples, M. B., Reddy, P. M., Biswas, J. C., Bennett, A., Jat, M. L., &amp; Krupnik, T. J. (2022). Biological nitrogen fixation and prospects for ecological intensification in cereal-based cropping systems. Field Cro</w:t>
      </w:r>
      <w:r w:rsidRPr="0024006E">
        <w:rPr>
          <w:color w:val="000000" w:themeColor="text1"/>
          <w:sz w:val="20"/>
          <w:szCs w:val="20"/>
        </w:rPr>
        <w:t>ps Research, 283, 108541.</w:t>
      </w:r>
    </w:p>
    <w:p w:rsidR="00C36FD3" w:rsidRPr="0024006E" w:rsidRDefault="00677AED">
      <w:pPr>
        <w:spacing w:after="80"/>
        <w:ind w:left="720" w:hanging="720"/>
        <w:jc w:val="both"/>
        <w:rPr>
          <w:color w:val="000000" w:themeColor="text1"/>
        </w:rPr>
      </w:pPr>
      <w:r w:rsidRPr="0024006E">
        <w:rPr>
          <w:color w:val="000000" w:themeColor="text1"/>
          <w:sz w:val="20"/>
          <w:szCs w:val="20"/>
        </w:rPr>
        <w:t>Lloyd, S. J., Kovats, R. S., &amp; Chalabi, Z. (2011). Climate change, crop yields, and undernutrition. Environmental Health Perspectives, 119(12), 1817–1823.</w:t>
      </w:r>
    </w:p>
    <w:p w:rsidR="00C36FD3" w:rsidRPr="0024006E" w:rsidRDefault="00677AED">
      <w:pPr>
        <w:spacing w:after="80"/>
        <w:ind w:left="720" w:hanging="720"/>
        <w:jc w:val="both"/>
        <w:rPr>
          <w:color w:val="000000" w:themeColor="text1"/>
        </w:rPr>
      </w:pPr>
      <w:r w:rsidRPr="0024006E">
        <w:rPr>
          <w:color w:val="000000" w:themeColor="text1"/>
          <w:sz w:val="20"/>
          <w:szCs w:val="20"/>
        </w:rPr>
        <w:lastRenderedPageBreak/>
        <w:t xml:space="preserve">Lobell, D. B., Burke, M. B., Tebaldi, C., Mastrandrea, M. D., Falcon, W. </w:t>
      </w:r>
      <w:r w:rsidRPr="0024006E">
        <w:rPr>
          <w:color w:val="000000" w:themeColor="text1"/>
          <w:sz w:val="20"/>
          <w:szCs w:val="20"/>
        </w:rPr>
        <w:t>P., &amp; Naylor, R. L. (2008). Prioritizing climate change adaptation needs for food security in 2030. Science, 319(5863), 607–610.</w:t>
      </w:r>
    </w:p>
    <w:p w:rsidR="00C36FD3" w:rsidRPr="0024006E" w:rsidRDefault="00677AED">
      <w:pPr>
        <w:spacing w:after="80"/>
        <w:ind w:left="720" w:hanging="720"/>
        <w:jc w:val="both"/>
        <w:rPr>
          <w:color w:val="000000" w:themeColor="text1"/>
        </w:rPr>
      </w:pPr>
      <w:r w:rsidRPr="0024006E">
        <w:rPr>
          <w:color w:val="000000" w:themeColor="text1"/>
          <w:sz w:val="20"/>
          <w:szCs w:val="20"/>
        </w:rPr>
        <w:t>Lobell, D. B., Schlenker, W., &amp; Costa-Roberts, J. (2011). Climate trends and global crop production since 1980. Science, 333(60</w:t>
      </w:r>
      <w:r w:rsidRPr="0024006E">
        <w:rPr>
          <w:color w:val="000000" w:themeColor="text1"/>
          <w:sz w:val="20"/>
          <w:szCs w:val="20"/>
        </w:rPr>
        <w:t>42), 616–620.</w:t>
      </w:r>
    </w:p>
    <w:p w:rsidR="00C36FD3" w:rsidRPr="0024006E" w:rsidRDefault="00677AED">
      <w:pPr>
        <w:spacing w:after="80"/>
        <w:ind w:left="720" w:hanging="720"/>
        <w:jc w:val="both"/>
        <w:rPr>
          <w:color w:val="000000" w:themeColor="text1"/>
        </w:rPr>
      </w:pPr>
      <w:r w:rsidRPr="0024006E">
        <w:rPr>
          <w:color w:val="000000" w:themeColor="text1"/>
          <w:sz w:val="20"/>
          <w:szCs w:val="20"/>
        </w:rPr>
        <w:t>Mahrous, W. (2019). Climate change and food security in EAC region: A panel data analysis. Review of Economics and Political Science, 4(4), 270–284.</w:t>
      </w:r>
    </w:p>
    <w:p w:rsidR="00C36FD3" w:rsidRPr="0024006E" w:rsidRDefault="00677AED">
      <w:pPr>
        <w:spacing w:after="80"/>
        <w:ind w:left="720" w:hanging="720"/>
        <w:jc w:val="both"/>
        <w:rPr>
          <w:color w:val="000000" w:themeColor="text1"/>
        </w:rPr>
      </w:pPr>
      <w:r w:rsidRPr="0024006E">
        <w:rPr>
          <w:color w:val="000000" w:themeColor="text1"/>
          <w:sz w:val="20"/>
          <w:szCs w:val="20"/>
        </w:rPr>
        <w:t>Mendelsohn, R., Nordhaus, W. D., &amp; Shaw, D. (1994). The impact of global warming on agricultu</w:t>
      </w:r>
      <w:r w:rsidRPr="0024006E">
        <w:rPr>
          <w:color w:val="000000" w:themeColor="text1"/>
          <w:sz w:val="20"/>
          <w:szCs w:val="20"/>
        </w:rPr>
        <w:t>re: A Ricardian analysis. American Economic Review, 84(4), 753–771.</w:t>
      </w:r>
    </w:p>
    <w:p w:rsidR="00C36FD3" w:rsidRPr="0024006E" w:rsidRDefault="00677AED">
      <w:pPr>
        <w:spacing w:after="80"/>
        <w:ind w:left="720" w:hanging="720"/>
        <w:jc w:val="both"/>
        <w:rPr>
          <w:color w:val="000000" w:themeColor="text1"/>
        </w:rPr>
      </w:pPr>
      <w:r w:rsidRPr="0024006E">
        <w:rPr>
          <w:color w:val="000000" w:themeColor="text1"/>
          <w:sz w:val="20"/>
          <w:szCs w:val="20"/>
        </w:rPr>
        <w:t>Nordhaus, W. (2018). Evolution of modeling of the economics of global warming: Changes in the DICE model. Climatic Change, 148(4), 623–640.</w:t>
      </w:r>
    </w:p>
    <w:p w:rsidR="00C36FD3" w:rsidRPr="0024006E" w:rsidRDefault="00677AED">
      <w:pPr>
        <w:spacing w:after="80"/>
        <w:ind w:left="720" w:hanging="720"/>
        <w:jc w:val="both"/>
        <w:rPr>
          <w:color w:val="000000" w:themeColor="text1"/>
        </w:rPr>
      </w:pPr>
      <w:r w:rsidRPr="0024006E">
        <w:rPr>
          <w:color w:val="000000" w:themeColor="text1"/>
          <w:sz w:val="20"/>
          <w:szCs w:val="20"/>
        </w:rPr>
        <w:t>Parry, M. L., Carter, T. R., &amp; Konijn, N. T. (19</w:t>
      </w:r>
      <w:r w:rsidRPr="0024006E">
        <w:rPr>
          <w:color w:val="000000" w:themeColor="text1"/>
          <w:sz w:val="20"/>
          <w:szCs w:val="20"/>
        </w:rPr>
        <w:t>85). IIASA/UNEP climate impacts project. Bulletin of the American Meteorological Society, 66(10), 1310–1311.</w:t>
      </w:r>
    </w:p>
    <w:p w:rsidR="00C36FD3" w:rsidRPr="0024006E" w:rsidRDefault="00677AED">
      <w:pPr>
        <w:spacing w:after="80"/>
        <w:ind w:left="720" w:hanging="720"/>
        <w:jc w:val="both"/>
        <w:rPr>
          <w:color w:val="000000" w:themeColor="text1"/>
        </w:rPr>
      </w:pPr>
      <w:r w:rsidRPr="0024006E">
        <w:rPr>
          <w:color w:val="000000" w:themeColor="text1"/>
          <w:sz w:val="20"/>
          <w:szCs w:val="20"/>
        </w:rPr>
        <w:t>Pesaran, M. H., Shin, Y., &amp; Smith, R. J. (2001). Bounds testing approaches to the analysis of level relationships. Journal of Applied Econometrics,</w:t>
      </w:r>
      <w:r w:rsidRPr="0024006E">
        <w:rPr>
          <w:color w:val="000000" w:themeColor="text1"/>
          <w:sz w:val="20"/>
          <w:szCs w:val="20"/>
        </w:rPr>
        <w:t xml:space="preserve"> 16(3), 289–326.</w:t>
      </w:r>
    </w:p>
    <w:p w:rsidR="00C36FD3" w:rsidRPr="0024006E" w:rsidRDefault="00677AED">
      <w:pPr>
        <w:spacing w:after="80"/>
        <w:ind w:left="720" w:hanging="720"/>
        <w:jc w:val="both"/>
        <w:rPr>
          <w:color w:val="000000" w:themeColor="text1"/>
        </w:rPr>
      </w:pPr>
      <w:r w:rsidRPr="0024006E">
        <w:rPr>
          <w:color w:val="000000" w:themeColor="text1"/>
          <w:sz w:val="20"/>
          <w:szCs w:val="20"/>
        </w:rPr>
        <w:t>Pesaran, M. H. (2004). General diagnostic tests for cross-sectional dependence in panels. CESifo Working Paper No. 1229; IZA Discussion Paper No. 1240. https://papers.ssrn.com/sol3/papers.cfm?abstract_id=572504</w:t>
      </w:r>
    </w:p>
    <w:p w:rsidR="00C36FD3" w:rsidRPr="0024006E" w:rsidRDefault="00677AED">
      <w:pPr>
        <w:spacing w:after="80"/>
        <w:ind w:left="720" w:hanging="720"/>
        <w:jc w:val="both"/>
        <w:rPr>
          <w:color w:val="000000" w:themeColor="text1"/>
        </w:rPr>
      </w:pPr>
      <w:r w:rsidRPr="0024006E">
        <w:rPr>
          <w:color w:val="000000" w:themeColor="text1"/>
          <w:sz w:val="20"/>
          <w:szCs w:val="20"/>
        </w:rPr>
        <w:t>Im, K. S., Pesaran, M. H., &amp;</w:t>
      </w:r>
      <w:r w:rsidRPr="0024006E">
        <w:rPr>
          <w:color w:val="000000" w:themeColor="text1"/>
          <w:sz w:val="20"/>
          <w:szCs w:val="20"/>
        </w:rPr>
        <w:t xml:space="preserve"> Shin, Y. (2003). Testing for unit roots in heterogeneous panels. Journal of Econometrics, 115(1), 53–74. https://doi.org/10.1016/S0304-4076(03)00092-7</w:t>
      </w:r>
    </w:p>
    <w:p w:rsidR="00C36FD3" w:rsidRPr="0024006E" w:rsidRDefault="00677AED">
      <w:pPr>
        <w:spacing w:after="80"/>
        <w:ind w:left="720" w:hanging="720"/>
        <w:jc w:val="both"/>
        <w:rPr>
          <w:color w:val="000000" w:themeColor="text1"/>
        </w:rPr>
      </w:pPr>
      <w:r w:rsidRPr="0024006E">
        <w:rPr>
          <w:color w:val="000000" w:themeColor="text1"/>
          <w:sz w:val="20"/>
          <w:szCs w:val="20"/>
        </w:rPr>
        <w:t>Schlenker, W., &amp; Roberts, M. J. (2009). Nonlinear temperature effects indicate severe damages to US crop</w:t>
      </w:r>
      <w:r w:rsidRPr="0024006E">
        <w:rPr>
          <w:color w:val="000000" w:themeColor="text1"/>
          <w:sz w:val="20"/>
          <w:szCs w:val="20"/>
        </w:rPr>
        <w:t xml:space="preserve"> yields under climate change. PNAS, 106(37), 15594–15598.</w:t>
      </w:r>
    </w:p>
    <w:p w:rsidR="00C36FD3" w:rsidRPr="0024006E" w:rsidRDefault="00677AED">
      <w:pPr>
        <w:spacing w:after="80"/>
        <w:ind w:left="720" w:hanging="720"/>
        <w:jc w:val="both"/>
        <w:rPr>
          <w:color w:val="000000" w:themeColor="text1"/>
        </w:rPr>
      </w:pPr>
      <w:r w:rsidRPr="0024006E">
        <w:rPr>
          <w:color w:val="000000" w:themeColor="text1"/>
          <w:sz w:val="20"/>
          <w:szCs w:val="20"/>
        </w:rPr>
        <w:t>Sen, A. (1982). Poverty and famines: An essay on entitlement and deprivation. Oxford University Press.</w:t>
      </w:r>
    </w:p>
    <w:p w:rsidR="00C36FD3" w:rsidRPr="0024006E" w:rsidRDefault="00677AED">
      <w:pPr>
        <w:spacing w:after="80"/>
        <w:ind w:left="720" w:hanging="720"/>
        <w:jc w:val="both"/>
        <w:rPr>
          <w:color w:val="000000" w:themeColor="text1"/>
        </w:rPr>
      </w:pPr>
      <w:r w:rsidRPr="0024006E">
        <w:rPr>
          <w:color w:val="000000" w:themeColor="text1"/>
          <w:sz w:val="20"/>
          <w:szCs w:val="20"/>
        </w:rPr>
        <w:t xml:space="preserve">Smith, P., Calvin, K., Nkem, J., Campbell, D., &amp; Arneth, A. (2020). Which practices co-deliver </w:t>
      </w:r>
      <w:r w:rsidRPr="0024006E">
        <w:rPr>
          <w:color w:val="000000" w:themeColor="text1"/>
          <w:sz w:val="20"/>
          <w:szCs w:val="20"/>
        </w:rPr>
        <w:t>food security, climate change mitigation and adaptation, and combat land degradation? Global Change Biology, 26(3), 1532–1575.</w:t>
      </w:r>
    </w:p>
    <w:p w:rsidR="00C36FD3" w:rsidRPr="0024006E" w:rsidRDefault="00677AED">
      <w:pPr>
        <w:spacing w:after="80"/>
        <w:ind w:left="720" w:hanging="720"/>
        <w:jc w:val="both"/>
        <w:rPr>
          <w:color w:val="000000" w:themeColor="text1"/>
        </w:rPr>
      </w:pPr>
      <w:r w:rsidRPr="0024006E">
        <w:rPr>
          <w:color w:val="000000" w:themeColor="text1"/>
          <w:sz w:val="20"/>
          <w:szCs w:val="20"/>
        </w:rPr>
        <w:t>Stevanovic, M., Popp, A., Bodirsky, B. L., Humpenöder, F., Müller, C., Weindl, I., et al. (2016). Mitigation strategies for green</w:t>
      </w:r>
      <w:r w:rsidRPr="0024006E">
        <w:rPr>
          <w:color w:val="000000" w:themeColor="text1"/>
          <w:sz w:val="20"/>
          <w:szCs w:val="20"/>
        </w:rPr>
        <w:t>house gas emissions from agriculture: Consequences for food prices. Environmental Science &amp; Technology, 51(1), 365–374.</w:t>
      </w:r>
    </w:p>
    <w:p w:rsidR="00C36FD3" w:rsidRPr="0024006E" w:rsidRDefault="00677AED">
      <w:pPr>
        <w:spacing w:after="80"/>
        <w:ind w:left="720" w:hanging="720"/>
        <w:jc w:val="both"/>
        <w:rPr>
          <w:color w:val="000000" w:themeColor="text1"/>
        </w:rPr>
      </w:pPr>
      <w:r w:rsidRPr="0024006E">
        <w:rPr>
          <w:color w:val="000000" w:themeColor="text1"/>
          <w:sz w:val="20"/>
          <w:szCs w:val="20"/>
        </w:rPr>
        <w:t>Vanlauwe, B., Bationo, A., Chianu, J., Giller, K., Merckx, R., Mokwunye, U., et al. (2010). Integrated soil fertility management. Outloo</w:t>
      </w:r>
      <w:r w:rsidRPr="0024006E">
        <w:rPr>
          <w:color w:val="000000" w:themeColor="text1"/>
          <w:sz w:val="20"/>
          <w:szCs w:val="20"/>
        </w:rPr>
        <w:t>k on Agriculture, 39(1), 17–24.</w:t>
      </w:r>
    </w:p>
    <w:p w:rsidR="00C36FD3" w:rsidRPr="0024006E" w:rsidRDefault="00677AED">
      <w:pPr>
        <w:spacing w:after="80"/>
        <w:ind w:left="720" w:hanging="720"/>
        <w:jc w:val="both"/>
        <w:rPr>
          <w:color w:val="000000" w:themeColor="text1"/>
        </w:rPr>
      </w:pPr>
      <w:r w:rsidRPr="0024006E">
        <w:rPr>
          <w:color w:val="000000" w:themeColor="text1"/>
          <w:sz w:val="20"/>
          <w:szCs w:val="20"/>
        </w:rPr>
        <w:t>Vermeulen, S. J., Campbell, B. M., &amp; Ingram, J. S. (2012). Climate change and food systems. Annual Review of Environment and Resources, 37(1), 195–222.</w:t>
      </w:r>
    </w:p>
    <w:p w:rsidR="00C36FD3" w:rsidRPr="0024006E" w:rsidRDefault="00677AED">
      <w:pPr>
        <w:spacing w:after="80"/>
        <w:ind w:left="720" w:hanging="720"/>
        <w:jc w:val="both"/>
        <w:rPr>
          <w:color w:val="000000" w:themeColor="text1"/>
        </w:rPr>
      </w:pPr>
      <w:r w:rsidRPr="0024006E">
        <w:rPr>
          <w:color w:val="000000" w:themeColor="text1"/>
          <w:sz w:val="20"/>
          <w:szCs w:val="20"/>
        </w:rPr>
        <w:t>Wheeler, T., &amp; von Braun, J. (2013). Climate change impacts on global fo</w:t>
      </w:r>
      <w:r w:rsidRPr="0024006E">
        <w:rPr>
          <w:color w:val="000000" w:themeColor="text1"/>
          <w:sz w:val="20"/>
          <w:szCs w:val="20"/>
        </w:rPr>
        <w:t>od security. Science, 341(6145), 508–513.</w:t>
      </w:r>
    </w:p>
    <w:p w:rsidR="00C36FD3" w:rsidRDefault="00677AED">
      <w:pPr>
        <w:spacing w:after="80"/>
        <w:ind w:left="720" w:hanging="720"/>
        <w:jc w:val="both"/>
        <w:rPr>
          <w:color w:val="000000" w:themeColor="text1"/>
          <w:sz w:val="20"/>
          <w:szCs w:val="20"/>
        </w:rPr>
      </w:pPr>
      <w:r w:rsidRPr="0024006E">
        <w:rPr>
          <w:color w:val="000000" w:themeColor="text1"/>
          <w:sz w:val="20"/>
          <w:szCs w:val="20"/>
        </w:rPr>
        <w:t>World Meteorological Organization [WMO]. (1992). WMO Statement on the status of the global climate. WMO, Geneva.</w:t>
      </w:r>
    </w:p>
    <w:p w:rsidR="0024006E" w:rsidRPr="0024006E" w:rsidRDefault="0024006E">
      <w:pPr>
        <w:spacing w:after="80"/>
        <w:ind w:left="720" w:hanging="720"/>
        <w:jc w:val="both"/>
        <w:rPr>
          <w:color w:val="000000" w:themeColor="text1"/>
        </w:rPr>
      </w:pPr>
    </w:p>
    <w:sectPr w:rsidR="0024006E" w:rsidRPr="0024006E" w:rsidSect="0024006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0688"/>
    <w:multiLevelType w:val="hybridMultilevel"/>
    <w:tmpl w:val="A3323930"/>
    <w:lvl w:ilvl="0" w:tplc="6A2A2CBC">
      <w:start w:val="1"/>
      <w:numFmt w:val="bullet"/>
      <w:lvlText w:val="●"/>
      <w:lvlJc w:val="left"/>
      <w:pPr>
        <w:ind w:left="720" w:hanging="360"/>
      </w:pPr>
    </w:lvl>
    <w:lvl w:ilvl="1" w:tplc="89F0531E">
      <w:start w:val="1"/>
      <w:numFmt w:val="bullet"/>
      <w:lvlText w:val="○"/>
      <w:lvlJc w:val="left"/>
      <w:pPr>
        <w:ind w:left="1440" w:hanging="360"/>
      </w:pPr>
    </w:lvl>
    <w:lvl w:ilvl="2" w:tplc="09160946">
      <w:start w:val="1"/>
      <w:numFmt w:val="bullet"/>
      <w:lvlText w:val="■"/>
      <w:lvlJc w:val="left"/>
      <w:pPr>
        <w:ind w:left="2160" w:hanging="360"/>
      </w:pPr>
    </w:lvl>
    <w:lvl w:ilvl="3" w:tplc="0E064364">
      <w:start w:val="1"/>
      <w:numFmt w:val="bullet"/>
      <w:lvlText w:val="●"/>
      <w:lvlJc w:val="left"/>
      <w:pPr>
        <w:ind w:left="2880" w:hanging="360"/>
      </w:pPr>
    </w:lvl>
    <w:lvl w:ilvl="4" w:tplc="BA82A948">
      <w:start w:val="1"/>
      <w:numFmt w:val="bullet"/>
      <w:lvlText w:val="○"/>
      <w:lvlJc w:val="left"/>
      <w:pPr>
        <w:ind w:left="3600" w:hanging="360"/>
      </w:pPr>
    </w:lvl>
    <w:lvl w:ilvl="5" w:tplc="B156BF86">
      <w:start w:val="1"/>
      <w:numFmt w:val="bullet"/>
      <w:lvlText w:val="■"/>
      <w:lvlJc w:val="left"/>
      <w:pPr>
        <w:ind w:left="4320" w:hanging="360"/>
      </w:pPr>
    </w:lvl>
    <w:lvl w:ilvl="6" w:tplc="F9AAB816">
      <w:start w:val="1"/>
      <w:numFmt w:val="bullet"/>
      <w:lvlText w:val="●"/>
      <w:lvlJc w:val="left"/>
      <w:pPr>
        <w:ind w:left="5040" w:hanging="360"/>
      </w:pPr>
    </w:lvl>
    <w:lvl w:ilvl="7" w:tplc="D38E97AE">
      <w:start w:val="1"/>
      <w:numFmt w:val="bullet"/>
      <w:lvlText w:val="●"/>
      <w:lvlJc w:val="left"/>
      <w:pPr>
        <w:ind w:left="5760" w:hanging="360"/>
      </w:pPr>
    </w:lvl>
    <w:lvl w:ilvl="8" w:tplc="959ACC0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D3"/>
    <w:rsid w:val="0024006E"/>
    <w:rsid w:val="005F074A"/>
    <w:rsid w:val="00677AED"/>
    <w:rsid w:val="00A4259D"/>
    <w:rsid w:val="00C36F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2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2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65F0D-BBB6-4F3E-8C9E-C3586229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5738</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2026-05-10T19:19:00Z</dcterms:created>
  <dcterms:modified xsi:type="dcterms:W3CDTF">2026-05-11T12:39:00Z</dcterms:modified>
</cp:coreProperties>
</file>