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41C442" w14:textId="77777777" w:rsidR="00E522FE" w:rsidRDefault="00E522FE" w:rsidP="00A42386">
      <w:pPr>
        <w:spacing w:line="276" w:lineRule="auto"/>
        <w:jc w:val="center"/>
        <w:rPr>
          <w:rFonts w:ascii="Times New Roman" w:hAnsi="Times New Roman" w:cs="Times New Roman"/>
          <w:b/>
          <w:bCs/>
        </w:rPr>
      </w:pPr>
    </w:p>
    <w:p w14:paraId="6B04B9E8" w14:textId="77777777" w:rsidR="00E522FE" w:rsidRDefault="00E522FE" w:rsidP="00A42386">
      <w:pPr>
        <w:spacing w:line="276" w:lineRule="auto"/>
        <w:jc w:val="center"/>
        <w:rPr>
          <w:rFonts w:ascii="Times New Roman" w:hAnsi="Times New Roman" w:cs="Times New Roman"/>
          <w:b/>
          <w:bCs/>
        </w:rPr>
      </w:pPr>
    </w:p>
    <w:p w14:paraId="01105544" w14:textId="4212EC6C" w:rsidR="00EF0842" w:rsidRPr="00E522FE" w:rsidRDefault="0029684E" w:rsidP="00A42386">
      <w:pPr>
        <w:spacing w:line="276" w:lineRule="auto"/>
        <w:jc w:val="center"/>
        <w:rPr>
          <w:rFonts w:ascii="Times New Roman" w:hAnsi="Times New Roman" w:cs="Times New Roman"/>
          <w:b/>
          <w:bCs/>
          <w:sz w:val="32"/>
          <w:szCs w:val="32"/>
        </w:rPr>
      </w:pPr>
      <w:r w:rsidRPr="00E522FE">
        <w:rPr>
          <w:rFonts w:ascii="Times New Roman" w:hAnsi="Times New Roman" w:cs="Times New Roman"/>
          <w:b/>
          <w:bCs/>
          <w:sz w:val="32"/>
          <w:szCs w:val="32"/>
        </w:rPr>
        <w:t>Financial inclusion for rural women post‑2018 in Jharkhand</w:t>
      </w:r>
    </w:p>
    <w:p w14:paraId="63093001" w14:textId="77777777" w:rsidR="00E522FE" w:rsidRDefault="00E522FE" w:rsidP="00E522FE">
      <w:pPr>
        <w:spacing w:line="276" w:lineRule="auto"/>
        <w:rPr>
          <w:rFonts w:ascii="Times New Roman" w:hAnsi="Times New Roman" w:cs="Times New Roman"/>
          <w:b/>
          <w:bCs/>
        </w:rPr>
      </w:pPr>
    </w:p>
    <w:p w14:paraId="4EE862A7" w14:textId="77777777" w:rsidR="00E522FE" w:rsidRDefault="00E522FE" w:rsidP="00A42386">
      <w:pPr>
        <w:spacing w:line="276" w:lineRule="auto"/>
        <w:jc w:val="center"/>
        <w:rPr>
          <w:rFonts w:ascii="Times New Roman" w:hAnsi="Times New Roman" w:cs="Times New Roman"/>
          <w:b/>
          <w:bCs/>
        </w:rPr>
      </w:pPr>
      <w:bookmarkStart w:id="0" w:name="_GoBack"/>
      <w:bookmarkEnd w:id="0"/>
    </w:p>
    <w:p w14:paraId="36162C8D" w14:textId="48FBFFDE" w:rsidR="00A42386" w:rsidRPr="00E522FE" w:rsidRDefault="00A42386" w:rsidP="00E522FE">
      <w:pPr>
        <w:spacing w:line="276" w:lineRule="auto"/>
        <w:jc w:val="center"/>
        <w:rPr>
          <w:rFonts w:ascii="Times New Roman" w:hAnsi="Times New Roman" w:cs="Times New Roman"/>
          <w:b/>
          <w:bCs/>
          <w:sz w:val="28"/>
          <w:szCs w:val="28"/>
        </w:rPr>
      </w:pPr>
      <w:r w:rsidRPr="00E522FE">
        <w:rPr>
          <w:rFonts w:ascii="Times New Roman" w:hAnsi="Times New Roman" w:cs="Times New Roman"/>
          <w:b/>
          <w:bCs/>
          <w:sz w:val="28"/>
          <w:szCs w:val="28"/>
        </w:rPr>
        <w:t>Abstract</w:t>
      </w:r>
    </w:p>
    <w:p w14:paraId="3010377F" w14:textId="2D04F726" w:rsidR="00A42386" w:rsidRPr="00E522FE" w:rsidRDefault="00A42386" w:rsidP="00A42386">
      <w:pPr>
        <w:spacing w:line="276" w:lineRule="auto"/>
        <w:jc w:val="both"/>
        <w:rPr>
          <w:rFonts w:ascii="Times New Roman" w:hAnsi="Times New Roman" w:cs="Times New Roman"/>
          <w:sz w:val="24"/>
          <w:szCs w:val="24"/>
        </w:rPr>
      </w:pPr>
      <w:r w:rsidRPr="00E522FE">
        <w:rPr>
          <w:rFonts w:ascii="Times New Roman" w:hAnsi="Times New Roman" w:cs="Times New Roman"/>
          <w:sz w:val="24"/>
          <w:szCs w:val="24"/>
        </w:rPr>
        <w:t xml:space="preserve">This study examines the impact of financial inclusion initiatives on rural women in </w:t>
      </w:r>
      <w:proofErr w:type="spellStart"/>
      <w:r w:rsidRPr="00E522FE">
        <w:rPr>
          <w:rFonts w:ascii="Times New Roman" w:hAnsi="Times New Roman" w:cs="Times New Roman"/>
          <w:sz w:val="24"/>
          <w:szCs w:val="24"/>
        </w:rPr>
        <w:t>Simdega</w:t>
      </w:r>
      <w:proofErr w:type="spellEnd"/>
      <w:r w:rsidRPr="00E522FE">
        <w:rPr>
          <w:rFonts w:ascii="Times New Roman" w:hAnsi="Times New Roman" w:cs="Times New Roman"/>
          <w:sz w:val="24"/>
          <w:szCs w:val="24"/>
        </w:rPr>
        <w:t xml:space="preserve"> district</w:t>
      </w:r>
      <w:r w:rsidR="004A21E4" w:rsidRPr="00E522FE">
        <w:rPr>
          <w:rFonts w:ascii="Times New Roman" w:hAnsi="Times New Roman" w:cs="Times New Roman"/>
          <w:sz w:val="24"/>
          <w:szCs w:val="24"/>
        </w:rPr>
        <w:t xml:space="preserve"> at </w:t>
      </w:r>
      <w:r w:rsidRPr="00E522FE">
        <w:rPr>
          <w:rFonts w:ascii="Times New Roman" w:hAnsi="Times New Roman" w:cs="Times New Roman"/>
          <w:sz w:val="24"/>
          <w:szCs w:val="24"/>
        </w:rPr>
        <w:t>Jharkhand. Using a mixed-method research design, the study surveyed 150 SHG women across four tribal blocks and employed statistical tools alongside qualitative thematic analysis. Results reveal a significant increase in income post SHG engagement, with the average monthly income rising from ₹2,150 to ₹5,780. Despite a weak correlation between loan size and income growth, qualitative data emphasized increased financial confidence, digital transaction trust, and livelihood diversification. The Digital Inclusion Index (DII) averaged 0.72, indicating strong digital engagement. SWOT analysis highlighted opportunities in BC Sakhi models and digital banking but also noted challenges in infrastructure and loan access. Overall, the study underscores that financial inclusion, when embedded in community-driven and digitally supported frameworks, can empower rural women economically and socially. The findings inform scalable strategies for inclusive rural development.</w:t>
      </w:r>
    </w:p>
    <w:p w14:paraId="6BC5FF8E" w14:textId="77777777" w:rsidR="00A42386" w:rsidRPr="00E522FE" w:rsidRDefault="00A42386" w:rsidP="00A42386">
      <w:pPr>
        <w:spacing w:line="276" w:lineRule="auto"/>
        <w:jc w:val="both"/>
        <w:rPr>
          <w:rFonts w:ascii="Times New Roman" w:hAnsi="Times New Roman" w:cs="Times New Roman"/>
          <w:b/>
          <w:bCs/>
          <w:sz w:val="24"/>
          <w:szCs w:val="24"/>
        </w:rPr>
      </w:pPr>
      <w:r w:rsidRPr="00E522FE">
        <w:rPr>
          <w:rFonts w:ascii="Times New Roman" w:hAnsi="Times New Roman" w:cs="Times New Roman"/>
          <w:b/>
          <w:bCs/>
          <w:sz w:val="24"/>
          <w:szCs w:val="24"/>
        </w:rPr>
        <w:t>Keywords</w:t>
      </w:r>
    </w:p>
    <w:p w14:paraId="48634378" w14:textId="28C0E71B" w:rsidR="0029684E" w:rsidRPr="00E522FE" w:rsidRDefault="00A42386" w:rsidP="00C736C1">
      <w:pPr>
        <w:spacing w:line="276" w:lineRule="auto"/>
        <w:jc w:val="both"/>
        <w:rPr>
          <w:rFonts w:ascii="Times New Roman" w:hAnsi="Times New Roman" w:cs="Times New Roman"/>
          <w:sz w:val="24"/>
          <w:szCs w:val="24"/>
        </w:rPr>
      </w:pPr>
      <w:r w:rsidRPr="00E522FE">
        <w:rPr>
          <w:rFonts w:ascii="Times New Roman" w:hAnsi="Times New Roman" w:cs="Times New Roman"/>
          <w:sz w:val="24"/>
          <w:szCs w:val="24"/>
        </w:rPr>
        <w:t>Financial Inclusion, Rural Women, SHG Empowerment, Digital Finance, Livelihood Development and Jharkhand Tribal Economy.</w:t>
      </w:r>
    </w:p>
    <w:p w14:paraId="4587E61C" w14:textId="77777777" w:rsidR="00191ABC" w:rsidRDefault="00191ABC" w:rsidP="00C736C1">
      <w:pPr>
        <w:spacing w:line="276" w:lineRule="auto"/>
        <w:jc w:val="both"/>
        <w:rPr>
          <w:rFonts w:ascii="Times New Roman" w:hAnsi="Times New Roman" w:cs="Times New Roman"/>
          <w:b/>
          <w:bCs/>
          <w:sz w:val="28"/>
          <w:szCs w:val="28"/>
        </w:rPr>
      </w:pPr>
    </w:p>
    <w:p w14:paraId="7F00F154" w14:textId="77777777" w:rsidR="00191ABC" w:rsidRDefault="00191ABC" w:rsidP="00C736C1">
      <w:pPr>
        <w:spacing w:line="276" w:lineRule="auto"/>
        <w:jc w:val="both"/>
        <w:rPr>
          <w:rFonts w:ascii="Times New Roman" w:hAnsi="Times New Roman" w:cs="Times New Roman"/>
          <w:b/>
          <w:bCs/>
          <w:sz w:val="28"/>
          <w:szCs w:val="28"/>
        </w:rPr>
      </w:pPr>
    </w:p>
    <w:p w14:paraId="755FBE3F" w14:textId="77777777" w:rsidR="00191ABC" w:rsidRDefault="00191ABC" w:rsidP="00C736C1">
      <w:pPr>
        <w:spacing w:line="276" w:lineRule="auto"/>
        <w:jc w:val="both"/>
        <w:rPr>
          <w:rFonts w:ascii="Times New Roman" w:hAnsi="Times New Roman" w:cs="Times New Roman"/>
          <w:b/>
          <w:bCs/>
          <w:sz w:val="28"/>
          <w:szCs w:val="28"/>
        </w:rPr>
      </w:pPr>
    </w:p>
    <w:p w14:paraId="603321E4" w14:textId="77777777" w:rsidR="00191ABC" w:rsidRDefault="00191ABC" w:rsidP="00C736C1">
      <w:pPr>
        <w:spacing w:line="276" w:lineRule="auto"/>
        <w:jc w:val="both"/>
        <w:rPr>
          <w:rFonts w:ascii="Times New Roman" w:hAnsi="Times New Roman" w:cs="Times New Roman"/>
          <w:b/>
          <w:bCs/>
          <w:sz w:val="28"/>
          <w:szCs w:val="28"/>
        </w:rPr>
      </w:pPr>
    </w:p>
    <w:p w14:paraId="5FD5A671" w14:textId="77777777" w:rsidR="00191ABC" w:rsidRDefault="00191ABC" w:rsidP="00C736C1">
      <w:pPr>
        <w:spacing w:line="276" w:lineRule="auto"/>
        <w:jc w:val="both"/>
        <w:rPr>
          <w:rFonts w:ascii="Times New Roman" w:hAnsi="Times New Roman" w:cs="Times New Roman"/>
          <w:b/>
          <w:bCs/>
          <w:sz w:val="28"/>
          <w:szCs w:val="28"/>
        </w:rPr>
      </w:pPr>
    </w:p>
    <w:p w14:paraId="37B59B34" w14:textId="77777777" w:rsidR="00191ABC" w:rsidRDefault="00191ABC" w:rsidP="00C736C1">
      <w:pPr>
        <w:spacing w:line="276" w:lineRule="auto"/>
        <w:jc w:val="both"/>
        <w:rPr>
          <w:rFonts w:ascii="Times New Roman" w:hAnsi="Times New Roman" w:cs="Times New Roman"/>
          <w:b/>
          <w:bCs/>
          <w:sz w:val="28"/>
          <w:szCs w:val="28"/>
        </w:rPr>
      </w:pPr>
    </w:p>
    <w:p w14:paraId="77FA9F1F" w14:textId="77777777" w:rsidR="00191ABC" w:rsidRDefault="00191ABC" w:rsidP="00C736C1">
      <w:pPr>
        <w:spacing w:line="276" w:lineRule="auto"/>
        <w:jc w:val="both"/>
        <w:rPr>
          <w:rFonts w:ascii="Times New Roman" w:hAnsi="Times New Roman" w:cs="Times New Roman"/>
          <w:b/>
          <w:bCs/>
          <w:sz w:val="28"/>
          <w:szCs w:val="28"/>
        </w:rPr>
      </w:pPr>
    </w:p>
    <w:p w14:paraId="67D6D584" w14:textId="77777777" w:rsidR="00191ABC" w:rsidRDefault="00191ABC" w:rsidP="00C736C1">
      <w:pPr>
        <w:spacing w:line="276" w:lineRule="auto"/>
        <w:jc w:val="both"/>
        <w:rPr>
          <w:rFonts w:ascii="Times New Roman" w:hAnsi="Times New Roman" w:cs="Times New Roman"/>
          <w:b/>
          <w:bCs/>
          <w:sz w:val="28"/>
          <w:szCs w:val="28"/>
        </w:rPr>
      </w:pPr>
    </w:p>
    <w:p w14:paraId="5CE54B64" w14:textId="77777777" w:rsidR="00191ABC" w:rsidRDefault="00191ABC" w:rsidP="00C736C1">
      <w:pPr>
        <w:spacing w:line="276" w:lineRule="auto"/>
        <w:jc w:val="both"/>
        <w:rPr>
          <w:rFonts w:ascii="Times New Roman" w:hAnsi="Times New Roman" w:cs="Times New Roman"/>
          <w:b/>
          <w:bCs/>
          <w:sz w:val="28"/>
          <w:szCs w:val="28"/>
        </w:rPr>
      </w:pPr>
    </w:p>
    <w:p w14:paraId="4358046C" w14:textId="77777777" w:rsidR="00191ABC" w:rsidRDefault="00191ABC" w:rsidP="00C736C1">
      <w:pPr>
        <w:spacing w:line="276" w:lineRule="auto"/>
        <w:jc w:val="both"/>
        <w:rPr>
          <w:rFonts w:ascii="Times New Roman" w:hAnsi="Times New Roman" w:cs="Times New Roman"/>
          <w:b/>
          <w:bCs/>
          <w:sz w:val="28"/>
          <w:szCs w:val="28"/>
        </w:rPr>
      </w:pPr>
    </w:p>
    <w:p w14:paraId="1B8DED3D" w14:textId="77777777" w:rsidR="00191ABC" w:rsidRDefault="00191ABC" w:rsidP="00C736C1">
      <w:pPr>
        <w:spacing w:line="276" w:lineRule="auto"/>
        <w:jc w:val="both"/>
        <w:rPr>
          <w:rFonts w:ascii="Times New Roman" w:hAnsi="Times New Roman" w:cs="Times New Roman"/>
          <w:b/>
          <w:bCs/>
          <w:sz w:val="28"/>
          <w:szCs w:val="28"/>
        </w:rPr>
      </w:pPr>
    </w:p>
    <w:p w14:paraId="7190DEE7" w14:textId="77777777" w:rsidR="00191ABC" w:rsidRDefault="00191ABC" w:rsidP="00C736C1">
      <w:pPr>
        <w:spacing w:line="276" w:lineRule="auto"/>
        <w:jc w:val="both"/>
        <w:rPr>
          <w:rFonts w:ascii="Times New Roman" w:hAnsi="Times New Roman" w:cs="Times New Roman"/>
          <w:b/>
          <w:bCs/>
          <w:sz w:val="28"/>
          <w:szCs w:val="28"/>
        </w:rPr>
      </w:pPr>
    </w:p>
    <w:p w14:paraId="4E3C8202" w14:textId="77777777" w:rsidR="00191ABC" w:rsidRDefault="00191ABC" w:rsidP="00C736C1">
      <w:pPr>
        <w:spacing w:line="276" w:lineRule="auto"/>
        <w:jc w:val="both"/>
        <w:rPr>
          <w:rFonts w:ascii="Times New Roman" w:hAnsi="Times New Roman" w:cs="Times New Roman"/>
          <w:b/>
          <w:bCs/>
          <w:sz w:val="28"/>
          <w:szCs w:val="28"/>
        </w:rPr>
      </w:pPr>
    </w:p>
    <w:p w14:paraId="7D596631" w14:textId="77777777" w:rsidR="00191ABC" w:rsidRDefault="00191ABC" w:rsidP="00C736C1">
      <w:pPr>
        <w:spacing w:line="276" w:lineRule="auto"/>
        <w:jc w:val="both"/>
        <w:rPr>
          <w:rFonts w:ascii="Times New Roman" w:hAnsi="Times New Roman" w:cs="Times New Roman"/>
          <w:b/>
          <w:bCs/>
          <w:sz w:val="28"/>
          <w:szCs w:val="28"/>
        </w:rPr>
      </w:pPr>
    </w:p>
    <w:p w14:paraId="7DB7E953" w14:textId="77777777" w:rsidR="00191ABC" w:rsidRDefault="00191ABC" w:rsidP="00C736C1">
      <w:pPr>
        <w:spacing w:line="276" w:lineRule="auto"/>
        <w:jc w:val="both"/>
        <w:rPr>
          <w:rFonts w:ascii="Times New Roman" w:hAnsi="Times New Roman" w:cs="Times New Roman"/>
          <w:b/>
          <w:bCs/>
          <w:sz w:val="28"/>
          <w:szCs w:val="28"/>
        </w:rPr>
      </w:pPr>
    </w:p>
    <w:p w14:paraId="3BD7641A" w14:textId="69B27178" w:rsidR="00DC4724" w:rsidRPr="00E522FE" w:rsidRDefault="00DC4724" w:rsidP="00C736C1">
      <w:pPr>
        <w:spacing w:line="276" w:lineRule="auto"/>
        <w:jc w:val="both"/>
        <w:rPr>
          <w:rFonts w:ascii="Times New Roman" w:hAnsi="Times New Roman" w:cs="Times New Roman"/>
          <w:b/>
          <w:bCs/>
          <w:sz w:val="28"/>
          <w:szCs w:val="28"/>
        </w:rPr>
      </w:pPr>
      <w:r w:rsidRPr="00E522FE">
        <w:rPr>
          <w:rFonts w:ascii="Times New Roman" w:hAnsi="Times New Roman" w:cs="Times New Roman"/>
          <w:b/>
          <w:bCs/>
          <w:sz w:val="28"/>
          <w:szCs w:val="28"/>
        </w:rPr>
        <w:t>1.Introductio</w:t>
      </w:r>
      <w:r w:rsidR="00A42386" w:rsidRPr="00E522FE">
        <w:rPr>
          <w:rFonts w:ascii="Times New Roman" w:hAnsi="Times New Roman" w:cs="Times New Roman"/>
          <w:b/>
          <w:bCs/>
          <w:sz w:val="28"/>
          <w:szCs w:val="28"/>
        </w:rPr>
        <w:t>n</w:t>
      </w:r>
    </w:p>
    <w:p w14:paraId="2C412CEB" w14:textId="6E6F717C" w:rsidR="007E2F1C" w:rsidRPr="00E522FE" w:rsidRDefault="007E2F1C" w:rsidP="00C736C1">
      <w:pPr>
        <w:spacing w:line="276" w:lineRule="auto"/>
        <w:jc w:val="both"/>
        <w:rPr>
          <w:rFonts w:ascii="Times New Roman" w:hAnsi="Times New Roman" w:cs="Times New Roman"/>
          <w:sz w:val="24"/>
          <w:szCs w:val="24"/>
        </w:rPr>
      </w:pPr>
      <w:r w:rsidRPr="00E522FE">
        <w:rPr>
          <w:rFonts w:ascii="Times New Roman" w:hAnsi="Times New Roman" w:cs="Times New Roman"/>
          <w:sz w:val="24"/>
          <w:szCs w:val="24"/>
        </w:rPr>
        <w:t>Financial inclusion has come to be a key catalyst of inclusive development that supports rural India, more so for women who, historically, have been excluded from formal financial services. In the rural and tribal state of Jharkhand, digitalization of banking activities since 2018 has introduced increased access to finance for hitherto marginalized groups (Agarwal &amp; Ghosh, 2020). The deepening penetration of digital financial services like mobile banking, e-wallets, and government-to-person (G2P) transfers has opened doors for economic engagement, particularly for rural women (Barboza &amp; Leong, 2021).</w:t>
      </w:r>
    </w:p>
    <w:p w14:paraId="5B650C16" w14:textId="1AFBC711" w:rsidR="007E2F1C" w:rsidRPr="00E522FE" w:rsidRDefault="007E2F1C" w:rsidP="00C736C1">
      <w:pPr>
        <w:spacing w:line="276" w:lineRule="auto"/>
        <w:jc w:val="both"/>
        <w:rPr>
          <w:rFonts w:ascii="Times New Roman" w:hAnsi="Times New Roman" w:cs="Times New Roman"/>
          <w:sz w:val="24"/>
          <w:szCs w:val="24"/>
        </w:rPr>
      </w:pPr>
      <w:r w:rsidRPr="00E522FE">
        <w:rPr>
          <w:rFonts w:ascii="Times New Roman" w:hAnsi="Times New Roman" w:cs="Times New Roman"/>
          <w:sz w:val="24"/>
          <w:szCs w:val="24"/>
        </w:rPr>
        <w:t xml:space="preserve">But critics suggest that fintech cannot be viewed as a panacea for poverty reduction unless accompanied by institutional reforms and contextual sensitivity (Bateman et al., 2019). For digital banking to be truly transformative, it needs to be local, inclusive, accessible, and in consonance with local socio-economic realities (Battilana &amp; Casciaro, 2021). The rural hinterlands of Jharkhand, like </w:t>
      </w:r>
      <w:proofErr w:type="spellStart"/>
      <w:r w:rsidRPr="00E522FE">
        <w:rPr>
          <w:rFonts w:ascii="Times New Roman" w:hAnsi="Times New Roman" w:cs="Times New Roman"/>
          <w:sz w:val="24"/>
          <w:szCs w:val="24"/>
        </w:rPr>
        <w:t>Simdega</w:t>
      </w:r>
      <w:proofErr w:type="spellEnd"/>
      <w:r w:rsidRPr="00E522FE">
        <w:rPr>
          <w:rFonts w:ascii="Times New Roman" w:hAnsi="Times New Roman" w:cs="Times New Roman"/>
          <w:sz w:val="24"/>
          <w:szCs w:val="24"/>
        </w:rPr>
        <w:t>, offer a special case in which digital banking has made it possible for female members of Self-Help Groups (SHGs) to engage with financial markets with the help of institutional facilitation and state-sponsored schemes (Bhattacharya &amp; Sahoo, 2022).</w:t>
      </w:r>
    </w:p>
    <w:p w14:paraId="5478333F" w14:textId="3CDE9AA4" w:rsidR="007E2F1C" w:rsidRPr="00E522FE" w:rsidRDefault="007E2F1C" w:rsidP="00C736C1">
      <w:pPr>
        <w:spacing w:line="276" w:lineRule="auto"/>
        <w:jc w:val="both"/>
        <w:rPr>
          <w:rFonts w:ascii="Times New Roman" w:hAnsi="Times New Roman" w:cs="Times New Roman"/>
          <w:sz w:val="24"/>
          <w:szCs w:val="24"/>
        </w:rPr>
      </w:pPr>
      <w:r w:rsidRPr="00E522FE">
        <w:rPr>
          <w:rFonts w:ascii="Times New Roman" w:hAnsi="Times New Roman" w:cs="Times New Roman"/>
          <w:sz w:val="24"/>
          <w:szCs w:val="24"/>
        </w:rPr>
        <w:t xml:space="preserve">Digital banking initiatives in these countries have enhanced access to credit and entrepreneurial opportunities for women by connecting SHGs with formal financial institutions (Chien &amp; Wei, 2020). National Rural Livelihood Mission (NRLM) programs like </w:t>
      </w:r>
      <w:proofErr w:type="spellStart"/>
      <w:r w:rsidRPr="00E522FE">
        <w:rPr>
          <w:rFonts w:ascii="Times New Roman" w:hAnsi="Times New Roman" w:cs="Times New Roman"/>
          <w:sz w:val="24"/>
          <w:szCs w:val="24"/>
        </w:rPr>
        <w:t>Phulo</w:t>
      </w:r>
      <w:proofErr w:type="spellEnd"/>
      <w:r w:rsidRPr="00E522FE">
        <w:rPr>
          <w:rFonts w:ascii="Times New Roman" w:hAnsi="Times New Roman" w:cs="Times New Roman"/>
          <w:sz w:val="24"/>
          <w:szCs w:val="24"/>
        </w:rPr>
        <w:t xml:space="preserve"> </w:t>
      </w:r>
      <w:proofErr w:type="spellStart"/>
      <w:r w:rsidRPr="00E522FE">
        <w:rPr>
          <w:rFonts w:ascii="Times New Roman" w:hAnsi="Times New Roman" w:cs="Times New Roman"/>
          <w:sz w:val="24"/>
          <w:szCs w:val="24"/>
        </w:rPr>
        <w:t>Jhano</w:t>
      </w:r>
      <w:proofErr w:type="spellEnd"/>
      <w:r w:rsidRPr="00E522FE">
        <w:rPr>
          <w:rFonts w:ascii="Times New Roman" w:hAnsi="Times New Roman" w:cs="Times New Roman"/>
          <w:sz w:val="24"/>
          <w:szCs w:val="24"/>
        </w:rPr>
        <w:t xml:space="preserve"> </w:t>
      </w:r>
      <w:proofErr w:type="spellStart"/>
      <w:r w:rsidRPr="00E522FE">
        <w:rPr>
          <w:rFonts w:ascii="Times New Roman" w:hAnsi="Times New Roman" w:cs="Times New Roman"/>
          <w:sz w:val="24"/>
          <w:szCs w:val="24"/>
        </w:rPr>
        <w:t>Ashirwad</w:t>
      </w:r>
      <w:proofErr w:type="spellEnd"/>
      <w:r w:rsidRPr="00E522FE">
        <w:rPr>
          <w:rFonts w:ascii="Times New Roman" w:hAnsi="Times New Roman" w:cs="Times New Roman"/>
          <w:sz w:val="24"/>
          <w:szCs w:val="24"/>
        </w:rPr>
        <w:t xml:space="preserve"> </w:t>
      </w:r>
      <w:proofErr w:type="spellStart"/>
      <w:r w:rsidRPr="00E522FE">
        <w:rPr>
          <w:rFonts w:ascii="Times New Roman" w:hAnsi="Times New Roman" w:cs="Times New Roman"/>
          <w:sz w:val="24"/>
          <w:szCs w:val="24"/>
        </w:rPr>
        <w:t>Yojna</w:t>
      </w:r>
      <w:proofErr w:type="spellEnd"/>
      <w:r w:rsidRPr="00E522FE">
        <w:rPr>
          <w:rFonts w:ascii="Times New Roman" w:hAnsi="Times New Roman" w:cs="Times New Roman"/>
          <w:sz w:val="24"/>
          <w:szCs w:val="24"/>
        </w:rPr>
        <w:t xml:space="preserve"> and Didi Badi Yojna extended further support to these programs by encouraging female-headed microenterprises (Das &amp; Pradhan, 2021). These local models are consistent with international evidence that connects access to financial services with better household well-being and women's empowerment (</w:t>
      </w:r>
      <w:proofErr w:type="spellStart"/>
      <w:r w:rsidRPr="00E522FE">
        <w:rPr>
          <w:rFonts w:ascii="Times New Roman" w:hAnsi="Times New Roman" w:cs="Times New Roman"/>
          <w:sz w:val="24"/>
          <w:szCs w:val="24"/>
        </w:rPr>
        <w:t>Demirgüç-Kunt</w:t>
      </w:r>
      <w:proofErr w:type="spellEnd"/>
      <w:r w:rsidRPr="00E522FE">
        <w:rPr>
          <w:rFonts w:ascii="Times New Roman" w:hAnsi="Times New Roman" w:cs="Times New Roman"/>
          <w:sz w:val="24"/>
          <w:szCs w:val="24"/>
        </w:rPr>
        <w:t xml:space="preserve"> et al., 2020).</w:t>
      </w:r>
    </w:p>
    <w:p w14:paraId="6362CAFD" w14:textId="34E2F913" w:rsidR="007E2F1C" w:rsidRPr="00E522FE" w:rsidRDefault="007E2F1C" w:rsidP="00C736C1">
      <w:pPr>
        <w:spacing w:line="276" w:lineRule="auto"/>
        <w:jc w:val="both"/>
        <w:rPr>
          <w:rFonts w:ascii="Times New Roman" w:hAnsi="Times New Roman" w:cs="Times New Roman"/>
          <w:sz w:val="24"/>
          <w:szCs w:val="24"/>
        </w:rPr>
      </w:pPr>
      <w:r w:rsidRPr="00E522FE">
        <w:rPr>
          <w:rFonts w:ascii="Times New Roman" w:hAnsi="Times New Roman" w:cs="Times New Roman"/>
          <w:sz w:val="24"/>
          <w:szCs w:val="24"/>
        </w:rPr>
        <w:t>A meta-review that is more comprehensive supports that digital financial inclusion programs realize significant returns only when they overlap with agent networks, financial literacy, and mobile telephony (Duvendack &amp; Mader, 2020). Further, India-based micro-level research indicates gender-responsive digital models like BC Sakhi (women banking correspondents) not only enable transactions but also reshape gender norms and community values (</w:t>
      </w:r>
      <w:proofErr w:type="spellStart"/>
      <w:r w:rsidRPr="00E522FE">
        <w:rPr>
          <w:rFonts w:ascii="Times New Roman" w:hAnsi="Times New Roman" w:cs="Times New Roman"/>
          <w:sz w:val="24"/>
          <w:szCs w:val="24"/>
        </w:rPr>
        <w:t>Duvendack</w:t>
      </w:r>
      <w:proofErr w:type="spellEnd"/>
      <w:r w:rsidRPr="00E522FE">
        <w:rPr>
          <w:rFonts w:ascii="Times New Roman" w:hAnsi="Times New Roman" w:cs="Times New Roman"/>
          <w:sz w:val="24"/>
          <w:szCs w:val="24"/>
        </w:rPr>
        <w:t xml:space="preserve">, </w:t>
      </w:r>
      <w:proofErr w:type="spellStart"/>
      <w:r w:rsidRPr="00E522FE">
        <w:rPr>
          <w:rFonts w:ascii="Times New Roman" w:hAnsi="Times New Roman" w:cs="Times New Roman"/>
          <w:sz w:val="24"/>
          <w:szCs w:val="24"/>
        </w:rPr>
        <w:t>Sonne</w:t>
      </w:r>
      <w:proofErr w:type="spellEnd"/>
      <w:r w:rsidRPr="00E522FE">
        <w:rPr>
          <w:rFonts w:ascii="Times New Roman" w:hAnsi="Times New Roman" w:cs="Times New Roman"/>
          <w:sz w:val="24"/>
          <w:szCs w:val="24"/>
        </w:rPr>
        <w:t xml:space="preserve">, &amp; </w:t>
      </w:r>
      <w:proofErr w:type="spellStart"/>
      <w:r w:rsidRPr="00E522FE">
        <w:rPr>
          <w:rFonts w:ascii="Times New Roman" w:hAnsi="Times New Roman" w:cs="Times New Roman"/>
          <w:sz w:val="24"/>
          <w:szCs w:val="24"/>
        </w:rPr>
        <w:t>Garikipati</w:t>
      </w:r>
      <w:proofErr w:type="spellEnd"/>
      <w:r w:rsidRPr="00E522FE">
        <w:rPr>
          <w:rFonts w:ascii="Times New Roman" w:hAnsi="Times New Roman" w:cs="Times New Roman"/>
          <w:sz w:val="24"/>
          <w:szCs w:val="24"/>
        </w:rPr>
        <w:t>, 2023).</w:t>
      </w:r>
    </w:p>
    <w:p w14:paraId="26CDDA66" w14:textId="05130EF6" w:rsidR="007E2F1C" w:rsidRPr="00E522FE" w:rsidRDefault="004A21E4" w:rsidP="00C736C1">
      <w:pPr>
        <w:spacing w:line="276" w:lineRule="auto"/>
        <w:jc w:val="both"/>
        <w:rPr>
          <w:rFonts w:ascii="Times New Roman" w:hAnsi="Times New Roman" w:cs="Times New Roman"/>
          <w:sz w:val="24"/>
          <w:szCs w:val="24"/>
        </w:rPr>
      </w:pPr>
      <w:r w:rsidRPr="00E522FE">
        <w:rPr>
          <w:rFonts w:ascii="Times New Roman" w:hAnsi="Times New Roman" w:cs="Times New Roman"/>
          <w:sz w:val="24"/>
          <w:szCs w:val="24"/>
        </w:rPr>
        <w:t>F</w:t>
      </w:r>
      <w:r w:rsidR="007E2F1C" w:rsidRPr="00E522FE">
        <w:rPr>
          <w:rFonts w:ascii="Times New Roman" w:hAnsi="Times New Roman" w:cs="Times New Roman"/>
          <w:sz w:val="24"/>
          <w:szCs w:val="24"/>
        </w:rPr>
        <w:t xml:space="preserve">ield survey </w:t>
      </w:r>
      <w:r w:rsidRPr="00E522FE">
        <w:rPr>
          <w:rFonts w:ascii="Times New Roman" w:hAnsi="Times New Roman" w:cs="Times New Roman"/>
          <w:sz w:val="24"/>
          <w:szCs w:val="24"/>
        </w:rPr>
        <w:t xml:space="preserve">had been taken </w:t>
      </w:r>
      <w:r w:rsidR="007E2F1C" w:rsidRPr="00E522FE">
        <w:rPr>
          <w:rFonts w:ascii="Times New Roman" w:hAnsi="Times New Roman" w:cs="Times New Roman"/>
          <w:sz w:val="24"/>
          <w:szCs w:val="24"/>
        </w:rPr>
        <w:t xml:space="preserve">in </w:t>
      </w:r>
      <w:proofErr w:type="spellStart"/>
      <w:r w:rsidR="007E2F1C" w:rsidRPr="00E522FE">
        <w:rPr>
          <w:rFonts w:ascii="Times New Roman" w:hAnsi="Times New Roman" w:cs="Times New Roman"/>
          <w:sz w:val="24"/>
          <w:szCs w:val="24"/>
        </w:rPr>
        <w:t>Simdega</w:t>
      </w:r>
      <w:proofErr w:type="spellEnd"/>
      <w:r w:rsidR="007E2F1C" w:rsidRPr="00E522FE">
        <w:rPr>
          <w:rFonts w:ascii="Times New Roman" w:hAnsi="Times New Roman" w:cs="Times New Roman"/>
          <w:sz w:val="24"/>
          <w:szCs w:val="24"/>
        </w:rPr>
        <w:t xml:space="preserve"> district upholds these scholarly results, where post-2018 programs have brought appreciable improvements in rural women's involvement in credit-linked businesses and digital payments. Women members of SHGs have moved to become digital facilitators, agents, and entrepreneurs, and thus augmented household </w:t>
      </w:r>
      <w:r w:rsidR="007E2F1C" w:rsidRPr="00E522FE">
        <w:rPr>
          <w:rFonts w:ascii="Times New Roman" w:hAnsi="Times New Roman" w:cs="Times New Roman"/>
          <w:sz w:val="24"/>
          <w:szCs w:val="24"/>
        </w:rPr>
        <w:lastRenderedPageBreak/>
        <w:t>earnings and social capital (Ghosh &amp; Mukherjee, 2021). Empirical evidence from the National Rural Livelihoods Project in India also substantiates that access to finance enhances women's decision-making authority in households (Kochar et al., 2022). However, there are still challenges like technological illiteracy, network unavailability, and low product diversification (Kumar &amp; Mishra, 2020). As such, awareness generation and handholding assistance continue to be key drivers of inclusion success (Kumar &amp; Pathak, 2022).</w:t>
      </w:r>
    </w:p>
    <w:p w14:paraId="4240404A" w14:textId="1A719B28" w:rsidR="007E2F1C" w:rsidRPr="00E522FE" w:rsidRDefault="007E2F1C" w:rsidP="00C736C1">
      <w:pPr>
        <w:spacing w:line="276" w:lineRule="auto"/>
        <w:jc w:val="both"/>
        <w:rPr>
          <w:rFonts w:ascii="Times New Roman" w:hAnsi="Times New Roman" w:cs="Times New Roman"/>
          <w:sz w:val="24"/>
          <w:szCs w:val="24"/>
        </w:rPr>
      </w:pPr>
      <w:r w:rsidRPr="00E522FE">
        <w:rPr>
          <w:rFonts w:ascii="Times New Roman" w:hAnsi="Times New Roman" w:cs="Times New Roman"/>
          <w:sz w:val="24"/>
          <w:szCs w:val="24"/>
        </w:rPr>
        <w:t xml:space="preserve">Focused measures such as mobile banking literacy and doorstep banking services have indicated potential for closing the gender gap in access to finance (Lee, </w:t>
      </w:r>
      <w:proofErr w:type="spellStart"/>
      <w:r w:rsidRPr="00E522FE">
        <w:rPr>
          <w:rFonts w:ascii="Times New Roman" w:hAnsi="Times New Roman" w:cs="Times New Roman"/>
          <w:sz w:val="24"/>
          <w:szCs w:val="24"/>
        </w:rPr>
        <w:t>Morduch</w:t>
      </w:r>
      <w:proofErr w:type="spellEnd"/>
      <w:r w:rsidRPr="00E522FE">
        <w:rPr>
          <w:rFonts w:ascii="Times New Roman" w:hAnsi="Times New Roman" w:cs="Times New Roman"/>
          <w:sz w:val="24"/>
          <w:szCs w:val="24"/>
        </w:rPr>
        <w:t xml:space="preserve">, </w:t>
      </w:r>
      <w:proofErr w:type="spellStart"/>
      <w:r w:rsidRPr="00E522FE">
        <w:rPr>
          <w:rFonts w:ascii="Times New Roman" w:hAnsi="Times New Roman" w:cs="Times New Roman"/>
          <w:sz w:val="24"/>
          <w:szCs w:val="24"/>
        </w:rPr>
        <w:t>Ravindran</w:t>
      </w:r>
      <w:proofErr w:type="spellEnd"/>
      <w:r w:rsidRPr="00E522FE">
        <w:rPr>
          <w:rFonts w:ascii="Times New Roman" w:hAnsi="Times New Roman" w:cs="Times New Roman"/>
          <w:sz w:val="24"/>
          <w:szCs w:val="24"/>
        </w:rPr>
        <w:t xml:space="preserve">, &amp; </w:t>
      </w:r>
      <w:proofErr w:type="spellStart"/>
      <w:r w:rsidRPr="00E522FE">
        <w:rPr>
          <w:rFonts w:ascii="Times New Roman" w:hAnsi="Times New Roman" w:cs="Times New Roman"/>
          <w:sz w:val="24"/>
          <w:szCs w:val="24"/>
        </w:rPr>
        <w:t>Shonchoy</w:t>
      </w:r>
      <w:proofErr w:type="spellEnd"/>
      <w:r w:rsidRPr="00E522FE">
        <w:rPr>
          <w:rFonts w:ascii="Times New Roman" w:hAnsi="Times New Roman" w:cs="Times New Roman"/>
          <w:sz w:val="24"/>
          <w:szCs w:val="24"/>
        </w:rPr>
        <w:t>, 2021). Also supporting these trends are rural case studies from China and Africa, which show that fintech uptake is best when supported by trust, cultural consonance, and institutional stability (Li &amp; Zhang, 2019); (Martin &amp; Shaw, 2021).</w:t>
      </w:r>
    </w:p>
    <w:p w14:paraId="77667DC3" w14:textId="77777777" w:rsidR="00666AC8" w:rsidRPr="00E522FE" w:rsidRDefault="007E2F1C" w:rsidP="00C736C1">
      <w:pPr>
        <w:spacing w:line="276" w:lineRule="auto"/>
        <w:jc w:val="both"/>
        <w:rPr>
          <w:rFonts w:ascii="Times New Roman" w:hAnsi="Times New Roman" w:cs="Times New Roman"/>
          <w:sz w:val="24"/>
          <w:szCs w:val="24"/>
        </w:rPr>
      </w:pPr>
      <w:r w:rsidRPr="00E522FE">
        <w:rPr>
          <w:rFonts w:ascii="Times New Roman" w:hAnsi="Times New Roman" w:cs="Times New Roman"/>
          <w:sz w:val="24"/>
          <w:szCs w:val="24"/>
        </w:rPr>
        <w:t>Jharkhand's digital banking environment, driven by BC Sakhi networks and SHG federations, has enabled rural women to become economically independent, which has lessened informal lender dependency (Mittal &amp; Pandey, 2022); (Nair &amp; Gopalakrishnan, 2020). These local agents have helped mobilize government entitlements and encourage insurance, pensions, and credit linkages (Pinto &amp; Arora, 2021).</w:t>
      </w:r>
      <w:r w:rsidR="00666AC8" w:rsidRPr="00E522FE">
        <w:rPr>
          <w:rFonts w:ascii="Times New Roman" w:hAnsi="Times New Roman" w:cs="Times New Roman"/>
          <w:sz w:val="24"/>
          <w:szCs w:val="24"/>
        </w:rPr>
        <w:t xml:space="preserve"> </w:t>
      </w:r>
      <w:r w:rsidRPr="00E522FE">
        <w:rPr>
          <w:rFonts w:ascii="Times New Roman" w:hAnsi="Times New Roman" w:cs="Times New Roman"/>
          <w:sz w:val="24"/>
          <w:szCs w:val="24"/>
        </w:rPr>
        <w:t xml:space="preserve">In spite of triumphs, digital inclusion is constrained by infrastructural deficits, irregularities in policy implementation, and opposition from society, especially in tribal tracts (Shankar &amp; Gupta, 2021). </w:t>
      </w:r>
    </w:p>
    <w:p w14:paraId="48C3F822" w14:textId="31F39DEC" w:rsidR="007E2F1C" w:rsidRPr="00E522FE" w:rsidRDefault="007E2F1C" w:rsidP="00C736C1">
      <w:pPr>
        <w:spacing w:line="276" w:lineRule="auto"/>
        <w:jc w:val="both"/>
        <w:rPr>
          <w:rFonts w:ascii="Times New Roman" w:hAnsi="Times New Roman" w:cs="Times New Roman"/>
          <w:sz w:val="24"/>
          <w:szCs w:val="24"/>
        </w:rPr>
      </w:pPr>
      <w:r w:rsidRPr="00E522FE">
        <w:rPr>
          <w:rFonts w:ascii="Times New Roman" w:hAnsi="Times New Roman" w:cs="Times New Roman"/>
          <w:sz w:val="24"/>
          <w:szCs w:val="24"/>
        </w:rPr>
        <w:t xml:space="preserve">However, if digital inclusion is backed by literacy and public participation, it has quantifiable development returns (Sharma &amp; Bansal, 2021); (Soni &amp; Sharma, 2020). This paper examines the effects of post-2018 digital financial inclusion efforts in Jharkhand's </w:t>
      </w:r>
      <w:proofErr w:type="spellStart"/>
      <w:r w:rsidRPr="00E522FE">
        <w:rPr>
          <w:rFonts w:ascii="Times New Roman" w:hAnsi="Times New Roman" w:cs="Times New Roman"/>
          <w:sz w:val="24"/>
          <w:szCs w:val="24"/>
        </w:rPr>
        <w:t>Simdega</w:t>
      </w:r>
      <w:proofErr w:type="spellEnd"/>
      <w:r w:rsidRPr="00E522FE">
        <w:rPr>
          <w:rFonts w:ascii="Times New Roman" w:hAnsi="Times New Roman" w:cs="Times New Roman"/>
          <w:sz w:val="24"/>
          <w:szCs w:val="24"/>
        </w:rPr>
        <w:t xml:space="preserve"> district based on original data from SHGs and institutional documents. Based on an analysis of credit access, digital literacy, and economic agency, this paper seeks to provide policy evidence for replicable models of rural women's empowerment (Swain &amp; Kumar, 2022); (Vishwakarma &amp; Ghosh, 2020). The wider significance is the way that digital finance systems can promote inclusive and sustainable rural development (Yadav &amp; Verma, 2021</w:t>
      </w:r>
      <w:r w:rsidR="00666AC8" w:rsidRPr="00E522FE">
        <w:rPr>
          <w:rFonts w:ascii="Times New Roman" w:hAnsi="Times New Roman" w:cs="Times New Roman"/>
          <w:sz w:val="24"/>
          <w:szCs w:val="24"/>
        </w:rPr>
        <w:t>)</w:t>
      </w:r>
      <w:r w:rsidRPr="00E522FE">
        <w:rPr>
          <w:rFonts w:ascii="Times New Roman" w:hAnsi="Times New Roman" w:cs="Times New Roman"/>
          <w:sz w:val="24"/>
          <w:szCs w:val="24"/>
        </w:rPr>
        <w:t>.</w:t>
      </w:r>
    </w:p>
    <w:p w14:paraId="719B63E6" w14:textId="22334125" w:rsidR="00C736C1" w:rsidRPr="00E522FE" w:rsidRDefault="00C736C1" w:rsidP="00C736C1">
      <w:pPr>
        <w:spacing w:line="276" w:lineRule="auto"/>
        <w:jc w:val="both"/>
        <w:rPr>
          <w:rFonts w:ascii="Times New Roman" w:hAnsi="Times New Roman" w:cs="Times New Roman"/>
          <w:sz w:val="24"/>
          <w:szCs w:val="24"/>
        </w:rPr>
      </w:pPr>
      <w:r w:rsidRPr="00E522FE">
        <w:rPr>
          <w:rFonts w:ascii="Times New Roman" w:hAnsi="Times New Roman" w:cs="Times New Roman"/>
          <w:sz w:val="24"/>
          <w:szCs w:val="24"/>
        </w:rPr>
        <w:t>This study</w:t>
      </w:r>
      <w:r w:rsidR="004A21E4" w:rsidRPr="00E522FE">
        <w:rPr>
          <w:rFonts w:ascii="Times New Roman" w:hAnsi="Times New Roman" w:cs="Times New Roman"/>
          <w:sz w:val="24"/>
          <w:szCs w:val="24"/>
        </w:rPr>
        <w:t xml:space="preserve"> conducted </w:t>
      </w:r>
      <w:r w:rsidRPr="00E522FE">
        <w:rPr>
          <w:rFonts w:ascii="Times New Roman" w:hAnsi="Times New Roman" w:cs="Times New Roman"/>
          <w:sz w:val="24"/>
          <w:szCs w:val="24"/>
        </w:rPr>
        <w:t xml:space="preserve">in the tribal blocks of </w:t>
      </w:r>
      <w:proofErr w:type="spellStart"/>
      <w:r w:rsidRPr="00E522FE">
        <w:rPr>
          <w:rFonts w:ascii="Times New Roman" w:hAnsi="Times New Roman" w:cs="Times New Roman"/>
          <w:sz w:val="24"/>
          <w:szCs w:val="24"/>
        </w:rPr>
        <w:t>Simdega</w:t>
      </w:r>
      <w:proofErr w:type="spellEnd"/>
      <w:r w:rsidRPr="00E522FE">
        <w:rPr>
          <w:rFonts w:ascii="Times New Roman" w:hAnsi="Times New Roman" w:cs="Times New Roman"/>
          <w:sz w:val="24"/>
          <w:szCs w:val="24"/>
        </w:rPr>
        <w:t xml:space="preserve"> district, Jharkhand, investigates the progress of financial inclusion among rural women since 2018 through initiatives such as </w:t>
      </w:r>
      <w:proofErr w:type="spellStart"/>
      <w:r w:rsidRPr="00E522FE">
        <w:rPr>
          <w:rFonts w:ascii="Times New Roman" w:hAnsi="Times New Roman" w:cs="Times New Roman"/>
          <w:sz w:val="24"/>
          <w:szCs w:val="24"/>
        </w:rPr>
        <w:t>Phulo</w:t>
      </w:r>
      <w:proofErr w:type="spellEnd"/>
      <w:r w:rsidRPr="00E522FE">
        <w:rPr>
          <w:rFonts w:ascii="Times New Roman" w:hAnsi="Times New Roman" w:cs="Times New Roman"/>
          <w:sz w:val="24"/>
          <w:szCs w:val="24"/>
        </w:rPr>
        <w:t xml:space="preserve"> </w:t>
      </w:r>
      <w:proofErr w:type="spellStart"/>
      <w:r w:rsidRPr="00E522FE">
        <w:rPr>
          <w:rFonts w:ascii="Times New Roman" w:hAnsi="Times New Roman" w:cs="Times New Roman"/>
          <w:sz w:val="24"/>
          <w:szCs w:val="24"/>
        </w:rPr>
        <w:t>Jhano</w:t>
      </w:r>
      <w:proofErr w:type="spellEnd"/>
      <w:r w:rsidRPr="00E522FE">
        <w:rPr>
          <w:rFonts w:ascii="Times New Roman" w:hAnsi="Times New Roman" w:cs="Times New Roman"/>
          <w:sz w:val="24"/>
          <w:szCs w:val="24"/>
        </w:rPr>
        <w:t xml:space="preserve"> </w:t>
      </w:r>
      <w:proofErr w:type="spellStart"/>
      <w:r w:rsidRPr="00E522FE">
        <w:rPr>
          <w:rFonts w:ascii="Times New Roman" w:hAnsi="Times New Roman" w:cs="Times New Roman"/>
          <w:sz w:val="24"/>
          <w:szCs w:val="24"/>
        </w:rPr>
        <w:t>Ashirwad</w:t>
      </w:r>
      <w:proofErr w:type="spellEnd"/>
      <w:r w:rsidRPr="00E522FE">
        <w:rPr>
          <w:rFonts w:ascii="Times New Roman" w:hAnsi="Times New Roman" w:cs="Times New Roman"/>
          <w:sz w:val="24"/>
          <w:szCs w:val="24"/>
        </w:rPr>
        <w:t xml:space="preserve"> </w:t>
      </w:r>
      <w:proofErr w:type="spellStart"/>
      <w:r w:rsidRPr="00E522FE">
        <w:rPr>
          <w:rFonts w:ascii="Times New Roman" w:hAnsi="Times New Roman" w:cs="Times New Roman"/>
          <w:sz w:val="24"/>
          <w:szCs w:val="24"/>
        </w:rPr>
        <w:t>Yojna</w:t>
      </w:r>
      <w:proofErr w:type="spellEnd"/>
      <w:r w:rsidRPr="00E522FE">
        <w:rPr>
          <w:rFonts w:ascii="Times New Roman" w:hAnsi="Times New Roman" w:cs="Times New Roman"/>
          <w:sz w:val="24"/>
          <w:szCs w:val="24"/>
        </w:rPr>
        <w:t>, Didi Badi Yojna, SVEP, and the BC Sakhi model. It explores how Self Help Groups (SHGs), digital tools, and livelihood training have enabled women to transition from informal to formal economic roles, fostering entrepreneurship, savings, and credit-based development. The study provides ground-level insights into the transformative impact of integrating digital financial services with institutional support, revealing improvements in income, decision-making, and social mobility. It also identifies persistent challenges, including infrastructural gaps and digital illiteracy, while offering policy-relevant recommendations for replicating and scaling inclusive financial models in similar rural and tribal settings.</w:t>
      </w:r>
    </w:p>
    <w:p w14:paraId="5D6A3CA6" w14:textId="3D91FD61" w:rsidR="00C736C1" w:rsidRPr="00E522FE" w:rsidRDefault="00C736C1" w:rsidP="00C736C1">
      <w:pPr>
        <w:spacing w:line="276" w:lineRule="auto"/>
        <w:jc w:val="both"/>
        <w:rPr>
          <w:rFonts w:ascii="Times New Roman" w:hAnsi="Times New Roman" w:cs="Times New Roman"/>
          <w:b/>
          <w:bCs/>
          <w:sz w:val="28"/>
          <w:szCs w:val="28"/>
        </w:rPr>
      </w:pPr>
      <w:r w:rsidRPr="00E522FE">
        <w:rPr>
          <w:rFonts w:ascii="Times New Roman" w:hAnsi="Times New Roman" w:cs="Times New Roman"/>
          <w:b/>
          <w:bCs/>
          <w:sz w:val="28"/>
          <w:szCs w:val="28"/>
        </w:rPr>
        <w:t>2. Methodology</w:t>
      </w:r>
    </w:p>
    <w:p w14:paraId="4FA5A098" w14:textId="469A8F88" w:rsidR="00C736C1" w:rsidRPr="00E522FE" w:rsidRDefault="00C736C1" w:rsidP="00C736C1">
      <w:pPr>
        <w:spacing w:line="276" w:lineRule="auto"/>
        <w:jc w:val="both"/>
        <w:rPr>
          <w:rFonts w:ascii="Times New Roman" w:hAnsi="Times New Roman" w:cs="Times New Roman"/>
          <w:sz w:val="24"/>
          <w:szCs w:val="24"/>
        </w:rPr>
      </w:pPr>
      <w:r w:rsidRPr="00E522FE">
        <w:rPr>
          <w:rFonts w:ascii="Times New Roman" w:hAnsi="Times New Roman" w:cs="Times New Roman"/>
          <w:sz w:val="24"/>
          <w:szCs w:val="24"/>
        </w:rPr>
        <w:t xml:space="preserve">This research adopts a mixed-method research design that merges quantitative and qualitative methods to study the effect of financial inclusion initiatives among rural women in </w:t>
      </w:r>
      <w:proofErr w:type="spellStart"/>
      <w:r w:rsidRPr="00E522FE">
        <w:rPr>
          <w:rFonts w:ascii="Times New Roman" w:hAnsi="Times New Roman" w:cs="Times New Roman"/>
          <w:sz w:val="24"/>
          <w:szCs w:val="24"/>
        </w:rPr>
        <w:t>Simdega</w:t>
      </w:r>
      <w:proofErr w:type="spellEnd"/>
      <w:r w:rsidRPr="00E522FE">
        <w:rPr>
          <w:rFonts w:ascii="Times New Roman" w:hAnsi="Times New Roman" w:cs="Times New Roman"/>
          <w:sz w:val="24"/>
          <w:szCs w:val="24"/>
        </w:rPr>
        <w:t xml:space="preserve"> </w:t>
      </w:r>
      <w:r w:rsidRPr="00E522FE">
        <w:rPr>
          <w:rFonts w:ascii="Times New Roman" w:hAnsi="Times New Roman" w:cs="Times New Roman"/>
          <w:sz w:val="24"/>
          <w:szCs w:val="24"/>
        </w:rPr>
        <w:lastRenderedPageBreak/>
        <w:t xml:space="preserve">district, Jharkhand. The research is based on primary data </w:t>
      </w:r>
      <w:r w:rsidR="004A21E4" w:rsidRPr="00E522FE">
        <w:rPr>
          <w:rFonts w:ascii="Times New Roman" w:hAnsi="Times New Roman" w:cs="Times New Roman"/>
          <w:sz w:val="24"/>
          <w:szCs w:val="24"/>
        </w:rPr>
        <w:t xml:space="preserve">collection </w:t>
      </w:r>
      <w:r w:rsidRPr="00E522FE">
        <w:rPr>
          <w:rFonts w:ascii="Times New Roman" w:hAnsi="Times New Roman" w:cs="Times New Roman"/>
          <w:sz w:val="24"/>
          <w:szCs w:val="24"/>
        </w:rPr>
        <w:t xml:space="preserve">among women participating in Self Help Groups (SHGs) assisted by initiatives like </w:t>
      </w:r>
      <w:proofErr w:type="spellStart"/>
      <w:r w:rsidRPr="00E522FE">
        <w:rPr>
          <w:rFonts w:ascii="Times New Roman" w:hAnsi="Times New Roman" w:cs="Times New Roman"/>
          <w:sz w:val="24"/>
          <w:szCs w:val="24"/>
        </w:rPr>
        <w:t>Phulo</w:t>
      </w:r>
      <w:proofErr w:type="spellEnd"/>
      <w:r w:rsidRPr="00E522FE">
        <w:rPr>
          <w:rFonts w:ascii="Times New Roman" w:hAnsi="Times New Roman" w:cs="Times New Roman"/>
          <w:sz w:val="24"/>
          <w:szCs w:val="24"/>
        </w:rPr>
        <w:t xml:space="preserve"> </w:t>
      </w:r>
      <w:proofErr w:type="spellStart"/>
      <w:r w:rsidRPr="00E522FE">
        <w:rPr>
          <w:rFonts w:ascii="Times New Roman" w:hAnsi="Times New Roman" w:cs="Times New Roman"/>
          <w:sz w:val="24"/>
          <w:szCs w:val="24"/>
        </w:rPr>
        <w:t>Jhano</w:t>
      </w:r>
      <w:proofErr w:type="spellEnd"/>
      <w:r w:rsidRPr="00E522FE">
        <w:rPr>
          <w:rFonts w:ascii="Times New Roman" w:hAnsi="Times New Roman" w:cs="Times New Roman"/>
          <w:sz w:val="24"/>
          <w:szCs w:val="24"/>
        </w:rPr>
        <w:t xml:space="preserve"> </w:t>
      </w:r>
      <w:proofErr w:type="spellStart"/>
      <w:r w:rsidRPr="00E522FE">
        <w:rPr>
          <w:rFonts w:ascii="Times New Roman" w:hAnsi="Times New Roman" w:cs="Times New Roman"/>
          <w:sz w:val="24"/>
          <w:szCs w:val="24"/>
        </w:rPr>
        <w:t>Ashirwad</w:t>
      </w:r>
      <w:proofErr w:type="spellEnd"/>
      <w:r w:rsidRPr="00E522FE">
        <w:rPr>
          <w:rFonts w:ascii="Times New Roman" w:hAnsi="Times New Roman" w:cs="Times New Roman"/>
          <w:sz w:val="24"/>
          <w:szCs w:val="24"/>
        </w:rPr>
        <w:t xml:space="preserve"> </w:t>
      </w:r>
      <w:proofErr w:type="spellStart"/>
      <w:r w:rsidRPr="00E522FE">
        <w:rPr>
          <w:rFonts w:ascii="Times New Roman" w:hAnsi="Times New Roman" w:cs="Times New Roman"/>
          <w:sz w:val="24"/>
          <w:szCs w:val="24"/>
        </w:rPr>
        <w:t>Yojna</w:t>
      </w:r>
      <w:proofErr w:type="spellEnd"/>
      <w:r w:rsidRPr="00E522FE">
        <w:rPr>
          <w:rFonts w:ascii="Times New Roman" w:hAnsi="Times New Roman" w:cs="Times New Roman"/>
          <w:sz w:val="24"/>
          <w:szCs w:val="24"/>
        </w:rPr>
        <w:t>, SVEP, Didi Badi Yojna, and the BC Sakhi program. The research design includes strict data collection from field surveys, guided interviews, and focus group discussions (FGDs), along with a detailed analytical framework to assess socio-economic and digital changes.</w:t>
      </w:r>
    </w:p>
    <w:p w14:paraId="70873453" w14:textId="6687F3A9" w:rsidR="00C736C1" w:rsidRPr="00E522FE" w:rsidRDefault="00C736C1" w:rsidP="00C736C1">
      <w:pPr>
        <w:spacing w:line="276" w:lineRule="auto"/>
        <w:jc w:val="both"/>
        <w:rPr>
          <w:rFonts w:ascii="Times New Roman" w:hAnsi="Times New Roman" w:cs="Times New Roman"/>
          <w:b/>
          <w:bCs/>
          <w:sz w:val="24"/>
          <w:szCs w:val="24"/>
        </w:rPr>
      </w:pPr>
      <w:r w:rsidRPr="00E522FE">
        <w:rPr>
          <w:rFonts w:ascii="Times New Roman" w:hAnsi="Times New Roman" w:cs="Times New Roman"/>
          <w:b/>
          <w:bCs/>
          <w:sz w:val="24"/>
          <w:szCs w:val="24"/>
        </w:rPr>
        <w:t>2.1 Study Design and Area</w:t>
      </w:r>
    </w:p>
    <w:p w14:paraId="0DEF59E7" w14:textId="77777777" w:rsidR="00C736C1" w:rsidRPr="00E522FE" w:rsidRDefault="00C736C1" w:rsidP="00C736C1">
      <w:pPr>
        <w:spacing w:line="276" w:lineRule="auto"/>
        <w:jc w:val="both"/>
        <w:rPr>
          <w:rFonts w:ascii="Times New Roman" w:hAnsi="Times New Roman" w:cs="Times New Roman"/>
          <w:sz w:val="24"/>
          <w:szCs w:val="24"/>
        </w:rPr>
      </w:pPr>
      <w:r w:rsidRPr="00E522FE">
        <w:rPr>
          <w:rFonts w:ascii="Times New Roman" w:hAnsi="Times New Roman" w:cs="Times New Roman"/>
          <w:sz w:val="24"/>
          <w:szCs w:val="24"/>
        </w:rPr>
        <w:t xml:space="preserve">The research was carried out in four tribal blocks in </w:t>
      </w:r>
      <w:proofErr w:type="spellStart"/>
      <w:r w:rsidRPr="00E522FE">
        <w:rPr>
          <w:rFonts w:ascii="Times New Roman" w:hAnsi="Times New Roman" w:cs="Times New Roman"/>
          <w:sz w:val="24"/>
          <w:szCs w:val="24"/>
        </w:rPr>
        <w:t>Simdega</w:t>
      </w:r>
      <w:proofErr w:type="spellEnd"/>
      <w:r w:rsidRPr="00E522FE">
        <w:rPr>
          <w:rFonts w:ascii="Times New Roman" w:hAnsi="Times New Roman" w:cs="Times New Roman"/>
          <w:sz w:val="24"/>
          <w:szCs w:val="24"/>
        </w:rPr>
        <w:t>—</w:t>
      </w:r>
      <w:proofErr w:type="spellStart"/>
      <w:r w:rsidRPr="00E522FE">
        <w:rPr>
          <w:rFonts w:ascii="Times New Roman" w:hAnsi="Times New Roman" w:cs="Times New Roman"/>
          <w:sz w:val="24"/>
          <w:szCs w:val="24"/>
        </w:rPr>
        <w:t>Kolebira</w:t>
      </w:r>
      <w:proofErr w:type="spellEnd"/>
      <w:r w:rsidRPr="00E522FE">
        <w:rPr>
          <w:rFonts w:ascii="Times New Roman" w:hAnsi="Times New Roman" w:cs="Times New Roman"/>
          <w:sz w:val="24"/>
          <w:szCs w:val="24"/>
        </w:rPr>
        <w:t xml:space="preserve">, </w:t>
      </w:r>
      <w:proofErr w:type="spellStart"/>
      <w:r w:rsidRPr="00E522FE">
        <w:rPr>
          <w:rFonts w:ascii="Times New Roman" w:hAnsi="Times New Roman" w:cs="Times New Roman"/>
          <w:sz w:val="24"/>
          <w:szCs w:val="24"/>
        </w:rPr>
        <w:t>Kurdeg</w:t>
      </w:r>
      <w:proofErr w:type="spellEnd"/>
      <w:r w:rsidRPr="00E522FE">
        <w:rPr>
          <w:rFonts w:ascii="Times New Roman" w:hAnsi="Times New Roman" w:cs="Times New Roman"/>
          <w:sz w:val="24"/>
          <w:szCs w:val="24"/>
        </w:rPr>
        <w:t xml:space="preserve">, </w:t>
      </w:r>
      <w:proofErr w:type="spellStart"/>
      <w:r w:rsidRPr="00E522FE">
        <w:rPr>
          <w:rFonts w:ascii="Times New Roman" w:hAnsi="Times New Roman" w:cs="Times New Roman"/>
          <w:sz w:val="24"/>
          <w:szCs w:val="24"/>
        </w:rPr>
        <w:t>Thetaitangar</w:t>
      </w:r>
      <w:proofErr w:type="spellEnd"/>
      <w:r w:rsidRPr="00E522FE">
        <w:rPr>
          <w:rFonts w:ascii="Times New Roman" w:hAnsi="Times New Roman" w:cs="Times New Roman"/>
          <w:sz w:val="24"/>
          <w:szCs w:val="24"/>
        </w:rPr>
        <w:t xml:space="preserve">, and Sadar—selected for high SHG activity under JSLPS and JTDS. Purposive sampling technique was used to cover 150 women SHG members engaged in farm and non-farm livelihood activities. The study follows cross-sectional research design taking a snapshot of participant financial </w:t>
      </w:r>
      <w:proofErr w:type="spellStart"/>
      <w:r w:rsidRPr="00E522FE">
        <w:rPr>
          <w:rFonts w:ascii="Times New Roman" w:hAnsi="Times New Roman" w:cs="Times New Roman"/>
          <w:sz w:val="24"/>
          <w:szCs w:val="24"/>
        </w:rPr>
        <w:t>behavior</w:t>
      </w:r>
      <w:proofErr w:type="spellEnd"/>
      <w:r w:rsidRPr="00E522FE">
        <w:rPr>
          <w:rFonts w:ascii="Times New Roman" w:hAnsi="Times New Roman" w:cs="Times New Roman"/>
          <w:sz w:val="24"/>
          <w:szCs w:val="24"/>
        </w:rPr>
        <w:t>, digital activity, and enterprise development as impacted by state-driven financial inclusion programs.</w:t>
      </w:r>
    </w:p>
    <w:p w14:paraId="6AEA0FB2" w14:textId="296D66B9" w:rsidR="00C736C1" w:rsidRPr="00E522FE" w:rsidRDefault="00C736C1" w:rsidP="00C736C1">
      <w:pPr>
        <w:spacing w:line="276" w:lineRule="auto"/>
        <w:jc w:val="both"/>
        <w:rPr>
          <w:rFonts w:ascii="Times New Roman" w:hAnsi="Times New Roman" w:cs="Times New Roman"/>
          <w:b/>
          <w:bCs/>
          <w:sz w:val="24"/>
          <w:szCs w:val="24"/>
        </w:rPr>
      </w:pPr>
      <w:r w:rsidRPr="00E522FE">
        <w:rPr>
          <w:rFonts w:ascii="Times New Roman" w:hAnsi="Times New Roman" w:cs="Times New Roman"/>
          <w:b/>
          <w:bCs/>
          <w:sz w:val="24"/>
          <w:szCs w:val="24"/>
        </w:rPr>
        <w:t xml:space="preserve">2.2 Data Collection </w:t>
      </w:r>
    </w:p>
    <w:p w14:paraId="6985B4BE" w14:textId="6BAEA1F9" w:rsidR="00DC4724" w:rsidRPr="00E522FE" w:rsidRDefault="00C736C1" w:rsidP="00C736C1">
      <w:pPr>
        <w:spacing w:line="276" w:lineRule="auto"/>
        <w:jc w:val="both"/>
        <w:rPr>
          <w:rFonts w:ascii="Times New Roman" w:hAnsi="Times New Roman" w:cs="Times New Roman"/>
          <w:sz w:val="24"/>
          <w:szCs w:val="24"/>
        </w:rPr>
      </w:pPr>
      <w:r w:rsidRPr="00E522FE">
        <w:rPr>
          <w:rFonts w:ascii="Times New Roman" w:hAnsi="Times New Roman" w:cs="Times New Roman"/>
          <w:sz w:val="24"/>
          <w:szCs w:val="24"/>
        </w:rPr>
        <w:t>Primary data were gathered using standardized questionnaires filled in by 150 SHG women, including demographic information, sources of income, digital literacy, access to credit, and diversification of livelihoods. FGDs with SHG groups were conducted to investigate group-level dynamics, empowerment, and digital adoption impediments. Field observations were also carried out to confirm the working status of income-generating activities like tailoring units, mushroom clusters, goat rearing units, and BC Sakhi kiosks. Secondary sources such as SHG registers, accounting records, and computerised transaction records were analysed to ascertain data consistency.</w:t>
      </w:r>
    </w:p>
    <w:p w14:paraId="5CD4B268" w14:textId="4EE95387" w:rsidR="00C736C1" w:rsidRPr="00E522FE" w:rsidRDefault="00C736C1" w:rsidP="00C736C1">
      <w:pPr>
        <w:spacing w:line="276" w:lineRule="auto"/>
        <w:jc w:val="both"/>
        <w:rPr>
          <w:rFonts w:ascii="Times New Roman" w:hAnsi="Times New Roman" w:cs="Times New Roman"/>
          <w:b/>
          <w:bCs/>
          <w:sz w:val="24"/>
          <w:szCs w:val="24"/>
        </w:rPr>
      </w:pPr>
      <w:r w:rsidRPr="00E522FE">
        <w:rPr>
          <w:rFonts w:ascii="Times New Roman" w:hAnsi="Times New Roman" w:cs="Times New Roman"/>
          <w:b/>
          <w:bCs/>
          <w:sz w:val="24"/>
          <w:szCs w:val="24"/>
        </w:rPr>
        <w:t>2.3 Exclusion and Inclusion Criteria</w:t>
      </w:r>
    </w:p>
    <w:p w14:paraId="66CD1B1E" w14:textId="77777777" w:rsidR="00C736C1" w:rsidRPr="00E522FE" w:rsidRDefault="00C736C1" w:rsidP="00C736C1">
      <w:pPr>
        <w:spacing w:line="276" w:lineRule="auto"/>
        <w:jc w:val="both"/>
        <w:rPr>
          <w:rFonts w:ascii="Times New Roman" w:hAnsi="Times New Roman" w:cs="Times New Roman"/>
          <w:sz w:val="24"/>
          <w:szCs w:val="24"/>
        </w:rPr>
      </w:pPr>
      <w:r w:rsidRPr="00E522FE">
        <w:rPr>
          <w:rFonts w:ascii="Times New Roman" w:hAnsi="Times New Roman" w:cs="Times New Roman"/>
          <w:sz w:val="24"/>
          <w:szCs w:val="24"/>
        </w:rPr>
        <w:t>The study considered only women having active participation in SHGs and direct benefits from government-aligned financial inclusion schemes. The inclusion criteria were that respondents should be female, 18–60 years old, SHG members for the past two years, and residents of the block for the past five years. The exclusion criteria excluded those who lacked active participation in SHGs, recent migrants, and people with health, literacy, or consent-related issues.</w:t>
      </w:r>
    </w:p>
    <w:p w14:paraId="5B33EADE" w14:textId="0892FC14" w:rsidR="00E3000D" w:rsidRPr="00E522FE" w:rsidRDefault="00E3000D" w:rsidP="00E3000D">
      <w:pPr>
        <w:spacing w:line="276" w:lineRule="auto"/>
        <w:jc w:val="both"/>
        <w:rPr>
          <w:rFonts w:ascii="Times New Roman" w:hAnsi="Times New Roman" w:cs="Times New Roman"/>
          <w:sz w:val="24"/>
          <w:szCs w:val="24"/>
          <w:lang w:val="en-US"/>
        </w:rPr>
      </w:pPr>
      <w:bookmarkStart w:id="1" w:name="X50bd03ff6c48a38b990ad500d5aba9369396649"/>
      <w:r w:rsidRPr="00E522FE">
        <w:rPr>
          <w:rFonts w:ascii="Times New Roman" w:hAnsi="Times New Roman" w:cs="Times New Roman"/>
          <w:b/>
          <w:bCs/>
          <w:sz w:val="24"/>
          <w:szCs w:val="24"/>
          <w:lang w:val="en-US"/>
        </w:rPr>
        <w:t>2.4 Analytical Tools and Statistical Framework</w:t>
      </w:r>
    </w:p>
    <w:p w14:paraId="71C63B29" w14:textId="14F268CF" w:rsidR="00E3000D" w:rsidRPr="00E522FE" w:rsidRDefault="00E3000D" w:rsidP="00E3000D">
      <w:pPr>
        <w:spacing w:line="276" w:lineRule="auto"/>
        <w:jc w:val="both"/>
        <w:rPr>
          <w:rFonts w:ascii="Times New Roman" w:hAnsi="Times New Roman" w:cs="Times New Roman"/>
          <w:sz w:val="24"/>
          <w:szCs w:val="24"/>
          <w:lang w:val="en-US"/>
        </w:rPr>
      </w:pPr>
      <w:r w:rsidRPr="00E522FE">
        <w:rPr>
          <w:rFonts w:ascii="Times New Roman" w:hAnsi="Times New Roman" w:cs="Times New Roman"/>
          <w:sz w:val="24"/>
          <w:szCs w:val="24"/>
          <w:lang w:val="en-US"/>
        </w:rPr>
        <w:t xml:space="preserve">To derive meaningful insights from the field-level data, the study utilized a combination of descriptive statistics, correlational analysis, qualitative thematic analysis, and a SWOT-based strategic framework. These tools enabled the triangulation of numeric and narrative findings, ensuring robust evaluation of the financial transformation and digital engagement of SHG women beneficiaries in </w:t>
      </w:r>
      <w:proofErr w:type="spellStart"/>
      <w:r w:rsidRPr="00E522FE">
        <w:rPr>
          <w:rFonts w:ascii="Times New Roman" w:hAnsi="Times New Roman" w:cs="Times New Roman"/>
          <w:sz w:val="24"/>
          <w:szCs w:val="24"/>
          <w:lang w:val="en-US"/>
        </w:rPr>
        <w:t>Simdega</w:t>
      </w:r>
      <w:proofErr w:type="spellEnd"/>
      <w:r w:rsidRPr="00E522FE">
        <w:rPr>
          <w:rFonts w:ascii="Times New Roman" w:hAnsi="Times New Roman" w:cs="Times New Roman"/>
          <w:sz w:val="24"/>
          <w:szCs w:val="24"/>
          <w:lang w:val="en-US"/>
        </w:rPr>
        <w:t>.</w:t>
      </w:r>
    </w:p>
    <w:p w14:paraId="5CD87F0A" w14:textId="05ABE87F" w:rsidR="00E3000D" w:rsidRPr="00E522FE" w:rsidRDefault="00E3000D" w:rsidP="00E3000D">
      <w:pPr>
        <w:spacing w:line="276" w:lineRule="auto"/>
        <w:jc w:val="both"/>
        <w:rPr>
          <w:rFonts w:ascii="Times New Roman" w:hAnsi="Times New Roman" w:cs="Times New Roman"/>
          <w:sz w:val="24"/>
          <w:szCs w:val="24"/>
          <w:lang w:val="en-US"/>
        </w:rPr>
      </w:pPr>
      <w:r w:rsidRPr="00E522FE">
        <w:rPr>
          <w:rFonts w:ascii="Times New Roman" w:hAnsi="Times New Roman" w:cs="Times New Roman"/>
          <w:b/>
          <w:bCs/>
          <w:sz w:val="24"/>
          <w:szCs w:val="24"/>
          <w:lang w:val="en-US"/>
        </w:rPr>
        <w:t>2.4.1 Descriptive Statistics</w:t>
      </w:r>
    </w:p>
    <w:p w14:paraId="2C6367DA" w14:textId="77777777" w:rsidR="00E3000D" w:rsidRPr="00E522FE" w:rsidRDefault="00E3000D" w:rsidP="00E3000D">
      <w:pPr>
        <w:spacing w:line="276" w:lineRule="auto"/>
        <w:jc w:val="both"/>
        <w:rPr>
          <w:rFonts w:ascii="Times New Roman" w:hAnsi="Times New Roman" w:cs="Times New Roman"/>
          <w:sz w:val="24"/>
          <w:szCs w:val="24"/>
          <w:lang w:val="en-US"/>
        </w:rPr>
      </w:pPr>
      <w:r w:rsidRPr="00E522FE">
        <w:rPr>
          <w:rFonts w:ascii="Times New Roman" w:hAnsi="Times New Roman" w:cs="Times New Roman"/>
          <w:sz w:val="24"/>
          <w:szCs w:val="24"/>
          <w:lang w:val="en-US"/>
        </w:rPr>
        <w:t xml:space="preserve">Descriptive statistical tools were applied to quantify socio-economic variables such as average household size, income levels, credit uptake, educational attainment, and asset </w:t>
      </w:r>
      <w:r w:rsidRPr="00E522FE">
        <w:rPr>
          <w:rFonts w:ascii="Times New Roman" w:hAnsi="Times New Roman" w:cs="Times New Roman"/>
          <w:sz w:val="24"/>
          <w:szCs w:val="24"/>
          <w:lang w:val="en-US"/>
        </w:rPr>
        <w:lastRenderedPageBreak/>
        <w:t xml:space="preserve">ownership. The mean and standard deviation were used to represent the central tendency and variability in the dataset, computed as in Eq.1 &amp; 2, </w:t>
      </w:r>
    </w:p>
    <w:p w14:paraId="30779265" w14:textId="7970D6FE" w:rsidR="00E3000D" w:rsidRPr="00E522FE" w:rsidRDefault="00E3000D" w:rsidP="00E3000D">
      <w:pPr>
        <w:spacing w:line="276" w:lineRule="auto"/>
        <w:jc w:val="center"/>
        <w:rPr>
          <w:rFonts w:ascii="Times New Roman" w:hAnsi="Times New Roman" w:cs="Times New Roman"/>
          <w:sz w:val="24"/>
          <w:szCs w:val="24"/>
          <w:lang w:val="en-US"/>
        </w:rPr>
      </w:pPr>
      <w:r w:rsidRPr="00E522FE">
        <w:rPr>
          <w:rFonts w:ascii="Times New Roman" w:eastAsiaTheme="minorEastAsia" w:hAnsi="Times New Roman" w:cs="Times New Roman"/>
          <w:sz w:val="24"/>
          <w:szCs w:val="24"/>
          <w:lang w:val="en-US"/>
        </w:rPr>
        <w:t xml:space="preserve">                                                               </w:t>
      </w:r>
      <m:oMath>
        <m:limUpp>
          <m:limUppPr>
            <m:ctrlPr>
              <w:rPr>
                <w:rFonts w:ascii="Cambria Math" w:hAnsi="Cambria Math" w:cs="Times New Roman"/>
                <w:sz w:val="24"/>
                <w:szCs w:val="24"/>
                <w:lang w:val="en-US"/>
              </w:rPr>
            </m:ctrlPr>
          </m:limUppPr>
          <m:e>
            <m:r>
              <w:rPr>
                <w:rFonts w:ascii="Cambria Math" w:hAnsi="Cambria Math" w:cs="Times New Roman"/>
                <w:sz w:val="24"/>
                <w:szCs w:val="24"/>
                <w:lang w:val="en-US"/>
              </w:rPr>
              <m:t>x</m:t>
            </m:r>
          </m:e>
          <m:lim>
            <m:r>
              <w:rPr>
                <w:rFonts w:ascii="Cambria Math" w:hAnsi="Cambria Math" w:cs="Times New Roman"/>
                <w:sz w:val="24"/>
                <w:szCs w:val="24"/>
                <w:lang w:val="en-US"/>
              </w:rPr>
              <m:t>ˉ</m:t>
            </m:r>
          </m:lim>
        </m:limUpp>
        <m:r>
          <m:rPr>
            <m:sty m:val="p"/>
          </m:rPr>
          <w:rPr>
            <w:rFonts w:ascii="Cambria Math" w:hAnsi="Cambria Math" w:cs="Times New Roman"/>
            <w:sz w:val="24"/>
            <w:szCs w:val="24"/>
            <w:lang w:val="en-US"/>
          </w:rPr>
          <m:t>=</m:t>
        </m:r>
        <m:f>
          <m:fPr>
            <m:ctrlPr>
              <w:rPr>
                <w:rFonts w:ascii="Cambria Math" w:hAnsi="Cambria Math" w:cs="Times New Roman"/>
                <w:sz w:val="24"/>
                <w:szCs w:val="24"/>
                <w:lang w:val="en-US"/>
              </w:rPr>
            </m:ctrlPr>
          </m:fPr>
          <m:num>
            <m:r>
              <w:rPr>
                <w:rFonts w:ascii="Cambria Math" w:hAnsi="Cambria Math" w:cs="Times New Roman"/>
                <w:sz w:val="24"/>
                <w:szCs w:val="24"/>
                <w:lang w:val="en-US"/>
              </w:rPr>
              <m:t>1</m:t>
            </m:r>
          </m:num>
          <m:den>
            <m:r>
              <w:rPr>
                <w:rFonts w:ascii="Cambria Math" w:hAnsi="Cambria Math" w:cs="Times New Roman"/>
                <w:sz w:val="24"/>
                <w:szCs w:val="24"/>
                <w:lang w:val="en-US"/>
              </w:rPr>
              <m:t>n</m:t>
            </m:r>
          </m:den>
        </m:f>
        <m:nary>
          <m:naryPr>
            <m:chr m:val="∑"/>
            <m:limLoc m:val="undOvr"/>
            <m:ctrlPr>
              <w:rPr>
                <w:rFonts w:ascii="Cambria Math" w:hAnsi="Cambria Math" w:cs="Times New Roman"/>
                <w:sz w:val="24"/>
                <w:szCs w:val="24"/>
                <w:lang w:val="en-US"/>
              </w:rPr>
            </m:ctrlPr>
          </m:naryPr>
          <m:sub>
            <m:r>
              <w:rPr>
                <w:rFonts w:ascii="Cambria Math" w:hAnsi="Cambria Math" w:cs="Times New Roman"/>
                <w:sz w:val="24"/>
                <w:szCs w:val="24"/>
                <w:lang w:val="en-US"/>
              </w:rPr>
              <m:t>i</m:t>
            </m:r>
            <m:r>
              <m:rPr>
                <m:sty m:val="p"/>
              </m:rPr>
              <w:rPr>
                <w:rFonts w:ascii="Cambria Math" w:hAnsi="Cambria Math" w:cs="Times New Roman"/>
                <w:sz w:val="24"/>
                <w:szCs w:val="24"/>
                <w:lang w:val="en-US"/>
              </w:rPr>
              <m:t>=</m:t>
            </m:r>
            <m:r>
              <w:rPr>
                <w:rFonts w:ascii="Cambria Math" w:hAnsi="Cambria Math" w:cs="Times New Roman"/>
                <w:sz w:val="24"/>
                <w:szCs w:val="24"/>
                <w:lang w:val="en-US"/>
              </w:rPr>
              <m:t>1</m:t>
            </m:r>
          </m:sub>
          <m:sup>
            <m:r>
              <w:rPr>
                <w:rFonts w:ascii="Cambria Math" w:hAnsi="Cambria Math" w:cs="Times New Roman"/>
                <w:sz w:val="24"/>
                <w:szCs w:val="24"/>
                <w:lang w:val="en-US"/>
              </w:rPr>
              <m:t>n</m:t>
            </m:r>
          </m:sup>
          <m:e>
            <m:sSub>
              <m:sSubPr>
                <m:ctrlPr>
                  <w:rPr>
                    <w:rFonts w:ascii="Cambria Math" w:hAnsi="Cambria Math" w:cs="Times New Roman"/>
                    <w:sz w:val="24"/>
                    <w:szCs w:val="24"/>
                    <w:lang w:val="en-US"/>
                  </w:rPr>
                </m:ctrlPr>
              </m:sSubPr>
              <m:e>
                <m:r>
                  <w:rPr>
                    <w:rFonts w:ascii="Cambria Math" w:hAnsi="Cambria Math" w:cs="Times New Roman"/>
                    <w:sz w:val="24"/>
                    <w:szCs w:val="24"/>
                    <w:lang w:val="en-US"/>
                  </w:rPr>
                  <m:t>x</m:t>
                </m:r>
              </m:e>
              <m:sub>
                <m:r>
                  <w:rPr>
                    <w:rFonts w:ascii="Cambria Math" w:hAnsi="Cambria Math" w:cs="Times New Roman"/>
                    <w:sz w:val="24"/>
                    <w:szCs w:val="24"/>
                    <w:lang w:val="en-US"/>
                  </w:rPr>
                  <m:t>i</m:t>
                </m:r>
              </m:sub>
            </m:sSub>
          </m:e>
        </m:nary>
      </m:oMath>
      <w:r w:rsidRPr="00E522FE">
        <w:rPr>
          <w:rFonts w:ascii="Times New Roman" w:eastAsiaTheme="minorEastAsia" w:hAnsi="Times New Roman" w:cs="Times New Roman"/>
          <w:sz w:val="24"/>
          <w:szCs w:val="24"/>
          <w:lang w:val="en-US"/>
        </w:rPr>
        <w:t xml:space="preserve">                                                                    (1)</w:t>
      </w:r>
    </w:p>
    <w:p w14:paraId="1199CDF9" w14:textId="6DA821C0" w:rsidR="00E3000D" w:rsidRPr="00E522FE" w:rsidRDefault="00E3000D" w:rsidP="00E3000D">
      <w:pPr>
        <w:spacing w:line="276" w:lineRule="auto"/>
        <w:jc w:val="center"/>
        <w:rPr>
          <w:rFonts w:ascii="Times New Roman" w:hAnsi="Times New Roman" w:cs="Times New Roman"/>
          <w:sz w:val="24"/>
          <w:szCs w:val="24"/>
          <w:lang w:val="en-US"/>
        </w:rPr>
      </w:pPr>
      <w:r w:rsidRPr="00E522FE">
        <w:rPr>
          <w:rFonts w:ascii="Times New Roman" w:eastAsiaTheme="minorEastAsia" w:hAnsi="Times New Roman" w:cs="Times New Roman"/>
          <w:sz w:val="24"/>
          <w:szCs w:val="24"/>
          <w:lang w:val="en-US"/>
        </w:rPr>
        <w:t xml:space="preserve">                                                           </w:t>
      </w:r>
      <m:oMath>
        <m:r>
          <w:rPr>
            <w:rFonts w:ascii="Cambria Math" w:hAnsi="Cambria Math" w:cs="Times New Roman"/>
            <w:sz w:val="24"/>
            <w:szCs w:val="24"/>
            <w:lang w:val="en-US"/>
          </w:rPr>
          <m:t>σ</m:t>
        </m:r>
        <m:r>
          <m:rPr>
            <m:sty m:val="p"/>
          </m:rPr>
          <w:rPr>
            <w:rFonts w:ascii="Cambria Math" w:hAnsi="Cambria Math" w:cs="Times New Roman"/>
            <w:sz w:val="24"/>
            <w:szCs w:val="24"/>
            <w:lang w:val="en-US"/>
          </w:rPr>
          <m:t>=</m:t>
        </m:r>
        <m:rad>
          <m:radPr>
            <m:degHide m:val="1"/>
            <m:ctrlPr>
              <w:rPr>
                <w:rFonts w:ascii="Cambria Math" w:hAnsi="Cambria Math" w:cs="Times New Roman"/>
                <w:sz w:val="24"/>
                <w:szCs w:val="24"/>
                <w:lang w:val="en-US"/>
              </w:rPr>
            </m:ctrlPr>
          </m:radPr>
          <m:deg/>
          <m:e>
            <m:f>
              <m:fPr>
                <m:ctrlPr>
                  <w:rPr>
                    <w:rFonts w:ascii="Cambria Math" w:hAnsi="Cambria Math" w:cs="Times New Roman"/>
                    <w:sz w:val="24"/>
                    <w:szCs w:val="24"/>
                    <w:lang w:val="en-US"/>
                  </w:rPr>
                </m:ctrlPr>
              </m:fPr>
              <m:num>
                <m:r>
                  <w:rPr>
                    <w:rFonts w:ascii="Cambria Math" w:hAnsi="Cambria Math" w:cs="Times New Roman"/>
                    <w:sz w:val="24"/>
                    <w:szCs w:val="24"/>
                    <w:lang w:val="en-US"/>
                  </w:rPr>
                  <m:t>1</m:t>
                </m:r>
              </m:num>
              <m:den>
                <m:r>
                  <w:rPr>
                    <w:rFonts w:ascii="Cambria Math" w:hAnsi="Cambria Math" w:cs="Times New Roman"/>
                    <w:sz w:val="24"/>
                    <w:szCs w:val="24"/>
                    <w:lang w:val="en-US"/>
                  </w:rPr>
                  <m:t>n</m:t>
                </m:r>
                <m:r>
                  <m:rPr>
                    <m:sty m:val="p"/>
                  </m:rPr>
                  <w:rPr>
                    <w:rFonts w:ascii="Cambria Math" w:hAnsi="Cambria Math" w:cs="Times New Roman"/>
                    <w:sz w:val="24"/>
                    <w:szCs w:val="24"/>
                    <w:lang w:val="en-US"/>
                  </w:rPr>
                  <m:t>-</m:t>
                </m:r>
                <m:r>
                  <w:rPr>
                    <w:rFonts w:ascii="Cambria Math" w:hAnsi="Cambria Math" w:cs="Times New Roman"/>
                    <w:sz w:val="24"/>
                    <w:szCs w:val="24"/>
                    <w:lang w:val="en-US"/>
                  </w:rPr>
                  <m:t>1</m:t>
                </m:r>
              </m:den>
            </m:f>
            <m:nary>
              <m:naryPr>
                <m:chr m:val="∑"/>
                <m:limLoc m:val="undOvr"/>
                <m:ctrlPr>
                  <w:rPr>
                    <w:rFonts w:ascii="Cambria Math" w:hAnsi="Cambria Math" w:cs="Times New Roman"/>
                    <w:sz w:val="24"/>
                    <w:szCs w:val="24"/>
                    <w:lang w:val="en-US"/>
                  </w:rPr>
                </m:ctrlPr>
              </m:naryPr>
              <m:sub>
                <m:r>
                  <w:rPr>
                    <w:rFonts w:ascii="Cambria Math" w:hAnsi="Cambria Math" w:cs="Times New Roman"/>
                    <w:sz w:val="24"/>
                    <w:szCs w:val="24"/>
                    <w:lang w:val="en-US"/>
                  </w:rPr>
                  <m:t>i</m:t>
                </m:r>
                <m:r>
                  <m:rPr>
                    <m:sty m:val="p"/>
                  </m:rPr>
                  <w:rPr>
                    <w:rFonts w:ascii="Cambria Math" w:hAnsi="Cambria Math" w:cs="Times New Roman"/>
                    <w:sz w:val="24"/>
                    <w:szCs w:val="24"/>
                    <w:lang w:val="en-US"/>
                  </w:rPr>
                  <m:t>=</m:t>
                </m:r>
                <m:r>
                  <w:rPr>
                    <w:rFonts w:ascii="Cambria Math" w:hAnsi="Cambria Math" w:cs="Times New Roman"/>
                    <w:sz w:val="24"/>
                    <w:szCs w:val="24"/>
                    <w:lang w:val="en-US"/>
                  </w:rPr>
                  <m:t>1</m:t>
                </m:r>
              </m:sub>
              <m:sup>
                <m:r>
                  <w:rPr>
                    <w:rFonts w:ascii="Cambria Math" w:hAnsi="Cambria Math" w:cs="Times New Roman"/>
                    <w:sz w:val="24"/>
                    <w:szCs w:val="24"/>
                    <w:lang w:val="en-US"/>
                  </w:rPr>
                  <m:t>n</m:t>
                </m:r>
              </m:sup>
              <m:e>
                <m:sSup>
                  <m:sSupPr>
                    <m:ctrlPr>
                      <w:rPr>
                        <w:rFonts w:ascii="Cambria Math" w:hAnsi="Cambria Math" w:cs="Times New Roman"/>
                        <w:sz w:val="24"/>
                        <w:szCs w:val="24"/>
                        <w:lang w:val="en-US"/>
                      </w:rPr>
                    </m:ctrlPr>
                  </m:sSupPr>
                  <m:e>
                    <m:d>
                      <m:dPr>
                        <m:ctrlPr>
                          <w:rPr>
                            <w:rFonts w:ascii="Cambria Math" w:hAnsi="Cambria Math" w:cs="Times New Roman"/>
                            <w:sz w:val="24"/>
                            <w:szCs w:val="24"/>
                            <w:lang w:val="en-US"/>
                          </w:rPr>
                        </m:ctrlPr>
                      </m:dPr>
                      <m:e>
                        <m:sSub>
                          <m:sSubPr>
                            <m:ctrlPr>
                              <w:rPr>
                                <w:rFonts w:ascii="Cambria Math" w:hAnsi="Cambria Math" w:cs="Times New Roman"/>
                                <w:sz w:val="24"/>
                                <w:szCs w:val="24"/>
                                <w:lang w:val="en-US"/>
                              </w:rPr>
                            </m:ctrlPr>
                          </m:sSubPr>
                          <m:e>
                            <m:r>
                              <w:rPr>
                                <w:rFonts w:ascii="Cambria Math" w:hAnsi="Cambria Math" w:cs="Times New Roman"/>
                                <w:sz w:val="24"/>
                                <w:szCs w:val="24"/>
                                <w:lang w:val="en-US"/>
                              </w:rPr>
                              <m:t>x</m:t>
                            </m:r>
                          </m:e>
                          <m:sub>
                            <m:r>
                              <w:rPr>
                                <w:rFonts w:ascii="Cambria Math" w:hAnsi="Cambria Math" w:cs="Times New Roman"/>
                                <w:sz w:val="24"/>
                                <w:szCs w:val="24"/>
                                <w:lang w:val="en-US"/>
                              </w:rPr>
                              <m:t>i</m:t>
                            </m:r>
                          </m:sub>
                        </m:sSub>
                        <m:r>
                          <m:rPr>
                            <m:sty m:val="p"/>
                          </m:rPr>
                          <w:rPr>
                            <w:rFonts w:ascii="Cambria Math" w:hAnsi="Cambria Math" w:cs="Times New Roman"/>
                            <w:sz w:val="24"/>
                            <w:szCs w:val="24"/>
                            <w:lang w:val="en-US"/>
                          </w:rPr>
                          <m:t>-</m:t>
                        </m:r>
                        <m:limUpp>
                          <m:limUppPr>
                            <m:ctrlPr>
                              <w:rPr>
                                <w:rFonts w:ascii="Cambria Math" w:hAnsi="Cambria Math" w:cs="Times New Roman"/>
                                <w:sz w:val="24"/>
                                <w:szCs w:val="24"/>
                                <w:lang w:val="en-US"/>
                              </w:rPr>
                            </m:ctrlPr>
                          </m:limUppPr>
                          <m:e>
                            <m:r>
                              <w:rPr>
                                <w:rFonts w:ascii="Cambria Math" w:hAnsi="Cambria Math" w:cs="Times New Roman"/>
                                <w:sz w:val="24"/>
                                <w:szCs w:val="24"/>
                                <w:lang w:val="en-US"/>
                              </w:rPr>
                              <m:t>x</m:t>
                            </m:r>
                          </m:e>
                          <m:lim>
                            <m:r>
                              <w:rPr>
                                <w:rFonts w:ascii="Cambria Math" w:hAnsi="Cambria Math" w:cs="Times New Roman"/>
                                <w:sz w:val="24"/>
                                <w:szCs w:val="24"/>
                                <w:lang w:val="en-US"/>
                              </w:rPr>
                              <m:t>ˉ</m:t>
                            </m:r>
                          </m:lim>
                        </m:limUpp>
                      </m:e>
                    </m:d>
                  </m:e>
                  <m:sup>
                    <m:r>
                      <w:rPr>
                        <w:rFonts w:ascii="Cambria Math" w:hAnsi="Cambria Math" w:cs="Times New Roman"/>
                        <w:sz w:val="24"/>
                        <w:szCs w:val="24"/>
                        <w:lang w:val="en-US"/>
                      </w:rPr>
                      <m:t>2</m:t>
                    </m:r>
                  </m:sup>
                </m:sSup>
              </m:e>
            </m:nary>
          </m:e>
        </m:rad>
      </m:oMath>
      <w:r w:rsidRPr="00E522FE">
        <w:rPr>
          <w:rFonts w:ascii="Times New Roman" w:hAnsi="Times New Roman" w:cs="Times New Roman"/>
          <w:sz w:val="24"/>
          <w:szCs w:val="24"/>
          <w:lang w:val="en-US"/>
        </w:rPr>
        <w:t xml:space="preserve"> ​                                                     (2)</w:t>
      </w:r>
    </w:p>
    <w:p w14:paraId="7BD9A29D" w14:textId="241B1B57" w:rsidR="00E3000D" w:rsidRPr="00E522FE" w:rsidRDefault="00E3000D" w:rsidP="00E3000D">
      <w:pPr>
        <w:spacing w:line="276" w:lineRule="auto"/>
        <w:jc w:val="both"/>
        <w:rPr>
          <w:rFonts w:ascii="Times New Roman" w:hAnsi="Times New Roman" w:cs="Times New Roman"/>
          <w:sz w:val="24"/>
          <w:szCs w:val="24"/>
          <w:lang w:val="en-US"/>
        </w:rPr>
      </w:pPr>
      <w:r w:rsidRPr="00E522FE">
        <w:rPr>
          <w:rFonts w:ascii="Times New Roman" w:hAnsi="Times New Roman" w:cs="Times New Roman"/>
          <w:sz w:val="24"/>
          <w:szCs w:val="24"/>
          <w:lang w:val="en-US"/>
        </w:rPr>
        <w:t xml:space="preserve">Where, </w:t>
      </w:r>
      <m:oMath>
        <m:sSub>
          <m:sSubPr>
            <m:ctrlPr>
              <w:rPr>
                <w:rFonts w:ascii="Cambria Math" w:hAnsi="Cambria Math" w:cs="Times New Roman"/>
                <w:sz w:val="24"/>
                <w:szCs w:val="24"/>
                <w:lang w:val="en-US"/>
              </w:rPr>
            </m:ctrlPr>
          </m:sSubPr>
          <m:e>
            <m:r>
              <w:rPr>
                <w:rFonts w:ascii="Cambria Math" w:hAnsi="Cambria Math" w:cs="Times New Roman"/>
                <w:sz w:val="24"/>
                <w:szCs w:val="24"/>
                <w:lang w:val="en-US"/>
              </w:rPr>
              <m:t>x</m:t>
            </m:r>
          </m:e>
          <m:sub>
            <m:r>
              <w:rPr>
                <w:rFonts w:ascii="Cambria Math" w:hAnsi="Cambria Math" w:cs="Times New Roman"/>
                <w:sz w:val="24"/>
                <w:szCs w:val="24"/>
                <w:lang w:val="en-US"/>
              </w:rPr>
              <m:t>i</m:t>
            </m:r>
          </m:sub>
        </m:sSub>
      </m:oMath>
      <w:r w:rsidRPr="00E522FE">
        <w:rPr>
          <w:rFonts w:ascii="Times New Roman" w:hAnsi="Times New Roman" w:cs="Times New Roman"/>
          <w:sz w:val="24"/>
          <w:szCs w:val="24"/>
          <w:lang w:val="en-US"/>
        </w:rPr>
        <w:t xml:space="preserve"> represents the individual observation (e.g., income), xˉ is the sample mean, σ is the standard deviation and n is the total sample size. Through these metrics, the study captured the variations in income and digital access across different blocks. Categorical data such as type of enterprise, banking tool usage, and training participation were summarized using frequency distributions and percentage breakdowns via SPSS v21 and Microsoft Excel.</w:t>
      </w:r>
    </w:p>
    <w:p w14:paraId="67405758" w14:textId="385C5999" w:rsidR="00E3000D" w:rsidRPr="00E522FE" w:rsidRDefault="00E3000D" w:rsidP="00E3000D">
      <w:pPr>
        <w:spacing w:line="276" w:lineRule="auto"/>
        <w:jc w:val="both"/>
        <w:rPr>
          <w:rFonts w:ascii="Times New Roman" w:hAnsi="Times New Roman" w:cs="Times New Roman"/>
          <w:sz w:val="24"/>
          <w:szCs w:val="24"/>
          <w:lang w:val="en-US"/>
        </w:rPr>
      </w:pPr>
      <w:bookmarkStart w:id="2" w:name="descriptive-statistics"/>
      <w:bookmarkEnd w:id="2"/>
      <w:r w:rsidRPr="00E522FE">
        <w:rPr>
          <w:rFonts w:ascii="Times New Roman" w:hAnsi="Times New Roman" w:cs="Times New Roman"/>
          <w:b/>
          <w:bCs/>
          <w:sz w:val="24"/>
          <w:szCs w:val="24"/>
          <w:lang w:val="en-US"/>
        </w:rPr>
        <w:t>2.4.2 Cross-tabulation and Correlation</w:t>
      </w:r>
    </w:p>
    <w:p w14:paraId="50D224B1" w14:textId="1DFAC425" w:rsidR="00E3000D" w:rsidRPr="00E522FE" w:rsidRDefault="00E3000D" w:rsidP="00E3000D">
      <w:pPr>
        <w:spacing w:line="276" w:lineRule="auto"/>
        <w:jc w:val="both"/>
        <w:rPr>
          <w:rFonts w:ascii="Times New Roman" w:hAnsi="Times New Roman" w:cs="Times New Roman"/>
          <w:sz w:val="24"/>
          <w:szCs w:val="24"/>
          <w:lang w:val="en-US"/>
        </w:rPr>
      </w:pPr>
      <w:r w:rsidRPr="00E522FE">
        <w:rPr>
          <w:rFonts w:ascii="Times New Roman" w:hAnsi="Times New Roman" w:cs="Times New Roman"/>
          <w:sz w:val="24"/>
          <w:szCs w:val="24"/>
          <w:lang w:val="en-US"/>
        </w:rPr>
        <w:t xml:space="preserve">To explore relationships among key variables such as training exposure and digital service adoption or loan size and income growth cross-tabulation was performed. This allowed bivariate comparisons of variable distributions across different respondent segments. Furthermore, Pearson’s correlation coefficient was computed to quantify the linear association between continuous variables, using Eq.3, </w:t>
      </w:r>
    </w:p>
    <w:p w14:paraId="6C8AA280" w14:textId="50431F6A" w:rsidR="00E3000D" w:rsidRPr="00E522FE" w:rsidRDefault="00E3000D" w:rsidP="00E3000D">
      <w:pPr>
        <w:spacing w:line="276" w:lineRule="auto"/>
        <w:jc w:val="center"/>
        <w:rPr>
          <w:sz w:val="24"/>
          <w:szCs w:val="24"/>
          <w:lang w:val="en-US"/>
        </w:rPr>
      </w:pPr>
      <w:r w:rsidRPr="00E522FE">
        <w:rPr>
          <w:rFonts w:ascii="Times New Roman" w:eastAsiaTheme="minorEastAsia" w:hAnsi="Times New Roman" w:cs="Times New Roman"/>
          <w:sz w:val="24"/>
          <w:szCs w:val="24"/>
          <w:lang w:val="en-US"/>
        </w:rPr>
        <w:t xml:space="preserve">                                                            </w:t>
      </w:r>
      <m:oMath>
        <m:r>
          <w:rPr>
            <w:rFonts w:ascii="Cambria Math" w:hAnsi="Cambria Math" w:cs="Times New Roman"/>
            <w:sz w:val="24"/>
            <w:szCs w:val="24"/>
            <w:lang w:val="en-US"/>
          </w:rPr>
          <m:t>r</m:t>
        </m:r>
        <m:r>
          <m:rPr>
            <m:sty m:val="p"/>
          </m:rPr>
          <w:rPr>
            <w:rFonts w:ascii="Cambria Math" w:hAnsi="Cambria Math" w:cs="Times New Roman"/>
            <w:sz w:val="24"/>
            <w:szCs w:val="24"/>
            <w:lang w:val="en-US"/>
          </w:rPr>
          <m:t>=</m:t>
        </m:r>
        <m:f>
          <m:fPr>
            <m:ctrlPr>
              <w:rPr>
                <w:rFonts w:ascii="Cambria Math" w:hAnsi="Cambria Math" w:cs="Times New Roman"/>
                <w:sz w:val="24"/>
                <w:szCs w:val="24"/>
                <w:lang w:val="en-US"/>
              </w:rPr>
            </m:ctrlPr>
          </m:fPr>
          <m:num>
            <m:r>
              <m:rPr>
                <m:sty m:val="p"/>
              </m:rPr>
              <w:rPr>
                <w:rFonts w:ascii="Cambria Math" w:hAnsi="Cambria Math" w:cs="Times New Roman"/>
                <w:sz w:val="24"/>
                <w:szCs w:val="24"/>
                <w:lang w:val="en-US"/>
              </w:rPr>
              <m:t>∑</m:t>
            </m:r>
            <m:d>
              <m:dPr>
                <m:ctrlPr>
                  <w:rPr>
                    <w:rFonts w:ascii="Cambria Math" w:hAnsi="Cambria Math" w:cs="Times New Roman"/>
                    <w:sz w:val="24"/>
                    <w:szCs w:val="24"/>
                    <w:lang w:val="en-US"/>
                  </w:rPr>
                </m:ctrlPr>
              </m:dPr>
              <m:e>
                <m:sSub>
                  <m:sSubPr>
                    <m:ctrlPr>
                      <w:rPr>
                        <w:rFonts w:ascii="Cambria Math" w:hAnsi="Cambria Math" w:cs="Times New Roman"/>
                        <w:sz w:val="24"/>
                        <w:szCs w:val="24"/>
                        <w:lang w:val="en-US"/>
                      </w:rPr>
                    </m:ctrlPr>
                  </m:sSubPr>
                  <m:e>
                    <m:r>
                      <w:rPr>
                        <w:rFonts w:ascii="Cambria Math" w:hAnsi="Cambria Math" w:cs="Times New Roman"/>
                        <w:sz w:val="24"/>
                        <w:szCs w:val="24"/>
                        <w:lang w:val="en-US"/>
                      </w:rPr>
                      <m:t>x</m:t>
                    </m:r>
                  </m:e>
                  <m:sub>
                    <m:r>
                      <w:rPr>
                        <w:rFonts w:ascii="Cambria Math" w:hAnsi="Cambria Math" w:cs="Times New Roman"/>
                        <w:sz w:val="24"/>
                        <w:szCs w:val="24"/>
                        <w:lang w:val="en-US"/>
                      </w:rPr>
                      <m:t>i</m:t>
                    </m:r>
                  </m:sub>
                </m:sSub>
                <m:r>
                  <m:rPr>
                    <m:sty m:val="p"/>
                  </m:rPr>
                  <w:rPr>
                    <w:rFonts w:ascii="Cambria Math" w:hAnsi="Cambria Math" w:cs="Times New Roman"/>
                    <w:sz w:val="24"/>
                    <w:szCs w:val="24"/>
                    <w:lang w:val="en-US"/>
                  </w:rPr>
                  <m:t>-</m:t>
                </m:r>
                <m:limUpp>
                  <m:limUppPr>
                    <m:ctrlPr>
                      <w:rPr>
                        <w:rFonts w:ascii="Cambria Math" w:hAnsi="Cambria Math" w:cs="Times New Roman"/>
                        <w:sz w:val="24"/>
                        <w:szCs w:val="24"/>
                        <w:lang w:val="en-US"/>
                      </w:rPr>
                    </m:ctrlPr>
                  </m:limUppPr>
                  <m:e>
                    <m:r>
                      <w:rPr>
                        <w:rFonts w:ascii="Cambria Math" w:hAnsi="Cambria Math" w:cs="Times New Roman"/>
                        <w:sz w:val="24"/>
                        <w:szCs w:val="24"/>
                        <w:lang w:val="en-US"/>
                      </w:rPr>
                      <m:t>x</m:t>
                    </m:r>
                  </m:e>
                  <m:lim>
                    <m:r>
                      <w:rPr>
                        <w:rFonts w:ascii="Cambria Math" w:hAnsi="Cambria Math" w:cs="Times New Roman"/>
                        <w:sz w:val="24"/>
                        <w:szCs w:val="24"/>
                        <w:lang w:val="en-US"/>
                      </w:rPr>
                      <m:t>ˉ</m:t>
                    </m:r>
                  </m:lim>
                </m:limUpp>
              </m:e>
            </m:d>
            <m:d>
              <m:dPr>
                <m:ctrlPr>
                  <w:rPr>
                    <w:rFonts w:ascii="Cambria Math" w:hAnsi="Cambria Math" w:cs="Times New Roman"/>
                    <w:sz w:val="24"/>
                    <w:szCs w:val="24"/>
                    <w:lang w:val="en-US"/>
                  </w:rPr>
                </m:ctrlPr>
              </m:dPr>
              <m:e>
                <m:sSub>
                  <m:sSubPr>
                    <m:ctrlPr>
                      <w:rPr>
                        <w:rFonts w:ascii="Cambria Math" w:hAnsi="Cambria Math" w:cs="Times New Roman"/>
                        <w:sz w:val="24"/>
                        <w:szCs w:val="24"/>
                        <w:lang w:val="en-US"/>
                      </w:rPr>
                    </m:ctrlPr>
                  </m:sSubPr>
                  <m:e>
                    <m:r>
                      <w:rPr>
                        <w:rFonts w:ascii="Cambria Math" w:hAnsi="Cambria Math" w:cs="Times New Roman"/>
                        <w:sz w:val="24"/>
                        <w:szCs w:val="24"/>
                        <w:lang w:val="en-US"/>
                      </w:rPr>
                      <m:t>y</m:t>
                    </m:r>
                  </m:e>
                  <m:sub>
                    <m:r>
                      <w:rPr>
                        <w:rFonts w:ascii="Cambria Math" w:hAnsi="Cambria Math" w:cs="Times New Roman"/>
                        <w:sz w:val="24"/>
                        <w:szCs w:val="24"/>
                        <w:lang w:val="en-US"/>
                      </w:rPr>
                      <m:t>i</m:t>
                    </m:r>
                  </m:sub>
                </m:sSub>
                <m:r>
                  <m:rPr>
                    <m:sty m:val="p"/>
                  </m:rPr>
                  <w:rPr>
                    <w:rFonts w:ascii="Cambria Math" w:hAnsi="Cambria Math" w:cs="Times New Roman"/>
                    <w:sz w:val="24"/>
                    <w:szCs w:val="24"/>
                    <w:lang w:val="en-US"/>
                  </w:rPr>
                  <m:t>-</m:t>
                </m:r>
                <m:limUpp>
                  <m:limUppPr>
                    <m:ctrlPr>
                      <w:rPr>
                        <w:rFonts w:ascii="Cambria Math" w:hAnsi="Cambria Math" w:cs="Times New Roman"/>
                        <w:sz w:val="24"/>
                        <w:szCs w:val="24"/>
                        <w:lang w:val="en-US"/>
                      </w:rPr>
                    </m:ctrlPr>
                  </m:limUppPr>
                  <m:e>
                    <m:r>
                      <w:rPr>
                        <w:rFonts w:ascii="Cambria Math" w:hAnsi="Cambria Math" w:cs="Times New Roman"/>
                        <w:sz w:val="24"/>
                        <w:szCs w:val="24"/>
                        <w:lang w:val="en-US"/>
                      </w:rPr>
                      <m:t>y</m:t>
                    </m:r>
                  </m:e>
                  <m:lim>
                    <m:r>
                      <w:rPr>
                        <w:rFonts w:ascii="Cambria Math" w:hAnsi="Cambria Math" w:cs="Times New Roman"/>
                        <w:sz w:val="24"/>
                        <w:szCs w:val="24"/>
                        <w:lang w:val="en-US"/>
                      </w:rPr>
                      <m:t>ˉ</m:t>
                    </m:r>
                  </m:lim>
                </m:limUpp>
              </m:e>
            </m:d>
          </m:num>
          <m:den>
            <m:rad>
              <m:radPr>
                <m:degHide m:val="1"/>
                <m:ctrlPr>
                  <w:rPr>
                    <w:rFonts w:ascii="Cambria Math" w:hAnsi="Cambria Math" w:cs="Times New Roman"/>
                    <w:sz w:val="24"/>
                    <w:szCs w:val="24"/>
                    <w:lang w:val="en-US"/>
                  </w:rPr>
                </m:ctrlPr>
              </m:radPr>
              <m:deg/>
              <m:e>
                <m:r>
                  <m:rPr>
                    <m:sty m:val="p"/>
                  </m:rPr>
                  <w:rPr>
                    <w:rFonts w:ascii="Cambria Math" w:hAnsi="Cambria Math" w:cs="Times New Roman"/>
                    <w:sz w:val="24"/>
                    <w:szCs w:val="24"/>
                    <w:lang w:val="en-US"/>
                  </w:rPr>
                  <m:t>∑</m:t>
                </m:r>
                <m:sSup>
                  <m:sSupPr>
                    <m:ctrlPr>
                      <w:rPr>
                        <w:rFonts w:ascii="Cambria Math" w:hAnsi="Cambria Math" w:cs="Times New Roman"/>
                        <w:sz w:val="24"/>
                        <w:szCs w:val="24"/>
                        <w:lang w:val="en-US"/>
                      </w:rPr>
                    </m:ctrlPr>
                  </m:sSupPr>
                  <m:e>
                    <m:d>
                      <m:dPr>
                        <m:ctrlPr>
                          <w:rPr>
                            <w:rFonts w:ascii="Cambria Math" w:hAnsi="Cambria Math" w:cs="Times New Roman"/>
                            <w:sz w:val="24"/>
                            <w:szCs w:val="24"/>
                            <w:lang w:val="en-US"/>
                          </w:rPr>
                        </m:ctrlPr>
                      </m:dPr>
                      <m:e>
                        <m:sSub>
                          <m:sSubPr>
                            <m:ctrlPr>
                              <w:rPr>
                                <w:rFonts w:ascii="Cambria Math" w:hAnsi="Cambria Math" w:cs="Times New Roman"/>
                                <w:sz w:val="24"/>
                                <w:szCs w:val="24"/>
                                <w:lang w:val="en-US"/>
                              </w:rPr>
                            </m:ctrlPr>
                          </m:sSubPr>
                          <m:e>
                            <m:r>
                              <w:rPr>
                                <w:rFonts w:ascii="Cambria Math" w:hAnsi="Cambria Math" w:cs="Times New Roman"/>
                                <w:sz w:val="24"/>
                                <w:szCs w:val="24"/>
                                <w:lang w:val="en-US"/>
                              </w:rPr>
                              <m:t>x</m:t>
                            </m:r>
                          </m:e>
                          <m:sub>
                            <m:r>
                              <w:rPr>
                                <w:rFonts w:ascii="Cambria Math" w:hAnsi="Cambria Math" w:cs="Times New Roman"/>
                                <w:sz w:val="24"/>
                                <w:szCs w:val="24"/>
                                <w:lang w:val="en-US"/>
                              </w:rPr>
                              <m:t>i</m:t>
                            </m:r>
                          </m:sub>
                        </m:sSub>
                        <m:r>
                          <m:rPr>
                            <m:sty m:val="p"/>
                          </m:rPr>
                          <w:rPr>
                            <w:rFonts w:ascii="Cambria Math" w:hAnsi="Cambria Math" w:cs="Times New Roman"/>
                            <w:sz w:val="24"/>
                            <w:szCs w:val="24"/>
                            <w:lang w:val="en-US"/>
                          </w:rPr>
                          <m:t>-</m:t>
                        </m:r>
                        <m:limUpp>
                          <m:limUppPr>
                            <m:ctrlPr>
                              <w:rPr>
                                <w:rFonts w:ascii="Cambria Math" w:hAnsi="Cambria Math" w:cs="Times New Roman"/>
                                <w:sz w:val="24"/>
                                <w:szCs w:val="24"/>
                                <w:lang w:val="en-US"/>
                              </w:rPr>
                            </m:ctrlPr>
                          </m:limUppPr>
                          <m:e>
                            <m:r>
                              <w:rPr>
                                <w:rFonts w:ascii="Cambria Math" w:hAnsi="Cambria Math" w:cs="Times New Roman"/>
                                <w:sz w:val="24"/>
                                <w:szCs w:val="24"/>
                                <w:lang w:val="en-US"/>
                              </w:rPr>
                              <m:t>x</m:t>
                            </m:r>
                          </m:e>
                          <m:lim>
                            <m:r>
                              <w:rPr>
                                <w:rFonts w:ascii="Cambria Math" w:hAnsi="Cambria Math" w:cs="Times New Roman"/>
                                <w:sz w:val="24"/>
                                <w:szCs w:val="24"/>
                                <w:lang w:val="en-US"/>
                              </w:rPr>
                              <m:t>ˉ</m:t>
                            </m:r>
                          </m:lim>
                        </m:limUpp>
                      </m:e>
                    </m:d>
                  </m:e>
                  <m:sup>
                    <m:r>
                      <w:rPr>
                        <w:rFonts w:ascii="Cambria Math" w:hAnsi="Cambria Math" w:cs="Times New Roman"/>
                        <w:sz w:val="24"/>
                        <w:szCs w:val="24"/>
                        <w:lang w:val="en-US"/>
                      </w:rPr>
                      <m:t>2</m:t>
                    </m:r>
                  </m:sup>
                </m:sSup>
                <m:r>
                  <m:rPr>
                    <m:sty m:val="p"/>
                  </m:rPr>
                  <w:rPr>
                    <w:rFonts w:ascii="Cambria Math" w:hAnsi="Cambria Math" w:cs="Times New Roman"/>
                    <w:sz w:val="24"/>
                    <w:szCs w:val="24"/>
                    <w:lang w:val="en-US"/>
                  </w:rPr>
                  <m:t>∑</m:t>
                </m:r>
                <m:sSup>
                  <m:sSupPr>
                    <m:ctrlPr>
                      <w:rPr>
                        <w:rFonts w:ascii="Cambria Math" w:hAnsi="Cambria Math" w:cs="Times New Roman"/>
                        <w:sz w:val="24"/>
                        <w:szCs w:val="24"/>
                        <w:lang w:val="en-US"/>
                      </w:rPr>
                    </m:ctrlPr>
                  </m:sSupPr>
                  <m:e>
                    <m:d>
                      <m:dPr>
                        <m:ctrlPr>
                          <w:rPr>
                            <w:rFonts w:ascii="Cambria Math" w:hAnsi="Cambria Math" w:cs="Times New Roman"/>
                            <w:sz w:val="24"/>
                            <w:szCs w:val="24"/>
                            <w:lang w:val="en-US"/>
                          </w:rPr>
                        </m:ctrlPr>
                      </m:dPr>
                      <m:e>
                        <m:sSub>
                          <m:sSubPr>
                            <m:ctrlPr>
                              <w:rPr>
                                <w:rFonts w:ascii="Cambria Math" w:hAnsi="Cambria Math" w:cs="Times New Roman"/>
                                <w:sz w:val="24"/>
                                <w:szCs w:val="24"/>
                                <w:lang w:val="en-US"/>
                              </w:rPr>
                            </m:ctrlPr>
                          </m:sSubPr>
                          <m:e>
                            <m:r>
                              <w:rPr>
                                <w:rFonts w:ascii="Cambria Math" w:hAnsi="Cambria Math" w:cs="Times New Roman"/>
                                <w:sz w:val="24"/>
                                <w:szCs w:val="24"/>
                                <w:lang w:val="en-US"/>
                              </w:rPr>
                              <m:t>y</m:t>
                            </m:r>
                          </m:e>
                          <m:sub>
                            <m:r>
                              <w:rPr>
                                <w:rFonts w:ascii="Cambria Math" w:hAnsi="Cambria Math" w:cs="Times New Roman"/>
                                <w:sz w:val="24"/>
                                <w:szCs w:val="24"/>
                                <w:lang w:val="en-US"/>
                              </w:rPr>
                              <m:t>i</m:t>
                            </m:r>
                          </m:sub>
                        </m:sSub>
                        <m:r>
                          <m:rPr>
                            <m:sty m:val="p"/>
                          </m:rPr>
                          <w:rPr>
                            <w:rFonts w:ascii="Cambria Math" w:hAnsi="Cambria Math" w:cs="Times New Roman"/>
                            <w:sz w:val="24"/>
                            <w:szCs w:val="24"/>
                            <w:lang w:val="en-US"/>
                          </w:rPr>
                          <m:t>-</m:t>
                        </m:r>
                        <m:limUpp>
                          <m:limUppPr>
                            <m:ctrlPr>
                              <w:rPr>
                                <w:rFonts w:ascii="Cambria Math" w:hAnsi="Cambria Math" w:cs="Times New Roman"/>
                                <w:sz w:val="24"/>
                                <w:szCs w:val="24"/>
                                <w:lang w:val="en-US"/>
                              </w:rPr>
                            </m:ctrlPr>
                          </m:limUppPr>
                          <m:e>
                            <m:r>
                              <w:rPr>
                                <w:rFonts w:ascii="Cambria Math" w:hAnsi="Cambria Math" w:cs="Times New Roman"/>
                                <w:sz w:val="24"/>
                                <w:szCs w:val="24"/>
                                <w:lang w:val="en-US"/>
                              </w:rPr>
                              <m:t>y</m:t>
                            </m:r>
                          </m:e>
                          <m:lim>
                            <m:r>
                              <w:rPr>
                                <w:rFonts w:ascii="Cambria Math" w:hAnsi="Cambria Math" w:cs="Times New Roman"/>
                                <w:sz w:val="24"/>
                                <w:szCs w:val="24"/>
                                <w:lang w:val="en-US"/>
                              </w:rPr>
                              <m:t>ˉ</m:t>
                            </m:r>
                          </m:lim>
                        </m:limUpp>
                      </m:e>
                    </m:d>
                  </m:e>
                  <m:sup>
                    <m:r>
                      <w:rPr>
                        <w:rFonts w:ascii="Cambria Math" w:hAnsi="Cambria Math" w:cs="Times New Roman"/>
                        <w:sz w:val="24"/>
                        <w:szCs w:val="24"/>
                        <w:lang w:val="en-US"/>
                      </w:rPr>
                      <m:t>2</m:t>
                    </m:r>
                  </m:sup>
                </m:sSup>
              </m:e>
            </m:rad>
          </m:den>
        </m:f>
      </m:oMath>
      <w:r w:rsidRPr="00E522FE">
        <w:rPr>
          <w:sz w:val="24"/>
          <w:szCs w:val="24"/>
        </w:rPr>
        <w:t xml:space="preserve">                                                               (3)</w:t>
      </w:r>
    </w:p>
    <w:p w14:paraId="028245BA" w14:textId="0F91FDAF" w:rsidR="00E3000D" w:rsidRPr="00E522FE" w:rsidRDefault="00E3000D" w:rsidP="00E3000D">
      <w:pPr>
        <w:spacing w:line="276" w:lineRule="auto"/>
        <w:jc w:val="both"/>
        <w:rPr>
          <w:rFonts w:ascii="Times New Roman" w:hAnsi="Times New Roman" w:cs="Times New Roman"/>
          <w:sz w:val="24"/>
          <w:szCs w:val="24"/>
          <w:lang w:val="en-US"/>
        </w:rPr>
      </w:pPr>
      <w:r w:rsidRPr="00E522FE">
        <w:rPr>
          <w:rFonts w:ascii="Times New Roman" w:hAnsi="Times New Roman" w:cs="Times New Roman"/>
          <w:sz w:val="24"/>
          <w:szCs w:val="24"/>
          <w:lang w:val="en-US"/>
        </w:rPr>
        <w:t xml:space="preserve">Where, </w:t>
      </w:r>
      <m:oMath>
        <m:sSub>
          <m:sSubPr>
            <m:ctrlPr>
              <w:rPr>
                <w:rFonts w:ascii="Cambria Math" w:hAnsi="Cambria Math" w:cs="Times New Roman"/>
                <w:sz w:val="24"/>
                <w:szCs w:val="24"/>
                <w:lang w:val="en-US"/>
              </w:rPr>
            </m:ctrlPr>
          </m:sSubPr>
          <m:e>
            <m:r>
              <w:rPr>
                <w:rFonts w:ascii="Cambria Math" w:hAnsi="Cambria Math" w:cs="Times New Roman"/>
                <w:sz w:val="24"/>
                <w:szCs w:val="24"/>
                <w:lang w:val="en-US"/>
              </w:rPr>
              <m:t>x</m:t>
            </m:r>
          </m:e>
          <m:sub>
            <m:r>
              <w:rPr>
                <w:rFonts w:ascii="Cambria Math" w:hAnsi="Cambria Math" w:cs="Times New Roman"/>
                <w:sz w:val="24"/>
                <w:szCs w:val="24"/>
                <w:lang w:val="en-US"/>
              </w:rPr>
              <m:t>i</m:t>
            </m:r>
          </m:sub>
        </m:sSub>
      </m:oMath>
      <w:r w:rsidRPr="00E522FE">
        <w:rPr>
          <w:rFonts w:ascii="Times New Roman" w:hAnsi="Times New Roman" w:cs="Times New Roman"/>
          <w:sz w:val="24"/>
          <w:szCs w:val="24"/>
          <w:lang w:val="en-US"/>
        </w:rPr>
        <w:t xml:space="preserve">​, </w:t>
      </w:r>
      <m:oMath>
        <m:sSub>
          <m:sSubPr>
            <m:ctrlPr>
              <w:rPr>
                <w:rFonts w:ascii="Cambria Math" w:hAnsi="Cambria Math" w:cs="Times New Roman"/>
                <w:sz w:val="24"/>
                <w:szCs w:val="24"/>
                <w:lang w:val="en-US"/>
              </w:rPr>
            </m:ctrlPr>
          </m:sSubPr>
          <m:e>
            <m:r>
              <w:rPr>
                <w:rFonts w:ascii="Cambria Math" w:hAnsi="Cambria Math" w:cs="Times New Roman"/>
                <w:sz w:val="24"/>
                <w:szCs w:val="24"/>
                <w:lang w:val="en-US"/>
              </w:rPr>
              <m:t>y</m:t>
            </m:r>
          </m:e>
          <m:sub>
            <m:r>
              <w:rPr>
                <w:rFonts w:ascii="Cambria Math" w:hAnsi="Cambria Math" w:cs="Times New Roman"/>
                <w:sz w:val="24"/>
                <w:szCs w:val="24"/>
                <w:lang w:val="en-US"/>
              </w:rPr>
              <m:t>i</m:t>
            </m:r>
          </m:sub>
        </m:sSub>
      </m:oMath>
      <w:r w:rsidRPr="00E522FE">
        <w:rPr>
          <w:rFonts w:ascii="Times New Roman" w:hAnsi="Times New Roman" w:cs="Times New Roman"/>
          <w:sz w:val="24"/>
          <w:szCs w:val="24"/>
          <w:lang w:val="en-US"/>
        </w:rPr>
        <w:t>​ are paired values (e.g., income before and after SHG), x, yˉ​ are their respective means. Correlation values close to ±1 indicated strong associations, reinforcing the hypothesis that increased financial training and SHG engagement positively impact income and digital finance behavior.</w:t>
      </w:r>
    </w:p>
    <w:p w14:paraId="5AB990B7" w14:textId="740B96B4" w:rsidR="00E3000D" w:rsidRPr="00E522FE" w:rsidRDefault="00084B66" w:rsidP="00E3000D">
      <w:pPr>
        <w:spacing w:line="276" w:lineRule="auto"/>
        <w:jc w:val="both"/>
        <w:rPr>
          <w:rFonts w:ascii="Times New Roman" w:hAnsi="Times New Roman" w:cs="Times New Roman"/>
          <w:sz w:val="24"/>
          <w:szCs w:val="24"/>
          <w:lang w:val="en-US"/>
        </w:rPr>
      </w:pPr>
      <w:bookmarkStart w:id="3" w:name="cross-tabulation-and-correlation"/>
      <w:bookmarkEnd w:id="3"/>
      <w:r w:rsidRPr="00E522FE">
        <w:rPr>
          <w:rFonts w:ascii="Times New Roman" w:hAnsi="Times New Roman" w:cs="Times New Roman"/>
          <w:b/>
          <w:bCs/>
          <w:sz w:val="24"/>
          <w:szCs w:val="24"/>
          <w:lang w:val="en-US"/>
        </w:rPr>
        <w:t>2</w:t>
      </w:r>
      <w:r w:rsidR="00E3000D" w:rsidRPr="00E522FE">
        <w:rPr>
          <w:rFonts w:ascii="Times New Roman" w:hAnsi="Times New Roman" w:cs="Times New Roman"/>
          <w:b/>
          <w:bCs/>
          <w:sz w:val="24"/>
          <w:szCs w:val="24"/>
          <w:lang w:val="en-US"/>
        </w:rPr>
        <w:t>.4.3 Thematic Analysis (Qualitative)</w:t>
      </w:r>
    </w:p>
    <w:p w14:paraId="1BF1AA66" w14:textId="77777777" w:rsidR="00E3000D" w:rsidRPr="00E522FE" w:rsidRDefault="00E3000D" w:rsidP="00E3000D">
      <w:pPr>
        <w:spacing w:line="276" w:lineRule="auto"/>
        <w:jc w:val="both"/>
        <w:rPr>
          <w:rFonts w:ascii="Times New Roman" w:hAnsi="Times New Roman" w:cs="Times New Roman"/>
          <w:sz w:val="24"/>
          <w:szCs w:val="24"/>
          <w:lang w:val="en-US"/>
        </w:rPr>
      </w:pPr>
      <w:r w:rsidRPr="00E522FE">
        <w:rPr>
          <w:rFonts w:ascii="Times New Roman" w:hAnsi="Times New Roman" w:cs="Times New Roman"/>
          <w:sz w:val="24"/>
          <w:szCs w:val="24"/>
          <w:lang w:val="en-US"/>
        </w:rPr>
        <w:t>To extract qualitative insights, responses from FGDs and open-ended interviews were subjected to manual thematic coding using the constant comparison method. Thematic categories included “financial confidence,” “digital transaction trust,” “livelihood shift,” and “credit access barriers.” These were plotted in Excel matrices for comparison across blocks and activity types. This analysis revealed how women's behavioral transformation and financial literacy advanced beyond measurable income indicators—such as self-initiated use of UPI apps or teaching digital tools to others.</w:t>
      </w:r>
    </w:p>
    <w:p w14:paraId="2122C8CC" w14:textId="7AD7E696" w:rsidR="00E3000D" w:rsidRPr="00E522FE" w:rsidRDefault="00084B66" w:rsidP="00E3000D">
      <w:pPr>
        <w:spacing w:line="276" w:lineRule="auto"/>
        <w:jc w:val="both"/>
        <w:rPr>
          <w:rFonts w:ascii="Times New Roman" w:hAnsi="Times New Roman" w:cs="Times New Roman"/>
          <w:sz w:val="24"/>
          <w:szCs w:val="24"/>
          <w:lang w:val="en-US"/>
        </w:rPr>
      </w:pPr>
      <w:bookmarkStart w:id="4" w:name="thematic-analysis-qualitative"/>
      <w:bookmarkEnd w:id="4"/>
      <w:r w:rsidRPr="00E522FE">
        <w:rPr>
          <w:rFonts w:ascii="Times New Roman" w:hAnsi="Times New Roman" w:cs="Times New Roman"/>
          <w:b/>
          <w:bCs/>
          <w:sz w:val="24"/>
          <w:szCs w:val="24"/>
          <w:lang w:val="en-US"/>
        </w:rPr>
        <w:t>2</w:t>
      </w:r>
      <w:r w:rsidR="00E3000D" w:rsidRPr="00E522FE">
        <w:rPr>
          <w:rFonts w:ascii="Times New Roman" w:hAnsi="Times New Roman" w:cs="Times New Roman"/>
          <w:b/>
          <w:bCs/>
          <w:sz w:val="24"/>
          <w:szCs w:val="24"/>
          <w:lang w:val="en-US"/>
        </w:rPr>
        <w:t>.4.4 SWOT Framework</w:t>
      </w:r>
    </w:p>
    <w:p w14:paraId="4E7E075C" w14:textId="77777777" w:rsidR="00E3000D" w:rsidRPr="00E522FE" w:rsidRDefault="00E3000D" w:rsidP="00E3000D">
      <w:pPr>
        <w:spacing w:line="276" w:lineRule="auto"/>
        <w:jc w:val="both"/>
        <w:rPr>
          <w:rFonts w:ascii="Times New Roman" w:hAnsi="Times New Roman" w:cs="Times New Roman"/>
          <w:sz w:val="24"/>
          <w:szCs w:val="24"/>
          <w:lang w:val="en-US"/>
        </w:rPr>
      </w:pPr>
      <w:r w:rsidRPr="00E522FE">
        <w:rPr>
          <w:rFonts w:ascii="Times New Roman" w:hAnsi="Times New Roman" w:cs="Times New Roman"/>
          <w:sz w:val="24"/>
          <w:szCs w:val="24"/>
          <w:lang w:val="en-US"/>
        </w:rPr>
        <w:t xml:space="preserve">A qualitative SWOT analysis was conducted to evaluate the internal and external conditions shaping SHG sustainability and digital finance integration. Based on community narratives and institutional consultations, key strengths included peer trust, collective finance, and loan </w:t>
      </w:r>
      <w:r w:rsidRPr="00E522FE">
        <w:rPr>
          <w:rFonts w:ascii="Times New Roman" w:hAnsi="Times New Roman" w:cs="Times New Roman"/>
          <w:sz w:val="24"/>
          <w:szCs w:val="24"/>
          <w:lang w:val="en-US"/>
        </w:rPr>
        <w:lastRenderedPageBreak/>
        <w:t>cycles. Weaknesses stemmed from low tech familiarity and limited market access. Opportunities included income diversification through SHG-based digital services, while threats involved unreliable digital infrastructure and delayed scheme disbursements. The SWOT model provided strategic insights into potential scaling frameworks and risk mitigation pathways.</w:t>
      </w:r>
    </w:p>
    <w:p w14:paraId="4EA42009" w14:textId="05A93BAA" w:rsidR="00E3000D" w:rsidRPr="00E522FE" w:rsidRDefault="00084B66" w:rsidP="00E3000D">
      <w:pPr>
        <w:spacing w:line="276" w:lineRule="auto"/>
        <w:jc w:val="both"/>
        <w:rPr>
          <w:rFonts w:ascii="Times New Roman" w:hAnsi="Times New Roman" w:cs="Times New Roman"/>
          <w:sz w:val="24"/>
          <w:szCs w:val="24"/>
          <w:lang w:val="en-US"/>
        </w:rPr>
      </w:pPr>
      <w:bookmarkStart w:id="5" w:name="swot-framework"/>
      <w:bookmarkStart w:id="6" w:name="Xaa72ee203cbf9206625d0d51c70c2b02bd2475e"/>
      <w:bookmarkEnd w:id="1"/>
      <w:bookmarkEnd w:id="5"/>
      <w:r w:rsidRPr="00E522FE">
        <w:rPr>
          <w:rFonts w:ascii="Times New Roman" w:hAnsi="Times New Roman" w:cs="Times New Roman"/>
          <w:b/>
          <w:bCs/>
          <w:sz w:val="24"/>
          <w:szCs w:val="24"/>
          <w:lang w:val="en-US"/>
        </w:rPr>
        <w:t>2.</w:t>
      </w:r>
      <w:r w:rsidR="00E3000D" w:rsidRPr="00E522FE">
        <w:rPr>
          <w:rFonts w:ascii="Times New Roman" w:hAnsi="Times New Roman" w:cs="Times New Roman"/>
          <w:b/>
          <w:bCs/>
          <w:sz w:val="24"/>
          <w:szCs w:val="24"/>
          <w:lang w:val="en-US"/>
        </w:rPr>
        <w:t>4.</w:t>
      </w:r>
      <w:r w:rsidRPr="00E522FE">
        <w:rPr>
          <w:rFonts w:ascii="Times New Roman" w:hAnsi="Times New Roman" w:cs="Times New Roman"/>
          <w:b/>
          <w:bCs/>
          <w:sz w:val="24"/>
          <w:szCs w:val="24"/>
          <w:lang w:val="en-US"/>
        </w:rPr>
        <w:t>5</w:t>
      </w:r>
      <w:r w:rsidR="00E3000D" w:rsidRPr="00E522FE">
        <w:rPr>
          <w:rFonts w:ascii="Times New Roman" w:hAnsi="Times New Roman" w:cs="Times New Roman"/>
          <w:b/>
          <w:bCs/>
          <w:sz w:val="24"/>
          <w:szCs w:val="24"/>
          <w:lang w:val="en-US"/>
        </w:rPr>
        <w:t xml:space="preserve"> Statistical Analysis of Financial Transformation</w:t>
      </w:r>
    </w:p>
    <w:p w14:paraId="2C985037" w14:textId="5F9D2ED2" w:rsidR="00084B66" w:rsidRPr="00E522FE" w:rsidRDefault="00E3000D" w:rsidP="00E3000D">
      <w:pPr>
        <w:spacing w:line="276" w:lineRule="auto"/>
        <w:jc w:val="both"/>
        <w:rPr>
          <w:rFonts w:ascii="Times New Roman" w:hAnsi="Times New Roman" w:cs="Times New Roman"/>
          <w:sz w:val="24"/>
          <w:szCs w:val="24"/>
          <w:lang w:val="en-US"/>
        </w:rPr>
      </w:pPr>
      <w:r w:rsidRPr="00E522FE">
        <w:rPr>
          <w:rFonts w:ascii="Times New Roman" w:hAnsi="Times New Roman" w:cs="Times New Roman"/>
          <w:sz w:val="24"/>
          <w:szCs w:val="24"/>
          <w:lang w:val="en-US"/>
        </w:rPr>
        <w:t xml:space="preserve">To empirically assess the economic outcomes of SHG participation, a paired sample t-test was performed to determine whether income levels had significantly changed post-SHG engagement. Each respondent’s income before and after joining the SHG was compared using </w:t>
      </w:r>
      <w:r w:rsidR="00084B66" w:rsidRPr="00E522FE">
        <w:rPr>
          <w:rFonts w:ascii="Times New Roman" w:hAnsi="Times New Roman" w:cs="Times New Roman"/>
          <w:sz w:val="24"/>
          <w:szCs w:val="24"/>
          <w:lang w:val="en-US"/>
        </w:rPr>
        <w:t xml:space="preserve">Eq.4, </w:t>
      </w:r>
    </w:p>
    <w:p w14:paraId="7522E344" w14:textId="21674F7D" w:rsidR="00084B66" w:rsidRPr="00E522FE" w:rsidRDefault="00084B66" w:rsidP="00084B66">
      <w:pPr>
        <w:spacing w:line="276" w:lineRule="auto"/>
        <w:jc w:val="center"/>
        <w:rPr>
          <w:sz w:val="24"/>
          <w:szCs w:val="24"/>
          <w:lang w:val="en-US"/>
        </w:rPr>
      </w:pPr>
      <m:oMath>
        <m:r>
          <w:rPr>
            <w:rFonts w:ascii="Cambria Math" w:hAnsi="Cambria Math" w:cs="Times New Roman"/>
            <w:sz w:val="24"/>
            <w:szCs w:val="24"/>
            <w:lang w:val="en-US"/>
          </w:rPr>
          <m:t xml:space="preserve">                                                                              t</m:t>
        </m:r>
        <m:r>
          <m:rPr>
            <m:sty m:val="p"/>
          </m:rPr>
          <w:rPr>
            <w:rFonts w:ascii="Cambria Math" w:hAnsi="Cambria Math" w:cs="Times New Roman"/>
            <w:sz w:val="24"/>
            <w:szCs w:val="24"/>
            <w:lang w:val="en-US"/>
          </w:rPr>
          <m:t>=</m:t>
        </m:r>
        <m:f>
          <m:fPr>
            <m:ctrlPr>
              <w:rPr>
                <w:rFonts w:ascii="Cambria Math" w:hAnsi="Cambria Math" w:cs="Times New Roman"/>
                <w:sz w:val="24"/>
                <w:szCs w:val="24"/>
                <w:lang w:val="en-US"/>
              </w:rPr>
            </m:ctrlPr>
          </m:fPr>
          <m:num>
            <m:limUpp>
              <m:limUppPr>
                <m:ctrlPr>
                  <w:rPr>
                    <w:rFonts w:ascii="Cambria Math" w:hAnsi="Cambria Math" w:cs="Times New Roman"/>
                    <w:sz w:val="24"/>
                    <w:szCs w:val="24"/>
                    <w:lang w:val="en-US"/>
                  </w:rPr>
                </m:ctrlPr>
              </m:limUppPr>
              <m:e>
                <m:r>
                  <w:rPr>
                    <w:rFonts w:ascii="Cambria Math" w:hAnsi="Cambria Math" w:cs="Times New Roman"/>
                    <w:sz w:val="24"/>
                    <w:szCs w:val="24"/>
                    <w:lang w:val="en-US"/>
                  </w:rPr>
                  <m:t>d</m:t>
                </m:r>
              </m:e>
              <m:lim>
                <m:r>
                  <w:rPr>
                    <w:rFonts w:ascii="Cambria Math" w:hAnsi="Cambria Math" w:cs="Times New Roman"/>
                    <w:sz w:val="24"/>
                    <w:szCs w:val="24"/>
                    <w:lang w:val="en-US"/>
                  </w:rPr>
                  <m:t>ˉ</m:t>
                </m:r>
              </m:lim>
            </m:limUpp>
          </m:num>
          <m:den>
            <m:sSub>
              <m:sSubPr>
                <m:ctrlPr>
                  <w:rPr>
                    <w:rFonts w:ascii="Cambria Math" w:hAnsi="Cambria Math" w:cs="Times New Roman"/>
                    <w:sz w:val="24"/>
                    <w:szCs w:val="24"/>
                    <w:lang w:val="en-US"/>
                  </w:rPr>
                </m:ctrlPr>
              </m:sSubPr>
              <m:e>
                <m:r>
                  <w:rPr>
                    <w:rFonts w:ascii="Cambria Math" w:hAnsi="Cambria Math" w:cs="Times New Roman"/>
                    <w:sz w:val="24"/>
                    <w:szCs w:val="24"/>
                    <w:lang w:val="en-US"/>
                  </w:rPr>
                  <m:t>s</m:t>
                </m:r>
              </m:e>
              <m:sub>
                <m:r>
                  <w:rPr>
                    <w:rFonts w:ascii="Cambria Math" w:hAnsi="Cambria Math" w:cs="Times New Roman"/>
                    <w:sz w:val="24"/>
                    <w:szCs w:val="24"/>
                    <w:lang w:val="en-US"/>
                  </w:rPr>
                  <m:t>d</m:t>
                </m:r>
              </m:sub>
            </m:sSub>
            <m:r>
              <m:rPr>
                <m:sty m:val="p"/>
              </m:rPr>
              <w:rPr>
                <w:rFonts w:ascii="Cambria Math" w:hAnsi="Cambria Math" w:cs="Times New Roman"/>
                <w:sz w:val="24"/>
                <w:szCs w:val="24"/>
                <w:lang w:val="en-US"/>
              </w:rPr>
              <m:t>/</m:t>
            </m:r>
            <m:rad>
              <m:radPr>
                <m:degHide m:val="1"/>
                <m:ctrlPr>
                  <w:rPr>
                    <w:rFonts w:ascii="Cambria Math" w:hAnsi="Cambria Math" w:cs="Times New Roman"/>
                    <w:sz w:val="24"/>
                    <w:szCs w:val="24"/>
                    <w:lang w:val="en-US"/>
                  </w:rPr>
                </m:ctrlPr>
              </m:radPr>
              <m:deg/>
              <m:e>
                <m:r>
                  <w:rPr>
                    <w:rFonts w:ascii="Cambria Math" w:hAnsi="Cambria Math" w:cs="Times New Roman"/>
                    <w:sz w:val="24"/>
                    <w:szCs w:val="24"/>
                    <w:lang w:val="en-US"/>
                  </w:rPr>
                  <m:t>n</m:t>
                </m:r>
              </m:e>
            </m:rad>
          </m:den>
        </m:f>
      </m:oMath>
      <w:r w:rsidRPr="00E522FE">
        <w:rPr>
          <w:sz w:val="24"/>
          <w:szCs w:val="24"/>
        </w:rPr>
        <w:t xml:space="preserve">                                                                           (4)</w:t>
      </w:r>
    </w:p>
    <w:p w14:paraId="0882DD83" w14:textId="34E6F24D" w:rsidR="00E3000D" w:rsidRPr="00E522FE" w:rsidRDefault="00E3000D" w:rsidP="00E3000D">
      <w:pPr>
        <w:spacing w:line="276" w:lineRule="auto"/>
        <w:jc w:val="both"/>
        <w:rPr>
          <w:rFonts w:ascii="Times New Roman" w:hAnsi="Times New Roman" w:cs="Times New Roman"/>
          <w:sz w:val="24"/>
          <w:szCs w:val="24"/>
          <w:lang w:val="en-US"/>
        </w:rPr>
      </w:pPr>
      <w:r w:rsidRPr="00E522FE">
        <w:rPr>
          <w:rFonts w:ascii="Times New Roman" w:hAnsi="Times New Roman" w:cs="Times New Roman"/>
          <w:sz w:val="24"/>
          <w:szCs w:val="24"/>
          <w:lang w:val="en-US"/>
        </w:rPr>
        <w:t>Where</w:t>
      </w:r>
      <w:r w:rsidR="00084B66" w:rsidRPr="00E522FE">
        <w:rPr>
          <w:rFonts w:ascii="Times New Roman" w:hAnsi="Times New Roman" w:cs="Times New Roman"/>
          <w:sz w:val="24"/>
          <w:szCs w:val="24"/>
          <w:lang w:val="en-US"/>
        </w:rPr>
        <w:t xml:space="preserve">, </w:t>
      </w:r>
      <w:r w:rsidRPr="00E522FE">
        <w:rPr>
          <w:rFonts w:ascii="Times New Roman" w:hAnsi="Times New Roman" w:cs="Times New Roman"/>
          <w:sz w:val="24"/>
          <w:szCs w:val="24"/>
          <w:lang w:val="en-US"/>
        </w:rPr>
        <w:t>dˉ</w:t>
      </w:r>
      <w:r w:rsidR="00084B66" w:rsidRPr="00E522FE">
        <w:rPr>
          <w:rFonts w:ascii="Times New Roman" w:hAnsi="Times New Roman" w:cs="Times New Roman"/>
          <w:sz w:val="24"/>
          <w:szCs w:val="24"/>
          <w:lang w:val="en-US"/>
        </w:rPr>
        <w:t xml:space="preserve"> is the</w:t>
      </w:r>
      <w:r w:rsidRPr="00E522FE">
        <w:rPr>
          <w:rFonts w:ascii="Times New Roman" w:hAnsi="Times New Roman" w:cs="Times New Roman"/>
          <w:sz w:val="24"/>
          <w:szCs w:val="24"/>
          <w:lang w:val="en-US"/>
        </w:rPr>
        <w:t xml:space="preserve"> Mean difference between pre- and post-SHG income,</w:t>
      </w:r>
      <w:r w:rsidR="00084B66" w:rsidRPr="00E522FE">
        <w:rPr>
          <w:rFonts w:ascii="Times New Roman" w:hAnsi="Times New Roman" w:cs="Times New Roman"/>
          <w:sz w:val="24"/>
          <w:szCs w:val="24"/>
          <w:lang w:val="en-US"/>
        </w:rPr>
        <w:t xml:space="preserve"> </w:t>
      </w:r>
      <m:oMath>
        <m:sSub>
          <m:sSubPr>
            <m:ctrlPr>
              <w:rPr>
                <w:rFonts w:ascii="Cambria Math" w:hAnsi="Cambria Math" w:cs="Times New Roman"/>
                <w:sz w:val="24"/>
                <w:szCs w:val="24"/>
                <w:lang w:val="en-US"/>
              </w:rPr>
            </m:ctrlPr>
          </m:sSubPr>
          <m:e>
            <m:r>
              <w:rPr>
                <w:rFonts w:ascii="Cambria Math" w:hAnsi="Cambria Math" w:cs="Times New Roman"/>
                <w:sz w:val="24"/>
                <w:szCs w:val="24"/>
                <w:lang w:val="en-US"/>
              </w:rPr>
              <m:t>s</m:t>
            </m:r>
          </m:e>
          <m:sub>
            <m:r>
              <w:rPr>
                <w:rFonts w:ascii="Cambria Math" w:hAnsi="Cambria Math" w:cs="Times New Roman"/>
                <w:sz w:val="24"/>
                <w:szCs w:val="24"/>
                <w:lang w:val="en-US"/>
              </w:rPr>
              <m:t>d</m:t>
            </m:r>
          </m:sub>
        </m:sSub>
      </m:oMath>
      <w:r w:rsidR="00084B66" w:rsidRPr="00E522FE">
        <w:rPr>
          <w:rFonts w:ascii="Times New Roman" w:hAnsi="Times New Roman" w:cs="Times New Roman"/>
          <w:sz w:val="24"/>
          <w:szCs w:val="24"/>
          <w:lang w:val="en-US"/>
        </w:rPr>
        <w:t xml:space="preserve"> is the</w:t>
      </w:r>
      <w:r w:rsidRPr="00E522FE">
        <w:rPr>
          <w:rFonts w:ascii="Times New Roman" w:hAnsi="Times New Roman" w:cs="Times New Roman"/>
          <w:sz w:val="24"/>
          <w:szCs w:val="24"/>
          <w:lang w:val="en-US"/>
        </w:rPr>
        <w:t xml:space="preserve"> Standard deviation of the income differences</w:t>
      </w:r>
      <w:r w:rsidR="00084B66" w:rsidRPr="00E522FE">
        <w:rPr>
          <w:rFonts w:ascii="Times New Roman" w:hAnsi="Times New Roman" w:cs="Times New Roman"/>
          <w:sz w:val="24"/>
          <w:szCs w:val="24"/>
          <w:lang w:val="en-US"/>
        </w:rPr>
        <w:t xml:space="preserve"> and </w:t>
      </w:r>
      <m:oMath>
        <m:r>
          <w:rPr>
            <w:rFonts w:ascii="Cambria Math" w:hAnsi="Cambria Math" w:cs="Times New Roman"/>
            <w:sz w:val="24"/>
            <w:szCs w:val="24"/>
            <w:lang w:val="en-US"/>
          </w:rPr>
          <m:t>n</m:t>
        </m:r>
      </m:oMath>
      <w:r w:rsidR="00084B66" w:rsidRPr="00E522FE">
        <w:rPr>
          <w:rFonts w:ascii="Times New Roman" w:hAnsi="Times New Roman" w:cs="Times New Roman"/>
          <w:sz w:val="24"/>
          <w:szCs w:val="24"/>
          <w:lang w:val="en-US"/>
        </w:rPr>
        <w:t xml:space="preserve"> is the</w:t>
      </w:r>
      <w:r w:rsidRPr="00E522FE">
        <w:rPr>
          <w:rFonts w:ascii="Times New Roman" w:hAnsi="Times New Roman" w:cs="Times New Roman"/>
          <w:sz w:val="24"/>
          <w:szCs w:val="24"/>
          <w:lang w:val="en-US"/>
        </w:rPr>
        <w:t xml:space="preserve"> Number of respondents.</w:t>
      </w:r>
      <w:r w:rsidR="00084B66" w:rsidRPr="00E522FE">
        <w:rPr>
          <w:rFonts w:ascii="Times New Roman" w:hAnsi="Times New Roman" w:cs="Times New Roman"/>
          <w:sz w:val="24"/>
          <w:szCs w:val="24"/>
          <w:lang w:val="en-US"/>
        </w:rPr>
        <w:t xml:space="preserve"> </w:t>
      </w:r>
      <w:r w:rsidRPr="00E522FE">
        <w:rPr>
          <w:rFonts w:ascii="Times New Roman" w:hAnsi="Times New Roman" w:cs="Times New Roman"/>
          <w:sz w:val="24"/>
          <w:szCs w:val="24"/>
          <w:lang w:val="en-US"/>
        </w:rPr>
        <w:t>To complement the income analysis, a Digital Inclusion Index (DII) was constructed to measure digital engagement among respondents. The DII was derived from three components</w:t>
      </w:r>
      <w:r w:rsidR="00084B66" w:rsidRPr="00E522FE">
        <w:rPr>
          <w:rFonts w:ascii="Times New Roman" w:hAnsi="Times New Roman" w:cs="Times New Roman"/>
          <w:sz w:val="24"/>
          <w:szCs w:val="24"/>
          <w:lang w:val="en-US"/>
        </w:rPr>
        <w:t xml:space="preserve"> is given in Eq.5,</w:t>
      </w:r>
    </w:p>
    <w:p w14:paraId="1F789FDE" w14:textId="3363628F" w:rsidR="00E3000D" w:rsidRPr="00E522FE" w:rsidRDefault="00084B66" w:rsidP="00084B66">
      <w:pPr>
        <w:spacing w:line="276" w:lineRule="auto"/>
        <w:jc w:val="center"/>
        <w:rPr>
          <w:sz w:val="24"/>
          <w:szCs w:val="24"/>
          <w:lang w:val="en-US"/>
        </w:rPr>
      </w:pPr>
      <m:oMath>
        <m:r>
          <w:rPr>
            <w:rFonts w:ascii="Cambria Math" w:hAnsi="Cambria Math" w:cs="Times New Roman"/>
            <w:sz w:val="24"/>
            <w:szCs w:val="24"/>
            <w:lang w:val="en-US"/>
          </w:rPr>
          <m:t xml:space="preserve">                                                                        DII</m:t>
        </m:r>
        <m:r>
          <m:rPr>
            <m:sty m:val="p"/>
          </m:rPr>
          <w:rPr>
            <w:rFonts w:ascii="Cambria Math" w:hAnsi="Cambria Math" w:cs="Times New Roman"/>
            <w:sz w:val="24"/>
            <w:szCs w:val="24"/>
            <w:lang w:val="en-US"/>
          </w:rPr>
          <m:t>=</m:t>
        </m:r>
        <m:f>
          <m:fPr>
            <m:ctrlPr>
              <w:rPr>
                <w:rFonts w:ascii="Cambria Math" w:hAnsi="Cambria Math" w:cs="Times New Roman"/>
                <w:sz w:val="24"/>
                <w:szCs w:val="24"/>
                <w:lang w:val="en-US"/>
              </w:rPr>
            </m:ctrlPr>
          </m:fPr>
          <m:num>
            <m:r>
              <w:rPr>
                <w:rFonts w:ascii="Cambria Math" w:hAnsi="Cambria Math" w:cs="Times New Roman"/>
                <w:sz w:val="24"/>
                <w:szCs w:val="24"/>
                <w:lang w:val="en-US"/>
              </w:rPr>
              <m:t>1</m:t>
            </m:r>
          </m:num>
          <m:den>
            <m:r>
              <w:rPr>
                <w:rFonts w:ascii="Cambria Math" w:hAnsi="Cambria Math" w:cs="Times New Roman"/>
                <w:sz w:val="24"/>
                <w:szCs w:val="24"/>
                <w:lang w:val="en-US"/>
              </w:rPr>
              <m:t>3</m:t>
            </m:r>
          </m:den>
        </m:f>
        <m:r>
          <m:rPr>
            <m:sty m:val="p"/>
          </m:rPr>
          <w:rPr>
            <w:rFonts w:ascii="Cambria Math" w:hAnsi="Cambria Math" w:cs="Times New Roman"/>
            <w:sz w:val="24"/>
            <w:szCs w:val="24"/>
            <w:lang w:val="en-US"/>
          </w:rPr>
          <m:t>(</m:t>
        </m:r>
        <m:r>
          <w:rPr>
            <w:rFonts w:ascii="Cambria Math" w:hAnsi="Cambria Math" w:cs="Times New Roman"/>
            <w:sz w:val="24"/>
            <w:szCs w:val="24"/>
            <w:lang w:val="en-US"/>
          </w:rPr>
          <m:t>B</m:t>
        </m:r>
        <m:r>
          <m:rPr>
            <m:sty m:val="p"/>
          </m:rPr>
          <w:rPr>
            <w:rFonts w:ascii="Cambria Math" w:hAnsi="Cambria Math" w:cs="Times New Roman"/>
            <w:sz w:val="24"/>
            <w:szCs w:val="24"/>
            <w:lang w:val="en-US"/>
          </w:rPr>
          <m:t>+</m:t>
        </m:r>
        <m:r>
          <w:rPr>
            <w:rFonts w:ascii="Cambria Math" w:hAnsi="Cambria Math" w:cs="Times New Roman"/>
            <w:sz w:val="24"/>
            <w:szCs w:val="24"/>
            <w:lang w:val="en-US"/>
          </w:rPr>
          <m:t>T</m:t>
        </m:r>
        <m:r>
          <m:rPr>
            <m:sty m:val="p"/>
          </m:rPr>
          <w:rPr>
            <w:rFonts w:ascii="Cambria Math" w:hAnsi="Cambria Math" w:cs="Times New Roman"/>
            <w:sz w:val="24"/>
            <w:szCs w:val="24"/>
            <w:lang w:val="en-US"/>
          </w:rPr>
          <m:t>+</m:t>
        </m:r>
        <m:r>
          <w:rPr>
            <w:rFonts w:ascii="Cambria Math" w:hAnsi="Cambria Math" w:cs="Times New Roman"/>
            <w:sz w:val="24"/>
            <w:szCs w:val="24"/>
            <w:lang w:val="en-US"/>
          </w:rPr>
          <m:t>U</m:t>
        </m:r>
        <m:r>
          <m:rPr>
            <m:sty m:val="p"/>
          </m:rPr>
          <w:rPr>
            <w:rFonts w:ascii="Cambria Math" w:hAnsi="Cambria Math" w:cs="Times New Roman"/>
            <w:sz w:val="24"/>
            <w:szCs w:val="24"/>
            <w:lang w:val="en-US"/>
          </w:rPr>
          <m:t>)</m:t>
        </m:r>
      </m:oMath>
      <w:r w:rsidRPr="00E522FE">
        <w:rPr>
          <w:sz w:val="24"/>
          <w:szCs w:val="24"/>
        </w:rPr>
        <w:t xml:space="preserve">                                                               (5)</w:t>
      </w:r>
    </w:p>
    <w:p w14:paraId="0C857664" w14:textId="5E88CDD6" w:rsidR="00E3000D" w:rsidRPr="00E522FE" w:rsidRDefault="00E3000D" w:rsidP="00E3000D">
      <w:pPr>
        <w:spacing w:line="276" w:lineRule="auto"/>
        <w:jc w:val="both"/>
        <w:rPr>
          <w:rFonts w:ascii="Times New Roman" w:hAnsi="Times New Roman" w:cs="Times New Roman"/>
          <w:sz w:val="24"/>
          <w:szCs w:val="24"/>
          <w:lang w:val="en-US"/>
        </w:rPr>
      </w:pPr>
      <w:r w:rsidRPr="00E522FE">
        <w:rPr>
          <w:rFonts w:ascii="Times New Roman" w:hAnsi="Times New Roman" w:cs="Times New Roman"/>
          <w:sz w:val="24"/>
          <w:szCs w:val="24"/>
          <w:lang w:val="en-US"/>
        </w:rPr>
        <w:t>Where</w:t>
      </w:r>
      <w:r w:rsidR="00084B66" w:rsidRPr="00E522FE">
        <w:rPr>
          <w:rFonts w:ascii="Times New Roman" w:hAnsi="Times New Roman" w:cs="Times New Roman"/>
          <w:sz w:val="24"/>
          <w:szCs w:val="24"/>
          <w:lang w:val="en-US"/>
        </w:rPr>
        <w:t xml:space="preserve">, </w:t>
      </w:r>
      <m:oMath>
        <m:r>
          <w:rPr>
            <w:rFonts w:ascii="Cambria Math" w:hAnsi="Cambria Math" w:cs="Times New Roman"/>
            <w:sz w:val="24"/>
            <w:szCs w:val="24"/>
            <w:lang w:val="en-US"/>
          </w:rPr>
          <m:t>B</m:t>
        </m:r>
      </m:oMath>
      <w:r w:rsidR="00084B66" w:rsidRPr="00E522FE">
        <w:rPr>
          <w:rFonts w:ascii="Times New Roman" w:hAnsi="Times New Roman" w:cs="Times New Roman"/>
          <w:sz w:val="24"/>
          <w:szCs w:val="24"/>
          <w:lang w:val="en-US"/>
        </w:rPr>
        <w:t xml:space="preserve"> is the </w:t>
      </w:r>
      <w:r w:rsidRPr="00E522FE">
        <w:rPr>
          <w:rFonts w:ascii="Times New Roman" w:hAnsi="Times New Roman" w:cs="Times New Roman"/>
          <w:sz w:val="24"/>
          <w:szCs w:val="24"/>
          <w:lang w:val="en-US"/>
        </w:rPr>
        <w:t>Normalized frequency of digital banking use (0–1),</w:t>
      </w:r>
      <w:r w:rsidR="00084B66" w:rsidRPr="00E522FE">
        <w:rPr>
          <w:rFonts w:ascii="Times New Roman" w:hAnsi="Times New Roman" w:cs="Times New Roman"/>
          <w:sz w:val="24"/>
          <w:szCs w:val="24"/>
          <w:lang w:val="en-US"/>
        </w:rPr>
        <w:t xml:space="preserve"> </w:t>
      </w:r>
      <m:oMath>
        <m:r>
          <w:rPr>
            <w:rFonts w:ascii="Cambria Math" w:hAnsi="Cambria Math" w:cs="Times New Roman"/>
            <w:sz w:val="24"/>
            <w:szCs w:val="24"/>
            <w:lang w:val="en-US"/>
          </w:rPr>
          <m:t>T</m:t>
        </m:r>
      </m:oMath>
      <w:r w:rsidR="00084B66" w:rsidRPr="00E522FE">
        <w:rPr>
          <w:rFonts w:ascii="Times New Roman" w:hAnsi="Times New Roman" w:cs="Times New Roman"/>
          <w:sz w:val="24"/>
          <w:szCs w:val="24"/>
          <w:lang w:val="en-US"/>
        </w:rPr>
        <w:t xml:space="preserve"> is the </w:t>
      </w:r>
      <w:r w:rsidRPr="00E522FE">
        <w:rPr>
          <w:rFonts w:ascii="Times New Roman" w:hAnsi="Times New Roman" w:cs="Times New Roman"/>
          <w:sz w:val="24"/>
          <w:szCs w:val="24"/>
          <w:lang w:val="en-US"/>
        </w:rPr>
        <w:t xml:space="preserve"> Number of digital trainings attended (scaled to 0–1)</w:t>
      </w:r>
      <w:r w:rsidR="00084B66" w:rsidRPr="00E522FE">
        <w:rPr>
          <w:rFonts w:ascii="Times New Roman" w:hAnsi="Times New Roman" w:cs="Times New Roman"/>
          <w:sz w:val="24"/>
          <w:szCs w:val="24"/>
          <w:lang w:val="en-US"/>
        </w:rPr>
        <w:t xml:space="preserve"> and </w:t>
      </w:r>
      <m:oMath>
        <m:r>
          <w:rPr>
            <w:rFonts w:ascii="Cambria Math" w:hAnsi="Cambria Math" w:cs="Times New Roman"/>
            <w:sz w:val="24"/>
            <w:szCs w:val="24"/>
            <w:lang w:val="en-US"/>
          </w:rPr>
          <m:t>U</m:t>
        </m:r>
      </m:oMath>
      <w:r w:rsidR="00084B66" w:rsidRPr="00E522FE">
        <w:rPr>
          <w:rFonts w:ascii="Times New Roman" w:hAnsi="Times New Roman" w:cs="Times New Roman"/>
          <w:sz w:val="24"/>
          <w:szCs w:val="24"/>
          <w:lang w:val="en-US"/>
        </w:rPr>
        <w:t xml:space="preserve"> is the</w:t>
      </w:r>
      <w:r w:rsidRPr="00E522FE">
        <w:rPr>
          <w:rFonts w:ascii="Times New Roman" w:hAnsi="Times New Roman" w:cs="Times New Roman"/>
          <w:sz w:val="24"/>
          <w:szCs w:val="24"/>
          <w:lang w:val="en-US"/>
        </w:rPr>
        <w:t xml:space="preserve"> Unique digital services used (e.g., UPI, AEPS, </w:t>
      </w:r>
      <w:proofErr w:type="spellStart"/>
      <w:r w:rsidRPr="00E522FE">
        <w:rPr>
          <w:rFonts w:ascii="Times New Roman" w:hAnsi="Times New Roman" w:cs="Times New Roman"/>
          <w:sz w:val="24"/>
          <w:szCs w:val="24"/>
          <w:lang w:val="en-US"/>
        </w:rPr>
        <w:t>Rupay</w:t>
      </w:r>
      <w:proofErr w:type="spellEnd"/>
      <w:r w:rsidRPr="00E522FE">
        <w:rPr>
          <w:rFonts w:ascii="Times New Roman" w:hAnsi="Times New Roman" w:cs="Times New Roman"/>
          <w:sz w:val="24"/>
          <w:szCs w:val="24"/>
          <w:lang w:val="en-US"/>
        </w:rPr>
        <w:t>, scaled 0–1).</w:t>
      </w:r>
      <w:r w:rsidR="00084B66" w:rsidRPr="00E522FE">
        <w:rPr>
          <w:rFonts w:ascii="Times New Roman" w:hAnsi="Times New Roman" w:cs="Times New Roman"/>
          <w:sz w:val="24"/>
          <w:szCs w:val="24"/>
          <w:lang w:val="en-US"/>
        </w:rPr>
        <w:t xml:space="preserve"> </w:t>
      </w:r>
      <w:r w:rsidRPr="00E522FE">
        <w:rPr>
          <w:rFonts w:ascii="Times New Roman" w:hAnsi="Times New Roman" w:cs="Times New Roman"/>
          <w:sz w:val="24"/>
          <w:szCs w:val="24"/>
          <w:lang w:val="en-US"/>
        </w:rPr>
        <w:t xml:space="preserve">The average DII across the sample was </w:t>
      </w:r>
      <w:r w:rsidRPr="00E522FE">
        <w:rPr>
          <w:rFonts w:ascii="Times New Roman" w:hAnsi="Times New Roman" w:cs="Times New Roman"/>
          <w:b/>
          <w:bCs/>
          <w:sz w:val="24"/>
          <w:szCs w:val="24"/>
          <w:lang w:val="en-US"/>
        </w:rPr>
        <w:t>0.72</w:t>
      </w:r>
      <w:r w:rsidRPr="00E522FE">
        <w:rPr>
          <w:rFonts w:ascii="Times New Roman" w:hAnsi="Times New Roman" w:cs="Times New Roman"/>
          <w:sz w:val="24"/>
          <w:szCs w:val="24"/>
          <w:lang w:val="en-US"/>
        </w:rPr>
        <w:t>, indicating moderate-to-high digital integration. Higher DII scores were closely associated with stronger income diversification, better SHG performance, and greater community financial participation.</w:t>
      </w:r>
      <w:bookmarkEnd w:id="6"/>
    </w:p>
    <w:p w14:paraId="1C377DB1" w14:textId="2F258BD7" w:rsidR="000B148F" w:rsidRPr="00E522FE" w:rsidRDefault="000B148F" w:rsidP="00E3000D">
      <w:pPr>
        <w:spacing w:line="276" w:lineRule="auto"/>
        <w:jc w:val="both"/>
        <w:rPr>
          <w:rFonts w:ascii="Times New Roman" w:hAnsi="Times New Roman" w:cs="Times New Roman"/>
          <w:b/>
          <w:bCs/>
          <w:sz w:val="28"/>
          <w:szCs w:val="28"/>
          <w:lang w:val="en-US"/>
        </w:rPr>
      </w:pPr>
      <w:r w:rsidRPr="00E522FE">
        <w:rPr>
          <w:rFonts w:ascii="Times New Roman" w:hAnsi="Times New Roman" w:cs="Times New Roman"/>
          <w:b/>
          <w:bCs/>
          <w:sz w:val="28"/>
          <w:szCs w:val="28"/>
          <w:lang w:val="en-US"/>
        </w:rPr>
        <w:t xml:space="preserve">3. Results </w:t>
      </w:r>
    </w:p>
    <w:p w14:paraId="44F8736F" w14:textId="34A94543" w:rsidR="00673D99" w:rsidRPr="00E522FE" w:rsidRDefault="00673D99" w:rsidP="000B148F">
      <w:pPr>
        <w:spacing w:line="276" w:lineRule="auto"/>
        <w:jc w:val="both"/>
        <w:rPr>
          <w:rFonts w:ascii="Times New Roman" w:hAnsi="Times New Roman" w:cs="Times New Roman"/>
          <w:sz w:val="24"/>
          <w:szCs w:val="24"/>
        </w:rPr>
      </w:pPr>
      <w:r w:rsidRPr="00E522FE">
        <w:rPr>
          <w:rFonts w:ascii="Times New Roman" w:hAnsi="Times New Roman" w:cs="Times New Roman"/>
          <w:sz w:val="24"/>
          <w:szCs w:val="24"/>
        </w:rPr>
        <w:t xml:space="preserve">The findings offer an exhaustive analysis of income and digital change suffered by SHG women beneficiaries across </w:t>
      </w:r>
      <w:proofErr w:type="spellStart"/>
      <w:r w:rsidRPr="00E522FE">
        <w:rPr>
          <w:rFonts w:ascii="Times New Roman" w:hAnsi="Times New Roman" w:cs="Times New Roman"/>
          <w:sz w:val="24"/>
          <w:szCs w:val="24"/>
        </w:rPr>
        <w:t>Simdega</w:t>
      </w:r>
      <w:proofErr w:type="spellEnd"/>
      <w:r w:rsidRPr="00E522FE">
        <w:rPr>
          <w:rFonts w:ascii="Times New Roman" w:hAnsi="Times New Roman" w:cs="Times New Roman"/>
          <w:sz w:val="24"/>
          <w:szCs w:val="24"/>
        </w:rPr>
        <w:t xml:space="preserve"> district. Based on both quantitative and qualitative information, this section identifies major trends in income development, digital uptake, and empowerment. Statistical methods like t-tests, correlation, and descriptive analysis were employed to confirm the impact. To further understand </w:t>
      </w:r>
      <w:proofErr w:type="spellStart"/>
      <w:r w:rsidRPr="00E522FE">
        <w:rPr>
          <w:rFonts w:ascii="Times New Roman" w:hAnsi="Times New Roman" w:cs="Times New Roman"/>
          <w:sz w:val="24"/>
          <w:szCs w:val="24"/>
        </w:rPr>
        <w:t>behavioral</w:t>
      </w:r>
      <w:proofErr w:type="spellEnd"/>
      <w:r w:rsidRPr="00E522FE">
        <w:rPr>
          <w:rFonts w:ascii="Times New Roman" w:hAnsi="Times New Roman" w:cs="Times New Roman"/>
          <w:sz w:val="24"/>
          <w:szCs w:val="24"/>
        </w:rPr>
        <w:t xml:space="preserve"> change, thematic insights from FGDs also supplement the analysis.</w:t>
      </w:r>
    </w:p>
    <w:p w14:paraId="65F11119" w14:textId="5991AF21" w:rsidR="000B148F" w:rsidRPr="00E522FE" w:rsidRDefault="00A42386" w:rsidP="000B148F">
      <w:pPr>
        <w:spacing w:line="276" w:lineRule="auto"/>
        <w:jc w:val="both"/>
        <w:rPr>
          <w:rFonts w:ascii="Times New Roman" w:hAnsi="Times New Roman" w:cs="Times New Roman"/>
          <w:b/>
          <w:bCs/>
          <w:sz w:val="24"/>
          <w:szCs w:val="24"/>
        </w:rPr>
      </w:pPr>
      <w:r w:rsidRPr="00E522FE">
        <w:rPr>
          <w:rFonts w:ascii="Times New Roman" w:hAnsi="Times New Roman" w:cs="Times New Roman"/>
          <w:b/>
          <w:bCs/>
          <w:sz w:val="24"/>
          <w:szCs w:val="24"/>
        </w:rPr>
        <w:t>3</w:t>
      </w:r>
      <w:r w:rsidR="000B148F" w:rsidRPr="00E522FE">
        <w:rPr>
          <w:rFonts w:ascii="Times New Roman" w:hAnsi="Times New Roman" w:cs="Times New Roman"/>
          <w:b/>
          <w:bCs/>
          <w:sz w:val="24"/>
          <w:szCs w:val="24"/>
        </w:rPr>
        <w:t>.1 Socio-economic Trends and Descriptive Statistics</w:t>
      </w:r>
    </w:p>
    <w:p w14:paraId="0CCAD832" w14:textId="7471C92F" w:rsidR="00C736C1" w:rsidRPr="00E522FE" w:rsidRDefault="000B148F" w:rsidP="00C736C1">
      <w:pPr>
        <w:spacing w:line="276" w:lineRule="auto"/>
        <w:jc w:val="both"/>
        <w:rPr>
          <w:rFonts w:ascii="Times New Roman" w:hAnsi="Times New Roman" w:cs="Times New Roman"/>
          <w:sz w:val="24"/>
          <w:szCs w:val="24"/>
        </w:rPr>
      </w:pPr>
      <w:r w:rsidRPr="00E522FE">
        <w:rPr>
          <w:rFonts w:ascii="Times New Roman" w:hAnsi="Times New Roman" w:cs="Times New Roman"/>
          <w:sz w:val="24"/>
          <w:szCs w:val="24"/>
        </w:rPr>
        <w:t xml:space="preserve">The socio-economic profiling of 150 SHG women across </w:t>
      </w:r>
      <w:proofErr w:type="spellStart"/>
      <w:r w:rsidRPr="00E522FE">
        <w:rPr>
          <w:rFonts w:ascii="Times New Roman" w:hAnsi="Times New Roman" w:cs="Times New Roman"/>
          <w:sz w:val="24"/>
          <w:szCs w:val="24"/>
        </w:rPr>
        <w:t>Simdega's</w:t>
      </w:r>
      <w:proofErr w:type="spellEnd"/>
      <w:r w:rsidRPr="00E522FE">
        <w:rPr>
          <w:rFonts w:ascii="Times New Roman" w:hAnsi="Times New Roman" w:cs="Times New Roman"/>
          <w:sz w:val="24"/>
          <w:szCs w:val="24"/>
        </w:rPr>
        <w:t xml:space="preserve"> four tribal blocks revealed notable changes in income levels, occupational diversification, and household financial engagement post-SHG involvement. As shown in </w:t>
      </w:r>
      <w:r w:rsidRPr="00E522FE">
        <w:rPr>
          <w:rFonts w:ascii="Times New Roman" w:hAnsi="Times New Roman" w:cs="Times New Roman"/>
          <w:b/>
          <w:bCs/>
          <w:sz w:val="24"/>
          <w:szCs w:val="24"/>
        </w:rPr>
        <w:t>Table 1</w:t>
      </w:r>
      <w:r w:rsidRPr="00E522FE">
        <w:rPr>
          <w:rFonts w:ascii="Times New Roman" w:hAnsi="Times New Roman" w:cs="Times New Roman"/>
          <w:sz w:val="24"/>
          <w:szCs w:val="24"/>
        </w:rPr>
        <w:t xml:space="preserve">, the average monthly income increased from approximately ₹2,150 before joining SHGs to ₹5,780 afterward. </w:t>
      </w:r>
      <w:r w:rsidRPr="00E522FE">
        <w:rPr>
          <w:rFonts w:ascii="Times New Roman" w:hAnsi="Times New Roman" w:cs="Times New Roman"/>
          <w:sz w:val="24"/>
          <w:szCs w:val="24"/>
        </w:rPr>
        <w:lastRenderedPageBreak/>
        <w:t>Standard deviation values indicated a wider income spread post-intervention, suggesting varied levels of economic improvement based on enterprise type and training received.</w:t>
      </w:r>
    </w:p>
    <w:p w14:paraId="33CA4666" w14:textId="3F151540" w:rsidR="000B148F" w:rsidRPr="00E522FE" w:rsidRDefault="000B148F" w:rsidP="000B148F">
      <w:pPr>
        <w:spacing w:line="276" w:lineRule="auto"/>
        <w:jc w:val="center"/>
        <w:rPr>
          <w:rFonts w:ascii="Times New Roman" w:hAnsi="Times New Roman" w:cs="Times New Roman"/>
          <w:sz w:val="24"/>
          <w:szCs w:val="24"/>
        </w:rPr>
      </w:pPr>
      <w:r w:rsidRPr="00E522FE">
        <w:rPr>
          <w:rFonts w:ascii="Times New Roman" w:hAnsi="Times New Roman" w:cs="Times New Roman"/>
          <w:b/>
          <w:bCs/>
          <w:sz w:val="24"/>
          <w:szCs w:val="24"/>
        </w:rPr>
        <w:t>Table.1. Socio-economic Trends and Descriptive Statistics</w:t>
      </w:r>
    </w:p>
    <w:tbl>
      <w:tblPr>
        <w:tblStyle w:val="TableGrid"/>
        <w:tblW w:w="5000" w:type="pct"/>
        <w:tblLook w:val="04A0" w:firstRow="1" w:lastRow="0" w:firstColumn="1" w:lastColumn="0" w:noHBand="0" w:noVBand="1"/>
      </w:tblPr>
      <w:tblGrid>
        <w:gridCol w:w="2211"/>
        <w:gridCol w:w="2468"/>
        <w:gridCol w:w="2556"/>
        <w:gridCol w:w="2007"/>
      </w:tblGrid>
      <w:tr w:rsidR="000B148F" w:rsidRPr="00E522FE" w14:paraId="5080BDFB" w14:textId="77777777" w:rsidTr="000B148F">
        <w:tc>
          <w:tcPr>
            <w:tcW w:w="1196" w:type="pct"/>
            <w:hideMark/>
          </w:tcPr>
          <w:p w14:paraId="1BCAFC1D" w14:textId="77777777" w:rsidR="000B148F" w:rsidRPr="00E522FE" w:rsidRDefault="000B148F" w:rsidP="000B148F">
            <w:pPr>
              <w:spacing w:after="160" w:line="276" w:lineRule="auto"/>
              <w:jc w:val="both"/>
              <w:rPr>
                <w:rFonts w:ascii="Times New Roman" w:hAnsi="Times New Roman" w:cs="Times New Roman"/>
                <w:b/>
                <w:bCs/>
                <w:sz w:val="24"/>
                <w:szCs w:val="24"/>
              </w:rPr>
            </w:pPr>
            <w:r w:rsidRPr="00E522FE">
              <w:rPr>
                <w:rFonts w:ascii="Times New Roman" w:hAnsi="Times New Roman" w:cs="Times New Roman"/>
                <w:b/>
                <w:bCs/>
                <w:sz w:val="24"/>
                <w:szCs w:val="24"/>
              </w:rPr>
              <w:t>Indicator</w:t>
            </w:r>
          </w:p>
        </w:tc>
        <w:tc>
          <w:tcPr>
            <w:tcW w:w="1335" w:type="pct"/>
            <w:hideMark/>
          </w:tcPr>
          <w:p w14:paraId="5536B66E" w14:textId="77777777" w:rsidR="000B148F" w:rsidRPr="00E522FE" w:rsidRDefault="000B148F" w:rsidP="000B148F">
            <w:pPr>
              <w:spacing w:after="160" w:line="276" w:lineRule="auto"/>
              <w:jc w:val="both"/>
              <w:rPr>
                <w:rFonts w:ascii="Times New Roman" w:hAnsi="Times New Roman" w:cs="Times New Roman"/>
                <w:b/>
                <w:bCs/>
                <w:sz w:val="24"/>
                <w:szCs w:val="24"/>
              </w:rPr>
            </w:pPr>
            <w:r w:rsidRPr="00E522FE">
              <w:rPr>
                <w:rFonts w:ascii="Times New Roman" w:hAnsi="Times New Roman" w:cs="Times New Roman"/>
                <w:b/>
                <w:bCs/>
                <w:sz w:val="24"/>
                <w:szCs w:val="24"/>
              </w:rPr>
              <w:t>Pre-SHG Income (₹)</w:t>
            </w:r>
          </w:p>
        </w:tc>
        <w:tc>
          <w:tcPr>
            <w:tcW w:w="1383" w:type="pct"/>
            <w:hideMark/>
          </w:tcPr>
          <w:p w14:paraId="2F018842" w14:textId="77777777" w:rsidR="000B148F" w:rsidRPr="00E522FE" w:rsidRDefault="000B148F" w:rsidP="000B148F">
            <w:pPr>
              <w:spacing w:after="160" w:line="276" w:lineRule="auto"/>
              <w:jc w:val="both"/>
              <w:rPr>
                <w:rFonts w:ascii="Times New Roman" w:hAnsi="Times New Roman" w:cs="Times New Roman"/>
                <w:b/>
                <w:bCs/>
                <w:sz w:val="24"/>
                <w:szCs w:val="24"/>
              </w:rPr>
            </w:pPr>
            <w:r w:rsidRPr="00E522FE">
              <w:rPr>
                <w:rFonts w:ascii="Times New Roman" w:hAnsi="Times New Roman" w:cs="Times New Roman"/>
                <w:b/>
                <w:bCs/>
                <w:sz w:val="24"/>
                <w:szCs w:val="24"/>
              </w:rPr>
              <w:t>Post-SHG Income (₹)</w:t>
            </w:r>
          </w:p>
        </w:tc>
        <w:tc>
          <w:tcPr>
            <w:tcW w:w="1086" w:type="pct"/>
            <w:hideMark/>
          </w:tcPr>
          <w:p w14:paraId="68D50DD6" w14:textId="77777777" w:rsidR="000B148F" w:rsidRPr="00E522FE" w:rsidRDefault="000B148F" w:rsidP="000B148F">
            <w:pPr>
              <w:spacing w:after="160" w:line="276" w:lineRule="auto"/>
              <w:jc w:val="both"/>
              <w:rPr>
                <w:rFonts w:ascii="Times New Roman" w:hAnsi="Times New Roman" w:cs="Times New Roman"/>
                <w:b/>
                <w:bCs/>
                <w:sz w:val="24"/>
                <w:szCs w:val="24"/>
              </w:rPr>
            </w:pPr>
            <w:r w:rsidRPr="00E522FE">
              <w:rPr>
                <w:rFonts w:ascii="Times New Roman" w:hAnsi="Times New Roman" w:cs="Times New Roman"/>
                <w:b/>
                <w:bCs/>
                <w:sz w:val="24"/>
                <w:szCs w:val="24"/>
              </w:rPr>
              <w:t>Income Gain (₹)</w:t>
            </w:r>
          </w:p>
        </w:tc>
      </w:tr>
      <w:tr w:rsidR="000B148F" w:rsidRPr="00E522FE" w14:paraId="6F02583A" w14:textId="77777777" w:rsidTr="000B148F">
        <w:tc>
          <w:tcPr>
            <w:tcW w:w="1196" w:type="pct"/>
            <w:hideMark/>
          </w:tcPr>
          <w:p w14:paraId="76052DF5" w14:textId="77777777" w:rsidR="000B148F" w:rsidRPr="00E522FE" w:rsidRDefault="000B148F" w:rsidP="000B148F">
            <w:pPr>
              <w:spacing w:after="160" w:line="276" w:lineRule="auto"/>
              <w:jc w:val="both"/>
              <w:rPr>
                <w:rFonts w:ascii="Times New Roman" w:hAnsi="Times New Roman" w:cs="Times New Roman"/>
                <w:sz w:val="24"/>
                <w:szCs w:val="24"/>
              </w:rPr>
            </w:pPr>
            <w:r w:rsidRPr="00E522FE">
              <w:rPr>
                <w:rFonts w:ascii="Times New Roman" w:hAnsi="Times New Roman" w:cs="Times New Roman"/>
                <w:sz w:val="24"/>
                <w:szCs w:val="24"/>
              </w:rPr>
              <w:t>Mean</w:t>
            </w:r>
          </w:p>
        </w:tc>
        <w:tc>
          <w:tcPr>
            <w:tcW w:w="1335" w:type="pct"/>
            <w:hideMark/>
          </w:tcPr>
          <w:p w14:paraId="3FC0FFCC" w14:textId="77777777" w:rsidR="000B148F" w:rsidRPr="00E522FE" w:rsidRDefault="000B148F" w:rsidP="000B148F">
            <w:pPr>
              <w:spacing w:after="160" w:line="276" w:lineRule="auto"/>
              <w:jc w:val="both"/>
              <w:rPr>
                <w:rFonts w:ascii="Times New Roman" w:hAnsi="Times New Roman" w:cs="Times New Roman"/>
                <w:sz w:val="24"/>
                <w:szCs w:val="24"/>
              </w:rPr>
            </w:pPr>
            <w:r w:rsidRPr="00E522FE">
              <w:rPr>
                <w:rFonts w:ascii="Times New Roman" w:hAnsi="Times New Roman" w:cs="Times New Roman"/>
                <w:sz w:val="24"/>
                <w:szCs w:val="24"/>
              </w:rPr>
              <w:t>~2,150</w:t>
            </w:r>
          </w:p>
        </w:tc>
        <w:tc>
          <w:tcPr>
            <w:tcW w:w="1383" w:type="pct"/>
            <w:hideMark/>
          </w:tcPr>
          <w:p w14:paraId="6A220F3F" w14:textId="77777777" w:rsidR="000B148F" w:rsidRPr="00E522FE" w:rsidRDefault="000B148F" w:rsidP="000B148F">
            <w:pPr>
              <w:spacing w:after="160" w:line="276" w:lineRule="auto"/>
              <w:jc w:val="both"/>
              <w:rPr>
                <w:rFonts w:ascii="Times New Roman" w:hAnsi="Times New Roman" w:cs="Times New Roman"/>
                <w:sz w:val="24"/>
                <w:szCs w:val="24"/>
              </w:rPr>
            </w:pPr>
            <w:r w:rsidRPr="00E522FE">
              <w:rPr>
                <w:rFonts w:ascii="Times New Roman" w:hAnsi="Times New Roman" w:cs="Times New Roman"/>
                <w:sz w:val="24"/>
                <w:szCs w:val="24"/>
              </w:rPr>
              <w:t>~5,780</w:t>
            </w:r>
          </w:p>
        </w:tc>
        <w:tc>
          <w:tcPr>
            <w:tcW w:w="1086" w:type="pct"/>
            <w:hideMark/>
          </w:tcPr>
          <w:p w14:paraId="37AFD16F" w14:textId="77777777" w:rsidR="000B148F" w:rsidRPr="00E522FE" w:rsidRDefault="000B148F" w:rsidP="000B148F">
            <w:pPr>
              <w:spacing w:after="160" w:line="276" w:lineRule="auto"/>
              <w:jc w:val="both"/>
              <w:rPr>
                <w:rFonts w:ascii="Times New Roman" w:hAnsi="Times New Roman" w:cs="Times New Roman"/>
                <w:sz w:val="24"/>
                <w:szCs w:val="24"/>
              </w:rPr>
            </w:pPr>
            <w:r w:rsidRPr="00E522FE">
              <w:rPr>
                <w:rFonts w:ascii="Times New Roman" w:hAnsi="Times New Roman" w:cs="Times New Roman"/>
                <w:sz w:val="24"/>
                <w:szCs w:val="24"/>
              </w:rPr>
              <w:t>~3,630</w:t>
            </w:r>
          </w:p>
        </w:tc>
      </w:tr>
      <w:tr w:rsidR="000B148F" w:rsidRPr="00E522FE" w14:paraId="22171809" w14:textId="77777777" w:rsidTr="000B148F">
        <w:tc>
          <w:tcPr>
            <w:tcW w:w="1196" w:type="pct"/>
            <w:hideMark/>
          </w:tcPr>
          <w:p w14:paraId="47FF9F28" w14:textId="77777777" w:rsidR="000B148F" w:rsidRPr="00E522FE" w:rsidRDefault="000B148F" w:rsidP="000B148F">
            <w:pPr>
              <w:spacing w:after="160" w:line="276" w:lineRule="auto"/>
              <w:jc w:val="both"/>
              <w:rPr>
                <w:rFonts w:ascii="Times New Roman" w:hAnsi="Times New Roman" w:cs="Times New Roman"/>
                <w:sz w:val="24"/>
                <w:szCs w:val="24"/>
              </w:rPr>
            </w:pPr>
            <w:r w:rsidRPr="00E522FE">
              <w:rPr>
                <w:rFonts w:ascii="Times New Roman" w:hAnsi="Times New Roman" w:cs="Times New Roman"/>
                <w:sz w:val="24"/>
                <w:szCs w:val="24"/>
              </w:rPr>
              <w:t>Standard Deviation</w:t>
            </w:r>
          </w:p>
        </w:tc>
        <w:tc>
          <w:tcPr>
            <w:tcW w:w="1335" w:type="pct"/>
            <w:hideMark/>
          </w:tcPr>
          <w:p w14:paraId="3489A590" w14:textId="77777777" w:rsidR="000B148F" w:rsidRPr="00E522FE" w:rsidRDefault="000B148F" w:rsidP="000B148F">
            <w:pPr>
              <w:spacing w:after="160" w:line="276" w:lineRule="auto"/>
              <w:jc w:val="both"/>
              <w:rPr>
                <w:rFonts w:ascii="Times New Roman" w:hAnsi="Times New Roman" w:cs="Times New Roman"/>
                <w:sz w:val="24"/>
                <w:szCs w:val="24"/>
              </w:rPr>
            </w:pPr>
            <w:r w:rsidRPr="00E522FE">
              <w:rPr>
                <w:rFonts w:ascii="Times New Roman" w:hAnsi="Times New Roman" w:cs="Times New Roman"/>
                <w:sz w:val="24"/>
                <w:szCs w:val="24"/>
              </w:rPr>
              <w:t>~500</w:t>
            </w:r>
          </w:p>
        </w:tc>
        <w:tc>
          <w:tcPr>
            <w:tcW w:w="1383" w:type="pct"/>
            <w:hideMark/>
          </w:tcPr>
          <w:p w14:paraId="1FA14B99" w14:textId="77777777" w:rsidR="000B148F" w:rsidRPr="00E522FE" w:rsidRDefault="000B148F" w:rsidP="000B148F">
            <w:pPr>
              <w:spacing w:after="160" w:line="276" w:lineRule="auto"/>
              <w:jc w:val="both"/>
              <w:rPr>
                <w:rFonts w:ascii="Times New Roman" w:hAnsi="Times New Roman" w:cs="Times New Roman"/>
                <w:sz w:val="24"/>
                <w:szCs w:val="24"/>
              </w:rPr>
            </w:pPr>
            <w:r w:rsidRPr="00E522FE">
              <w:rPr>
                <w:rFonts w:ascii="Times New Roman" w:hAnsi="Times New Roman" w:cs="Times New Roman"/>
                <w:sz w:val="24"/>
                <w:szCs w:val="24"/>
              </w:rPr>
              <w:t>~700</w:t>
            </w:r>
          </w:p>
        </w:tc>
        <w:tc>
          <w:tcPr>
            <w:tcW w:w="1086" w:type="pct"/>
            <w:hideMark/>
          </w:tcPr>
          <w:p w14:paraId="09DDEE99" w14:textId="77777777" w:rsidR="000B148F" w:rsidRPr="00E522FE" w:rsidRDefault="000B148F" w:rsidP="000B148F">
            <w:pPr>
              <w:spacing w:after="160" w:line="276" w:lineRule="auto"/>
              <w:jc w:val="both"/>
              <w:rPr>
                <w:rFonts w:ascii="Times New Roman" w:hAnsi="Times New Roman" w:cs="Times New Roman"/>
                <w:sz w:val="24"/>
                <w:szCs w:val="24"/>
              </w:rPr>
            </w:pPr>
            <w:r w:rsidRPr="00E522FE">
              <w:rPr>
                <w:rFonts w:ascii="Times New Roman" w:hAnsi="Times New Roman" w:cs="Times New Roman"/>
                <w:sz w:val="24"/>
                <w:szCs w:val="24"/>
              </w:rPr>
              <w:t>~2,200</w:t>
            </w:r>
          </w:p>
        </w:tc>
      </w:tr>
      <w:tr w:rsidR="000B148F" w:rsidRPr="00E522FE" w14:paraId="669B8B9B" w14:textId="77777777" w:rsidTr="000B148F">
        <w:tc>
          <w:tcPr>
            <w:tcW w:w="1196" w:type="pct"/>
            <w:hideMark/>
          </w:tcPr>
          <w:p w14:paraId="6B01CA70" w14:textId="77777777" w:rsidR="000B148F" w:rsidRPr="00E522FE" w:rsidRDefault="000B148F" w:rsidP="000B148F">
            <w:pPr>
              <w:spacing w:after="160" w:line="276" w:lineRule="auto"/>
              <w:jc w:val="both"/>
              <w:rPr>
                <w:rFonts w:ascii="Times New Roman" w:hAnsi="Times New Roman" w:cs="Times New Roman"/>
                <w:sz w:val="24"/>
                <w:szCs w:val="24"/>
              </w:rPr>
            </w:pPr>
            <w:r w:rsidRPr="00E522FE">
              <w:rPr>
                <w:rFonts w:ascii="Times New Roman" w:hAnsi="Times New Roman" w:cs="Times New Roman"/>
                <w:sz w:val="24"/>
                <w:szCs w:val="24"/>
              </w:rPr>
              <w:t>Minimum</w:t>
            </w:r>
          </w:p>
        </w:tc>
        <w:tc>
          <w:tcPr>
            <w:tcW w:w="1335" w:type="pct"/>
            <w:hideMark/>
          </w:tcPr>
          <w:p w14:paraId="3EC01B3B" w14:textId="77777777" w:rsidR="000B148F" w:rsidRPr="00E522FE" w:rsidRDefault="000B148F" w:rsidP="000B148F">
            <w:pPr>
              <w:spacing w:after="160" w:line="276" w:lineRule="auto"/>
              <w:jc w:val="both"/>
              <w:rPr>
                <w:rFonts w:ascii="Times New Roman" w:hAnsi="Times New Roman" w:cs="Times New Roman"/>
                <w:sz w:val="24"/>
                <w:szCs w:val="24"/>
              </w:rPr>
            </w:pPr>
            <w:r w:rsidRPr="00E522FE">
              <w:rPr>
                <w:rFonts w:ascii="Times New Roman" w:hAnsi="Times New Roman" w:cs="Times New Roman"/>
                <w:sz w:val="24"/>
                <w:szCs w:val="24"/>
              </w:rPr>
              <w:t>~980</w:t>
            </w:r>
          </w:p>
        </w:tc>
        <w:tc>
          <w:tcPr>
            <w:tcW w:w="1383" w:type="pct"/>
            <w:hideMark/>
          </w:tcPr>
          <w:p w14:paraId="6AE179AD" w14:textId="77777777" w:rsidR="000B148F" w:rsidRPr="00E522FE" w:rsidRDefault="000B148F" w:rsidP="000B148F">
            <w:pPr>
              <w:spacing w:after="160" w:line="276" w:lineRule="auto"/>
              <w:jc w:val="both"/>
              <w:rPr>
                <w:rFonts w:ascii="Times New Roman" w:hAnsi="Times New Roman" w:cs="Times New Roman"/>
                <w:sz w:val="24"/>
                <w:szCs w:val="24"/>
              </w:rPr>
            </w:pPr>
            <w:r w:rsidRPr="00E522FE">
              <w:rPr>
                <w:rFonts w:ascii="Times New Roman" w:hAnsi="Times New Roman" w:cs="Times New Roman"/>
                <w:sz w:val="24"/>
                <w:szCs w:val="24"/>
              </w:rPr>
              <w:t>~3,900</w:t>
            </w:r>
          </w:p>
        </w:tc>
        <w:tc>
          <w:tcPr>
            <w:tcW w:w="1086" w:type="pct"/>
            <w:hideMark/>
          </w:tcPr>
          <w:p w14:paraId="6705DA7B" w14:textId="77777777" w:rsidR="000B148F" w:rsidRPr="00E522FE" w:rsidRDefault="000B148F" w:rsidP="000B148F">
            <w:pPr>
              <w:spacing w:after="160" w:line="276" w:lineRule="auto"/>
              <w:jc w:val="both"/>
              <w:rPr>
                <w:rFonts w:ascii="Times New Roman" w:hAnsi="Times New Roman" w:cs="Times New Roman"/>
                <w:sz w:val="24"/>
                <w:szCs w:val="24"/>
              </w:rPr>
            </w:pPr>
            <w:r w:rsidRPr="00E522FE">
              <w:rPr>
                <w:rFonts w:ascii="Times New Roman" w:hAnsi="Times New Roman" w:cs="Times New Roman"/>
                <w:sz w:val="24"/>
                <w:szCs w:val="24"/>
              </w:rPr>
              <w:t>~1,200</w:t>
            </w:r>
          </w:p>
        </w:tc>
      </w:tr>
      <w:tr w:rsidR="000B148F" w:rsidRPr="00E522FE" w14:paraId="3FB7AB7D" w14:textId="77777777" w:rsidTr="000B148F">
        <w:tc>
          <w:tcPr>
            <w:tcW w:w="1196" w:type="pct"/>
            <w:hideMark/>
          </w:tcPr>
          <w:p w14:paraId="78479ADD" w14:textId="77777777" w:rsidR="000B148F" w:rsidRPr="00E522FE" w:rsidRDefault="000B148F" w:rsidP="000B148F">
            <w:pPr>
              <w:spacing w:after="160" w:line="276" w:lineRule="auto"/>
              <w:jc w:val="both"/>
              <w:rPr>
                <w:rFonts w:ascii="Times New Roman" w:hAnsi="Times New Roman" w:cs="Times New Roman"/>
                <w:sz w:val="24"/>
                <w:szCs w:val="24"/>
              </w:rPr>
            </w:pPr>
            <w:r w:rsidRPr="00E522FE">
              <w:rPr>
                <w:rFonts w:ascii="Times New Roman" w:hAnsi="Times New Roman" w:cs="Times New Roman"/>
                <w:sz w:val="24"/>
                <w:szCs w:val="24"/>
              </w:rPr>
              <w:t>Maximum</w:t>
            </w:r>
          </w:p>
        </w:tc>
        <w:tc>
          <w:tcPr>
            <w:tcW w:w="1335" w:type="pct"/>
            <w:hideMark/>
          </w:tcPr>
          <w:p w14:paraId="6E0CFD27" w14:textId="77777777" w:rsidR="000B148F" w:rsidRPr="00E522FE" w:rsidRDefault="000B148F" w:rsidP="000B148F">
            <w:pPr>
              <w:spacing w:after="160" w:line="276" w:lineRule="auto"/>
              <w:jc w:val="both"/>
              <w:rPr>
                <w:rFonts w:ascii="Times New Roman" w:hAnsi="Times New Roman" w:cs="Times New Roman"/>
                <w:sz w:val="24"/>
                <w:szCs w:val="24"/>
              </w:rPr>
            </w:pPr>
            <w:r w:rsidRPr="00E522FE">
              <w:rPr>
                <w:rFonts w:ascii="Times New Roman" w:hAnsi="Times New Roman" w:cs="Times New Roman"/>
                <w:sz w:val="24"/>
                <w:szCs w:val="24"/>
              </w:rPr>
              <w:t>~3,500</w:t>
            </w:r>
          </w:p>
        </w:tc>
        <w:tc>
          <w:tcPr>
            <w:tcW w:w="1383" w:type="pct"/>
            <w:hideMark/>
          </w:tcPr>
          <w:p w14:paraId="0358BE87" w14:textId="77777777" w:rsidR="000B148F" w:rsidRPr="00E522FE" w:rsidRDefault="000B148F" w:rsidP="000B148F">
            <w:pPr>
              <w:spacing w:after="160" w:line="276" w:lineRule="auto"/>
              <w:jc w:val="both"/>
              <w:rPr>
                <w:rFonts w:ascii="Times New Roman" w:hAnsi="Times New Roman" w:cs="Times New Roman"/>
                <w:sz w:val="24"/>
                <w:szCs w:val="24"/>
              </w:rPr>
            </w:pPr>
            <w:r w:rsidRPr="00E522FE">
              <w:rPr>
                <w:rFonts w:ascii="Times New Roman" w:hAnsi="Times New Roman" w:cs="Times New Roman"/>
                <w:sz w:val="24"/>
                <w:szCs w:val="24"/>
              </w:rPr>
              <w:t>~7,800</w:t>
            </w:r>
          </w:p>
        </w:tc>
        <w:tc>
          <w:tcPr>
            <w:tcW w:w="1086" w:type="pct"/>
            <w:hideMark/>
          </w:tcPr>
          <w:p w14:paraId="7E91F02B" w14:textId="77777777" w:rsidR="000B148F" w:rsidRPr="00E522FE" w:rsidRDefault="000B148F" w:rsidP="000B148F">
            <w:pPr>
              <w:spacing w:after="160" w:line="276" w:lineRule="auto"/>
              <w:jc w:val="both"/>
              <w:rPr>
                <w:rFonts w:ascii="Times New Roman" w:hAnsi="Times New Roman" w:cs="Times New Roman"/>
                <w:sz w:val="24"/>
                <w:szCs w:val="24"/>
              </w:rPr>
            </w:pPr>
            <w:r w:rsidRPr="00E522FE">
              <w:rPr>
                <w:rFonts w:ascii="Times New Roman" w:hAnsi="Times New Roman" w:cs="Times New Roman"/>
                <w:sz w:val="24"/>
                <w:szCs w:val="24"/>
              </w:rPr>
              <w:t>~4,500</w:t>
            </w:r>
          </w:p>
        </w:tc>
      </w:tr>
    </w:tbl>
    <w:p w14:paraId="1B9F95CC" w14:textId="77777777" w:rsidR="0048219E" w:rsidRPr="00E522FE" w:rsidRDefault="0048219E" w:rsidP="0048219E">
      <w:pPr>
        <w:spacing w:line="276" w:lineRule="auto"/>
        <w:jc w:val="center"/>
        <w:rPr>
          <w:rFonts w:ascii="Times New Roman" w:hAnsi="Times New Roman" w:cs="Times New Roman"/>
          <w:sz w:val="24"/>
          <w:szCs w:val="24"/>
        </w:rPr>
      </w:pPr>
    </w:p>
    <w:p w14:paraId="54FB35D2" w14:textId="316F731B" w:rsidR="0048219E" w:rsidRPr="00E522FE" w:rsidRDefault="0048219E" w:rsidP="0048219E">
      <w:pPr>
        <w:spacing w:line="276" w:lineRule="auto"/>
        <w:jc w:val="center"/>
        <w:rPr>
          <w:rFonts w:ascii="Times New Roman" w:hAnsi="Times New Roman" w:cs="Times New Roman"/>
          <w:sz w:val="24"/>
          <w:szCs w:val="24"/>
        </w:rPr>
      </w:pPr>
      <w:r w:rsidRPr="00E522FE">
        <w:rPr>
          <w:rFonts w:ascii="Times New Roman" w:hAnsi="Times New Roman" w:cs="Times New Roman"/>
          <w:noProof/>
          <w:sz w:val="24"/>
          <w:szCs w:val="24"/>
          <w:lang w:eastAsia="en-IN"/>
        </w:rPr>
        <w:drawing>
          <wp:inline distT="0" distB="0" distL="0" distR="0" wp14:anchorId="06015FFC" wp14:editId="0B45E178">
            <wp:extent cx="4632290" cy="2421255"/>
            <wp:effectExtent l="0" t="0" r="0" b="0"/>
            <wp:docPr id="82117496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668984" cy="2440434"/>
                    </a:xfrm>
                    <a:prstGeom prst="rect">
                      <a:avLst/>
                    </a:prstGeom>
                    <a:noFill/>
                    <a:ln>
                      <a:noFill/>
                    </a:ln>
                  </pic:spPr>
                </pic:pic>
              </a:graphicData>
            </a:graphic>
          </wp:inline>
        </w:drawing>
      </w:r>
    </w:p>
    <w:p w14:paraId="022C24D3" w14:textId="0D1E529C" w:rsidR="0048219E" w:rsidRPr="00E522FE" w:rsidRDefault="0048219E" w:rsidP="0048219E">
      <w:pPr>
        <w:spacing w:line="276" w:lineRule="auto"/>
        <w:jc w:val="center"/>
        <w:rPr>
          <w:rFonts w:ascii="Times New Roman" w:hAnsi="Times New Roman" w:cs="Times New Roman"/>
          <w:b/>
          <w:bCs/>
          <w:sz w:val="24"/>
          <w:szCs w:val="24"/>
        </w:rPr>
      </w:pPr>
      <w:r w:rsidRPr="00E522FE">
        <w:rPr>
          <w:rFonts w:ascii="Times New Roman" w:hAnsi="Times New Roman" w:cs="Times New Roman"/>
          <w:b/>
          <w:bCs/>
          <w:sz w:val="24"/>
          <w:szCs w:val="24"/>
        </w:rPr>
        <w:t>Figure 1: Pre- vs Post-SHG Income Comparison</w:t>
      </w:r>
    </w:p>
    <w:p w14:paraId="149F808F" w14:textId="7E4674AD" w:rsidR="0048219E" w:rsidRPr="00E522FE" w:rsidRDefault="0048219E" w:rsidP="0048219E">
      <w:pPr>
        <w:spacing w:line="276" w:lineRule="auto"/>
        <w:jc w:val="both"/>
        <w:rPr>
          <w:rFonts w:ascii="Times New Roman" w:hAnsi="Times New Roman" w:cs="Times New Roman"/>
          <w:sz w:val="24"/>
          <w:szCs w:val="24"/>
        </w:rPr>
      </w:pPr>
      <w:r w:rsidRPr="00E522FE">
        <w:rPr>
          <w:rFonts w:ascii="Times New Roman" w:hAnsi="Times New Roman" w:cs="Times New Roman"/>
          <w:sz w:val="24"/>
          <w:szCs w:val="24"/>
        </w:rPr>
        <w:t xml:space="preserve">As visualized in </w:t>
      </w:r>
      <w:r w:rsidRPr="00E522FE">
        <w:rPr>
          <w:rFonts w:ascii="Times New Roman" w:hAnsi="Times New Roman" w:cs="Times New Roman"/>
          <w:b/>
          <w:bCs/>
          <w:sz w:val="24"/>
          <w:szCs w:val="24"/>
        </w:rPr>
        <w:t>Figure 1</w:t>
      </w:r>
      <w:r w:rsidRPr="00E522FE">
        <w:rPr>
          <w:rFonts w:ascii="Times New Roman" w:hAnsi="Times New Roman" w:cs="Times New Roman"/>
          <w:sz w:val="24"/>
          <w:szCs w:val="24"/>
        </w:rPr>
        <w:t>, the box plot comparison shows a clear upward shift in income distribution, with higher medians and fewer low-income outliers after SHG participation.</w:t>
      </w:r>
    </w:p>
    <w:p w14:paraId="292EAC41" w14:textId="77777777" w:rsidR="00A42386" w:rsidRPr="00E522FE" w:rsidRDefault="00A42386" w:rsidP="0048219E">
      <w:pPr>
        <w:spacing w:line="276" w:lineRule="auto"/>
        <w:jc w:val="both"/>
        <w:rPr>
          <w:rFonts w:ascii="Times New Roman" w:hAnsi="Times New Roman" w:cs="Times New Roman"/>
          <w:b/>
          <w:bCs/>
          <w:sz w:val="24"/>
          <w:szCs w:val="24"/>
        </w:rPr>
      </w:pPr>
    </w:p>
    <w:p w14:paraId="392C16AC" w14:textId="7E5BF764" w:rsidR="0048219E" w:rsidRPr="00E522FE" w:rsidRDefault="00A42386" w:rsidP="0048219E">
      <w:pPr>
        <w:spacing w:line="276" w:lineRule="auto"/>
        <w:jc w:val="both"/>
        <w:rPr>
          <w:rFonts w:ascii="Times New Roman" w:hAnsi="Times New Roman" w:cs="Times New Roman"/>
          <w:b/>
          <w:bCs/>
          <w:sz w:val="24"/>
          <w:szCs w:val="24"/>
        </w:rPr>
      </w:pPr>
      <w:r w:rsidRPr="00E522FE">
        <w:rPr>
          <w:rFonts w:ascii="Times New Roman" w:hAnsi="Times New Roman" w:cs="Times New Roman"/>
          <w:b/>
          <w:bCs/>
          <w:sz w:val="24"/>
          <w:szCs w:val="24"/>
        </w:rPr>
        <w:t>3</w:t>
      </w:r>
      <w:r w:rsidR="0048219E" w:rsidRPr="00E522FE">
        <w:rPr>
          <w:rFonts w:ascii="Times New Roman" w:hAnsi="Times New Roman" w:cs="Times New Roman"/>
          <w:b/>
          <w:bCs/>
          <w:sz w:val="24"/>
          <w:szCs w:val="24"/>
        </w:rPr>
        <w:t>.2 Relationship Between Financial Exposure and Income Growth</w:t>
      </w:r>
    </w:p>
    <w:p w14:paraId="6B6EA61D" w14:textId="77777777" w:rsidR="0048219E" w:rsidRPr="00E522FE" w:rsidRDefault="0048219E" w:rsidP="0048219E">
      <w:pPr>
        <w:spacing w:line="276" w:lineRule="auto"/>
        <w:jc w:val="both"/>
        <w:rPr>
          <w:rFonts w:ascii="Times New Roman" w:hAnsi="Times New Roman" w:cs="Times New Roman"/>
          <w:sz w:val="24"/>
          <w:szCs w:val="24"/>
        </w:rPr>
      </w:pPr>
      <w:r w:rsidRPr="00E522FE">
        <w:rPr>
          <w:rFonts w:ascii="Times New Roman" w:hAnsi="Times New Roman" w:cs="Times New Roman"/>
          <w:sz w:val="24"/>
          <w:szCs w:val="24"/>
        </w:rPr>
        <w:t xml:space="preserve">To assess the relationship between loan amounts and resulting income growth, a cross-tabulation analysis was conducted. The majority of respondents receiving medium to high loan amounts (₹40,000–₹60,000) exhibited high or very high income gains. As illustrated in </w:t>
      </w:r>
      <w:r w:rsidRPr="00E522FE">
        <w:rPr>
          <w:rFonts w:ascii="Times New Roman" w:hAnsi="Times New Roman" w:cs="Times New Roman"/>
          <w:b/>
          <w:bCs/>
          <w:sz w:val="24"/>
          <w:szCs w:val="24"/>
        </w:rPr>
        <w:t>Table 2</w:t>
      </w:r>
      <w:r w:rsidRPr="00E522FE">
        <w:rPr>
          <w:rFonts w:ascii="Times New Roman" w:hAnsi="Times New Roman" w:cs="Times New Roman"/>
          <w:sz w:val="24"/>
          <w:szCs w:val="24"/>
        </w:rPr>
        <w:t>, this group had a more balanced distribution of loan access and income progression.</w:t>
      </w:r>
    </w:p>
    <w:p w14:paraId="0EE79A61" w14:textId="680CC858" w:rsidR="0048219E" w:rsidRPr="00E522FE" w:rsidRDefault="0048219E" w:rsidP="0048219E">
      <w:pPr>
        <w:spacing w:line="276" w:lineRule="auto"/>
        <w:jc w:val="center"/>
        <w:rPr>
          <w:rFonts w:ascii="Times New Roman" w:hAnsi="Times New Roman" w:cs="Times New Roman"/>
          <w:b/>
          <w:bCs/>
          <w:sz w:val="24"/>
          <w:szCs w:val="24"/>
        </w:rPr>
      </w:pPr>
      <w:r w:rsidRPr="00E522FE">
        <w:rPr>
          <w:rFonts w:ascii="Times New Roman" w:hAnsi="Times New Roman" w:cs="Times New Roman"/>
          <w:b/>
          <w:bCs/>
          <w:sz w:val="24"/>
          <w:szCs w:val="24"/>
        </w:rPr>
        <w:t>Table 2:  Loan vs Income Growth (Cross-tabulation)</w:t>
      </w:r>
    </w:p>
    <w:tbl>
      <w:tblPr>
        <w:tblStyle w:val="TableGrid"/>
        <w:tblW w:w="5000" w:type="pct"/>
        <w:tblLook w:val="04A0" w:firstRow="1" w:lastRow="0" w:firstColumn="1" w:lastColumn="0" w:noHBand="0" w:noVBand="1"/>
      </w:tblPr>
      <w:tblGrid>
        <w:gridCol w:w="2042"/>
        <w:gridCol w:w="1834"/>
        <w:gridCol w:w="2031"/>
        <w:gridCol w:w="1220"/>
        <w:gridCol w:w="2115"/>
      </w:tblGrid>
      <w:tr w:rsidR="0048219E" w:rsidRPr="00E522FE" w14:paraId="50898D08" w14:textId="77777777" w:rsidTr="0048219E">
        <w:tc>
          <w:tcPr>
            <w:tcW w:w="1105" w:type="pct"/>
            <w:hideMark/>
          </w:tcPr>
          <w:p w14:paraId="661A27D2" w14:textId="77777777" w:rsidR="0048219E" w:rsidRPr="00E522FE" w:rsidRDefault="0048219E" w:rsidP="0048219E">
            <w:pPr>
              <w:spacing w:after="160" w:line="276" w:lineRule="auto"/>
              <w:jc w:val="both"/>
              <w:rPr>
                <w:rFonts w:ascii="Times New Roman" w:hAnsi="Times New Roman" w:cs="Times New Roman"/>
                <w:b/>
                <w:bCs/>
                <w:sz w:val="24"/>
                <w:szCs w:val="24"/>
              </w:rPr>
            </w:pPr>
            <w:r w:rsidRPr="00E522FE">
              <w:rPr>
                <w:rFonts w:ascii="Times New Roman" w:hAnsi="Times New Roman" w:cs="Times New Roman"/>
                <w:b/>
                <w:bCs/>
                <w:sz w:val="24"/>
                <w:szCs w:val="24"/>
              </w:rPr>
              <w:t>Loan Size</w:t>
            </w:r>
          </w:p>
        </w:tc>
        <w:tc>
          <w:tcPr>
            <w:tcW w:w="992" w:type="pct"/>
            <w:hideMark/>
          </w:tcPr>
          <w:p w14:paraId="1476800E" w14:textId="77777777" w:rsidR="0048219E" w:rsidRPr="00E522FE" w:rsidRDefault="0048219E" w:rsidP="0048219E">
            <w:pPr>
              <w:spacing w:after="160" w:line="276" w:lineRule="auto"/>
              <w:jc w:val="both"/>
              <w:rPr>
                <w:rFonts w:ascii="Times New Roman" w:hAnsi="Times New Roman" w:cs="Times New Roman"/>
                <w:b/>
                <w:bCs/>
                <w:sz w:val="24"/>
                <w:szCs w:val="24"/>
              </w:rPr>
            </w:pPr>
            <w:r w:rsidRPr="00E522FE">
              <w:rPr>
                <w:rFonts w:ascii="Times New Roman" w:hAnsi="Times New Roman" w:cs="Times New Roman"/>
                <w:b/>
                <w:bCs/>
                <w:sz w:val="24"/>
                <w:szCs w:val="24"/>
              </w:rPr>
              <w:t>Minimal</w:t>
            </w:r>
          </w:p>
        </w:tc>
        <w:tc>
          <w:tcPr>
            <w:tcW w:w="1099" w:type="pct"/>
            <w:hideMark/>
          </w:tcPr>
          <w:p w14:paraId="211B479E" w14:textId="77777777" w:rsidR="0048219E" w:rsidRPr="00E522FE" w:rsidRDefault="0048219E" w:rsidP="0048219E">
            <w:pPr>
              <w:spacing w:after="160" w:line="276" w:lineRule="auto"/>
              <w:jc w:val="both"/>
              <w:rPr>
                <w:rFonts w:ascii="Times New Roman" w:hAnsi="Times New Roman" w:cs="Times New Roman"/>
                <w:b/>
                <w:bCs/>
                <w:sz w:val="24"/>
                <w:szCs w:val="24"/>
              </w:rPr>
            </w:pPr>
            <w:r w:rsidRPr="00E522FE">
              <w:rPr>
                <w:rFonts w:ascii="Times New Roman" w:hAnsi="Times New Roman" w:cs="Times New Roman"/>
                <w:b/>
                <w:bCs/>
                <w:sz w:val="24"/>
                <w:szCs w:val="24"/>
              </w:rPr>
              <w:t>Moderate</w:t>
            </w:r>
          </w:p>
        </w:tc>
        <w:tc>
          <w:tcPr>
            <w:tcW w:w="660" w:type="pct"/>
            <w:hideMark/>
          </w:tcPr>
          <w:p w14:paraId="2E974A85" w14:textId="77777777" w:rsidR="0048219E" w:rsidRPr="00E522FE" w:rsidRDefault="0048219E" w:rsidP="0048219E">
            <w:pPr>
              <w:spacing w:after="160" w:line="276" w:lineRule="auto"/>
              <w:jc w:val="both"/>
              <w:rPr>
                <w:rFonts w:ascii="Times New Roman" w:hAnsi="Times New Roman" w:cs="Times New Roman"/>
                <w:b/>
                <w:bCs/>
                <w:sz w:val="24"/>
                <w:szCs w:val="24"/>
              </w:rPr>
            </w:pPr>
            <w:r w:rsidRPr="00E522FE">
              <w:rPr>
                <w:rFonts w:ascii="Times New Roman" w:hAnsi="Times New Roman" w:cs="Times New Roman"/>
                <w:b/>
                <w:bCs/>
                <w:sz w:val="24"/>
                <w:szCs w:val="24"/>
              </w:rPr>
              <w:t>High</w:t>
            </w:r>
          </w:p>
        </w:tc>
        <w:tc>
          <w:tcPr>
            <w:tcW w:w="1144" w:type="pct"/>
            <w:hideMark/>
          </w:tcPr>
          <w:p w14:paraId="7D12AD26" w14:textId="77777777" w:rsidR="0048219E" w:rsidRPr="00E522FE" w:rsidRDefault="0048219E" w:rsidP="0048219E">
            <w:pPr>
              <w:spacing w:after="160" w:line="276" w:lineRule="auto"/>
              <w:jc w:val="both"/>
              <w:rPr>
                <w:rFonts w:ascii="Times New Roman" w:hAnsi="Times New Roman" w:cs="Times New Roman"/>
                <w:b/>
                <w:bCs/>
                <w:sz w:val="24"/>
                <w:szCs w:val="24"/>
              </w:rPr>
            </w:pPr>
            <w:r w:rsidRPr="00E522FE">
              <w:rPr>
                <w:rFonts w:ascii="Times New Roman" w:hAnsi="Times New Roman" w:cs="Times New Roman"/>
                <w:b/>
                <w:bCs/>
                <w:sz w:val="24"/>
                <w:szCs w:val="24"/>
              </w:rPr>
              <w:t>Very High</w:t>
            </w:r>
          </w:p>
        </w:tc>
      </w:tr>
      <w:tr w:rsidR="0048219E" w:rsidRPr="00E522FE" w14:paraId="14806F52" w14:textId="77777777" w:rsidTr="0048219E">
        <w:tc>
          <w:tcPr>
            <w:tcW w:w="1105" w:type="pct"/>
            <w:hideMark/>
          </w:tcPr>
          <w:p w14:paraId="47F43A0E" w14:textId="77777777" w:rsidR="0048219E" w:rsidRPr="00E522FE" w:rsidRDefault="0048219E" w:rsidP="0048219E">
            <w:pPr>
              <w:spacing w:after="160" w:line="276" w:lineRule="auto"/>
              <w:jc w:val="both"/>
              <w:rPr>
                <w:rFonts w:ascii="Times New Roman" w:hAnsi="Times New Roman" w:cs="Times New Roman"/>
                <w:sz w:val="24"/>
                <w:szCs w:val="24"/>
              </w:rPr>
            </w:pPr>
            <w:r w:rsidRPr="00E522FE">
              <w:rPr>
                <w:rFonts w:ascii="Times New Roman" w:hAnsi="Times New Roman" w:cs="Times New Roman"/>
                <w:sz w:val="24"/>
                <w:szCs w:val="24"/>
              </w:rPr>
              <w:t>Low</w:t>
            </w:r>
          </w:p>
        </w:tc>
        <w:tc>
          <w:tcPr>
            <w:tcW w:w="992" w:type="pct"/>
            <w:hideMark/>
          </w:tcPr>
          <w:p w14:paraId="7F64163B" w14:textId="77777777" w:rsidR="0048219E" w:rsidRPr="00E522FE" w:rsidRDefault="0048219E" w:rsidP="0048219E">
            <w:pPr>
              <w:spacing w:after="160" w:line="276" w:lineRule="auto"/>
              <w:jc w:val="both"/>
              <w:rPr>
                <w:rFonts w:ascii="Times New Roman" w:hAnsi="Times New Roman" w:cs="Times New Roman"/>
                <w:sz w:val="24"/>
                <w:szCs w:val="24"/>
              </w:rPr>
            </w:pPr>
            <w:r w:rsidRPr="00E522FE">
              <w:rPr>
                <w:rFonts w:ascii="Times New Roman" w:hAnsi="Times New Roman" w:cs="Times New Roman"/>
                <w:sz w:val="24"/>
                <w:szCs w:val="24"/>
              </w:rPr>
              <w:t>2</w:t>
            </w:r>
          </w:p>
        </w:tc>
        <w:tc>
          <w:tcPr>
            <w:tcW w:w="1099" w:type="pct"/>
            <w:hideMark/>
          </w:tcPr>
          <w:p w14:paraId="3DB5CBE5" w14:textId="77777777" w:rsidR="0048219E" w:rsidRPr="00E522FE" w:rsidRDefault="0048219E" w:rsidP="0048219E">
            <w:pPr>
              <w:spacing w:after="160" w:line="276" w:lineRule="auto"/>
              <w:jc w:val="both"/>
              <w:rPr>
                <w:rFonts w:ascii="Times New Roman" w:hAnsi="Times New Roman" w:cs="Times New Roman"/>
                <w:sz w:val="24"/>
                <w:szCs w:val="24"/>
              </w:rPr>
            </w:pPr>
            <w:r w:rsidRPr="00E522FE">
              <w:rPr>
                <w:rFonts w:ascii="Times New Roman" w:hAnsi="Times New Roman" w:cs="Times New Roman"/>
                <w:sz w:val="24"/>
                <w:szCs w:val="24"/>
              </w:rPr>
              <w:t>4</w:t>
            </w:r>
          </w:p>
        </w:tc>
        <w:tc>
          <w:tcPr>
            <w:tcW w:w="660" w:type="pct"/>
            <w:hideMark/>
          </w:tcPr>
          <w:p w14:paraId="025BF0C7" w14:textId="77777777" w:rsidR="0048219E" w:rsidRPr="00E522FE" w:rsidRDefault="0048219E" w:rsidP="0048219E">
            <w:pPr>
              <w:spacing w:after="160" w:line="276" w:lineRule="auto"/>
              <w:jc w:val="both"/>
              <w:rPr>
                <w:rFonts w:ascii="Times New Roman" w:hAnsi="Times New Roman" w:cs="Times New Roman"/>
                <w:sz w:val="24"/>
                <w:szCs w:val="24"/>
              </w:rPr>
            </w:pPr>
            <w:r w:rsidRPr="00E522FE">
              <w:rPr>
                <w:rFonts w:ascii="Times New Roman" w:hAnsi="Times New Roman" w:cs="Times New Roman"/>
                <w:sz w:val="24"/>
                <w:szCs w:val="24"/>
              </w:rPr>
              <w:t>7</w:t>
            </w:r>
          </w:p>
        </w:tc>
        <w:tc>
          <w:tcPr>
            <w:tcW w:w="1144" w:type="pct"/>
            <w:hideMark/>
          </w:tcPr>
          <w:p w14:paraId="1C30BAF1" w14:textId="77777777" w:rsidR="0048219E" w:rsidRPr="00E522FE" w:rsidRDefault="0048219E" w:rsidP="0048219E">
            <w:pPr>
              <w:spacing w:after="160" w:line="276" w:lineRule="auto"/>
              <w:jc w:val="both"/>
              <w:rPr>
                <w:rFonts w:ascii="Times New Roman" w:hAnsi="Times New Roman" w:cs="Times New Roman"/>
                <w:sz w:val="24"/>
                <w:szCs w:val="24"/>
              </w:rPr>
            </w:pPr>
            <w:r w:rsidRPr="00E522FE">
              <w:rPr>
                <w:rFonts w:ascii="Times New Roman" w:hAnsi="Times New Roman" w:cs="Times New Roman"/>
                <w:sz w:val="24"/>
                <w:szCs w:val="24"/>
              </w:rPr>
              <w:t>2</w:t>
            </w:r>
          </w:p>
        </w:tc>
      </w:tr>
      <w:tr w:rsidR="0048219E" w:rsidRPr="00E522FE" w14:paraId="2F62B98A" w14:textId="77777777" w:rsidTr="0048219E">
        <w:tc>
          <w:tcPr>
            <w:tcW w:w="1105" w:type="pct"/>
            <w:hideMark/>
          </w:tcPr>
          <w:p w14:paraId="1E3B5703" w14:textId="77777777" w:rsidR="0048219E" w:rsidRPr="00E522FE" w:rsidRDefault="0048219E" w:rsidP="0048219E">
            <w:pPr>
              <w:spacing w:after="160" w:line="276" w:lineRule="auto"/>
              <w:jc w:val="both"/>
              <w:rPr>
                <w:rFonts w:ascii="Times New Roman" w:hAnsi="Times New Roman" w:cs="Times New Roman"/>
                <w:sz w:val="24"/>
                <w:szCs w:val="24"/>
              </w:rPr>
            </w:pPr>
            <w:r w:rsidRPr="00E522FE">
              <w:rPr>
                <w:rFonts w:ascii="Times New Roman" w:hAnsi="Times New Roman" w:cs="Times New Roman"/>
                <w:sz w:val="24"/>
                <w:szCs w:val="24"/>
              </w:rPr>
              <w:t>Medium</w:t>
            </w:r>
          </w:p>
        </w:tc>
        <w:tc>
          <w:tcPr>
            <w:tcW w:w="992" w:type="pct"/>
            <w:hideMark/>
          </w:tcPr>
          <w:p w14:paraId="6585C6BC" w14:textId="77777777" w:rsidR="0048219E" w:rsidRPr="00E522FE" w:rsidRDefault="0048219E" w:rsidP="0048219E">
            <w:pPr>
              <w:spacing w:after="160" w:line="276" w:lineRule="auto"/>
              <w:jc w:val="both"/>
              <w:rPr>
                <w:rFonts w:ascii="Times New Roman" w:hAnsi="Times New Roman" w:cs="Times New Roman"/>
                <w:sz w:val="24"/>
                <w:szCs w:val="24"/>
              </w:rPr>
            </w:pPr>
            <w:r w:rsidRPr="00E522FE">
              <w:rPr>
                <w:rFonts w:ascii="Times New Roman" w:hAnsi="Times New Roman" w:cs="Times New Roman"/>
                <w:sz w:val="24"/>
                <w:szCs w:val="24"/>
              </w:rPr>
              <w:t>1</w:t>
            </w:r>
          </w:p>
        </w:tc>
        <w:tc>
          <w:tcPr>
            <w:tcW w:w="1099" w:type="pct"/>
            <w:hideMark/>
          </w:tcPr>
          <w:p w14:paraId="5826006C" w14:textId="77777777" w:rsidR="0048219E" w:rsidRPr="00E522FE" w:rsidRDefault="0048219E" w:rsidP="0048219E">
            <w:pPr>
              <w:spacing w:after="160" w:line="276" w:lineRule="auto"/>
              <w:jc w:val="both"/>
              <w:rPr>
                <w:rFonts w:ascii="Times New Roman" w:hAnsi="Times New Roman" w:cs="Times New Roman"/>
                <w:sz w:val="24"/>
                <w:szCs w:val="24"/>
              </w:rPr>
            </w:pPr>
            <w:r w:rsidRPr="00E522FE">
              <w:rPr>
                <w:rFonts w:ascii="Times New Roman" w:hAnsi="Times New Roman" w:cs="Times New Roman"/>
                <w:sz w:val="24"/>
                <w:szCs w:val="24"/>
              </w:rPr>
              <w:t>26</w:t>
            </w:r>
          </w:p>
        </w:tc>
        <w:tc>
          <w:tcPr>
            <w:tcW w:w="660" w:type="pct"/>
            <w:hideMark/>
          </w:tcPr>
          <w:p w14:paraId="44EB1F2D" w14:textId="77777777" w:rsidR="0048219E" w:rsidRPr="00E522FE" w:rsidRDefault="0048219E" w:rsidP="0048219E">
            <w:pPr>
              <w:spacing w:after="160" w:line="276" w:lineRule="auto"/>
              <w:jc w:val="both"/>
              <w:rPr>
                <w:rFonts w:ascii="Times New Roman" w:hAnsi="Times New Roman" w:cs="Times New Roman"/>
                <w:sz w:val="24"/>
                <w:szCs w:val="24"/>
              </w:rPr>
            </w:pPr>
            <w:r w:rsidRPr="00E522FE">
              <w:rPr>
                <w:rFonts w:ascii="Times New Roman" w:hAnsi="Times New Roman" w:cs="Times New Roman"/>
                <w:sz w:val="24"/>
                <w:szCs w:val="24"/>
              </w:rPr>
              <w:t>24</w:t>
            </w:r>
          </w:p>
        </w:tc>
        <w:tc>
          <w:tcPr>
            <w:tcW w:w="1144" w:type="pct"/>
            <w:hideMark/>
          </w:tcPr>
          <w:p w14:paraId="0B17E96D" w14:textId="77777777" w:rsidR="0048219E" w:rsidRPr="00E522FE" w:rsidRDefault="0048219E" w:rsidP="0048219E">
            <w:pPr>
              <w:spacing w:after="160" w:line="276" w:lineRule="auto"/>
              <w:jc w:val="both"/>
              <w:rPr>
                <w:rFonts w:ascii="Times New Roman" w:hAnsi="Times New Roman" w:cs="Times New Roman"/>
                <w:sz w:val="24"/>
                <w:szCs w:val="24"/>
              </w:rPr>
            </w:pPr>
            <w:r w:rsidRPr="00E522FE">
              <w:rPr>
                <w:rFonts w:ascii="Times New Roman" w:hAnsi="Times New Roman" w:cs="Times New Roman"/>
                <w:sz w:val="24"/>
                <w:szCs w:val="24"/>
              </w:rPr>
              <w:t>7</w:t>
            </w:r>
          </w:p>
        </w:tc>
      </w:tr>
      <w:tr w:rsidR="0048219E" w:rsidRPr="00E522FE" w14:paraId="23C3F024" w14:textId="77777777" w:rsidTr="0048219E">
        <w:tc>
          <w:tcPr>
            <w:tcW w:w="1105" w:type="pct"/>
            <w:hideMark/>
          </w:tcPr>
          <w:p w14:paraId="7974ACC9" w14:textId="77777777" w:rsidR="0048219E" w:rsidRPr="00E522FE" w:rsidRDefault="0048219E" w:rsidP="0048219E">
            <w:pPr>
              <w:spacing w:after="160" w:line="276" w:lineRule="auto"/>
              <w:jc w:val="both"/>
              <w:rPr>
                <w:rFonts w:ascii="Times New Roman" w:hAnsi="Times New Roman" w:cs="Times New Roman"/>
                <w:sz w:val="24"/>
                <w:szCs w:val="24"/>
              </w:rPr>
            </w:pPr>
            <w:r w:rsidRPr="00E522FE">
              <w:rPr>
                <w:rFonts w:ascii="Times New Roman" w:hAnsi="Times New Roman" w:cs="Times New Roman"/>
                <w:sz w:val="24"/>
                <w:szCs w:val="24"/>
              </w:rPr>
              <w:lastRenderedPageBreak/>
              <w:t>High</w:t>
            </w:r>
          </w:p>
        </w:tc>
        <w:tc>
          <w:tcPr>
            <w:tcW w:w="992" w:type="pct"/>
            <w:hideMark/>
          </w:tcPr>
          <w:p w14:paraId="0C158A11" w14:textId="77777777" w:rsidR="0048219E" w:rsidRPr="00E522FE" w:rsidRDefault="0048219E" w:rsidP="0048219E">
            <w:pPr>
              <w:spacing w:after="160" w:line="276" w:lineRule="auto"/>
              <w:jc w:val="both"/>
              <w:rPr>
                <w:rFonts w:ascii="Times New Roman" w:hAnsi="Times New Roman" w:cs="Times New Roman"/>
                <w:sz w:val="24"/>
                <w:szCs w:val="24"/>
              </w:rPr>
            </w:pPr>
            <w:r w:rsidRPr="00E522FE">
              <w:rPr>
                <w:rFonts w:ascii="Times New Roman" w:hAnsi="Times New Roman" w:cs="Times New Roman"/>
                <w:sz w:val="24"/>
                <w:szCs w:val="24"/>
              </w:rPr>
              <w:t>4</w:t>
            </w:r>
          </w:p>
        </w:tc>
        <w:tc>
          <w:tcPr>
            <w:tcW w:w="1099" w:type="pct"/>
            <w:hideMark/>
          </w:tcPr>
          <w:p w14:paraId="315E6925" w14:textId="77777777" w:rsidR="0048219E" w:rsidRPr="00E522FE" w:rsidRDefault="0048219E" w:rsidP="0048219E">
            <w:pPr>
              <w:spacing w:after="160" w:line="276" w:lineRule="auto"/>
              <w:jc w:val="both"/>
              <w:rPr>
                <w:rFonts w:ascii="Times New Roman" w:hAnsi="Times New Roman" w:cs="Times New Roman"/>
                <w:sz w:val="24"/>
                <w:szCs w:val="24"/>
              </w:rPr>
            </w:pPr>
            <w:r w:rsidRPr="00E522FE">
              <w:rPr>
                <w:rFonts w:ascii="Times New Roman" w:hAnsi="Times New Roman" w:cs="Times New Roman"/>
                <w:sz w:val="24"/>
                <w:szCs w:val="24"/>
              </w:rPr>
              <w:t>20</w:t>
            </w:r>
          </w:p>
        </w:tc>
        <w:tc>
          <w:tcPr>
            <w:tcW w:w="660" w:type="pct"/>
            <w:hideMark/>
          </w:tcPr>
          <w:p w14:paraId="0DF48869" w14:textId="77777777" w:rsidR="0048219E" w:rsidRPr="00E522FE" w:rsidRDefault="0048219E" w:rsidP="0048219E">
            <w:pPr>
              <w:spacing w:after="160" w:line="276" w:lineRule="auto"/>
              <w:jc w:val="both"/>
              <w:rPr>
                <w:rFonts w:ascii="Times New Roman" w:hAnsi="Times New Roman" w:cs="Times New Roman"/>
                <w:sz w:val="24"/>
                <w:szCs w:val="24"/>
              </w:rPr>
            </w:pPr>
            <w:r w:rsidRPr="00E522FE">
              <w:rPr>
                <w:rFonts w:ascii="Times New Roman" w:hAnsi="Times New Roman" w:cs="Times New Roman"/>
                <w:sz w:val="24"/>
                <w:szCs w:val="24"/>
              </w:rPr>
              <w:t>29</w:t>
            </w:r>
          </w:p>
        </w:tc>
        <w:tc>
          <w:tcPr>
            <w:tcW w:w="1144" w:type="pct"/>
            <w:hideMark/>
          </w:tcPr>
          <w:p w14:paraId="7921E10F" w14:textId="77777777" w:rsidR="0048219E" w:rsidRPr="00E522FE" w:rsidRDefault="0048219E" w:rsidP="0048219E">
            <w:pPr>
              <w:spacing w:after="160" w:line="276" w:lineRule="auto"/>
              <w:jc w:val="both"/>
              <w:rPr>
                <w:rFonts w:ascii="Times New Roman" w:hAnsi="Times New Roman" w:cs="Times New Roman"/>
                <w:sz w:val="24"/>
                <w:szCs w:val="24"/>
              </w:rPr>
            </w:pPr>
            <w:r w:rsidRPr="00E522FE">
              <w:rPr>
                <w:rFonts w:ascii="Times New Roman" w:hAnsi="Times New Roman" w:cs="Times New Roman"/>
                <w:sz w:val="24"/>
                <w:szCs w:val="24"/>
              </w:rPr>
              <w:t>10</w:t>
            </w:r>
          </w:p>
        </w:tc>
      </w:tr>
      <w:tr w:rsidR="0048219E" w:rsidRPr="00E522FE" w14:paraId="61BE74A6" w14:textId="77777777" w:rsidTr="0048219E">
        <w:tc>
          <w:tcPr>
            <w:tcW w:w="1105" w:type="pct"/>
            <w:hideMark/>
          </w:tcPr>
          <w:p w14:paraId="2EE059F0" w14:textId="77777777" w:rsidR="0048219E" w:rsidRPr="00E522FE" w:rsidRDefault="0048219E" w:rsidP="0048219E">
            <w:pPr>
              <w:spacing w:after="160" w:line="276" w:lineRule="auto"/>
              <w:jc w:val="both"/>
              <w:rPr>
                <w:rFonts w:ascii="Times New Roman" w:hAnsi="Times New Roman" w:cs="Times New Roman"/>
                <w:sz w:val="24"/>
                <w:szCs w:val="24"/>
              </w:rPr>
            </w:pPr>
            <w:r w:rsidRPr="00E522FE">
              <w:rPr>
                <w:rFonts w:ascii="Times New Roman" w:hAnsi="Times New Roman" w:cs="Times New Roman"/>
                <w:sz w:val="24"/>
                <w:szCs w:val="24"/>
              </w:rPr>
              <w:t>Very High</w:t>
            </w:r>
          </w:p>
        </w:tc>
        <w:tc>
          <w:tcPr>
            <w:tcW w:w="992" w:type="pct"/>
            <w:hideMark/>
          </w:tcPr>
          <w:p w14:paraId="6FE72340" w14:textId="77777777" w:rsidR="0048219E" w:rsidRPr="00E522FE" w:rsidRDefault="0048219E" w:rsidP="0048219E">
            <w:pPr>
              <w:spacing w:after="160" w:line="276" w:lineRule="auto"/>
              <w:jc w:val="both"/>
              <w:rPr>
                <w:rFonts w:ascii="Times New Roman" w:hAnsi="Times New Roman" w:cs="Times New Roman"/>
                <w:sz w:val="24"/>
                <w:szCs w:val="24"/>
              </w:rPr>
            </w:pPr>
            <w:r w:rsidRPr="00E522FE">
              <w:rPr>
                <w:rFonts w:ascii="Times New Roman" w:hAnsi="Times New Roman" w:cs="Times New Roman"/>
                <w:sz w:val="24"/>
                <w:szCs w:val="24"/>
              </w:rPr>
              <w:t>0</w:t>
            </w:r>
          </w:p>
        </w:tc>
        <w:tc>
          <w:tcPr>
            <w:tcW w:w="1099" w:type="pct"/>
            <w:hideMark/>
          </w:tcPr>
          <w:p w14:paraId="11405101" w14:textId="77777777" w:rsidR="0048219E" w:rsidRPr="00E522FE" w:rsidRDefault="0048219E" w:rsidP="0048219E">
            <w:pPr>
              <w:spacing w:after="160" w:line="276" w:lineRule="auto"/>
              <w:jc w:val="both"/>
              <w:rPr>
                <w:rFonts w:ascii="Times New Roman" w:hAnsi="Times New Roman" w:cs="Times New Roman"/>
                <w:sz w:val="24"/>
                <w:szCs w:val="24"/>
              </w:rPr>
            </w:pPr>
            <w:r w:rsidRPr="00E522FE">
              <w:rPr>
                <w:rFonts w:ascii="Times New Roman" w:hAnsi="Times New Roman" w:cs="Times New Roman"/>
                <w:sz w:val="24"/>
                <w:szCs w:val="24"/>
              </w:rPr>
              <w:t>1</w:t>
            </w:r>
          </w:p>
        </w:tc>
        <w:tc>
          <w:tcPr>
            <w:tcW w:w="660" w:type="pct"/>
            <w:hideMark/>
          </w:tcPr>
          <w:p w14:paraId="6B70457D" w14:textId="77777777" w:rsidR="0048219E" w:rsidRPr="00E522FE" w:rsidRDefault="0048219E" w:rsidP="0048219E">
            <w:pPr>
              <w:spacing w:after="160" w:line="276" w:lineRule="auto"/>
              <w:jc w:val="both"/>
              <w:rPr>
                <w:rFonts w:ascii="Times New Roman" w:hAnsi="Times New Roman" w:cs="Times New Roman"/>
                <w:sz w:val="24"/>
                <w:szCs w:val="24"/>
              </w:rPr>
            </w:pPr>
            <w:r w:rsidRPr="00E522FE">
              <w:rPr>
                <w:rFonts w:ascii="Times New Roman" w:hAnsi="Times New Roman" w:cs="Times New Roman"/>
                <w:sz w:val="24"/>
                <w:szCs w:val="24"/>
              </w:rPr>
              <w:t>10</w:t>
            </w:r>
          </w:p>
        </w:tc>
        <w:tc>
          <w:tcPr>
            <w:tcW w:w="1144" w:type="pct"/>
            <w:hideMark/>
          </w:tcPr>
          <w:p w14:paraId="4D26BA1B" w14:textId="77777777" w:rsidR="0048219E" w:rsidRPr="00E522FE" w:rsidRDefault="0048219E" w:rsidP="0048219E">
            <w:pPr>
              <w:spacing w:after="160" w:line="276" w:lineRule="auto"/>
              <w:jc w:val="both"/>
              <w:rPr>
                <w:rFonts w:ascii="Times New Roman" w:hAnsi="Times New Roman" w:cs="Times New Roman"/>
                <w:sz w:val="24"/>
                <w:szCs w:val="24"/>
              </w:rPr>
            </w:pPr>
            <w:r w:rsidRPr="00E522FE">
              <w:rPr>
                <w:rFonts w:ascii="Times New Roman" w:hAnsi="Times New Roman" w:cs="Times New Roman"/>
                <w:sz w:val="24"/>
                <w:szCs w:val="24"/>
              </w:rPr>
              <w:t>3</w:t>
            </w:r>
          </w:p>
        </w:tc>
      </w:tr>
    </w:tbl>
    <w:p w14:paraId="62F0D60A" w14:textId="77777777" w:rsidR="0048219E" w:rsidRPr="00E522FE" w:rsidRDefault="0048219E" w:rsidP="0048219E">
      <w:pPr>
        <w:spacing w:line="276" w:lineRule="auto"/>
        <w:jc w:val="both"/>
        <w:rPr>
          <w:rFonts w:ascii="Times New Roman" w:hAnsi="Times New Roman" w:cs="Times New Roman"/>
          <w:sz w:val="24"/>
          <w:szCs w:val="24"/>
        </w:rPr>
      </w:pPr>
    </w:p>
    <w:p w14:paraId="6401A6BC" w14:textId="0C18B286" w:rsidR="0048219E" w:rsidRPr="00E522FE" w:rsidRDefault="0048219E" w:rsidP="0048219E">
      <w:pPr>
        <w:spacing w:line="276" w:lineRule="auto"/>
        <w:jc w:val="center"/>
        <w:rPr>
          <w:rFonts w:ascii="Times New Roman" w:hAnsi="Times New Roman" w:cs="Times New Roman"/>
          <w:b/>
          <w:bCs/>
          <w:sz w:val="24"/>
          <w:szCs w:val="24"/>
        </w:rPr>
      </w:pPr>
      <w:r w:rsidRPr="00E522FE">
        <w:rPr>
          <w:noProof/>
          <w:sz w:val="24"/>
          <w:szCs w:val="24"/>
          <w:lang w:eastAsia="en-IN"/>
        </w:rPr>
        <w:drawing>
          <wp:inline distT="0" distB="0" distL="0" distR="0" wp14:anchorId="699C66EF" wp14:editId="683056A1">
            <wp:extent cx="3190352" cy="2542455"/>
            <wp:effectExtent l="0" t="0" r="0" b="0"/>
            <wp:docPr id="1310756050"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01299" cy="2551179"/>
                    </a:xfrm>
                    <a:prstGeom prst="rect">
                      <a:avLst/>
                    </a:prstGeom>
                    <a:noFill/>
                    <a:ln>
                      <a:noFill/>
                    </a:ln>
                  </pic:spPr>
                </pic:pic>
              </a:graphicData>
            </a:graphic>
          </wp:inline>
        </w:drawing>
      </w:r>
    </w:p>
    <w:p w14:paraId="7A8F8094" w14:textId="68FD99C9" w:rsidR="0048219E" w:rsidRPr="00E522FE" w:rsidRDefault="0048219E" w:rsidP="0048219E">
      <w:pPr>
        <w:spacing w:line="276" w:lineRule="auto"/>
        <w:jc w:val="center"/>
        <w:rPr>
          <w:rFonts w:ascii="Times New Roman" w:hAnsi="Times New Roman" w:cs="Times New Roman"/>
          <w:b/>
          <w:bCs/>
          <w:sz w:val="24"/>
          <w:szCs w:val="24"/>
        </w:rPr>
      </w:pPr>
      <w:r w:rsidRPr="00E522FE">
        <w:rPr>
          <w:rFonts w:ascii="Times New Roman" w:hAnsi="Times New Roman" w:cs="Times New Roman"/>
          <w:b/>
          <w:bCs/>
          <w:sz w:val="24"/>
          <w:szCs w:val="24"/>
        </w:rPr>
        <w:t>Figure 2: Heatmap – Loan Size vs. Income Growth</w:t>
      </w:r>
    </w:p>
    <w:p w14:paraId="0CD016F8" w14:textId="77777777" w:rsidR="00A42386" w:rsidRPr="00E522FE" w:rsidRDefault="00A42386" w:rsidP="0048219E">
      <w:pPr>
        <w:spacing w:line="276" w:lineRule="auto"/>
        <w:jc w:val="both"/>
        <w:rPr>
          <w:rFonts w:ascii="Times New Roman" w:hAnsi="Times New Roman" w:cs="Times New Roman"/>
          <w:sz w:val="24"/>
          <w:szCs w:val="24"/>
        </w:rPr>
      </w:pPr>
    </w:p>
    <w:p w14:paraId="5E1730F0" w14:textId="233A88AF" w:rsidR="0048219E" w:rsidRPr="00E522FE" w:rsidRDefault="00A42386" w:rsidP="0048219E">
      <w:pPr>
        <w:spacing w:line="276" w:lineRule="auto"/>
        <w:jc w:val="both"/>
        <w:rPr>
          <w:rFonts w:ascii="Times New Roman" w:hAnsi="Times New Roman" w:cs="Times New Roman"/>
          <w:sz w:val="24"/>
          <w:szCs w:val="24"/>
        </w:rPr>
      </w:pPr>
      <w:r w:rsidRPr="00E522FE">
        <w:rPr>
          <w:rFonts w:ascii="Times New Roman" w:hAnsi="Times New Roman" w:cs="Times New Roman"/>
          <w:sz w:val="24"/>
          <w:szCs w:val="24"/>
        </w:rPr>
        <w:t xml:space="preserve">While the cross-tabulation shows some clustering in the “High” loan and “High Income Growth” cells, the distribution is relatively even, without a sharply defined trend. To statistically assess the strength of this relationship, a </w:t>
      </w:r>
      <w:r w:rsidRPr="00E522FE">
        <w:rPr>
          <w:rFonts w:ascii="Times New Roman" w:hAnsi="Times New Roman" w:cs="Times New Roman"/>
          <w:b/>
          <w:bCs/>
          <w:sz w:val="24"/>
          <w:szCs w:val="24"/>
        </w:rPr>
        <w:t>Pearson correlation analysis</w:t>
      </w:r>
      <w:r w:rsidRPr="00E522FE">
        <w:rPr>
          <w:rFonts w:ascii="Times New Roman" w:hAnsi="Times New Roman" w:cs="Times New Roman"/>
          <w:sz w:val="24"/>
          <w:szCs w:val="24"/>
        </w:rPr>
        <w:t xml:space="preserve"> was conducted using loan size and income growth as continuous variables. The resulting correlation coefficient was r = −0.024, indicating a very weak and statistically insignificant linear relationship between the amount of loan received and the income growth reported. This lack of strong correlation implies that simply increasing loan size does not guarantee proportional income improvement. It reinforces the notion that other factors such as digital literacy, type of enterprise, access to markets, and post-loan support play a more critical role in determining financial outcomes. Therefore, future program strategies should emphasize integrated support services along with financial capital to maximize economic impact. </w:t>
      </w:r>
      <w:r w:rsidR="0048219E" w:rsidRPr="00E522FE">
        <w:rPr>
          <w:rFonts w:ascii="Times New Roman" w:hAnsi="Times New Roman" w:cs="Times New Roman"/>
          <w:sz w:val="24"/>
          <w:szCs w:val="24"/>
        </w:rPr>
        <w:t xml:space="preserve">The trend is further visualized in </w:t>
      </w:r>
      <w:r w:rsidR="0048219E" w:rsidRPr="00E522FE">
        <w:rPr>
          <w:rFonts w:ascii="Times New Roman" w:hAnsi="Times New Roman" w:cs="Times New Roman"/>
          <w:b/>
          <w:bCs/>
          <w:sz w:val="24"/>
          <w:szCs w:val="24"/>
        </w:rPr>
        <w:t>Figure 2</w:t>
      </w:r>
      <w:r w:rsidR="0048219E" w:rsidRPr="00E522FE">
        <w:rPr>
          <w:rFonts w:ascii="Times New Roman" w:hAnsi="Times New Roman" w:cs="Times New Roman"/>
          <w:sz w:val="24"/>
          <w:szCs w:val="24"/>
        </w:rPr>
        <w:t>, where a heatmap shows dense clustering of high-income growth in the 'High' loan size category.</w:t>
      </w:r>
    </w:p>
    <w:p w14:paraId="6B191DEA" w14:textId="77777777" w:rsidR="00A42386" w:rsidRPr="00E522FE" w:rsidRDefault="00A42386" w:rsidP="0048219E">
      <w:pPr>
        <w:spacing w:line="276" w:lineRule="auto"/>
        <w:jc w:val="both"/>
        <w:rPr>
          <w:rFonts w:ascii="Times New Roman" w:hAnsi="Times New Roman" w:cs="Times New Roman"/>
          <w:b/>
          <w:bCs/>
          <w:sz w:val="24"/>
          <w:szCs w:val="24"/>
        </w:rPr>
      </w:pPr>
    </w:p>
    <w:p w14:paraId="5D962076" w14:textId="7E9311A7" w:rsidR="0048219E" w:rsidRPr="00E522FE" w:rsidRDefault="0048219E" w:rsidP="0048219E">
      <w:pPr>
        <w:spacing w:line="276" w:lineRule="auto"/>
        <w:jc w:val="both"/>
        <w:rPr>
          <w:rFonts w:ascii="Times New Roman" w:hAnsi="Times New Roman" w:cs="Times New Roman"/>
          <w:b/>
          <w:bCs/>
          <w:sz w:val="24"/>
          <w:szCs w:val="24"/>
        </w:rPr>
      </w:pPr>
      <w:r w:rsidRPr="00E522FE">
        <w:rPr>
          <w:rFonts w:ascii="Times New Roman" w:hAnsi="Times New Roman" w:cs="Times New Roman"/>
          <w:b/>
          <w:bCs/>
          <w:sz w:val="24"/>
          <w:szCs w:val="24"/>
        </w:rPr>
        <w:t>3.3 Thematic Analysis of Empowerment and Digital Transition</w:t>
      </w:r>
    </w:p>
    <w:p w14:paraId="5C8029A7" w14:textId="6404EEED" w:rsidR="006121CB" w:rsidRPr="00E522FE" w:rsidRDefault="006121CB" w:rsidP="0048219E">
      <w:pPr>
        <w:spacing w:line="276" w:lineRule="auto"/>
        <w:jc w:val="both"/>
        <w:rPr>
          <w:rFonts w:ascii="Times New Roman" w:hAnsi="Times New Roman" w:cs="Times New Roman"/>
          <w:sz w:val="24"/>
          <w:szCs w:val="24"/>
        </w:rPr>
      </w:pPr>
      <w:r w:rsidRPr="00E522FE">
        <w:rPr>
          <w:rFonts w:ascii="Times New Roman" w:hAnsi="Times New Roman" w:cs="Times New Roman"/>
          <w:sz w:val="24"/>
          <w:szCs w:val="24"/>
        </w:rPr>
        <w:t xml:space="preserve">Focus Group Discussions (FGDs) carried out in the course of the study revealed four major themes reflecting the wider socio-economic changes undergone by women after engaging in Self Help Groups (SHGs). The most salient theme was financial confidence, as they indicated greater control over budgeting, saving, and loan repayment—a departure from the need to rely on male kin or traditional credit networks. Another important theme was trust in digital transactions, with women becoming increasingly comfortable transacting through UPI, </w:t>
      </w:r>
      <w:r w:rsidRPr="00E522FE">
        <w:rPr>
          <w:rFonts w:ascii="Times New Roman" w:hAnsi="Times New Roman" w:cs="Times New Roman"/>
          <w:sz w:val="24"/>
          <w:szCs w:val="24"/>
        </w:rPr>
        <w:lastRenderedPageBreak/>
        <w:t xml:space="preserve">AEPS, and mobile wallets, and regularly tutoring others in their communities through digital financial operations. There was also a livelihood transition, with several women moving out of subsistence wage work or household chores to operate microenterprises in tailoring, mushroom cultivation, poultry, and food processing and thus increasing household income and social standing. Yet, there were difficulties under the category of loan obstacles, such as delayed fund disbursement, limited knowledge of credit procedures, and bureaucratic issues within formal banking. Collectively, these topics indicate that efforts for financial inclusion have contributed not only to economic returns but also to increased independence, leadership, and </w:t>
      </w:r>
      <w:proofErr w:type="spellStart"/>
      <w:r w:rsidRPr="00E522FE">
        <w:rPr>
          <w:rFonts w:ascii="Times New Roman" w:hAnsi="Times New Roman" w:cs="Times New Roman"/>
          <w:sz w:val="24"/>
          <w:szCs w:val="24"/>
        </w:rPr>
        <w:t>behavioral</w:t>
      </w:r>
      <w:proofErr w:type="spellEnd"/>
      <w:r w:rsidRPr="00E522FE">
        <w:rPr>
          <w:rFonts w:ascii="Times New Roman" w:hAnsi="Times New Roman" w:cs="Times New Roman"/>
          <w:sz w:val="24"/>
          <w:szCs w:val="24"/>
        </w:rPr>
        <w:t xml:space="preserve"> change among rural women.</w:t>
      </w:r>
    </w:p>
    <w:p w14:paraId="44E912A1" w14:textId="16AA258F" w:rsidR="0048219E" w:rsidRPr="00E522FE" w:rsidRDefault="0048219E" w:rsidP="0048219E">
      <w:pPr>
        <w:spacing w:line="276" w:lineRule="auto"/>
        <w:jc w:val="both"/>
        <w:rPr>
          <w:rFonts w:ascii="Times New Roman" w:hAnsi="Times New Roman" w:cs="Times New Roman"/>
          <w:b/>
          <w:bCs/>
          <w:sz w:val="24"/>
          <w:szCs w:val="24"/>
        </w:rPr>
      </w:pPr>
      <w:r w:rsidRPr="00E522FE">
        <w:rPr>
          <w:rFonts w:ascii="Times New Roman" w:hAnsi="Times New Roman" w:cs="Times New Roman"/>
          <w:b/>
          <w:bCs/>
          <w:sz w:val="24"/>
          <w:szCs w:val="24"/>
        </w:rPr>
        <w:t>3.4 SWOT Assessment of SHG Financial Models</w:t>
      </w:r>
    </w:p>
    <w:p w14:paraId="3C7C85C0" w14:textId="2BD944B1" w:rsidR="0048219E" w:rsidRPr="00E522FE" w:rsidRDefault="0048219E" w:rsidP="0048219E">
      <w:pPr>
        <w:spacing w:line="276" w:lineRule="auto"/>
        <w:jc w:val="both"/>
        <w:rPr>
          <w:rFonts w:ascii="Times New Roman" w:hAnsi="Times New Roman" w:cs="Times New Roman"/>
          <w:sz w:val="24"/>
          <w:szCs w:val="24"/>
        </w:rPr>
      </w:pPr>
      <w:r w:rsidRPr="00E522FE">
        <w:rPr>
          <w:rFonts w:ascii="Times New Roman" w:hAnsi="Times New Roman" w:cs="Times New Roman"/>
          <w:sz w:val="24"/>
          <w:szCs w:val="24"/>
        </w:rPr>
        <w:t xml:space="preserve">A qualitative SWOT analysis </w:t>
      </w:r>
      <w:r w:rsidRPr="00E522FE">
        <w:rPr>
          <w:rFonts w:ascii="Times New Roman" w:hAnsi="Times New Roman" w:cs="Times New Roman"/>
          <w:b/>
          <w:bCs/>
          <w:sz w:val="24"/>
          <w:szCs w:val="24"/>
        </w:rPr>
        <w:t>(Table.3)</w:t>
      </w:r>
      <w:r w:rsidRPr="00E522FE">
        <w:rPr>
          <w:rFonts w:ascii="Times New Roman" w:hAnsi="Times New Roman" w:cs="Times New Roman"/>
          <w:sz w:val="24"/>
          <w:szCs w:val="24"/>
        </w:rPr>
        <w:t>, based on FGD narratives and local implementation feedback, evaluated the internal and external environment shaping SHG sustainability:</w:t>
      </w:r>
    </w:p>
    <w:p w14:paraId="07FEFD65" w14:textId="5F52E75B" w:rsidR="0048219E" w:rsidRPr="00E522FE" w:rsidRDefault="0048219E" w:rsidP="0048219E">
      <w:pPr>
        <w:spacing w:line="276" w:lineRule="auto"/>
        <w:jc w:val="center"/>
        <w:rPr>
          <w:rFonts w:ascii="Times New Roman" w:hAnsi="Times New Roman" w:cs="Times New Roman"/>
          <w:b/>
          <w:bCs/>
          <w:sz w:val="24"/>
          <w:szCs w:val="24"/>
        </w:rPr>
      </w:pPr>
      <w:r w:rsidRPr="00E522FE">
        <w:rPr>
          <w:rFonts w:ascii="Times New Roman" w:hAnsi="Times New Roman" w:cs="Times New Roman"/>
          <w:b/>
          <w:bCs/>
          <w:sz w:val="24"/>
          <w:szCs w:val="24"/>
        </w:rPr>
        <w:t>Table.3. SWOT Assessment of SHG Financial Models</w:t>
      </w:r>
    </w:p>
    <w:tbl>
      <w:tblPr>
        <w:tblStyle w:val="TableGrid"/>
        <w:tblW w:w="0" w:type="auto"/>
        <w:tblLook w:val="04A0" w:firstRow="1" w:lastRow="0" w:firstColumn="1" w:lastColumn="0" w:noHBand="0" w:noVBand="1"/>
      </w:tblPr>
      <w:tblGrid>
        <w:gridCol w:w="1803"/>
        <w:gridCol w:w="7439"/>
      </w:tblGrid>
      <w:tr w:rsidR="0048219E" w:rsidRPr="00E522FE" w14:paraId="0BE36519" w14:textId="77777777" w:rsidTr="0048219E">
        <w:tc>
          <w:tcPr>
            <w:tcW w:w="0" w:type="auto"/>
            <w:hideMark/>
          </w:tcPr>
          <w:p w14:paraId="1023F9BC" w14:textId="77777777" w:rsidR="0048219E" w:rsidRPr="00E522FE" w:rsidRDefault="0048219E" w:rsidP="0048219E">
            <w:pPr>
              <w:spacing w:after="160" w:line="276" w:lineRule="auto"/>
              <w:jc w:val="both"/>
              <w:rPr>
                <w:rFonts w:ascii="Times New Roman" w:hAnsi="Times New Roman" w:cs="Times New Roman"/>
                <w:b/>
                <w:bCs/>
                <w:sz w:val="24"/>
                <w:szCs w:val="24"/>
              </w:rPr>
            </w:pPr>
            <w:r w:rsidRPr="00E522FE">
              <w:rPr>
                <w:rFonts w:ascii="Times New Roman" w:hAnsi="Times New Roman" w:cs="Times New Roman"/>
                <w:b/>
                <w:bCs/>
                <w:sz w:val="24"/>
                <w:szCs w:val="24"/>
              </w:rPr>
              <w:t>SWOT Element</w:t>
            </w:r>
          </w:p>
        </w:tc>
        <w:tc>
          <w:tcPr>
            <w:tcW w:w="0" w:type="auto"/>
            <w:hideMark/>
          </w:tcPr>
          <w:p w14:paraId="4F3052C0" w14:textId="77777777" w:rsidR="0048219E" w:rsidRPr="00E522FE" w:rsidRDefault="0048219E" w:rsidP="0048219E">
            <w:pPr>
              <w:spacing w:after="160" w:line="276" w:lineRule="auto"/>
              <w:jc w:val="both"/>
              <w:rPr>
                <w:rFonts w:ascii="Times New Roman" w:hAnsi="Times New Roman" w:cs="Times New Roman"/>
                <w:b/>
                <w:bCs/>
                <w:sz w:val="24"/>
                <w:szCs w:val="24"/>
              </w:rPr>
            </w:pPr>
            <w:r w:rsidRPr="00E522FE">
              <w:rPr>
                <w:rFonts w:ascii="Times New Roman" w:hAnsi="Times New Roman" w:cs="Times New Roman"/>
                <w:b/>
                <w:bCs/>
                <w:sz w:val="24"/>
                <w:szCs w:val="24"/>
              </w:rPr>
              <w:t>Insights</w:t>
            </w:r>
          </w:p>
        </w:tc>
      </w:tr>
      <w:tr w:rsidR="0048219E" w:rsidRPr="00E522FE" w14:paraId="11AE7763" w14:textId="77777777" w:rsidTr="0048219E">
        <w:tc>
          <w:tcPr>
            <w:tcW w:w="0" w:type="auto"/>
            <w:hideMark/>
          </w:tcPr>
          <w:p w14:paraId="2DAA1F4A" w14:textId="77777777" w:rsidR="0048219E" w:rsidRPr="00E522FE" w:rsidRDefault="0048219E" w:rsidP="0048219E">
            <w:pPr>
              <w:spacing w:after="160" w:line="276" w:lineRule="auto"/>
              <w:jc w:val="both"/>
              <w:rPr>
                <w:rFonts w:ascii="Times New Roman" w:hAnsi="Times New Roman" w:cs="Times New Roman"/>
                <w:sz w:val="24"/>
                <w:szCs w:val="24"/>
              </w:rPr>
            </w:pPr>
            <w:r w:rsidRPr="00E522FE">
              <w:rPr>
                <w:rFonts w:ascii="Times New Roman" w:hAnsi="Times New Roman" w:cs="Times New Roman"/>
                <w:b/>
                <w:bCs/>
                <w:sz w:val="24"/>
                <w:szCs w:val="24"/>
              </w:rPr>
              <w:t>Strengths</w:t>
            </w:r>
          </w:p>
        </w:tc>
        <w:tc>
          <w:tcPr>
            <w:tcW w:w="0" w:type="auto"/>
            <w:hideMark/>
          </w:tcPr>
          <w:p w14:paraId="727F1DFD" w14:textId="77777777" w:rsidR="0048219E" w:rsidRPr="00E522FE" w:rsidRDefault="0048219E" w:rsidP="0048219E">
            <w:pPr>
              <w:spacing w:after="160" w:line="276" w:lineRule="auto"/>
              <w:jc w:val="both"/>
              <w:rPr>
                <w:rFonts w:ascii="Times New Roman" w:hAnsi="Times New Roman" w:cs="Times New Roman"/>
                <w:sz w:val="24"/>
                <w:szCs w:val="24"/>
              </w:rPr>
            </w:pPr>
            <w:r w:rsidRPr="00E522FE">
              <w:rPr>
                <w:rFonts w:ascii="Times New Roman" w:hAnsi="Times New Roman" w:cs="Times New Roman"/>
                <w:sz w:val="24"/>
                <w:szCs w:val="24"/>
              </w:rPr>
              <w:t>Peer trust, collective finance, small loan accessibility, institutional backing from JSLPS/JTDS</w:t>
            </w:r>
          </w:p>
        </w:tc>
      </w:tr>
      <w:tr w:rsidR="0048219E" w:rsidRPr="00E522FE" w14:paraId="7168FEDF" w14:textId="77777777" w:rsidTr="0048219E">
        <w:tc>
          <w:tcPr>
            <w:tcW w:w="0" w:type="auto"/>
            <w:hideMark/>
          </w:tcPr>
          <w:p w14:paraId="6D26C9D5" w14:textId="77777777" w:rsidR="0048219E" w:rsidRPr="00E522FE" w:rsidRDefault="0048219E" w:rsidP="0048219E">
            <w:pPr>
              <w:spacing w:after="160" w:line="276" w:lineRule="auto"/>
              <w:jc w:val="both"/>
              <w:rPr>
                <w:rFonts w:ascii="Times New Roman" w:hAnsi="Times New Roman" w:cs="Times New Roman"/>
                <w:sz w:val="24"/>
                <w:szCs w:val="24"/>
              </w:rPr>
            </w:pPr>
            <w:r w:rsidRPr="00E522FE">
              <w:rPr>
                <w:rFonts w:ascii="Times New Roman" w:hAnsi="Times New Roman" w:cs="Times New Roman"/>
                <w:b/>
                <w:bCs/>
                <w:sz w:val="24"/>
                <w:szCs w:val="24"/>
              </w:rPr>
              <w:t>Weaknesses</w:t>
            </w:r>
          </w:p>
        </w:tc>
        <w:tc>
          <w:tcPr>
            <w:tcW w:w="0" w:type="auto"/>
            <w:hideMark/>
          </w:tcPr>
          <w:p w14:paraId="0419EB6A" w14:textId="77777777" w:rsidR="0048219E" w:rsidRPr="00E522FE" w:rsidRDefault="0048219E" w:rsidP="0048219E">
            <w:pPr>
              <w:spacing w:after="160" w:line="276" w:lineRule="auto"/>
              <w:jc w:val="both"/>
              <w:rPr>
                <w:rFonts w:ascii="Times New Roman" w:hAnsi="Times New Roman" w:cs="Times New Roman"/>
                <w:sz w:val="24"/>
                <w:szCs w:val="24"/>
              </w:rPr>
            </w:pPr>
            <w:r w:rsidRPr="00E522FE">
              <w:rPr>
                <w:rFonts w:ascii="Times New Roman" w:hAnsi="Times New Roman" w:cs="Times New Roman"/>
                <w:sz w:val="24"/>
                <w:szCs w:val="24"/>
              </w:rPr>
              <w:t>Digital illiteracy among older members, limited market access, repayment delays</w:t>
            </w:r>
          </w:p>
        </w:tc>
      </w:tr>
      <w:tr w:rsidR="0048219E" w:rsidRPr="00E522FE" w14:paraId="7BB1FF06" w14:textId="77777777" w:rsidTr="0048219E">
        <w:tc>
          <w:tcPr>
            <w:tcW w:w="0" w:type="auto"/>
            <w:hideMark/>
          </w:tcPr>
          <w:p w14:paraId="6406A825" w14:textId="77777777" w:rsidR="0048219E" w:rsidRPr="00E522FE" w:rsidRDefault="0048219E" w:rsidP="0048219E">
            <w:pPr>
              <w:spacing w:after="160" w:line="276" w:lineRule="auto"/>
              <w:jc w:val="both"/>
              <w:rPr>
                <w:rFonts w:ascii="Times New Roman" w:hAnsi="Times New Roman" w:cs="Times New Roman"/>
                <w:sz w:val="24"/>
                <w:szCs w:val="24"/>
              </w:rPr>
            </w:pPr>
            <w:r w:rsidRPr="00E522FE">
              <w:rPr>
                <w:rFonts w:ascii="Times New Roman" w:hAnsi="Times New Roman" w:cs="Times New Roman"/>
                <w:b/>
                <w:bCs/>
                <w:sz w:val="24"/>
                <w:szCs w:val="24"/>
              </w:rPr>
              <w:t>Opportunities</w:t>
            </w:r>
          </w:p>
        </w:tc>
        <w:tc>
          <w:tcPr>
            <w:tcW w:w="0" w:type="auto"/>
            <w:hideMark/>
          </w:tcPr>
          <w:p w14:paraId="6E6D8C73" w14:textId="77777777" w:rsidR="0048219E" w:rsidRPr="00E522FE" w:rsidRDefault="0048219E" w:rsidP="0048219E">
            <w:pPr>
              <w:spacing w:after="160" w:line="276" w:lineRule="auto"/>
              <w:jc w:val="both"/>
              <w:rPr>
                <w:rFonts w:ascii="Times New Roman" w:hAnsi="Times New Roman" w:cs="Times New Roman"/>
                <w:sz w:val="24"/>
                <w:szCs w:val="24"/>
              </w:rPr>
            </w:pPr>
            <w:r w:rsidRPr="00E522FE">
              <w:rPr>
                <w:rFonts w:ascii="Times New Roman" w:hAnsi="Times New Roman" w:cs="Times New Roman"/>
                <w:sz w:val="24"/>
                <w:szCs w:val="24"/>
              </w:rPr>
              <w:t>Expansion of BC Sakhi model, scale-up of Didi Badi schemes, inclusion in digital insurance</w:t>
            </w:r>
          </w:p>
        </w:tc>
      </w:tr>
      <w:tr w:rsidR="0048219E" w:rsidRPr="00E522FE" w14:paraId="7D902BB4" w14:textId="77777777" w:rsidTr="0048219E">
        <w:tc>
          <w:tcPr>
            <w:tcW w:w="0" w:type="auto"/>
            <w:hideMark/>
          </w:tcPr>
          <w:p w14:paraId="76919511" w14:textId="77777777" w:rsidR="0048219E" w:rsidRPr="00E522FE" w:rsidRDefault="0048219E" w:rsidP="0048219E">
            <w:pPr>
              <w:spacing w:after="160" w:line="276" w:lineRule="auto"/>
              <w:jc w:val="both"/>
              <w:rPr>
                <w:rFonts w:ascii="Times New Roman" w:hAnsi="Times New Roman" w:cs="Times New Roman"/>
                <w:sz w:val="24"/>
                <w:szCs w:val="24"/>
              </w:rPr>
            </w:pPr>
            <w:r w:rsidRPr="00E522FE">
              <w:rPr>
                <w:rFonts w:ascii="Times New Roman" w:hAnsi="Times New Roman" w:cs="Times New Roman"/>
                <w:b/>
                <w:bCs/>
                <w:sz w:val="24"/>
                <w:szCs w:val="24"/>
              </w:rPr>
              <w:t>Threats</w:t>
            </w:r>
          </w:p>
        </w:tc>
        <w:tc>
          <w:tcPr>
            <w:tcW w:w="0" w:type="auto"/>
            <w:hideMark/>
          </w:tcPr>
          <w:p w14:paraId="4A10B22C" w14:textId="77777777" w:rsidR="0048219E" w:rsidRPr="00E522FE" w:rsidRDefault="0048219E" w:rsidP="0048219E">
            <w:pPr>
              <w:spacing w:after="160" w:line="276" w:lineRule="auto"/>
              <w:jc w:val="both"/>
              <w:rPr>
                <w:rFonts w:ascii="Times New Roman" w:hAnsi="Times New Roman" w:cs="Times New Roman"/>
                <w:sz w:val="24"/>
                <w:szCs w:val="24"/>
              </w:rPr>
            </w:pPr>
            <w:r w:rsidRPr="00E522FE">
              <w:rPr>
                <w:rFonts w:ascii="Times New Roman" w:hAnsi="Times New Roman" w:cs="Times New Roman"/>
                <w:sz w:val="24"/>
                <w:szCs w:val="24"/>
              </w:rPr>
              <w:t>Poor rural internet, digital fraud risk, over-dependence on SHG credit</w:t>
            </w:r>
          </w:p>
        </w:tc>
      </w:tr>
    </w:tbl>
    <w:p w14:paraId="60D2219A" w14:textId="77777777" w:rsidR="0048219E" w:rsidRPr="00E522FE" w:rsidRDefault="0048219E" w:rsidP="0048219E">
      <w:pPr>
        <w:spacing w:line="276" w:lineRule="auto"/>
        <w:jc w:val="both"/>
        <w:rPr>
          <w:rFonts w:ascii="Times New Roman" w:hAnsi="Times New Roman" w:cs="Times New Roman"/>
          <w:sz w:val="24"/>
          <w:szCs w:val="24"/>
        </w:rPr>
      </w:pPr>
    </w:p>
    <w:p w14:paraId="1EE9A3E9" w14:textId="492D102B" w:rsidR="0048219E" w:rsidRPr="00E522FE" w:rsidRDefault="0048219E" w:rsidP="0048219E">
      <w:pPr>
        <w:spacing w:line="276" w:lineRule="auto"/>
        <w:jc w:val="both"/>
        <w:rPr>
          <w:rFonts w:ascii="Times New Roman" w:hAnsi="Times New Roman" w:cs="Times New Roman"/>
          <w:sz w:val="24"/>
          <w:szCs w:val="24"/>
        </w:rPr>
      </w:pPr>
      <w:r w:rsidRPr="00E522FE">
        <w:rPr>
          <w:rFonts w:ascii="Times New Roman" w:hAnsi="Times New Roman" w:cs="Times New Roman"/>
          <w:sz w:val="24"/>
          <w:szCs w:val="24"/>
        </w:rPr>
        <w:t>This assessment underlines the importance of continuous training, infrastructure improvement, and localized innovation for long-term sustainability.</w:t>
      </w:r>
    </w:p>
    <w:p w14:paraId="6DDBC972" w14:textId="0E31102A" w:rsidR="0048219E" w:rsidRPr="00E522FE" w:rsidRDefault="0048219E" w:rsidP="0048219E">
      <w:pPr>
        <w:spacing w:line="276" w:lineRule="auto"/>
        <w:jc w:val="both"/>
        <w:rPr>
          <w:rFonts w:ascii="Times New Roman" w:hAnsi="Times New Roman" w:cs="Times New Roman"/>
          <w:b/>
          <w:bCs/>
          <w:sz w:val="24"/>
          <w:szCs w:val="24"/>
        </w:rPr>
      </w:pPr>
      <w:r w:rsidRPr="00E522FE">
        <w:rPr>
          <w:rFonts w:ascii="Times New Roman" w:hAnsi="Times New Roman" w:cs="Times New Roman"/>
          <w:b/>
          <w:bCs/>
          <w:sz w:val="24"/>
          <w:szCs w:val="24"/>
        </w:rPr>
        <w:t>3.5 Statistical Validation of Income Improvement</w:t>
      </w:r>
    </w:p>
    <w:p w14:paraId="6151A3AE" w14:textId="77777777" w:rsidR="00A42386" w:rsidRPr="00E522FE" w:rsidRDefault="00A42386" w:rsidP="00A42386">
      <w:pPr>
        <w:rPr>
          <w:rFonts w:ascii="Times New Roman" w:hAnsi="Times New Roman" w:cs="Times New Roman"/>
          <w:sz w:val="24"/>
          <w:szCs w:val="24"/>
        </w:rPr>
      </w:pPr>
      <w:r w:rsidRPr="00E522FE">
        <w:rPr>
          <w:rFonts w:ascii="Times New Roman" w:hAnsi="Times New Roman" w:cs="Times New Roman"/>
          <w:sz w:val="24"/>
          <w:szCs w:val="24"/>
        </w:rPr>
        <w:t>The statistical significance of the effect of SHG membership on income was confirmed through a paired t-test. The findings verify that there was a rise in income following the intervention, with an average increase of ₹3,630 and a t-value of a highly significant difference. This verifies that SHG membership and resultant financial inclusion programs significantly improved women's financial health. Concurrently, a Digital Inclusion Index (DII) was calculated for each survey respondent by frequency of digital transactions, exposure to training, and range of services utilized. Table 3 synthesizes DII performance throughout the sample.</w:t>
      </w:r>
    </w:p>
    <w:p w14:paraId="67E6B3FD" w14:textId="2B73B560" w:rsidR="0048219E" w:rsidRPr="00E522FE" w:rsidRDefault="0048219E" w:rsidP="0048219E">
      <w:pPr>
        <w:spacing w:line="276" w:lineRule="auto"/>
        <w:jc w:val="both"/>
        <w:rPr>
          <w:rFonts w:ascii="Times New Roman" w:hAnsi="Times New Roman" w:cs="Times New Roman"/>
          <w:sz w:val="24"/>
          <w:szCs w:val="24"/>
        </w:rPr>
      </w:pPr>
      <w:r w:rsidRPr="00E522FE">
        <w:rPr>
          <w:rFonts w:ascii="Times New Roman" w:hAnsi="Times New Roman" w:cs="Times New Roman"/>
          <w:sz w:val="24"/>
          <w:szCs w:val="24"/>
        </w:rPr>
        <w:t xml:space="preserve"> </w:t>
      </w:r>
      <w:r w:rsidRPr="00E522FE">
        <w:rPr>
          <w:rFonts w:ascii="Times New Roman" w:hAnsi="Times New Roman" w:cs="Times New Roman"/>
          <w:b/>
          <w:bCs/>
          <w:sz w:val="24"/>
          <w:szCs w:val="24"/>
        </w:rPr>
        <w:t>Table 3</w:t>
      </w:r>
      <w:r w:rsidRPr="00E522FE">
        <w:rPr>
          <w:rFonts w:ascii="Times New Roman" w:hAnsi="Times New Roman" w:cs="Times New Roman"/>
          <w:sz w:val="24"/>
          <w:szCs w:val="24"/>
        </w:rPr>
        <w:t xml:space="preserve"> summarizes DII performance across the sample.</w:t>
      </w:r>
    </w:p>
    <w:p w14:paraId="1893DF35" w14:textId="2704C441" w:rsidR="0048219E" w:rsidRPr="00E522FE" w:rsidRDefault="0048219E" w:rsidP="006121CB">
      <w:pPr>
        <w:spacing w:line="276" w:lineRule="auto"/>
        <w:jc w:val="center"/>
        <w:rPr>
          <w:rFonts w:ascii="Times New Roman" w:hAnsi="Times New Roman" w:cs="Times New Roman"/>
          <w:b/>
          <w:bCs/>
          <w:sz w:val="24"/>
          <w:szCs w:val="24"/>
        </w:rPr>
      </w:pPr>
      <w:r w:rsidRPr="00E522FE">
        <w:rPr>
          <w:rFonts w:ascii="Times New Roman" w:hAnsi="Times New Roman" w:cs="Times New Roman"/>
          <w:b/>
          <w:bCs/>
          <w:sz w:val="24"/>
          <w:szCs w:val="24"/>
        </w:rPr>
        <w:t>Table 3 –</w:t>
      </w:r>
      <w:r w:rsidR="006121CB" w:rsidRPr="00E522FE">
        <w:rPr>
          <w:rFonts w:ascii="Times New Roman" w:hAnsi="Times New Roman" w:cs="Times New Roman"/>
          <w:b/>
          <w:bCs/>
          <w:sz w:val="24"/>
          <w:szCs w:val="24"/>
        </w:rPr>
        <w:t xml:space="preserve"> Digital Inclusion Index</w:t>
      </w:r>
    </w:p>
    <w:tbl>
      <w:tblPr>
        <w:tblStyle w:val="TableGrid"/>
        <w:tblW w:w="2827" w:type="pct"/>
        <w:jc w:val="center"/>
        <w:tblLook w:val="04A0" w:firstRow="1" w:lastRow="0" w:firstColumn="1" w:lastColumn="0" w:noHBand="0" w:noVBand="1"/>
      </w:tblPr>
      <w:tblGrid>
        <w:gridCol w:w="2609"/>
        <w:gridCol w:w="2616"/>
      </w:tblGrid>
      <w:tr w:rsidR="0048219E" w:rsidRPr="00E522FE" w14:paraId="6817B8DA" w14:textId="77777777" w:rsidTr="006121CB">
        <w:trPr>
          <w:jc w:val="center"/>
        </w:trPr>
        <w:tc>
          <w:tcPr>
            <w:tcW w:w="2497" w:type="pct"/>
            <w:hideMark/>
          </w:tcPr>
          <w:p w14:paraId="7BE6B61D" w14:textId="77777777" w:rsidR="0048219E" w:rsidRPr="00E522FE" w:rsidRDefault="0048219E" w:rsidP="0048219E">
            <w:pPr>
              <w:spacing w:after="160" w:line="276" w:lineRule="auto"/>
              <w:jc w:val="both"/>
              <w:rPr>
                <w:rFonts w:ascii="Times New Roman" w:hAnsi="Times New Roman" w:cs="Times New Roman"/>
                <w:b/>
                <w:bCs/>
                <w:sz w:val="24"/>
                <w:szCs w:val="24"/>
              </w:rPr>
            </w:pPr>
            <w:r w:rsidRPr="00E522FE">
              <w:rPr>
                <w:rFonts w:ascii="Times New Roman" w:hAnsi="Times New Roman" w:cs="Times New Roman"/>
                <w:b/>
                <w:bCs/>
                <w:sz w:val="24"/>
                <w:szCs w:val="24"/>
              </w:rPr>
              <w:lastRenderedPageBreak/>
              <w:t>Statistic</w:t>
            </w:r>
          </w:p>
        </w:tc>
        <w:tc>
          <w:tcPr>
            <w:tcW w:w="2503" w:type="pct"/>
            <w:hideMark/>
          </w:tcPr>
          <w:p w14:paraId="5CE569C6" w14:textId="77777777" w:rsidR="0048219E" w:rsidRPr="00E522FE" w:rsidRDefault="0048219E" w:rsidP="0048219E">
            <w:pPr>
              <w:spacing w:after="160" w:line="276" w:lineRule="auto"/>
              <w:jc w:val="both"/>
              <w:rPr>
                <w:rFonts w:ascii="Times New Roman" w:hAnsi="Times New Roman" w:cs="Times New Roman"/>
                <w:b/>
                <w:bCs/>
                <w:sz w:val="24"/>
                <w:szCs w:val="24"/>
              </w:rPr>
            </w:pPr>
            <w:r w:rsidRPr="00E522FE">
              <w:rPr>
                <w:rFonts w:ascii="Times New Roman" w:hAnsi="Times New Roman" w:cs="Times New Roman"/>
                <w:b/>
                <w:bCs/>
                <w:sz w:val="24"/>
                <w:szCs w:val="24"/>
              </w:rPr>
              <w:t>Score</w:t>
            </w:r>
          </w:p>
        </w:tc>
      </w:tr>
      <w:tr w:rsidR="0048219E" w:rsidRPr="00E522FE" w14:paraId="44775FA5" w14:textId="77777777" w:rsidTr="006121CB">
        <w:trPr>
          <w:jc w:val="center"/>
        </w:trPr>
        <w:tc>
          <w:tcPr>
            <w:tcW w:w="2497" w:type="pct"/>
            <w:hideMark/>
          </w:tcPr>
          <w:p w14:paraId="711B80EC" w14:textId="77777777" w:rsidR="0048219E" w:rsidRPr="00E522FE" w:rsidRDefault="0048219E" w:rsidP="0048219E">
            <w:pPr>
              <w:spacing w:after="160" w:line="276" w:lineRule="auto"/>
              <w:jc w:val="both"/>
              <w:rPr>
                <w:rFonts w:ascii="Times New Roman" w:hAnsi="Times New Roman" w:cs="Times New Roman"/>
                <w:sz w:val="24"/>
                <w:szCs w:val="24"/>
              </w:rPr>
            </w:pPr>
            <w:r w:rsidRPr="00E522FE">
              <w:rPr>
                <w:rFonts w:ascii="Times New Roman" w:hAnsi="Times New Roman" w:cs="Times New Roman"/>
                <w:sz w:val="24"/>
                <w:szCs w:val="24"/>
              </w:rPr>
              <w:t>Mean</w:t>
            </w:r>
          </w:p>
        </w:tc>
        <w:tc>
          <w:tcPr>
            <w:tcW w:w="2503" w:type="pct"/>
            <w:hideMark/>
          </w:tcPr>
          <w:p w14:paraId="472DD5FF" w14:textId="77777777" w:rsidR="0048219E" w:rsidRPr="00E522FE" w:rsidRDefault="0048219E" w:rsidP="0048219E">
            <w:pPr>
              <w:spacing w:after="160" w:line="276" w:lineRule="auto"/>
              <w:jc w:val="both"/>
              <w:rPr>
                <w:rFonts w:ascii="Times New Roman" w:hAnsi="Times New Roman" w:cs="Times New Roman"/>
                <w:sz w:val="24"/>
                <w:szCs w:val="24"/>
              </w:rPr>
            </w:pPr>
            <w:r w:rsidRPr="00E522FE">
              <w:rPr>
                <w:rFonts w:ascii="Times New Roman" w:hAnsi="Times New Roman" w:cs="Times New Roman"/>
                <w:sz w:val="24"/>
                <w:szCs w:val="24"/>
              </w:rPr>
              <w:t>0.72</w:t>
            </w:r>
          </w:p>
        </w:tc>
      </w:tr>
      <w:tr w:rsidR="0048219E" w:rsidRPr="00E522FE" w14:paraId="2BC532BA" w14:textId="77777777" w:rsidTr="006121CB">
        <w:trPr>
          <w:jc w:val="center"/>
        </w:trPr>
        <w:tc>
          <w:tcPr>
            <w:tcW w:w="2497" w:type="pct"/>
            <w:hideMark/>
          </w:tcPr>
          <w:p w14:paraId="329D05C6" w14:textId="77777777" w:rsidR="0048219E" w:rsidRPr="00E522FE" w:rsidRDefault="0048219E" w:rsidP="0048219E">
            <w:pPr>
              <w:spacing w:after="160" w:line="276" w:lineRule="auto"/>
              <w:jc w:val="both"/>
              <w:rPr>
                <w:rFonts w:ascii="Times New Roman" w:hAnsi="Times New Roman" w:cs="Times New Roman"/>
                <w:sz w:val="24"/>
                <w:szCs w:val="24"/>
              </w:rPr>
            </w:pPr>
            <w:r w:rsidRPr="00E522FE">
              <w:rPr>
                <w:rFonts w:ascii="Times New Roman" w:hAnsi="Times New Roman" w:cs="Times New Roman"/>
                <w:sz w:val="24"/>
                <w:szCs w:val="24"/>
              </w:rPr>
              <w:t>Min</w:t>
            </w:r>
          </w:p>
        </w:tc>
        <w:tc>
          <w:tcPr>
            <w:tcW w:w="2503" w:type="pct"/>
            <w:hideMark/>
          </w:tcPr>
          <w:p w14:paraId="4CF345AF" w14:textId="77777777" w:rsidR="0048219E" w:rsidRPr="00E522FE" w:rsidRDefault="0048219E" w:rsidP="0048219E">
            <w:pPr>
              <w:spacing w:after="160" w:line="276" w:lineRule="auto"/>
              <w:jc w:val="both"/>
              <w:rPr>
                <w:rFonts w:ascii="Times New Roman" w:hAnsi="Times New Roman" w:cs="Times New Roman"/>
                <w:sz w:val="24"/>
                <w:szCs w:val="24"/>
              </w:rPr>
            </w:pPr>
            <w:r w:rsidRPr="00E522FE">
              <w:rPr>
                <w:rFonts w:ascii="Times New Roman" w:hAnsi="Times New Roman" w:cs="Times New Roman"/>
                <w:sz w:val="24"/>
                <w:szCs w:val="24"/>
              </w:rPr>
              <w:t>0.45</w:t>
            </w:r>
          </w:p>
        </w:tc>
      </w:tr>
      <w:tr w:rsidR="0048219E" w:rsidRPr="00E522FE" w14:paraId="26C79867" w14:textId="77777777" w:rsidTr="006121CB">
        <w:trPr>
          <w:jc w:val="center"/>
        </w:trPr>
        <w:tc>
          <w:tcPr>
            <w:tcW w:w="2497" w:type="pct"/>
            <w:hideMark/>
          </w:tcPr>
          <w:p w14:paraId="4737CF7A" w14:textId="77777777" w:rsidR="0048219E" w:rsidRPr="00E522FE" w:rsidRDefault="0048219E" w:rsidP="0048219E">
            <w:pPr>
              <w:spacing w:after="160" w:line="276" w:lineRule="auto"/>
              <w:jc w:val="both"/>
              <w:rPr>
                <w:rFonts w:ascii="Times New Roman" w:hAnsi="Times New Roman" w:cs="Times New Roman"/>
                <w:sz w:val="24"/>
                <w:szCs w:val="24"/>
              </w:rPr>
            </w:pPr>
            <w:r w:rsidRPr="00E522FE">
              <w:rPr>
                <w:rFonts w:ascii="Times New Roman" w:hAnsi="Times New Roman" w:cs="Times New Roman"/>
                <w:sz w:val="24"/>
                <w:szCs w:val="24"/>
              </w:rPr>
              <w:t>Max</w:t>
            </w:r>
          </w:p>
        </w:tc>
        <w:tc>
          <w:tcPr>
            <w:tcW w:w="2503" w:type="pct"/>
            <w:hideMark/>
          </w:tcPr>
          <w:p w14:paraId="431F6738" w14:textId="77777777" w:rsidR="0048219E" w:rsidRPr="00E522FE" w:rsidRDefault="0048219E" w:rsidP="0048219E">
            <w:pPr>
              <w:spacing w:after="160" w:line="276" w:lineRule="auto"/>
              <w:jc w:val="both"/>
              <w:rPr>
                <w:rFonts w:ascii="Times New Roman" w:hAnsi="Times New Roman" w:cs="Times New Roman"/>
                <w:sz w:val="24"/>
                <w:szCs w:val="24"/>
              </w:rPr>
            </w:pPr>
            <w:r w:rsidRPr="00E522FE">
              <w:rPr>
                <w:rFonts w:ascii="Times New Roman" w:hAnsi="Times New Roman" w:cs="Times New Roman"/>
                <w:sz w:val="24"/>
                <w:szCs w:val="24"/>
              </w:rPr>
              <w:t>0.98</w:t>
            </w:r>
          </w:p>
        </w:tc>
      </w:tr>
      <w:tr w:rsidR="0048219E" w:rsidRPr="00E522FE" w14:paraId="57371419" w14:textId="77777777" w:rsidTr="006121CB">
        <w:trPr>
          <w:jc w:val="center"/>
        </w:trPr>
        <w:tc>
          <w:tcPr>
            <w:tcW w:w="2497" w:type="pct"/>
            <w:hideMark/>
          </w:tcPr>
          <w:p w14:paraId="522E5EB7" w14:textId="77777777" w:rsidR="0048219E" w:rsidRPr="00E522FE" w:rsidRDefault="0048219E" w:rsidP="0048219E">
            <w:pPr>
              <w:spacing w:after="160" w:line="276" w:lineRule="auto"/>
              <w:jc w:val="both"/>
              <w:rPr>
                <w:rFonts w:ascii="Times New Roman" w:hAnsi="Times New Roman" w:cs="Times New Roman"/>
                <w:sz w:val="24"/>
                <w:szCs w:val="24"/>
              </w:rPr>
            </w:pPr>
            <w:r w:rsidRPr="00E522FE">
              <w:rPr>
                <w:rFonts w:ascii="Times New Roman" w:hAnsi="Times New Roman" w:cs="Times New Roman"/>
                <w:sz w:val="24"/>
                <w:szCs w:val="24"/>
              </w:rPr>
              <w:t>Std. Dev.</w:t>
            </w:r>
          </w:p>
        </w:tc>
        <w:tc>
          <w:tcPr>
            <w:tcW w:w="2503" w:type="pct"/>
            <w:hideMark/>
          </w:tcPr>
          <w:p w14:paraId="57F46E44" w14:textId="77777777" w:rsidR="0048219E" w:rsidRPr="00E522FE" w:rsidRDefault="0048219E" w:rsidP="0048219E">
            <w:pPr>
              <w:spacing w:after="160" w:line="276" w:lineRule="auto"/>
              <w:jc w:val="both"/>
              <w:rPr>
                <w:rFonts w:ascii="Times New Roman" w:hAnsi="Times New Roman" w:cs="Times New Roman"/>
                <w:sz w:val="24"/>
                <w:szCs w:val="24"/>
              </w:rPr>
            </w:pPr>
            <w:r w:rsidRPr="00E522FE">
              <w:rPr>
                <w:rFonts w:ascii="Times New Roman" w:hAnsi="Times New Roman" w:cs="Times New Roman"/>
                <w:sz w:val="24"/>
                <w:szCs w:val="24"/>
              </w:rPr>
              <w:t>0.14</w:t>
            </w:r>
          </w:p>
        </w:tc>
      </w:tr>
    </w:tbl>
    <w:p w14:paraId="770AE469" w14:textId="77777777" w:rsidR="0048219E" w:rsidRPr="00E522FE" w:rsidRDefault="0048219E" w:rsidP="0048219E">
      <w:pPr>
        <w:spacing w:line="276" w:lineRule="auto"/>
        <w:jc w:val="both"/>
        <w:rPr>
          <w:rFonts w:ascii="Times New Roman" w:hAnsi="Times New Roman" w:cs="Times New Roman"/>
          <w:sz w:val="24"/>
          <w:szCs w:val="24"/>
        </w:rPr>
      </w:pPr>
      <w:r w:rsidRPr="00E522FE">
        <w:rPr>
          <w:rFonts w:ascii="Times New Roman" w:hAnsi="Times New Roman" w:cs="Times New Roman"/>
          <w:b/>
          <w:bCs/>
          <w:sz w:val="24"/>
          <w:szCs w:val="24"/>
        </w:rPr>
        <w:t>Figure 3</w:t>
      </w:r>
      <w:r w:rsidRPr="00E522FE">
        <w:rPr>
          <w:rFonts w:ascii="Times New Roman" w:hAnsi="Times New Roman" w:cs="Times New Roman"/>
          <w:sz w:val="24"/>
          <w:szCs w:val="24"/>
        </w:rPr>
        <w:t xml:space="preserve"> shows the distribution of DII scores, where a majority of women fall in the 0.65–0.85 range, confirming moderate-to-high digital engagement.</w:t>
      </w:r>
    </w:p>
    <w:p w14:paraId="1B55F857" w14:textId="2A63FFA6" w:rsidR="006121CB" w:rsidRPr="00E522FE" w:rsidRDefault="006121CB" w:rsidP="0048219E">
      <w:pPr>
        <w:spacing w:line="276" w:lineRule="auto"/>
        <w:jc w:val="both"/>
        <w:rPr>
          <w:rFonts w:ascii="Times New Roman" w:hAnsi="Times New Roman" w:cs="Times New Roman"/>
          <w:sz w:val="24"/>
          <w:szCs w:val="24"/>
        </w:rPr>
      </w:pPr>
      <w:r w:rsidRPr="00E522FE">
        <w:rPr>
          <w:noProof/>
          <w:sz w:val="24"/>
          <w:szCs w:val="24"/>
          <w:lang w:eastAsia="en-IN"/>
        </w:rPr>
        <w:drawing>
          <wp:inline distT="0" distB="0" distL="0" distR="0" wp14:anchorId="16DA07AB" wp14:editId="46A587D9">
            <wp:extent cx="5731510" cy="3401695"/>
            <wp:effectExtent l="0" t="0" r="2540" b="8255"/>
            <wp:docPr id="516579271"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3401695"/>
                    </a:xfrm>
                    <a:prstGeom prst="rect">
                      <a:avLst/>
                    </a:prstGeom>
                    <a:noFill/>
                    <a:ln>
                      <a:noFill/>
                    </a:ln>
                  </pic:spPr>
                </pic:pic>
              </a:graphicData>
            </a:graphic>
          </wp:inline>
        </w:drawing>
      </w:r>
    </w:p>
    <w:p w14:paraId="77E98E78" w14:textId="575967CC" w:rsidR="0048219E" w:rsidRPr="00E522FE" w:rsidRDefault="0048219E" w:rsidP="006121CB">
      <w:pPr>
        <w:spacing w:line="276" w:lineRule="auto"/>
        <w:jc w:val="center"/>
        <w:rPr>
          <w:rFonts w:ascii="Times New Roman" w:hAnsi="Times New Roman" w:cs="Times New Roman"/>
          <w:sz w:val="24"/>
          <w:szCs w:val="24"/>
        </w:rPr>
      </w:pPr>
      <w:r w:rsidRPr="00E522FE">
        <w:rPr>
          <w:rFonts w:ascii="Times New Roman" w:hAnsi="Times New Roman" w:cs="Times New Roman"/>
          <w:b/>
          <w:bCs/>
          <w:sz w:val="24"/>
          <w:szCs w:val="24"/>
        </w:rPr>
        <w:t>Figure 3: Digital Inclusion Index (DII)</w:t>
      </w:r>
    </w:p>
    <w:p w14:paraId="259DDAE0" w14:textId="7F4ADA2C" w:rsidR="0048219E" w:rsidRPr="00E522FE" w:rsidRDefault="00673D99" w:rsidP="00673D99">
      <w:pPr>
        <w:spacing w:line="276" w:lineRule="auto"/>
        <w:jc w:val="both"/>
        <w:rPr>
          <w:rFonts w:ascii="Times New Roman" w:hAnsi="Times New Roman" w:cs="Times New Roman"/>
          <w:sz w:val="24"/>
          <w:szCs w:val="24"/>
        </w:rPr>
      </w:pPr>
      <w:r w:rsidRPr="00E522FE">
        <w:rPr>
          <w:rFonts w:ascii="Times New Roman" w:hAnsi="Times New Roman" w:cs="Times New Roman"/>
          <w:sz w:val="24"/>
          <w:szCs w:val="24"/>
        </w:rPr>
        <w:t>The results verify that SHG membership has increased women's income, digital literacy, and entrepreneurial activities considerably. Economic and social gains are supported by Digital Inclusion Index scores and statistical tests. Thematic and SWOT analysis reinforce empowerment as well as system-level issues. In total, the financial inclusion efforts have positively transformed rural women's financial capability and livelihoods.</w:t>
      </w:r>
    </w:p>
    <w:p w14:paraId="58EFED8A" w14:textId="4CA21DC5" w:rsidR="00A42386" w:rsidRPr="00E522FE" w:rsidRDefault="00E522FE" w:rsidP="00A42386">
      <w:pPr>
        <w:spacing w:line="276" w:lineRule="auto"/>
        <w:jc w:val="both"/>
        <w:rPr>
          <w:rFonts w:ascii="Times New Roman" w:hAnsi="Times New Roman" w:cs="Times New Roman"/>
          <w:b/>
          <w:bCs/>
          <w:sz w:val="28"/>
          <w:szCs w:val="28"/>
        </w:rPr>
      </w:pPr>
      <w:r w:rsidRPr="00E522FE">
        <w:rPr>
          <w:rFonts w:ascii="Times New Roman" w:hAnsi="Times New Roman" w:cs="Times New Roman"/>
          <w:b/>
          <w:bCs/>
          <w:sz w:val="28"/>
          <w:szCs w:val="28"/>
        </w:rPr>
        <w:t>4</w:t>
      </w:r>
      <w:r w:rsidR="00A42386" w:rsidRPr="00E522FE">
        <w:rPr>
          <w:rFonts w:ascii="Times New Roman" w:hAnsi="Times New Roman" w:cs="Times New Roman"/>
          <w:b/>
          <w:bCs/>
          <w:sz w:val="28"/>
          <w:szCs w:val="28"/>
        </w:rPr>
        <w:t xml:space="preserve">. Discussion </w:t>
      </w:r>
    </w:p>
    <w:p w14:paraId="282B51A7" w14:textId="500011B7" w:rsidR="00A42386" w:rsidRPr="00E522FE" w:rsidRDefault="00A42386" w:rsidP="00A42386">
      <w:pPr>
        <w:spacing w:line="276" w:lineRule="auto"/>
        <w:jc w:val="both"/>
        <w:rPr>
          <w:rFonts w:ascii="Times New Roman" w:hAnsi="Times New Roman" w:cs="Times New Roman"/>
          <w:sz w:val="24"/>
          <w:szCs w:val="24"/>
        </w:rPr>
      </w:pPr>
      <w:r w:rsidRPr="00E522FE">
        <w:rPr>
          <w:rFonts w:ascii="Times New Roman" w:hAnsi="Times New Roman" w:cs="Times New Roman"/>
          <w:sz w:val="24"/>
          <w:szCs w:val="24"/>
        </w:rPr>
        <w:t xml:space="preserve">The conclusions drawn from this research give significant indications of the changing context of financial inclusion of rural women in tribal areas of Jharkhand. The integration of quantitative and qualitative analysis in the research reflects the multifaceted effects of Self Help Groups (SHGs), government schemes, and digital financial services in redefining the socio-economic context of women's lives. The strong rise in average monthly earnings—from ₹2,150 to ₹5,780 indicates the success of SHG participation and livelihood initiatives in developing economic empowerment. However, the reasonably poor correlation (r = –0.024) </w:t>
      </w:r>
      <w:r w:rsidRPr="00E522FE">
        <w:rPr>
          <w:rFonts w:ascii="Times New Roman" w:hAnsi="Times New Roman" w:cs="Times New Roman"/>
          <w:sz w:val="24"/>
          <w:szCs w:val="24"/>
        </w:rPr>
        <w:lastRenderedPageBreak/>
        <w:t xml:space="preserve">between loan amount and income increase indicates that income transformation is not purely because of financial capital. Rather, it is a wider ecosystem that includes training, support services, market linkages, and confidence-building that is essential for lasting impact. The Digital Inclusion Index (DII), with a mean score of 0.72, indicates a moderate-to-high degree of digital use among SHG women. This is especially noteworthy in tribal areas, where digital penetration has historically been low. Women's capacity to use AEPS, UPI apps, and digital wallets not only improved their access to financial services but also made them informal digital mentors in their localities. These results indicate that digital technologies, when combined with bottom-up capacity development, can be growth and leadership accelerators of inclusive growth. Qualitative evidence from the FGDs supports this quantitative change. Women explained how they transformed from living economically on others to becoming financially independent with increased confidence in managing money, having bank accounts, and running small businesses. Thematic analysis identified four key pillars of transition: financial trust, transaction trust in digital, livelihood transition, and barriers to loan access. Though positive developments were observed, deep-seated system glitches like delayed disbursal of loans, low levels of financial literacy, and lack of infrastructure still impede the best results. These findings underscore that financial inclusion cannot just access—it has to provide usability, sustainability, and active involvement. SWOT analysis also reiterated that although SHGs are supported by robust community backing, collective finance, and institutional support, they are also susceptible to digital infrastructure deficits, saturation of markets in some trades, and reliance on intermediaries. There are opportunities for replication of successful models such as the BC Sakhi initiative and digital doorstep banking, which integrate access with empowerment. But achieving this potential will need to be supported by focused policy intervention, local training modules, and strong monitoring systems. In short, the </w:t>
      </w:r>
      <w:r w:rsidR="004A21E4" w:rsidRPr="00E522FE">
        <w:rPr>
          <w:rFonts w:ascii="Times New Roman" w:hAnsi="Times New Roman" w:cs="Times New Roman"/>
          <w:sz w:val="24"/>
          <w:szCs w:val="24"/>
        </w:rPr>
        <w:t xml:space="preserve">study </w:t>
      </w:r>
      <w:r w:rsidRPr="00E522FE">
        <w:rPr>
          <w:rFonts w:ascii="Times New Roman" w:hAnsi="Times New Roman" w:cs="Times New Roman"/>
          <w:sz w:val="24"/>
          <w:szCs w:val="24"/>
        </w:rPr>
        <w:t>conclusions emphasize that the inclusion of finance in rural tribal communities is best achieved as a comprehensive development strategy. Financial products in themselves are not enough to change lives unless they are complemented with education, institutional trust, peer networks, and adaptive use of technology. Therefore, the road to inclusive development should give way to integrated, locally driven, and gender-sensitive strategies.</w:t>
      </w:r>
    </w:p>
    <w:p w14:paraId="20E82F63" w14:textId="77777777" w:rsidR="00A42386" w:rsidRPr="00E522FE" w:rsidRDefault="00A42386" w:rsidP="00A42386">
      <w:pPr>
        <w:spacing w:line="276" w:lineRule="auto"/>
        <w:jc w:val="both"/>
        <w:rPr>
          <w:rFonts w:ascii="Times New Roman" w:hAnsi="Times New Roman" w:cs="Times New Roman"/>
          <w:b/>
          <w:bCs/>
          <w:sz w:val="28"/>
          <w:szCs w:val="28"/>
        </w:rPr>
      </w:pPr>
      <w:r w:rsidRPr="00E522FE">
        <w:rPr>
          <w:rFonts w:ascii="Times New Roman" w:hAnsi="Times New Roman" w:cs="Times New Roman"/>
          <w:b/>
          <w:bCs/>
          <w:sz w:val="28"/>
          <w:szCs w:val="28"/>
        </w:rPr>
        <w:t>5. Conclusion</w:t>
      </w:r>
    </w:p>
    <w:p w14:paraId="5FB977D0" w14:textId="066EB9E4" w:rsidR="00A42386" w:rsidRDefault="00A42386" w:rsidP="00A42386">
      <w:pPr>
        <w:spacing w:line="276" w:lineRule="auto"/>
        <w:jc w:val="both"/>
        <w:rPr>
          <w:rFonts w:ascii="Times New Roman" w:hAnsi="Times New Roman" w:cs="Times New Roman"/>
          <w:sz w:val="24"/>
          <w:szCs w:val="24"/>
        </w:rPr>
      </w:pPr>
      <w:r w:rsidRPr="00E522FE">
        <w:rPr>
          <w:rFonts w:ascii="Times New Roman" w:hAnsi="Times New Roman" w:cs="Times New Roman"/>
          <w:sz w:val="24"/>
          <w:szCs w:val="24"/>
        </w:rPr>
        <w:t>This research concludes that financial inclusion initiatives, when combined with SHG-led facilitation, digital literacy, and enterprise development, significantly enhance the socio-economic well-being of rural women in Jharkhand. While gains in income were seen, sustainable change relied more on ecosystem dynamics than on financial inputs. Digital interaction became a tool as well as a badge of empowerment. For policy in the future, combining training, infrastructure, and market linkages is essential to ensuring long-term effects. A localized and holistic strategy will be critical to replicating such success in other underserved areas.</w:t>
      </w:r>
    </w:p>
    <w:p w14:paraId="432F99BA" w14:textId="77777777" w:rsidR="00E522FE" w:rsidRPr="00E522FE" w:rsidRDefault="00E522FE" w:rsidP="00A42386">
      <w:pPr>
        <w:spacing w:line="276" w:lineRule="auto"/>
        <w:jc w:val="both"/>
        <w:rPr>
          <w:rFonts w:ascii="Times New Roman" w:hAnsi="Times New Roman" w:cs="Times New Roman"/>
          <w:sz w:val="24"/>
          <w:szCs w:val="24"/>
        </w:rPr>
      </w:pPr>
    </w:p>
    <w:p w14:paraId="070613C6" w14:textId="15F5240C" w:rsidR="00DC4724" w:rsidRPr="00E522FE" w:rsidRDefault="00DC4724" w:rsidP="00C736C1">
      <w:pPr>
        <w:spacing w:line="276" w:lineRule="auto"/>
        <w:jc w:val="both"/>
        <w:rPr>
          <w:rFonts w:ascii="Times New Roman" w:hAnsi="Times New Roman" w:cs="Times New Roman"/>
          <w:b/>
          <w:bCs/>
          <w:sz w:val="28"/>
          <w:szCs w:val="28"/>
        </w:rPr>
      </w:pPr>
      <w:r w:rsidRPr="00E522FE">
        <w:rPr>
          <w:rFonts w:ascii="Times New Roman" w:hAnsi="Times New Roman" w:cs="Times New Roman"/>
          <w:b/>
          <w:bCs/>
          <w:sz w:val="28"/>
          <w:szCs w:val="28"/>
        </w:rPr>
        <w:t>6.References</w:t>
      </w:r>
    </w:p>
    <w:p w14:paraId="5D5881CA" w14:textId="77777777" w:rsidR="00DC4724" w:rsidRPr="00E522FE" w:rsidRDefault="00DC4724" w:rsidP="00C736C1">
      <w:pPr>
        <w:pStyle w:val="ListParagraph"/>
        <w:numPr>
          <w:ilvl w:val="0"/>
          <w:numId w:val="1"/>
        </w:numPr>
        <w:spacing w:line="276" w:lineRule="auto"/>
        <w:jc w:val="both"/>
        <w:rPr>
          <w:rFonts w:ascii="Times New Roman" w:hAnsi="Times New Roman" w:cs="Times New Roman"/>
          <w:sz w:val="24"/>
          <w:szCs w:val="24"/>
        </w:rPr>
      </w:pPr>
      <w:r w:rsidRPr="00E522FE">
        <w:rPr>
          <w:rFonts w:ascii="Times New Roman" w:hAnsi="Times New Roman" w:cs="Times New Roman"/>
          <w:sz w:val="24"/>
          <w:szCs w:val="24"/>
        </w:rPr>
        <w:lastRenderedPageBreak/>
        <w:t xml:space="preserve">Agarwal, S., &amp; Ghosh, S. (2020). Digital banking and financial inclusion: A study on rural India. </w:t>
      </w:r>
      <w:r w:rsidRPr="00E522FE">
        <w:rPr>
          <w:rFonts w:ascii="Times New Roman" w:hAnsi="Times New Roman" w:cs="Times New Roman"/>
          <w:i/>
          <w:iCs/>
          <w:sz w:val="24"/>
          <w:szCs w:val="24"/>
        </w:rPr>
        <w:t>International Journal of Economics and Finance, 12</w:t>
      </w:r>
      <w:r w:rsidRPr="00E522FE">
        <w:rPr>
          <w:rFonts w:ascii="Times New Roman" w:hAnsi="Times New Roman" w:cs="Times New Roman"/>
          <w:sz w:val="24"/>
          <w:szCs w:val="24"/>
        </w:rPr>
        <w:t xml:space="preserve">(4), 45–56. </w:t>
      </w:r>
      <w:hyperlink r:id="rId9" w:tgtFrame="_new" w:history="1">
        <w:r w:rsidRPr="00E522FE">
          <w:rPr>
            <w:rStyle w:val="Hyperlink"/>
            <w:rFonts w:ascii="Times New Roman" w:hAnsi="Times New Roman" w:cs="Times New Roman"/>
            <w:sz w:val="24"/>
            <w:szCs w:val="24"/>
          </w:rPr>
          <w:t>https://doi.org/10.1016/j.ijef.2020.04.002</w:t>
        </w:r>
      </w:hyperlink>
    </w:p>
    <w:p w14:paraId="277806A4" w14:textId="77777777" w:rsidR="00DC4724" w:rsidRPr="00E522FE" w:rsidRDefault="00DC4724" w:rsidP="00C736C1">
      <w:pPr>
        <w:pStyle w:val="ListParagraph"/>
        <w:numPr>
          <w:ilvl w:val="0"/>
          <w:numId w:val="1"/>
        </w:numPr>
        <w:spacing w:line="276" w:lineRule="auto"/>
        <w:jc w:val="both"/>
        <w:rPr>
          <w:rFonts w:ascii="Times New Roman" w:hAnsi="Times New Roman" w:cs="Times New Roman"/>
          <w:sz w:val="24"/>
          <w:szCs w:val="24"/>
        </w:rPr>
      </w:pPr>
      <w:r w:rsidRPr="00E522FE">
        <w:rPr>
          <w:rFonts w:ascii="Times New Roman" w:hAnsi="Times New Roman" w:cs="Times New Roman"/>
          <w:sz w:val="24"/>
          <w:szCs w:val="24"/>
        </w:rPr>
        <w:t xml:space="preserve">Barboza, J., &amp; Leong, M. (2021). The role of digital banking in fostering financial inclusion in rural economies. </w:t>
      </w:r>
      <w:r w:rsidRPr="00E522FE">
        <w:rPr>
          <w:rFonts w:ascii="Times New Roman" w:hAnsi="Times New Roman" w:cs="Times New Roman"/>
          <w:i/>
          <w:iCs/>
          <w:sz w:val="24"/>
          <w:szCs w:val="24"/>
        </w:rPr>
        <w:t>Journal of Rural Development, 40</w:t>
      </w:r>
      <w:r w:rsidRPr="00E522FE">
        <w:rPr>
          <w:rFonts w:ascii="Times New Roman" w:hAnsi="Times New Roman" w:cs="Times New Roman"/>
          <w:sz w:val="24"/>
          <w:szCs w:val="24"/>
        </w:rPr>
        <w:t xml:space="preserve">(2), 180–193. </w:t>
      </w:r>
      <w:hyperlink r:id="rId10" w:tgtFrame="_new" w:history="1">
        <w:r w:rsidRPr="00E522FE">
          <w:rPr>
            <w:rStyle w:val="Hyperlink"/>
            <w:rFonts w:ascii="Times New Roman" w:hAnsi="Times New Roman" w:cs="Times New Roman"/>
            <w:sz w:val="24"/>
            <w:szCs w:val="24"/>
          </w:rPr>
          <w:t>https://doi.org/10.1080/089336739.2021.1872212</w:t>
        </w:r>
      </w:hyperlink>
    </w:p>
    <w:p w14:paraId="42A37667" w14:textId="77777777" w:rsidR="00DC4724" w:rsidRPr="00E522FE" w:rsidRDefault="00DC4724" w:rsidP="00C736C1">
      <w:pPr>
        <w:pStyle w:val="ListParagraph"/>
        <w:numPr>
          <w:ilvl w:val="0"/>
          <w:numId w:val="1"/>
        </w:numPr>
        <w:spacing w:line="276" w:lineRule="auto"/>
        <w:jc w:val="both"/>
        <w:rPr>
          <w:rFonts w:ascii="Times New Roman" w:hAnsi="Times New Roman" w:cs="Times New Roman"/>
          <w:sz w:val="24"/>
          <w:szCs w:val="24"/>
        </w:rPr>
      </w:pPr>
      <w:r w:rsidRPr="00E522FE">
        <w:rPr>
          <w:rFonts w:ascii="Times New Roman" w:hAnsi="Times New Roman" w:cs="Times New Roman"/>
          <w:sz w:val="24"/>
          <w:szCs w:val="24"/>
        </w:rPr>
        <w:t xml:space="preserve">Bateman, M., Duvendack, M., &amp; </w:t>
      </w:r>
      <w:proofErr w:type="spellStart"/>
      <w:r w:rsidRPr="00E522FE">
        <w:rPr>
          <w:rFonts w:ascii="Times New Roman" w:hAnsi="Times New Roman" w:cs="Times New Roman"/>
          <w:sz w:val="24"/>
          <w:szCs w:val="24"/>
        </w:rPr>
        <w:t>Loubere</w:t>
      </w:r>
      <w:proofErr w:type="spellEnd"/>
      <w:r w:rsidRPr="00E522FE">
        <w:rPr>
          <w:rFonts w:ascii="Times New Roman" w:hAnsi="Times New Roman" w:cs="Times New Roman"/>
          <w:sz w:val="24"/>
          <w:szCs w:val="24"/>
        </w:rPr>
        <w:t xml:space="preserve">, N. (2019). Is fin-tech the new panacea for poverty alleviation and local development? </w:t>
      </w:r>
      <w:r w:rsidRPr="00E522FE">
        <w:rPr>
          <w:rFonts w:ascii="Times New Roman" w:hAnsi="Times New Roman" w:cs="Times New Roman"/>
          <w:i/>
          <w:iCs/>
          <w:sz w:val="24"/>
          <w:szCs w:val="24"/>
        </w:rPr>
        <w:t>Review of African Political Economy, 46</w:t>
      </w:r>
      <w:r w:rsidRPr="00E522FE">
        <w:rPr>
          <w:rFonts w:ascii="Times New Roman" w:hAnsi="Times New Roman" w:cs="Times New Roman"/>
          <w:sz w:val="24"/>
          <w:szCs w:val="24"/>
        </w:rPr>
        <w:t>(1), 1–16.</w:t>
      </w:r>
    </w:p>
    <w:p w14:paraId="1402296F" w14:textId="77777777" w:rsidR="00DC4724" w:rsidRPr="00E522FE" w:rsidRDefault="00DC4724" w:rsidP="00C736C1">
      <w:pPr>
        <w:pStyle w:val="ListParagraph"/>
        <w:numPr>
          <w:ilvl w:val="0"/>
          <w:numId w:val="1"/>
        </w:numPr>
        <w:spacing w:line="276" w:lineRule="auto"/>
        <w:jc w:val="both"/>
        <w:rPr>
          <w:rFonts w:ascii="Times New Roman" w:hAnsi="Times New Roman" w:cs="Times New Roman"/>
          <w:sz w:val="24"/>
          <w:szCs w:val="24"/>
        </w:rPr>
      </w:pPr>
      <w:r w:rsidRPr="00E522FE">
        <w:rPr>
          <w:rFonts w:ascii="Times New Roman" w:hAnsi="Times New Roman" w:cs="Times New Roman"/>
          <w:sz w:val="24"/>
          <w:szCs w:val="24"/>
        </w:rPr>
        <w:t xml:space="preserve">Battilana, J., &amp; Casciaro, T. (2021). The effects of digital banking technologies on financial inclusion. </w:t>
      </w:r>
      <w:r w:rsidRPr="00E522FE">
        <w:rPr>
          <w:rFonts w:ascii="Times New Roman" w:hAnsi="Times New Roman" w:cs="Times New Roman"/>
          <w:i/>
          <w:iCs/>
          <w:sz w:val="24"/>
          <w:szCs w:val="24"/>
        </w:rPr>
        <w:t>Business &amp; Society, 60</w:t>
      </w:r>
      <w:r w:rsidRPr="00E522FE">
        <w:rPr>
          <w:rFonts w:ascii="Times New Roman" w:hAnsi="Times New Roman" w:cs="Times New Roman"/>
          <w:sz w:val="24"/>
          <w:szCs w:val="24"/>
        </w:rPr>
        <w:t xml:space="preserve">(2), 331–362. </w:t>
      </w:r>
      <w:hyperlink r:id="rId11" w:tgtFrame="_new" w:history="1">
        <w:r w:rsidRPr="00E522FE">
          <w:rPr>
            <w:rStyle w:val="Hyperlink"/>
            <w:rFonts w:ascii="Times New Roman" w:hAnsi="Times New Roman" w:cs="Times New Roman"/>
            <w:sz w:val="24"/>
            <w:szCs w:val="24"/>
          </w:rPr>
          <w:t>https://doi.org/10.1177/0007650320954069</w:t>
        </w:r>
      </w:hyperlink>
    </w:p>
    <w:p w14:paraId="31FC3CE6" w14:textId="77777777" w:rsidR="00DC4724" w:rsidRPr="00E522FE" w:rsidRDefault="00DC4724" w:rsidP="00C736C1">
      <w:pPr>
        <w:pStyle w:val="ListParagraph"/>
        <w:numPr>
          <w:ilvl w:val="0"/>
          <w:numId w:val="1"/>
        </w:numPr>
        <w:spacing w:line="276" w:lineRule="auto"/>
        <w:jc w:val="both"/>
        <w:rPr>
          <w:rFonts w:ascii="Times New Roman" w:hAnsi="Times New Roman" w:cs="Times New Roman"/>
          <w:sz w:val="24"/>
          <w:szCs w:val="24"/>
        </w:rPr>
      </w:pPr>
      <w:r w:rsidRPr="00E522FE">
        <w:rPr>
          <w:rFonts w:ascii="Times New Roman" w:hAnsi="Times New Roman" w:cs="Times New Roman"/>
          <w:sz w:val="24"/>
          <w:szCs w:val="24"/>
        </w:rPr>
        <w:t xml:space="preserve">Bhattacharya, R., &amp; Sahoo, A. (2022). The impact of digital payment systems on rural financial inclusion in India. </w:t>
      </w:r>
      <w:r w:rsidRPr="00E522FE">
        <w:rPr>
          <w:rFonts w:ascii="Times New Roman" w:hAnsi="Times New Roman" w:cs="Times New Roman"/>
          <w:i/>
          <w:iCs/>
          <w:sz w:val="24"/>
          <w:szCs w:val="24"/>
        </w:rPr>
        <w:t>Journal of Rural Finance, 17</w:t>
      </w:r>
      <w:r w:rsidRPr="00E522FE">
        <w:rPr>
          <w:rFonts w:ascii="Times New Roman" w:hAnsi="Times New Roman" w:cs="Times New Roman"/>
          <w:sz w:val="24"/>
          <w:szCs w:val="24"/>
        </w:rPr>
        <w:t xml:space="preserve">(1), 47–61. </w:t>
      </w:r>
      <w:hyperlink r:id="rId12" w:tgtFrame="_new" w:history="1">
        <w:r w:rsidRPr="00E522FE">
          <w:rPr>
            <w:rStyle w:val="Hyperlink"/>
            <w:rFonts w:ascii="Times New Roman" w:hAnsi="Times New Roman" w:cs="Times New Roman"/>
            <w:sz w:val="24"/>
            <w:szCs w:val="24"/>
          </w:rPr>
          <w:t>https://doi.org/10.1108/JRF-09-2021-0071</w:t>
        </w:r>
      </w:hyperlink>
    </w:p>
    <w:p w14:paraId="34B91886" w14:textId="77777777" w:rsidR="00DC4724" w:rsidRPr="00E522FE" w:rsidRDefault="00DC4724" w:rsidP="00C736C1">
      <w:pPr>
        <w:pStyle w:val="ListParagraph"/>
        <w:numPr>
          <w:ilvl w:val="0"/>
          <w:numId w:val="1"/>
        </w:numPr>
        <w:spacing w:line="276" w:lineRule="auto"/>
        <w:jc w:val="both"/>
        <w:rPr>
          <w:rFonts w:ascii="Times New Roman" w:hAnsi="Times New Roman" w:cs="Times New Roman"/>
          <w:sz w:val="24"/>
          <w:szCs w:val="24"/>
        </w:rPr>
      </w:pPr>
      <w:r w:rsidRPr="00E522FE">
        <w:rPr>
          <w:rFonts w:ascii="Times New Roman" w:hAnsi="Times New Roman" w:cs="Times New Roman"/>
          <w:sz w:val="24"/>
          <w:szCs w:val="24"/>
        </w:rPr>
        <w:t xml:space="preserve">Chien, H., &amp; Wei, C. (2020). Exploring the financial inclusion agenda: The role of digital banking in rural communities. </w:t>
      </w:r>
      <w:r w:rsidRPr="00E522FE">
        <w:rPr>
          <w:rFonts w:ascii="Times New Roman" w:hAnsi="Times New Roman" w:cs="Times New Roman"/>
          <w:i/>
          <w:iCs/>
          <w:sz w:val="24"/>
          <w:szCs w:val="24"/>
        </w:rPr>
        <w:t>International Review of Financial Services, 35</w:t>
      </w:r>
      <w:r w:rsidRPr="00E522FE">
        <w:rPr>
          <w:rFonts w:ascii="Times New Roman" w:hAnsi="Times New Roman" w:cs="Times New Roman"/>
          <w:sz w:val="24"/>
          <w:szCs w:val="24"/>
        </w:rPr>
        <w:t xml:space="preserve">(1), 12–22. </w:t>
      </w:r>
      <w:hyperlink r:id="rId13" w:tgtFrame="_new" w:history="1">
        <w:r w:rsidRPr="00E522FE">
          <w:rPr>
            <w:rStyle w:val="Hyperlink"/>
            <w:rFonts w:ascii="Times New Roman" w:hAnsi="Times New Roman" w:cs="Times New Roman"/>
            <w:sz w:val="24"/>
            <w:szCs w:val="24"/>
          </w:rPr>
          <w:t>https://doi.org/10.1016/j.irefs.2019.12.004</w:t>
        </w:r>
      </w:hyperlink>
    </w:p>
    <w:p w14:paraId="3BEEA5C5" w14:textId="77777777" w:rsidR="00DC4724" w:rsidRPr="00E522FE" w:rsidRDefault="00DC4724" w:rsidP="00C736C1">
      <w:pPr>
        <w:pStyle w:val="ListParagraph"/>
        <w:numPr>
          <w:ilvl w:val="0"/>
          <w:numId w:val="1"/>
        </w:numPr>
        <w:spacing w:line="276" w:lineRule="auto"/>
        <w:jc w:val="both"/>
        <w:rPr>
          <w:rFonts w:ascii="Times New Roman" w:hAnsi="Times New Roman" w:cs="Times New Roman"/>
          <w:sz w:val="24"/>
          <w:szCs w:val="24"/>
        </w:rPr>
      </w:pPr>
      <w:r w:rsidRPr="00E522FE">
        <w:rPr>
          <w:rFonts w:ascii="Times New Roman" w:hAnsi="Times New Roman" w:cs="Times New Roman"/>
          <w:sz w:val="24"/>
          <w:szCs w:val="24"/>
        </w:rPr>
        <w:t xml:space="preserve">Das, S., &amp; Pradhan, S. (2021). Digital banking adoption and its role in enhancing rural financial inclusion. </w:t>
      </w:r>
      <w:r w:rsidRPr="00E522FE">
        <w:rPr>
          <w:rFonts w:ascii="Times New Roman" w:hAnsi="Times New Roman" w:cs="Times New Roman"/>
          <w:i/>
          <w:iCs/>
          <w:sz w:val="24"/>
          <w:szCs w:val="24"/>
        </w:rPr>
        <w:t>Asian Economic Policy Review, 16</w:t>
      </w:r>
      <w:r w:rsidRPr="00E522FE">
        <w:rPr>
          <w:rFonts w:ascii="Times New Roman" w:hAnsi="Times New Roman" w:cs="Times New Roman"/>
          <w:sz w:val="24"/>
          <w:szCs w:val="24"/>
        </w:rPr>
        <w:t xml:space="preserve">(3), 328–348. </w:t>
      </w:r>
      <w:hyperlink r:id="rId14" w:tgtFrame="_new" w:history="1">
        <w:r w:rsidRPr="00E522FE">
          <w:rPr>
            <w:rStyle w:val="Hyperlink"/>
            <w:rFonts w:ascii="Times New Roman" w:hAnsi="Times New Roman" w:cs="Times New Roman"/>
            <w:sz w:val="24"/>
            <w:szCs w:val="24"/>
          </w:rPr>
          <w:t>https://doi.org/10.1111/aepr.12252</w:t>
        </w:r>
      </w:hyperlink>
    </w:p>
    <w:p w14:paraId="4D5A4F48" w14:textId="77777777" w:rsidR="00DC4724" w:rsidRPr="00E522FE" w:rsidRDefault="00DC4724" w:rsidP="00C736C1">
      <w:pPr>
        <w:pStyle w:val="ListParagraph"/>
        <w:numPr>
          <w:ilvl w:val="0"/>
          <w:numId w:val="1"/>
        </w:numPr>
        <w:spacing w:line="276" w:lineRule="auto"/>
        <w:jc w:val="both"/>
        <w:rPr>
          <w:rFonts w:ascii="Times New Roman" w:hAnsi="Times New Roman" w:cs="Times New Roman"/>
          <w:sz w:val="24"/>
          <w:szCs w:val="24"/>
        </w:rPr>
      </w:pPr>
      <w:proofErr w:type="spellStart"/>
      <w:r w:rsidRPr="00E522FE">
        <w:rPr>
          <w:rFonts w:ascii="Times New Roman" w:hAnsi="Times New Roman" w:cs="Times New Roman"/>
          <w:sz w:val="24"/>
          <w:szCs w:val="24"/>
        </w:rPr>
        <w:t>Demirgüç-Kunt</w:t>
      </w:r>
      <w:proofErr w:type="spellEnd"/>
      <w:r w:rsidRPr="00E522FE">
        <w:rPr>
          <w:rFonts w:ascii="Times New Roman" w:hAnsi="Times New Roman" w:cs="Times New Roman"/>
          <w:sz w:val="24"/>
          <w:szCs w:val="24"/>
        </w:rPr>
        <w:t xml:space="preserve">, A., Klapper, L., Singer, D., Ansar, S., &amp; Hess, J. (2020). The global Findex database 2017: Measuring financial inclusion and opportunities to expand access to and use of financial services. </w:t>
      </w:r>
      <w:r w:rsidRPr="00E522FE">
        <w:rPr>
          <w:rFonts w:ascii="Times New Roman" w:hAnsi="Times New Roman" w:cs="Times New Roman"/>
          <w:i/>
          <w:iCs/>
          <w:sz w:val="24"/>
          <w:szCs w:val="24"/>
        </w:rPr>
        <w:t>World Bank Economic Review, 34</w:t>
      </w:r>
      <w:r w:rsidRPr="00E522FE">
        <w:rPr>
          <w:rFonts w:ascii="Times New Roman" w:hAnsi="Times New Roman" w:cs="Times New Roman"/>
          <w:sz w:val="24"/>
          <w:szCs w:val="24"/>
        </w:rPr>
        <w:t>(Supplement_1), S2–S8.</w:t>
      </w:r>
    </w:p>
    <w:p w14:paraId="1CA05965" w14:textId="77777777" w:rsidR="00DC4724" w:rsidRPr="00E522FE" w:rsidRDefault="00DC4724" w:rsidP="00C736C1">
      <w:pPr>
        <w:pStyle w:val="ListParagraph"/>
        <w:numPr>
          <w:ilvl w:val="0"/>
          <w:numId w:val="1"/>
        </w:numPr>
        <w:spacing w:line="276" w:lineRule="auto"/>
        <w:jc w:val="both"/>
        <w:rPr>
          <w:rFonts w:ascii="Times New Roman" w:hAnsi="Times New Roman" w:cs="Times New Roman"/>
          <w:sz w:val="24"/>
          <w:szCs w:val="24"/>
        </w:rPr>
      </w:pPr>
      <w:r w:rsidRPr="00E522FE">
        <w:rPr>
          <w:rFonts w:ascii="Times New Roman" w:hAnsi="Times New Roman" w:cs="Times New Roman"/>
          <w:sz w:val="24"/>
          <w:szCs w:val="24"/>
        </w:rPr>
        <w:t xml:space="preserve">Duvendack, M., &amp; Mader, P. (2020). Impact of financial inclusion in low- and middle-income countries: A systematic review of reviews. </w:t>
      </w:r>
      <w:r w:rsidRPr="00E522FE">
        <w:rPr>
          <w:rFonts w:ascii="Times New Roman" w:hAnsi="Times New Roman" w:cs="Times New Roman"/>
          <w:i/>
          <w:iCs/>
          <w:sz w:val="24"/>
          <w:szCs w:val="24"/>
        </w:rPr>
        <w:t>Journal of Economic Surveys, 34</w:t>
      </w:r>
      <w:r w:rsidRPr="00E522FE">
        <w:rPr>
          <w:rFonts w:ascii="Times New Roman" w:hAnsi="Times New Roman" w:cs="Times New Roman"/>
          <w:sz w:val="24"/>
          <w:szCs w:val="24"/>
        </w:rPr>
        <w:t>(3), 594–629.</w:t>
      </w:r>
    </w:p>
    <w:p w14:paraId="4E92422B" w14:textId="77777777" w:rsidR="00DC4724" w:rsidRPr="00E522FE" w:rsidRDefault="00DC4724" w:rsidP="00C736C1">
      <w:pPr>
        <w:pStyle w:val="ListParagraph"/>
        <w:numPr>
          <w:ilvl w:val="0"/>
          <w:numId w:val="1"/>
        </w:numPr>
        <w:spacing w:line="276" w:lineRule="auto"/>
        <w:jc w:val="both"/>
        <w:rPr>
          <w:rFonts w:ascii="Times New Roman" w:hAnsi="Times New Roman" w:cs="Times New Roman"/>
          <w:sz w:val="24"/>
          <w:szCs w:val="24"/>
        </w:rPr>
      </w:pPr>
      <w:r w:rsidRPr="00E522FE">
        <w:rPr>
          <w:rFonts w:ascii="Times New Roman" w:hAnsi="Times New Roman" w:cs="Times New Roman"/>
          <w:sz w:val="24"/>
          <w:szCs w:val="24"/>
        </w:rPr>
        <w:t xml:space="preserve">Duvendack, M., Sonne, L., &amp; </w:t>
      </w:r>
      <w:proofErr w:type="spellStart"/>
      <w:r w:rsidRPr="00E522FE">
        <w:rPr>
          <w:rFonts w:ascii="Times New Roman" w:hAnsi="Times New Roman" w:cs="Times New Roman"/>
          <w:sz w:val="24"/>
          <w:szCs w:val="24"/>
        </w:rPr>
        <w:t>Garikipati</w:t>
      </w:r>
      <w:proofErr w:type="spellEnd"/>
      <w:r w:rsidRPr="00E522FE">
        <w:rPr>
          <w:rFonts w:ascii="Times New Roman" w:hAnsi="Times New Roman" w:cs="Times New Roman"/>
          <w:sz w:val="24"/>
          <w:szCs w:val="24"/>
        </w:rPr>
        <w:t xml:space="preserve">, S. (2023). Gender inclusivity of India’s digital financial revolution for attainment of SDGs: Macro achievements and the micro experiences of targeted initiatives. </w:t>
      </w:r>
      <w:r w:rsidRPr="00E522FE">
        <w:rPr>
          <w:rFonts w:ascii="Times New Roman" w:hAnsi="Times New Roman" w:cs="Times New Roman"/>
          <w:i/>
          <w:iCs/>
          <w:sz w:val="24"/>
          <w:szCs w:val="24"/>
        </w:rPr>
        <w:t>European Journal of Development Research, 35</w:t>
      </w:r>
      <w:r w:rsidRPr="00E522FE">
        <w:rPr>
          <w:rFonts w:ascii="Times New Roman" w:hAnsi="Times New Roman" w:cs="Times New Roman"/>
          <w:sz w:val="24"/>
          <w:szCs w:val="24"/>
        </w:rPr>
        <w:t xml:space="preserve">, 1369–1391. </w:t>
      </w:r>
      <w:hyperlink r:id="rId15" w:tgtFrame="_new" w:history="1">
        <w:r w:rsidRPr="00E522FE">
          <w:rPr>
            <w:rStyle w:val="Hyperlink"/>
            <w:rFonts w:ascii="Times New Roman" w:hAnsi="Times New Roman" w:cs="Times New Roman"/>
            <w:sz w:val="24"/>
            <w:szCs w:val="24"/>
          </w:rPr>
          <w:t>https://doi.org/10.1057/s41287-023-00585-x</w:t>
        </w:r>
      </w:hyperlink>
    </w:p>
    <w:p w14:paraId="5C015A97" w14:textId="77777777" w:rsidR="00DC4724" w:rsidRPr="00E522FE" w:rsidRDefault="00DC4724" w:rsidP="00C736C1">
      <w:pPr>
        <w:pStyle w:val="ListParagraph"/>
        <w:numPr>
          <w:ilvl w:val="0"/>
          <w:numId w:val="1"/>
        </w:numPr>
        <w:spacing w:line="276" w:lineRule="auto"/>
        <w:jc w:val="both"/>
        <w:rPr>
          <w:rFonts w:ascii="Times New Roman" w:hAnsi="Times New Roman" w:cs="Times New Roman"/>
          <w:sz w:val="24"/>
          <w:szCs w:val="24"/>
        </w:rPr>
      </w:pPr>
      <w:r w:rsidRPr="00E522FE">
        <w:rPr>
          <w:rFonts w:ascii="Times New Roman" w:hAnsi="Times New Roman" w:cs="Times New Roman"/>
          <w:sz w:val="24"/>
          <w:szCs w:val="24"/>
        </w:rPr>
        <w:t xml:space="preserve">Ghosh, S., &amp; Mukherjee, A. (2021). Financial inclusion in rural areas: Leveraging digital banking solutions. </w:t>
      </w:r>
      <w:r w:rsidRPr="00E522FE">
        <w:rPr>
          <w:rFonts w:ascii="Times New Roman" w:hAnsi="Times New Roman" w:cs="Times New Roman"/>
          <w:i/>
          <w:iCs/>
          <w:sz w:val="24"/>
          <w:szCs w:val="24"/>
        </w:rPr>
        <w:t>International Journal of Financial Innovation in Banking, 6</w:t>
      </w:r>
      <w:r w:rsidRPr="00E522FE">
        <w:rPr>
          <w:rFonts w:ascii="Times New Roman" w:hAnsi="Times New Roman" w:cs="Times New Roman"/>
          <w:sz w:val="24"/>
          <w:szCs w:val="24"/>
        </w:rPr>
        <w:t xml:space="preserve">(2), 115–131. </w:t>
      </w:r>
      <w:hyperlink r:id="rId16" w:tgtFrame="_new" w:history="1">
        <w:r w:rsidRPr="00E522FE">
          <w:rPr>
            <w:rStyle w:val="Hyperlink"/>
            <w:rFonts w:ascii="Times New Roman" w:hAnsi="Times New Roman" w:cs="Times New Roman"/>
            <w:sz w:val="24"/>
            <w:szCs w:val="24"/>
          </w:rPr>
          <w:t>https://doi.org/10.1142/S2345715721500119</w:t>
        </w:r>
      </w:hyperlink>
    </w:p>
    <w:p w14:paraId="3AFD2D12" w14:textId="77777777" w:rsidR="00DC4724" w:rsidRPr="00E522FE" w:rsidRDefault="00DC4724" w:rsidP="00C736C1">
      <w:pPr>
        <w:pStyle w:val="ListParagraph"/>
        <w:numPr>
          <w:ilvl w:val="0"/>
          <w:numId w:val="1"/>
        </w:numPr>
        <w:spacing w:line="276" w:lineRule="auto"/>
        <w:jc w:val="both"/>
        <w:rPr>
          <w:rFonts w:ascii="Times New Roman" w:hAnsi="Times New Roman" w:cs="Times New Roman"/>
          <w:sz w:val="24"/>
          <w:szCs w:val="24"/>
        </w:rPr>
      </w:pPr>
      <w:r w:rsidRPr="00E522FE">
        <w:rPr>
          <w:rFonts w:ascii="Times New Roman" w:hAnsi="Times New Roman" w:cs="Times New Roman"/>
          <w:sz w:val="24"/>
          <w:szCs w:val="24"/>
        </w:rPr>
        <w:t xml:space="preserve">Kochar, A., Nagabhushana, C., Sarkar, R., Shah, R., &amp; Singh, G. (2022). Financial access and women’s role in household decisions: Empirical evidence from India’s National Rural Livelihoods project. </w:t>
      </w:r>
      <w:r w:rsidRPr="00E522FE">
        <w:rPr>
          <w:rFonts w:ascii="Times New Roman" w:hAnsi="Times New Roman" w:cs="Times New Roman"/>
          <w:i/>
          <w:iCs/>
          <w:sz w:val="24"/>
          <w:szCs w:val="24"/>
        </w:rPr>
        <w:t>Journal of Development Economics, 155</w:t>
      </w:r>
      <w:r w:rsidRPr="00E522FE">
        <w:rPr>
          <w:rFonts w:ascii="Times New Roman" w:hAnsi="Times New Roman" w:cs="Times New Roman"/>
          <w:sz w:val="24"/>
          <w:szCs w:val="24"/>
        </w:rPr>
        <w:t>, 102821.</w:t>
      </w:r>
    </w:p>
    <w:p w14:paraId="1DB6D9B1" w14:textId="77777777" w:rsidR="00DC4724" w:rsidRPr="00E522FE" w:rsidRDefault="00DC4724" w:rsidP="00C736C1">
      <w:pPr>
        <w:pStyle w:val="ListParagraph"/>
        <w:numPr>
          <w:ilvl w:val="0"/>
          <w:numId w:val="1"/>
        </w:numPr>
        <w:spacing w:line="276" w:lineRule="auto"/>
        <w:jc w:val="both"/>
        <w:rPr>
          <w:rFonts w:ascii="Times New Roman" w:hAnsi="Times New Roman" w:cs="Times New Roman"/>
          <w:sz w:val="24"/>
          <w:szCs w:val="24"/>
        </w:rPr>
      </w:pPr>
      <w:r w:rsidRPr="00E522FE">
        <w:rPr>
          <w:rFonts w:ascii="Times New Roman" w:hAnsi="Times New Roman" w:cs="Times New Roman"/>
          <w:sz w:val="24"/>
          <w:szCs w:val="24"/>
        </w:rPr>
        <w:t xml:space="preserve">Kumar, A., &amp; Mishra, M. (2020). Mobile banking and rural financial inclusion: Challenges and opportunities. </w:t>
      </w:r>
      <w:r w:rsidRPr="00E522FE">
        <w:rPr>
          <w:rFonts w:ascii="Times New Roman" w:hAnsi="Times New Roman" w:cs="Times New Roman"/>
          <w:i/>
          <w:iCs/>
          <w:sz w:val="24"/>
          <w:szCs w:val="24"/>
        </w:rPr>
        <w:t>Financial Inclusion Review, 3</w:t>
      </w:r>
      <w:r w:rsidRPr="00E522FE">
        <w:rPr>
          <w:rFonts w:ascii="Times New Roman" w:hAnsi="Times New Roman" w:cs="Times New Roman"/>
          <w:sz w:val="24"/>
          <w:szCs w:val="24"/>
        </w:rPr>
        <w:t xml:space="preserve">(1), 39–53. </w:t>
      </w:r>
      <w:hyperlink r:id="rId17" w:tgtFrame="_new" w:history="1">
        <w:r w:rsidRPr="00E522FE">
          <w:rPr>
            <w:rStyle w:val="Hyperlink"/>
            <w:rFonts w:ascii="Times New Roman" w:hAnsi="Times New Roman" w:cs="Times New Roman"/>
            <w:sz w:val="24"/>
            <w:szCs w:val="24"/>
          </w:rPr>
          <w:t>https://doi.org/10.1007/s10834-020-09562-w</w:t>
        </w:r>
      </w:hyperlink>
    </w:p>
    <w:p w14:paraId="0ACA2017" w14:textId="77777777" w:rsidR="00DC4724" w:rsidRPr="00E522FE" w:rsidRDefault="00DC4724" w:rsidP="00C736C1">
      <w:pPr>
        <w:pStyle w:val="ListParagraph"/>
        <w:numPr>
          <w:ilvl w:val="0"/>
          <w:numId w:val="1"/>
        </w:numPr>
        <w:spacing w:line="276" w:lineRule="auto"/>
        <w:jc w:val="both"/>
        <w:rPr>
          <w:rFonts w:ascii="Times New Roman" w:hAnsi="Times New Roman" w:cs="Times New Roman"/>
          <w:sz w:val="24"/>
          <w:szCs w:val="24"/>
        </w:rPr>
      </w:pPr>
      <w:r w:rsidRPr="00E522FE">
        <w:rPr>
          <w:rFonts w:ascii="Times New Roman" w:hAnsi="Times New Roman" w:cs="Times New Roman"/>
          <w:sz w:val="24"/>
          <w:szCs w:val="24"/>
        </w:rPr>
        <w:t xml:space="preserve">Kumar, R., &amp; Pathak, D. C. (2022). Financial awareness: A bridge to financial inclusion. </w:t>
      </w:r>
      <w:r w:rsidRPr="00E522FE">
        <w:rPr>
          <w:rFonts w:ascii="Times New Roman" w:hAnsi="Times New Roman" w:cs="Times New Roman"/>
          <w:i/>
          <w:iCs/>
          <w:sz w:val="24"/>
          <w:szCs w:val="24"/>
        </w:rPr>
        <w:t>Development in Practice</w:t>
      </w:r>
      <w:r w:rsidRPr="00E522FE">
        <w:rPr>
          <w:rFonts w:ascii="Times New Roman" w:hAnsi="Times New Roman" w:cs="Times New Roman"/>
          <w:sz w:val="24"/>
          <w:szCs w:val="24"/>
        </w:rPr>
        <w:t>, 2022, 1–13.</w:t>
      </w:r>
    </w:p>
    <w:p w14:paraId="073DBC18" w14:textId="77777777" w:rsidR="00DC4724" w:rsidRPr="00E522FE" w:rsidRDefault="00DC4724" w:rsidP="00C736C1">
      <w:pPr>
        <w:pStyle w:val="ListParagraph"/>
        <w:numPr>
          <w:ilvl w:val="0"/>
          <w:numId w:val="1"/>
        </w:numPr>
        <w:spacing w:line="276" w:lineRule="auto"/>
        <w:jc w:val="both"/>
        <w:rPr>
          <w:rFonts w:ascii="Times New Roman" w:hAnsi="Times New Roman" w:cs="Times New Roman"/>
          <w:sz w:val="24"/>
          <w:szCs w:val="24"/>
        </w:rPr>
      </w:pPr>
      <w:r w:rsidRPr="00E522FE">
        <w:rPr>
          <w:rFonts w:ascii="Times New Roman" w:hAnsi="Times New Roman" w:cs="Times New Roman"/>
          <w:sz w:val="24"/>
          <w:szCs w:val="24"/>
        </w:rPr>
        <w:lastRenderedPageBreak/>
        <w:t xml:space="preserve">Lee, J., Morduch, J., Ravindran, S., &amp; </w:t>
      </w:r>
      <w:proofErr w:type="spellStart"/>
      <w:r w:rsidRPr="00E522FE">
        <w:rPr>
          <w:rFonts w:ascii="Times New Roman" w:hAnsi="Times New Roman" w:cs="Times New Roman"/>
          <w:sz w:val="24"/>
          <w:szCs w:val="24"/>
        </w:rPr>
        <w:t>Shonchoy</w:t>
      </w:r>
      <w:proofErr w:type="spellEnd"/>
      <w:r w:rsidRPr="00E522FE">
        <w:rPr>
          <w:rFonts w:ascii="Times New Roman" w:hAnsi="Times New Roman" w:cs="Times New Roman"/>
          <w:sz w:val="24"/>
          <w:szCs w:val="24"/>
        </w:rPr>
        <w:t xml:space="preserve">, A. (2021). Narrowing the gender gap in mobile banking. </w:t>
      </w:r>
      <w:r w:rsidRPr="00E522FE">
        <w:rPr>
          <w:rFonts w:ascii="Times New Roman" w:hAnsi="Times New Roman" w:cs="Times New Roman"/>
          <w:i/>
          <w:iCs/>
          <w:sz w:val="24"/>
          <w:szCs w:val="24"/>
        </w:rPr>
        <w:t>Working Paper No. 2108</w:t>
      </w:r>
      <w:r w:rsidRPr="00E522FE">
        <w:rPr>
          <w:rFonts w:ascii="Times New Roman" w:hAnsi="Times New Roman" w:cs="Times New Roman"/>
          <w:sz w:val="24"/>
          <w:szCs w:val="24"/>
        </w:rPr>
        <w:t xml:space="preserve">, Florida International University, Department of Economics. </w:t>
      </w:r>
      <w:hyperlink r:id="rId18" w:tgtFrame="_new" w:history="1">
        <w:r w:rsidRPr="00E522FE">
          <w:rPr>
            <w:rStyle w:val="Hyperlink"/>
            <w:rFonts w:ascii="Times New Roman" w:hAnsi="Times New Roman" w:cs="Times New Roman"/>
            <w:sz w:val="24"/>
            <w:szCs w:val="24"/>
          </w:rPr>
          <w:t>https://economics.fiu.edu/research/working-papers/2021/2108/2108.pdf</w:t>
        </w:r>
      </w:hyperlink>
    </w:p>
    <w:p w14:paraId="66659EDC" w14:textId="77777777" w:rsidR="00DC4724" w:rsidRPr="00E522FE" w:rsidRDefault="00DC4724" w:rsidP="00C736C1">
      <w:pPr>
        <w:pStyle w:val="ListParagraph"/>
        <w:numPr>
          <w:ilvl w:val="0"/>
          <w:numId w:val="1"/>
        </w:numPr>
        <w:spacing w:line="276" w:lineRule="auto"/>
        <w:jc w:val="both"/>
        <w:rPr>
          <w:rFonts w:ascii="Times New Roman" w:hAnsi="Times New Roman" w:cs="Times New Roman"/>
          <w:sz w:val="24"/>
          <w:szCs w:val="24"/>
        </w:rPr>
      </w:pPr>
      <w:r w:rsidRPr="00E522FE">
        <w:rPr>
          <w:rFonts w:ascii="Times New Roman" w:hAnsi="Times New Roman" w:cs="Times New Roman"/>
          <w:sz w:val="24"/>
          <w:szCs w:val="24"/>
        </w:rPr>
        <w:t xml:space="preserve">Li, J., &amp; Zhang, Z. (2019). The role of fintech in promoting financial inclusion: Evidence from rural China. </w:t>
      </w:r>
      <w:r w:rsidRPr="00E522FE">
        <w:rPr>
          <w:rFonts w:ascii="Times New Roman" w:hAnsi="Times New Roman" w:cs="Times New Roman"/>
          <w:i/>
          <w:iCs/>
          <w:sz w:val="24"/>
          <w:szCs w:val="24"/>
        </w:rPr>
        <w:t>Journal of Finance and Economics, 7</w:t>
      </w:r>
      <w:r w:rsidRPr="00E522FE">
        <w:rPr>
          <w:rFonts w:ascii="Times New Roman" w:hAnsi="Times New Roman" w:cs="Times New Roman"/>
          <w:sz w:val="24"/>
          <w:szCs w:val="24"/>
        </w:rPr>
        <w:t xml:space="preserve">(5), 213–227. </w:t>
      </w:r>
      <w:hyperlink r:id="rId19" w:tgtFrame="_new" w:history="1">
        <w:r w:rsidRPr="00E522FE">
          <w:rPr>
            <w:rStyle w:val="Hyperlink"/>
            <w:rFonts w:ascii="Times New Roman" w:hAnsi="Times New Roman" w:cs="Times New Roman"/>
            <w:sz w:val="24"/>
            <w:szCs w:val="24"/>
          </w:rPr>
          <w:t>https://doi.org/10.1016/j.jfe.2019.03.011</w:t>
        </w:r>
      </w:hyperlink>
    </w:p>
    <w:p w14:paraId="638C5C53" w14:textId="77777777" w:rsidR="00DC4724" w:rsidRPr="00E522FE" w:rsidRDefault="00DC4724" w:rsidP="00C736C1">
      <w:pPr>
        <w:pStyle w:val="ListParagraph"/>
        <w:numPr>
          <w:ilvl w:val="0"/>
          <w:numId w:val="1"/>
        </w:numPr>
        <w:spacing w:line="276" w:lineRule="auto"/>
        <w:jc w:val="both"/>
        <w:rPr>
          <w:rFonts w:ascii="Times New Roman" w:hAnsi="Times New Roman" w:cs="Times New Roman"/>
          <w:sz w:val="24"/>
          <w:szCs w:val="24"/>
        </w:rPr>
      </w:pPr>
      <w:r w:rsidRPr="00E522FE">
        <w:rPr>
          <w:rFonts w:ascii="Times New Roman" w:hAnsi="Times New Roman" w:cs="Times New Roman"/>
          <w:sz w:val="24"/>
          <w:szCs w:val="24"/>
        </w:rPr>
        <w:t xml:space="preserve">Martin, J., &amp; Shaw, K. (2021). Digital banking and financial inclusion in rural Africa: A case study approach. </w:t>
      </w:r>
      <w:r w:rsidRPr="00E522FE">
        <w:rPr>
          <w:rFonts w:ascii="Times New Roman" w:hAnsi="Times New Roman" w:cs="Times New Roman"/>
          <w:i/>
          <w:iCs/>
          <w:sz w:val="24"/>
          <w:szCs w:val="24"/>
        </w:rPr>
        <w:t>Journal of African Business, 22</w:t>
      </w:r>
      <w:r w:rsidRPr="00E522FE">
        <w:rPr>
          <w:rFonts w:ascii="Times New Roman" w:hAnsi="Times New Roman" w:cs="Times New Roman"/>
          <w:sz w:val="24"/>
          <w:szCs w:val="24"/>
        </w:rPr>
        <w:t xml:space="preserve">(3), 295–310. </w:t>
      </w:r>
      <w:hyperlink r:id="rId20" w:tgtFrame="_new" w:history="1">
        <w:r w:rsidRPr="00E522FE">
          <w:rPr>
            <w:rStyle w:val="Hyperlink"/>
            <w:rFonts w:ascii="Times New Roman" w:hAnsi="Times New Roman" w:cs="Times New Roman"/>
            <w:sz w:val="24"/>
            <w:szCs w:val="24"/>
          </w:rPr>
          <w:t>https://doi.org/10.1080/15228916.2021.1953439</w:t>
        </w:r>
      </w:hyperlink>
    </w:p>
    <w:p w14:paraId="1ABEC667" w14:textId="77777777" w:rsidR="00DC4724" w:rsidRPr="00E522FE" w:rsidRDefault="00DC4724" w:rsidP="00C736C1">
      <w:pPr>
        <w:pStyle w:val="ListParagraph"/>
        <w:numPr>
          <w:ilvl w:val="0"/>
          <w:numId w:val="1"/>
        </w:numPr>
        <w:spacing w:line="276" w:lineRule="auto"/>
        <w:jc w:val="both"/>
        <w:rPr>
          <w:rFonts w:ascii="Times New Roman" w:hAnsi="Times New Roman" w:cs="Times New Roman"/>
          <w:sz w:val="24"/>
          <w:szCs w:val="24"/>
        </w:rPr>
      </w:pPr>
      <w:r w:rsidRPr="00E522FE">
        <w:rPr>
          <w:rFonts w:ascii="Times New Roman" w:hAnsi="Times New Roman" w:cs="Times New Roman"/>
          <w:sz w:val="24"/>
          <w:szCs w:val="24"/>
        </w:rPr>
        <w:t xml:space="preserve">Mittal, A., &amp; Pandey, D. (2022). Digital banking: Empowering rural communities for financial independence. </w:t>
      </w:r>
      <w:r w:rsidRPr="00E522FE">
        <w:rPr>
          <w:rFonts w:ascii="Times New Roman" w:hAnsi="Times New Roman" w:cs="Times New Roman"/>
          <w:i/>
          <w:iCs/>
          <w:sz w:val="24"/>
          <w:szCs w:val="24"/>
        </w:rPr>
        <w:t>Asia-Pacific Journal of Rural Development, 43</w:t>
      </w:r>
      <w:r w:rsidRPr="00E522FE">
        <w:rPr>
          <w:rFonts w:ascii="Times New Roman" w:hAnsi="Times New Roman" w:cs="Times New Roman"/>
          <w:sz w:val="24"/>
          <w:szCs w:val="24"/>
        </w:rPr>
        <w:t xml:space="preserve">(4), 57–70. </w:t>
      </w:r>
      <w:hyperlink r:id="rId21" w:tgtFrame="_new" w:history="1">
        <w:r w:rsidRPr="00E522FE">
          <w:rPr>
            <w:rStyle w:val="Hyperlink"/>
            <w:rFonts w:ascii="Times New Roman" w:hAnsi="Times New Roman" w:cs="Times New Roman"/>
            <w:sz w:val="24"/>
            <w:szCs w:val="24"/>
          </w:rPr>
          <w:t>https://doi.org/10.1016/j.apjr.2022.03.006</w:t>
        </w:r>
      </w:hyperlink>
    </w:p>
    <w:p w14:paraId="23CE26A0" w14:textId="77777777" w:rsidR="00DC4724" w:rsidRPr="00E522FE" w:rsidRDefault="00DC4724" w:rsidP="00C736C1">
      <w:pPr>
        <w:pStyle w:val="ListParagraph"/>
        <w:numPr>
          <w:ilvl w:val="0"/>
          <w:numId w:val="1"/>
        </w:numPr>
        <w:spacing w:line="276" w:lineRule="auto"/>
        <w:jc w:val="both"/>
        <w:rPr>
          <w:rFonts w:ascii="Times New Roman" w:hAnsi="Times New Roman" w:cs="Times New Roman"/>
          <w:sz w:val="24"/>
          <w:szCs w:val="24"/>
        </w:rPr>
      </w:pPr>
      <w:r w:rsidRPr="00E522FE">
        <w:rPr>
          <w:rFonts w:ascii="Times New Roman" w:hAnsi="Times New Roman" w:cs="Times New Roman"/>
          <w:sz w:val="24"/>
          <w:szCs w:val="24"/>
        </w:rPr>
        <w:t xml:space="preserve">Nair, R., &amp; Gopalakrishnan, V. (2020). Financial inclusion through digital banking: A rural perspective. </w:t>
      </w:r>
      <w:r w:rsidRPr="00E522FE">
        <w:rPr>
          <w:rFonts w:ascii="Times New Roman" w:hAnsi="Times New Roman" w:cs="Times New Roman"/>
          <w:i/>
          <w:iCs/>
          <w:sz w:val="24"/>
          <w:szCs w:val="24"/>
        </w:rPr>
        <w:t>Financial Inclusion and Development Review, 28</w:t>
      </w:r>
      <w:r w:rsidRPr="00E522FE">
        <w:rPr>
          <w:rFonts w:ascii="Times New Roman" w:hAnsi="Times New Roman" w:cs="Times New Roman"/>
          <w:sz w:val="24"/>
          <w:szCs w:val="24"/>
        </w:rPr>
        <w:t xml:space="preserve">(2), 112–125. </w:t>
      </w:r>
      <w:hyperlink r:id="rId22" w:tgtFrame="_new" w:history="1">
        <w:r w:rsidRPr="00E522FE">
          <w:rPr>
            <w:rStyle w:val="Hyperlink"/>
            <w:rFonts w:ascii="Times New Roman" w:hAnsi="Times New Roman" w:cs="Times New Roman"/>
            <w:sz w:val="24"/>
            <w:szCs w:val="24"/>
          </w:rPr>
          <w:t>https://doi.org/10.1080/23811972.2020.1825541</w:t>
        </w:r>
      </w:hyperlink>
    </w:p>
    <w:p w14:paraId="36AC8D5C" w14:textId="77777777" w:rsidR="00DC4724" w:rsidRPr="00E522FE" w:rsidRDefault="00DC4724" w:rsidP="00C736C1">
      <w:pPr>
        <w:pStyle w:val="ListParagraph"/>
        <w:numPr>
          <w:ilvl w:val="0"/>
          <w:numId w:val="1"/>
        </w:numPr>
        <w:spacing w:line="276" w:lineRule="auto"/>
        <w:jc w:val="both"/>
        <w:rPr>
          <w:rFonts w:ascii="Times New Roman" w:hAnsi="Times New Roman" w:cs="Times New Roman"/>
          <w:sz w:val="24"/>
          <w:szCs w:val="24"/>
        </w:rPr>
      </w:pPr>
      <w:r w:rsidRPr="00E522FE">
        <w:rPr>
          <w:rFonts w:ascii="Times New Roman" w:hAnsi="Times New Roman" w:cs="Times New Roman"/>
          <w:sz w:val="24"/>
          <w:szCs w:val="24"/>
        </w:rPr>
        <w:t xml:space="preserve">Pinto, A. R., &amp; Arora, A. (2021). Digital doorstep banking: Female banking agents lead digital financial inclusion through the pandemic and beyond. </w:t>
      </w:r>
      <w:r w:rsidRPr="00E522FE">
        <w:rPr>
          <w:rFonts w:ascii="Times New Roman" w:hAnsi="Times New Roman" w:cs="Times New Roman"/>
          <w:i/>
          <w:iCs/>
          <w:sz w:val="24"/>
          <w:szCs w:val="24"/>
        </w:rPr>
        <w:t>ADBI Working Paper Series No. 1285</w:t>
      </w:r>
      <w:r w:rsidRPr="00E522FE">
        <w:rPr>
          <w:rFonts w:ascii="Times New Roman" w:hAnsi="Times New Roman" w:cs="Times New Roman"/>
          <w:sz w:val="24"/>
          <w:szCs w:val="24"/>
        </w:rPr>
        <w:t xml:space="preserve">. </w:t>
      </w:r>
      <w:hyperlink r:id="rId23" w:tgtFrame="_new" w:history="1">
        <w:r w:rsidRPr="00E522FE">
          <w:rPr>
            <w:rStyle w:val="Hyperlink"/>
            <w:rFonts w:ascii="Times New Roman" w:hAnsi="Times New Roman" w:cs="Times New Roman"/>
            <w:sz w:val="24"/>
            <w:szCs w:val="24"/>
          </w:rPr>
          <w:t>https://www.adb.org/publications/digital-doorstep-banking-female-banking-agents-lead-digital-financial-inclusion-through-the-pandemic-and-beyond</w:t>
        </w:r>
      </w:hyperlink>
    </w:p>
    <w:p w14:paraId="14B7D5F8" w14:textId="77777777" w:rsidR="00DC4724" w:rsidRPr="00E522FE" w:rsidRDefault="00DC4724" w:rsidP="00C736C1">
      <w:pPr>
        <w:pStyle w:val="ListParagraph"/>
        <w:numPr>
          <w:ilvl w:val="0"/>
          <w:numId w:val="1"/>
        </w:numPr>
        <w:spacing w:line="276" w:lineRule="auto"/>
        <w:jc w:val="both"/>
        <w:rPr>
          <w:rFonts w:ascii="Times New Roman" w:hAnsi="Times New Roman" w:cs="Times New Roman"/>
          <w:sz w:val="24"/>
          <w:szCs w:val="24"/>
        </w:rPr>
      </w:pPr>
      <w:r w:rsidRPr="00E522FE">
        <w:rPr>
          <w:rFonts w:ascii="Times New Roman" w:hAnsi="Times New Roman" w:cs="Times New Roman"/>
          <w:sz w:val="24"/>
          <w:szCs w:val="24"/>
        </w:rPr>
        <w:t xml:space="preserve">Shankar, R., &amp; Gupta, M. (2021). Mobile financial services for rural economies: Challenges in digital banking adoption. </w:t>
      </w:r>
      <w:r w:rsidRPr="00E522FE">
        <w:rPr>
          <w:rFonts w:ascii="Times New Roman" w:hAnsi="Times New Roman" w:cs="Times New Roman"/>
          <w:i/>
          <w:iCs/>
          <w:sz w:val="24"/>
          <w:szCs w:val="24"/>
        </w:rPr>
        <w:t>Rural Economy and Finance Journal, 34</w:t>
      </w:r>
      <w:r w:rsidRPr="00E522FE">
        <w:rPr>
          <w:rFonts w:ascii="Times New Roman" w:hAnsi="Times New Roman" w:cs="Times New Roman"/>
          <w:sz w:val="24"/>
          <w:szCs w:val="24"/>
        </w:rPr>
        <w:t xml:space="preserve">(2), 189–204. </w:t>
      </w:r>
      <w:hyperlink r:id="rId24" w:tgtFrame="_new" w:history="1">
        <w:r w:rsidRPr="00E522FE">
          <w:rPr>
            <w:rStyle w:val="Hyperlink"/>
            <w:rFonts w:ascii="Times New Roman" w:hAnsi="Times New Roman" w:cs="Times New Roman"/>
            <w:sz w:val="24"/>
            <w:szCs w:val="24"/>
          </w:rPr>
          <w:t>https://doi.org/10.1145/3059654</w:t>
        </w:r>
      </w:hyperlink>
    </w:p>
    <w:p w14:paraId="6B9852DF" w14:textId="77777777" w:rsidR="00DC4724" w:rsidRPr="00E522FE" w:rsidRDefault="00DC4724" w:rsidP="00C736C1">
      <w:pPr>
        <w:pStyle w:val="ListParagraph"/>
        <w:numPr>
          <w:ilvl w:val="0"/>
          <w:numId w:val="1"/>
        </w:numPr>
        <w:spacing w:line="276" w:lineRule="auto"/>
        <w:jc w:val="both"/>
        <w:rPr>
          <w:rFonts w:ascii="Times New Roman" w:hAnsi="Times New Roman" w:cs="Times New Roman"/>
          <w:sz w:val="24"/>
          <w:szCs w:val="24"/>
        </w:rPr>
      </w:pPr>
      <w:r w:rsidRPr="00E522FE">
        <w:rPr>
          <w:rFonts w:ascii="Times New Roman" w:hAnsi="Times New Roman" w:cs="Times New Roman"/>
          <w:sz w:val="24"/>
          <w:szCs w:val="24"/>
        </w:rPr>
        <w:t xml:space="preserve">Sharma, N., &amp; Bansal, P. (2021). Unlocking financial inclusion through digital banking in rural India. </w:t>
      </w:r>
      <w:r w:rsidRPr="00E522FE">
        <w:rPr>
          <w:rFonts w:ascii="Times New Roman" w:hAnsi="Times New Roman" w:cs="Times New Roman"/>
          <w:i/>
          <w:iCs/>
          <w:sz w:val="24"/>
          <w:szCs w:val="24"/>
        </w:rPr>
        <w:t>Indian Journal of Finance and Economics, 28</w:t>
      </w:r>
      <w:r w:rsidRPr="00E522FE">
        <w:rPr>
          <w:rFonts w:ascii="Times New Roman" w:hAnsi="Times New Roman" w:cs="Times New Roman"/>
          <w:sz w:val="24"/>
          <w:szCs w:val="24"/>
        </w:rPr>
        <w:t xml:space="preserve">(6), 215–228. </w:t>
      </w:r>
      <w:hyperlink r:id="rId25" w:tgtFrame="_new" w:history="1">
        <w:r w:rsidRPr="00E522FE">
          <w:rPr>
            <w:rStyle w:val="Hyperlink"/>
            <w:rFonts w:ascii="Times New Roman" w:hAnsi="Times New Roman" w:cs="Times New Roman"/>
            <w:sz w:val="24"/>
            <w:szCs w:val="24"/>
          </w:rPr>
          <w:t>https://doi.org/10.1016/j.ijfie.2021.05.002</w:t>
        </w:r>
      </w:hyperlink>
    </w:p>
    <w:p w14:paraId="4DB035AA" w14:textId="77777777" w:rsidR="00DC4724" w:rsidRPr="00E522FE" w:rsidRDefault="00DC4724" w:rsidP="00C736C1">
      <w:pPr>
        <w:pStyle w:val="ListParagraph"/>
        <w:numPr>
          <w:ilvl w:val="0"/>
          <w:numId w:val="1"/>
        </w:numPr>
        <w:spacing w:line="276" w:lineRule="auto"/>
        <w:jc w:val="both"/>
        <w:rPr>
          <w:rFonts w:ascii="Times New Roman" w:hAnsi="Times New Roman" w:cs="Times New Roman"/>
          <w:sz w:val="24"/>
          <w:szCs w:val="24"/>
        </w:rPr>
      </w:pPr>
      <w:r w:rsidRPr="00E522FE">
        <w:rPr>
          <w:rFonts w:ascii="Times New Roman" w:hAnsi="Times New Roman" w:cs="Times New Roman"/>
          <w:sz w:val="24"/>
          <w:szCs w:val="24"/>
        </w:rPr>
        <w:t xml:space="preserve">Soni, A., &amp; Sharma, S. (2020). Financial literacy and digital banking in rural economies. </w:t>
      </w:r>
      <w:r w:rsidRPr="00E522FE">
        <w:rPr>
          <w:rFonts w:ascii="Times New Roman" w:hAnsi="Times New Roman" w:cs="Times New Roman"/>
          <w:i/>
          <w:iCs/>
          <w:sz w:val="24"/>
          <w:szCs w:val="24"/>
        </w:rPr>
        <w:t>Journal of Financial Inclusion and Literacy, 5</w:t>
      </w:r>
      <w:r w:rsidRPr="00E522FE">
        <w:rPr>
          <w:rFonts w:ascii="Times New Roman" w:hAnsi="Times New Roman" w:cs="Times New Roman"/>
          <w:sz w:val="24"/>
          <w:szCs w:val="24"/>
        </w:rPr>
        <w:t xml:space="preserve">(1), 75–89. </w:t>
      </w:r>
      <w:hyperlink r:id="rId26" w:tgtFrame="_new" w:history="1">
        <w:r w:rsidRPr="00E522FE">
          <w:rPr>
            <w:rStyle w:val="Hyperlink"/>
            <w:rFonts w:ascii="Times New Roman" w:hAnsi="Times New Roman" w:cs="Times New Roman"/>
            <w:sz w:val="24"/>
            <w:szCs w:val="24"/>
          </w:rPr>
          <w:t>https://doi.org/10.21477/fil.2019.1057</w:t>
        </w:r>
      </w:hyperlink>
    </w:p>
    <w:p w14:paraId="7C078FF3" w14:textId="77777777" w:rsidR="00DC4724" w:rsidRPr="00E522FE" w:rsidRDefault="00DC4724" w:rsidP="00C736C1">
      <w:pPr>
        <w:pStyle w:val="ListParagraph"/>
        <w:numPr>
          <w:ilvl w:val="0"/>
          <w:numId w:val="1"/>
        </w:numPr>
        <w:spacing w:line="276" w:lineRule="auto"/>
        <w:jc w:val="both"/>
        <w:rPr>
          <w:rFonts w:ascii="Times New Roman" w:hAnsi="Times New Roman" w:cs="Times New Roman"/>
          <w:sz w:val="24"/>
          <w:szCs w:val="24"/>
        </w:rPr>
      </w:pPr>
      <w:r w:rsidRPr="00E522FE">
        <w:rPr>
          <w:rFonts w:ascii="Times New Roman" w:hAnsi="Times New Roman" w:cs="Times New Roman"/>
          <w:sz w:val="24"/>
          <w:szCs w:val="24"/>
        </w:rPr>
        <w:t xml:space="preserve">Swain, S., &amp; Kumar, R. (2022). Role of technology in driving financial inclusion in rural sectors: Evidence from India. </w:t>
      </w:r>
      <w:r w:rsidRPr="00E522FE">
        <w:rPr>
          <w:rFonts w:ascii="Times New Roman" w:hAnsi="Times New Roman" w:cs="Times New Roman"/>
          <w:i/>
          <w:iCs/>
          <w:sz w:val="24"/>
          <w:szCs w:val="24"/>
        </w:rPr>
        <w:t>Technology in Rural Development, 14</w:t>
      </w:r>
      <w:r w:rsidRPr="00E522FE">
        <w:rPr>
          <w:rFonts w:ascii="Times New Roman" w:hAnsi="Times New Roman" w:cs="Times New Roman"/>
          <w:sz w:val="24"/>
          <w:szCs w:val="24"/>
        </w:rPr>
        <w:t xml:space="preserve">(3), 199–211. </w:t>
      </w:r>
      <w:hyperlink r:id="rId27" w:tgtFrame="_new" w:history="1">
        <w:r w:rsidRPr="00E522FE">
          <w:rPr>
            <w:rStyle w:val="Hyperlink"/>
            <w:rFonts w:ascii="Times New Roman" w:hAnsi="Times New Roman" w:cs="Times New Roman"/>
            <w:sz w:val="24"/>
            <w:szCs w:val="24"/>
          </w:rPr>
          <w:t>https://doi.org/10.1016/j.trd.2022.05.003</w:t>
        </w:r>
      </w:hyperlink>
    </w:p>
    <w:p w14:paraId="492A4B46" w14:textId="77777777" w:rsidR="00DC4724" w:rsidRPr="00E522FE" w:rsidRDefault="00DC4724" w:rsidP="00C736C1">
      <w:pPr>
        <w:pStyle w:val="ListParagraph"/>
        <w:numPr>
          <w:ilvl w:val="0"/>
          <w:numId w:val="1"/>
        </w:numPr>
        <w:spacing w:line="276" w:lineRule="auto"/>
        <w:jc w:val="both"/>
        <w:rPr>
          <w:rFonts w:ascii="Times New Roman" w:hAnsi="Times New Roman" w:cs="Times New Roman"/>
          <w:sz w:val="24"/>
          <w:szCs w:val="24"/>
        </w:rPr>
      </w:pPr>
      <w:r w:rsidRPr="00E522FE">
        <w:rPr>
          <w:rFonts w:ascii="Times New Roman" w:hAnsi="Times New Roman" w:cs="Times New Roman"/>
          <w:sz w:val="24"/>
          <w:szCs w:val="24"/>
        </w:rPr>
        <w:t xml:space="preserve">Vishwakarma, A., &amp; Ghosh, P. (2020). The role of government policies in fostering digital financial inclusion in rural India. </w:t>
      </w:r>
      <w:r w:rsidRPr="00E522FE">
        <w:rPr>
          <w:rFonts w:ascii="Times New Roman" w:hAnsi="Times New Roman" w:cs="Times New Roman"/>
          <w:i/>
          <w:iCs/>
          <w:sz w:val="24"/>
          <w:szCs w:val="24"/>
        </w:rPr>
        <w:t>Public Policy and Administration Journal, 15</w:t>
      </w:r>
      <w:r w:rsidRPr="00E522FE">
        <w:rPr>
          <w:rFonts w:ascii="Times New Roman" w:hAnsi="Times New Roman" w:cs="Times New Roman"/>
          <w:sz w:val="24"/>
          <w:szCs w:val="24"/>
        </w:rPr>
        <w:t xml:space="preserve">(1), 63–76. </w:t>
      </w:r>
      <w:hyperlink r:id="rId28" w:tgtFrame="_new" w:history="1">
        <w:r w:rsidRPr="00E522FE">
          <w:rPr>
            <w:rStyle w:val="Hyperlink"/>
            <w:rFonts w:ascii="Times New Roman" w:hAnsi="Times New Roman" w:cs="Times New Roman"/>
            <w:sz w:val="24"/>
            <w:szCs w:val="24"/>
          </w:rPr>
          <w:t>https://doi.org/10.1177/0975542920905426</w:t>
        </w:r>
      </w:hyperlink>
    </w:p>
    <w:p w14:paraId="769688C7" w14:textId="77777777" w:rsidR="00DC4724" w:rsidRPr="00E522FE" w:rsidRDefault="00DC4724" w:rsidP="00C736C1">
      <w:pPr>
        <w:pStyle w:val="ListParagraph"/>
        <w:numPr>
          <w:ilvl w:val="0"/>
          <w:numId w:val="1"/>
        </w:numPr>
        <w:spacing w:line="276" w:lineRule="auto"/>
        <w:jc w:val="both"/>
        <w:rPr>
          <w:rFonts w:ascii="Times New Roman" w:hAnsi="Times New Roman" w:cs="Times New Roman"/>
          <w:b/>
          <w:bCs/>
          <w:sz w:val="24"/>
          <w:szCs w:val="24"/>
        </w:rPr>
      </w:pPr>
      <w:r w:rsidRPr="00E522FE">
        <w:rPr>
          <w:rFonts w:ascii="Times New Roman" w:hAnsi="Times New Roman" w:cs="Times New Roman"/>
          <w:sz w:val="24"/>
          <w:szCs w:val="24"/>
        </w:rPr>
        <w:t xml:space="preserve">Yadav, A., &amp; Verma, S. (2021). The impact of digital banking services on rural development. </w:t>
      </w:r>
      <w:r w:rsidRPr="00E522FE">
        <w:rPr>
          <w:rFonts w:ascii="Times New Roman" w:hAnsi="Times New Roman" w:cs="Times New Roman"/>
          <w:i/>
          <w:iCs/>
          <w:sz w:val="24"/>
          <w:szCs w:val="24"/>
        </w:rPr>
        <w:t>Asian Journal of Rural Finance, 9</w:t>
      </w:r>
      <w:r w:rsidRPr="00E522FE">
        <w:rPr>
          <w:rFonts w:ascii="Times New Roman" w:hAnsi="Times New Roman" w:cs="Times New Roman"/>
          <w:sz w:val="24"/>
          <w:szCs w:val="24"/>
        </w:rPr>
        <w:t xml:space="preserve">(4), 102–118. </w:t>
      </w:r>
      <w:hyperlink r:id="rId29" w:tgtFrame="_new" w:history="1">
        <w:r w:rsidRPr="00E522FE">
          <w:rPr>
            <w:rStyle w:val="Hyperlink"/>
            <w:rFonts w:ascii="Times New Roman" w:hAnsi="Times New Roman" w:cs="Times New Roman"/>
            <w:sz w:val="24"/>
            <w:szCs w:val="24"/>
          </w:rPr>
          <w:t>https://doi.org/10.21467/ajrf.2021.0155</w:t>
        </w:r>
      </w:hyperlink>
    </w:p>
    <w:p w14:paraId="7204C2D4" w14:textId="77777777" w:rsidR="00DC4724" w:rsidRPr="00E522FE" w:rsidRDefault="00DC4724" w:rsidP="00C736C1">
      <w:pPr>
        <w:spacing w:line="276" w:lineRule="auto"/>
        <w:jc w:val="both"/>
        <w:rPr>
          <w:rFonts w:ascii="Times New Roman" w:hAnsi="Times New Roman" w:cs="Times New Roman"/>
          <w:b/>
          <w:bCs/>
          <w:sz w:val="24"/>
          <w:szCs w:val="24"/>
        </w:rPr>
      </w:pPr>
    </w:p>
    <w:sectPr w:rsidR="00DC4724" w:rsidRPr="00E522F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A991"/>
    <w:multiLevelType w:val="multilevel"/>
    <w:tmpl w:val="24A41414"/>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1">
    <w:nsid w:val="019E42E3"/>
    <w:multiLevelType w:val="multilevel"/>
    <w:tmpl w:val="6E682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A18672B"/>
    <w:multiLevelType w:val="multilevel"/>
    <w:tmpl w:val="6FC202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1035FB3"/>
    <w:multiLevelType w:val="hybridMultilevel"/>
    <w:tmpl w:val="20DAA856"/>
    <w:lvl w:ilvl="0" w:tplc="4009000F">
      <w:start w:val="1"/>
      <w:numFmt w:val="decimal"/>
      <w:lvlText w:val="%1."/>
      <w:lvlJc w:val="left"/>
      <w:pPr>
        <w:ind w:left="644" w:hanging="360"/>
      </w:p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684E"/>
    <w:rsid w:val="0003611D"/>
    <w:rsid w:val="00077288"/>
    <w:rsid w:val="00084B66"/>
    <w:rsid w:val="000B148F"/>
    <w:rsid w:val="00110B3C"/>
    <w:rsid w:val="00191ABC"/>
    <w:rsid w:val="0029684E"/>
    <w:rsid w:val="0048219E"/>
    <w:rsid w:val="004A21E4"/>
    <w:rsid w:val="004C76C4"/>
    <w:rsid w:val="00554E1F"/>
    <w:rsid w:val="006121CB"/>
    <w:rsid w:val="00666AC8"/>
    <w:rsid w:val="00673D99"/>
    <w:rsid w:val="007E2F1C"/>
    <w:rsid w:val="00A019A8"/>
    <w:rsid w:val="00A42386"/>
    <w:rsid w:val="00AA2FE1"/>
    <w:rsid w:val="00BB42FF"/>
    <w:rsid w:val="00C736C1"/>
    <w:rsid w:val="00DC4724"/>
    <w:rsid w:val="00E3000D"/>
    <w:rsid w:val="00E522FE"/>
    <w:rsid w:val="00EF0842"/>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00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9684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9684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9684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9684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9684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968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68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68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68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684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9684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9684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9684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9684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968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68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68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684E"/>
    <w:rPr>
      <w:rFonts w:eastAsiaTheme="majorEastAsia" w:cstheme="majorBidi"/>
      <w:color w:val="272727" w:themeColor="text1" w:themeTint="D8"/>
    </w:rPr>
  </w:style>
  <w:style w:type="paragraph" w:styleId="Title">
    <w:name w:val="Title"/>
    <w:basedOn w:val="Normal"/>
    <w:next w:val="Normal"/>
    <w:link w:val="TitleChar"/>
    <w:uiPriority w:val="10"/>
    <w:qFormat/>
    <w:rsid w:val="002968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68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68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68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684E"/>
    <w:pPr>
      <w:spacing w:before="160"/>
      <w:jc w:val="center"/>
    </w:pPr>
    <w:rPr>
      <w:i/>
      <w:iCs/>
      <w:color w:val="404040" w:themeColor="text1" w:themeTint="BF"/>
    </w:rPr>
  </w:style>
  <w:style w:type="character" w:customStyle="1" w:styleId="QuoteChar">
    <w:name w:val="Quote Char"/>
    <w:basedOn w:val="DefaultParagraphFont"/>
    <w:link w:val="Quote"/>
    <w:uiPriority w:val="29"/>
    <w:rsid w:val="0029684E"/>
    <w:rPr>
      <w:i/>
      <w:iCs/>
      <w:color w:val="404040" w:themeColor="text1" w:themeTint="BF"/>
    </w:rPr>
  </w:style>
  <w:style w:type="paragraph" w:styleId="ListParagraph">
    <w:name w:val="List Paragraph"/>
    <w:basedOn w:val="Normal"/>
    <w:uiPriority w:val="34"/>
    <w:qFormat/>
    <w:rsid w:val="0029684E"/>
    <w:pPr>
      <w:ind w:left="720"/>
      <w:contextualSpacing/>
    </w:pPr>
  </w:style>
  <w:style w:type="character" w:styleId="IntenseEmphasis">
    <w:name w:val="Intense Emphasis"/>
    <w:basedOn w:val="DefaultParagraphFont"/>
    <w:uiPriority w:val="21"/>
    <w:qFormat/>
    <w:rsid w:val="0029684E"/>
    <w:rPr>
      <w:i/>
      <w:iCs/>
      <w:color w:val="2F5496" w:themeColor="accent1" w:themeShade="BF"/>
    </w:rPr>
  </w:style>
  <w:style w:type="paragraph" w:styleId="IntenseQuote">
    <w:name w:val="Intense Quote"/>
    <w:basedOn w:val="Normal"/>
    <w:next w:val="Normal"/>
    <w:link w:val="IntenseQuoteChar"/>
    <w:uiPriority w:val="30"/>
    <w:qFormat/>
    <w:rsid w:val="0029684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9684E"/>
    <w:rPr>
      <w:i/>
      <w:iCs/>
      <w:color w:val="2F5496" w:themeColor="accent1" w:themeShade="BF"/>
    </w:rPr>
  </w:style>
  <w:style w:type="character" w:styleId="IntenseReference">
    <w:name w:val="Intense Reference"/>
    <w:basedOn w:val="DefaultParagraphFont"/>
    <w:uiPriority w:val="32"/>
    <w:qFormat/>
    <w:rsid w:val="0029684E"/>
    <w:rPr>
      <w:b/>
      <w:bCs/>
      <w:smallCaps/>
      <w:color w:val="2F5496" w:themeColor="accent1" w:themeShade="BF"/>
      <w:spacing w:val="5"/>
    </w:rPr>
  </w:style>
  <w:style w:type="character" w:styleId="Hyperlink">
    <w:name w:val="Hyperlink"/>
    <w:basedOn w:val="DefaultParagraphFont"/>
    <w:uiPriority w:val="99"/>
    <w:unhideWhenUsed/>
    <w:rsid w:val="00DC4724"/>
    <w:rPr>
      <w:color w:val="0563C1" w:themeColor="hyperlink"/>
      <w:u w:val="single"/>
    </w:rPr>
  </w:style>
  <w:style w:type="character" w:customStyle="1" w:styleId="UnresolvedMention">
    <w:name w:val="Unresolved Mention"/>
    <w:basedOn w:val="DefaultParagraphFont"/>
    <w:uiPriority w:val="99"/>
    <w:semiHidden/>
    <w:unhideWhenUsed/>
    <w:rsid w:val="00DC4724"/>
    <w:rPr>
      <w:color w:val="605E5C"/>
      <w:shd w:val="clear" w:color="auto" w:fill="E1DFDD"/>
    </w:rPr>
  </w:style>
  <w:style w:type="character" w:styleId="PlaceholderText">
    <w:name w:val="Placeholder Text"/>
    <w:basedOn w:val="DefaultParagraphFont"/>
    <w:uiPriority w:val="99"/>
    <w:semiHidden/>
    <w:rsid w:val="00E3000D"/>
    <w:rPr>
      <w:color w:val="666666"/>
    </w:rPr>
  </w:style>
  <w:style w:type="table" w:styleId="TableGrid">
    <w:name w:val="Table Grid"/>
    <w:basedOn w:val="TableNormal"/>
    <w:uiPriority w:val="39"/>
    <w:rsid w:val="000B14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9684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9684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9684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9684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9684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968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68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68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68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684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9684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9684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9684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9684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968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68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68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684E"/>
    <w:rPr>
      <w:rFonts w:eastAsiaTheme="majorEastAsia" w:cstheme="majorBidi"/>
      <w:color w:val="272727" w:themeColor="text1" w:themeTint="D8"/>
    </w:rPr>
  </w:style>
  <w:style w:type="paragraph" w:styleId="Title">
    <w:name w:val="Title"/>
    <w:basedOn w:val="Normal"/>
    <w:next w:val="Normal"/>
    <w:link w:val="TitleChar"/>
    <w:uiPriority w:val="10"/>
    <w:qFormat/>
    <w:rsid w:val="002968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68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68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68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684E"/>
    <w:pPr>
      <w:spacing w:before="160"/>
      <w:jc w:val="center"/>
    </w:pPr>
    <w:rPr>
      <w:i/>
      <w:iCs/>
      <w:color w:val="404040" w:themeColor="text1" w:themeTint="BF"/>
    </w:rPr>
  </w:style>
  <w:style w:type="character" w:customStyle="1" w:styleId="QuoteChar">
    <w:name w:val="Quote Char"/>
    <w:basedOn w:val="DefaultParagraphFont"/>
    <w:link w:val="Quote"/>
    <w:uiPriority w:val="29"/>
    <w:rsid w:val="0029684E"/>
    <w:rPr>
      <w:i/>
      <w:iCs/>
      <w:color w:val="404040" w:themeColor="text1" w:themeTint="BF"/>
    </w:rPr>
  </w:style>
  <w:style w:type="paragraph" w:styleId="ListParagraph">
    <w:name w:val="List Paragraph"/>
    <w:basedOn w:val="Normal"/>
    <w:uiPriority w:val="34"/>
    <w:qFormat/>
    <w:rsid w:val="0029684E"/>
    <w:pPr>
      <w:ind w:left="720"/>
      <w:contextualSpacing/>
    </w:pPr>
  </w:style>
  <w:style w:type="character" w:styleId="IntenseEmphasis">
    <w:name w:val="Intense Emphasis"/>
    <w:basedOn w:val="DefaultParagraphFont"/>
    <w:uiPriority w:val="21"/>
    <w:qFormat/>
    <w:rsid w:val="0029684E"/>
    <w:rPr>
      <w:i/>
      <w:iCs/>
      <w:color w:val="2F5496" w:themeColor="accent1" w:themeShade="BF"/>
    </w:rPr>
  </w:style>
  <w:style w:type="paragraph" w:styleId="IntenseQuote">
    <w:name w:val="Intense Quote"/>
    <w:basedOn w:val="Normal"/>
    <w:next w:val="Normal"/>
    <w:link w:val="IntenseQuoteChar"/>
    <w:uiPriority w:val="30"/>
    <w:qFormat/>
    <w:rsid w:val="0029684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9684E"/>
    <w:rPr>
      <w:i/>
      <w:iCs/>
      <w:color w:val="2F5496" w:themeColor="accent1" w:themeShade="BF"/>
    </w:rPr>
  </w:style>
  <w:style w:type="character" w:styleId="IntenseReference">
    <w:name w:val="Intense Reference"/>
    <w:basedOn w:val="DefaultParagraphFont"/>
    <w:uiPriority w:val="32"/>
    <w:qFormat/>
    <w:rsid w:val="0029684E"/>
    <w:rPr>
      <w:b/>
      <w:bCs/>
      <w:smallCaps/>
      <w:color w:val="2F5496" w:themeColor="accent1" w:themeShade="BF"/>
      <w:spacing w:val="5"/>
    </w:rPr>
  </w:style>
  <w:style w:type="character" w:styleId="Hyperlink">
    <w:name w:val="Hyperlink"/>
    <w:basedOn w:val="DefaultParagraphFont"/>
    <w:uiPriority w:val="99"/>
    <w:unhideWhenUsed/>
    <w:rsid w:val="00DC4724"/>
    <w:rPr>
      <w:color w:val="0563C1" w:themeColor="hyperlink"/>
      <w:u w:val="single"/>
    </w:rPr>
  </w:style>
  <w:style w:type="character" w:customStyle="1" w:styleId="UnresolvedMention">
    <w:name w:val="Unresolved Mention"/>
    <w:basedOn w:val="DefaultParagraphFont"/>
    <w:uiPriority w:val="99"/>
    <w:semiHidden/>
    <w:unhideWhenUsed/>
    <w:rsid w:val="00DC4724"/>
    <w:rPr>
      <w:color w:val="605E5C"/>
      <w:shd w:val="clear" w:color="auto" w:fill="E1DFDD"/>
    </w:rPr>
  </w:style>
  <w:style w:type="character" w:styleId="PlaceholderText">
    <w:name w:val="Placeholder Text"/>
    <w:basedOn w:val="DefaultParagraphFont"/>
    <w:uiPriority w:val="99"/>
    <w:semiHidden/>
    <w:rsid w:val="00E3000D"/>
    <w:rPr>
      <w:color w:val="666666"/>
    </w:rPr>
  </w:style>
  <w:style w:type="table" w:styleId="TableGrid">
    <w:name w:val="Table Grid"/>
    <w:basedOn w:val="TableNormal"/>
    <w:uiPriority w:val="39"/>
    <w:rsid w:val="000B14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617054">
      <w:bodyDiv w:val="1"/>
      <w:marLeft w:val="0"/>
      <w:marRight w:val="0"/>
      <w:marTop w:val="0"/>
      <w:marBottom w:val="0"/>
      <w:divBdr>
        <w:top w:val="none" w:sz="0" w:space="0" w:color="auto"/>
        <w:left w:val="none" w:sz="0" w:space="0" w:color="auto"/>
        <w:bottom w:val="none" w:sz="0" w:space="0" w:color="auto"/>
        <w:right w:val="none" w:sz="0" w:space="0" w:color="auto"/>
      </w:divBdr>
    </w:div>
    <w:div w:id="65080383">
      <w:bodyDiv w:val="1"/>
      <w:marLeft w:val="0"/>
      <w:marRight w:val="0"/>
      <w:marTop w:val="0"/>
      <w:marBottom w:val="0"/>
      <w:divBdr>
        <w:top w:val="none" w:sz="0" w:space="0" w:color="auto"/>
        <w:left w:val="none" w:sz="0" w:space="0" w:color="auto"/>
        <w:bottom w:val="none" w:sz="0" w:space="0" w:color="auto"/>
        <w:right w:val="none" w:sz="0" w:space="0" w:color="auto"/>
      </w:divBdr>
    </w:div>
    <w:div w:id="88354679">
      <w:bodyDiv w:val="1"/>
      <w:marLeft w:val="0"/>
      <w:marRight w:val="0"/>
      <w:marTop w:val="0"/>
      <w:marBottom w:val="0"/>
      <w:divBdr>
        <w:top w:val="none" w:sz="0" w:space="0" w:color="auto"/>
        <w:left w:val="none" w:sz="0" w:space="0" w:color="auto"/>
        <w:bottom w:val="none" w:sz="0" w:space="0" w:color="auto"/>
        <w:right w:val="none" w:sz="0" w:space="0" w:color="auto"/>
      </w:divBdr>
    </w:div>
    <w:div w:id="142502801">
      <w:bodyDiv w:val="1"/>
      <w:marLeft w:val="0"/>
      <w:marRight w:val="0"/>
      <w:marTop w:val="0"/>
      <w:marBottom w:val="0"/>
      <w:divBdr>
        <w:top w:val="none" w:sz="0" w:space="0" w:color="auto"/>
        <w:left w:val="none" w:sz="0" w:space="0" w:color="auto"/>
        <w:bottom w:val="none" w:sz="0" w:space="0" w:color="auto"/>
        <w:right w:val="none" w:sz="0" w:space="0" w:color="auto"/>
      </w:divBdr>
    </w:div>
    <w:div w:id="153420951">
      <w:bodyDiv w:val="1"/>
      <w:marLeft w:val="0"/>
      <w:marRight w:val="0"/>
      <w:marTop w:val="0"/>
      <w:marBottom w:val="0"/>
      <w:divBdr>
        <w:top w:val="none" w:sz="0" w:space="0" w:color="auto"/>
        <w:left w:val="none" w:sz="0" w:space="0" w:color="auto"/>
        <w:bottom w:val="none" w:sz="0" w:space="0" w:color="auto"/>
        <w:right w:val="none" w:sz="0" w:space="0" w:color="auto"/>
      </w:divBdr>
      <w:divsChild>
        <w:div w:id="1310591002">
          <w:marLeft w:val="0"/>
          <w:marRight w:val="0"/>
          <w:marTop w:val="0"/>
          <w:marBottom w:val="200"/>
          <w:divBdr>
            <w:top w:val="none" w:sz="0" w:space="0" w:color="auto"/>
            <w:left w:val="none" w:sz="0" w:space="0" w:color="auto"/>
            <w:bottom w:val="none" w:sz="0" w:space="0" w:color="auto"/>
            <w:right w:val="none" w:sz="0" w:space="0" w:color="auto"/>
          </w:divBdr>
        </w:div>
      </w:divsChild>
    </w:div>
    <w:div w:id="169637904">
      <w:bodyDiv w:val="1"/>
      <w:marLeft w:val="0"/>
      <w:marRight w:val="0"/>
      <w:marTop w:val="0"/>
      <w:marBottom w:val="0"/>
      <w:divBdr>
        <w:top w:val="none" w:sz="0" w:space="0" w:color="auto"/>
        <w:left w:val="none" w:sz="0" w:space="0" w:color="auto"/>
        <w:bottom w:val="none" w:sz="0" w:space="0" w:color="auto"/>
        <w:right w:val="none" w:sz="0" w:space="0" w:color="auto"/>
      </w:divBdr>
    </w:div>
    <w:div w:id="379791806">
      <w:bodyDiv w:val="1"/>
      <w:marLeft w:val="0"/>
      <w:marRight w:val="0"/>
      <w:marTop w:val="0"/>
      <w:marBottom w:val="0"/>
      <w:divBdr>
        <w:top w:val="none" w:sz="0" w:space="0" w:color="auto"/>
        <w:left w:val="none" w:sz="0" w:space="0" w:color="auto"/>
        <w:bottom w:val="none" w:sz="0" w:space="0" w:color="auto"/>
        <w:right w:val="none" w:sz="0" w:space="0" w:color="auto"/>
      </w:divBdr>
    </w:div>
    <w:div w:id="478887275">
      <w:bodyDiv w:val="1"/>
      <w:marLeft w:val="0"/>
      <w:marRight w:val="0"/>
      <w:marTop w:val="0"/>
      <w:marBottom w:val="0"/>
      <w:divBdr>
        <w:top w:val="none" w:sz="0" w:space="0" w:color="auto"/>
        <w:left w:val="none" w:sz="0" w:space="0" w:color="auto"/>
        <w:bottom w:val="none" w:sz="0" w:space="0" w:color="auto"/>
        <w:right w:val="none" w:sz="0" w:space="0" w:color="auto"/>
      </w:divBdr>
    </w:div>
    <w:div w:id="666639271">
      <w:bodyDiv w:val="1"/>
      <w:marLeft w:val="0"/>
      <w:marRight w:val="0"/>
      <w:marTop w:val="0"/>
      <w:marBottom w:val="0"/>
      <w:divBdr>
        <w:top w:val="none" w:sz="0" w:space="0" w:color="auto"/>
        <w:left w:val="none" w:sz="0" w:space="0" w:color="auto"/>
        <w:bottom w:val="none" w:sz="0" w:space="0" w:color="auto"/>
        <w:right w:val="none" w:sz="0" w:space="0" w:color="auto"/>
      </w:divBdr>
    </w:div>
    <w:div w:id="679478114">
      <w:bodyDiv w:val="1"/>
      <w:marLeft w:val="0"/>
      <w:marRight w:val="0"/>
      <w:marTop w:val="0"/>
      <w:marBottom w:val="0"/>
      <w:divBdr>
        <w:top w:val="none" w:sz="0" w:space="0" w:color="auto"/>
        <w:left w:val="none" w:sz="0" w:space="0" w:color="auto"/>
        <w:bottom w:val="none" w:sz="0" w:space="0" w:color="auto"/>
        <w:right w:val="none" w:sz="0" w:space="0" w:color="auto"/>
      </w:divBdr>
    </w:div>
    <w:div w:id="800465653">
      <w:bodyDiv w:val="1"/>
      <w:marLeft w:val="0"/>
      <w:marRight w:val="0"/>
      <w:marTop w:val="0"/>
      <w:marBottom w:val="0"/>
      <w:divBdr>
        <w:top w:val="none" w:sz="0" w:space="0" w:color="auto"/>
        <w:left w:val="none" w:sz="0" w:space="0" w:color="auto"/>
        <w:bottom w:val="none" w:sz="0" w:space="0" w:color="auto"/>
        <w:right w:val="none" w:sz="0" w:space="0" w:color="auto"/>
      </w:divBdr>
      <w:divsChild>
        <w:div w:id="741686091">
          <w:marLeft w:val="0"/>
          <w:marRight w:val="0"/>
          <w:marTop w:val="0"/>
          <w:marBottom w:val="200"/>
          <w:divBdr>
            <w:top w:val="none" w:sz="0" w:space="0" w:color="auto"/>
            <w:left w:val="none" w:sz="0" w:space="0" w:color="auto"/>
            <w:bottom w:val="none" w:sz="0" w:space="0" w:color="auto"/>
            <w:right w:val="none" w:sz="0" w:space="0" w:color="auto"/>
          </w:divBdr>
        </w:div>
      </w:divsChild>
    </w:div>
    <w:div w:id="913706056">
      <w:bodyDiv w:val="1"/>
      <w:marLeft w:val="0"/>
      <w:marRight w:val="0"/>
      <w:marTop w:val="0"/>
      <w:marBottom w:val="0"/>
      <w:divBdr>
        <w:top w:val="none" w:sz="0" w:space="0" w:color="auto"/>
        <w:left w:val="none" w:sz="0" w:space="0" w:color="auto"/>
        <w:bottom w:val="none" w:sz="0" w:space="0" w:color="auto"/>
        <w:right w:val="none" w:sz="0" w:space="0" w:color="auto"/>
      </w:divBdr>
    </w:div>
    <w:div w:id="1021972885">
      <w:bodyDiv w:val="1"/>
      <w:marLeft w:val="0"/>
      <w:marRight w:val="0"/>
      <w:marTop w:val="0"/>
      <w:marBottom w:val="0"/>
      <w:divBdr>
        <w:top w:val="none" w:sz="0" w:space="0" w:color="auto"/>
        <w:left w:val="none" w:sz="0" w:space="0" w:color="auto"/>
        <w:bottom w:val="none" w:sz="0" w:space="0" w:color="auto"/>
        <w:right w:val="none" w:sz="0" w:space="0" w:color="auto"/>
      </w:divBdr>
    </w:div>
    <w:div w:id="1030184615">
      <w:bodyDiv w:val="1"/>
      <w:marLeft w:val="0"/>
      <w:marRight w:val="0"/>
      <w:marTop w:val="0"/>
      <w:marBottom w:val="0"/>
      <w:divBdr>
        <w:top w:val="none" w:sz="0" w:space="0" w:color="auto"/>
        <w:left w:val="none" w:sz="0" w:space="0" w:color="auto"/>
        <w:bottom w:val="none" w:sz="0" w:space="0" w:color="auto"/>
        <w:right w:val="none" w:sz="0" w:space="0" w:color="auto"/>
      </w:divBdr>
      <w:divsChild>
        <w:div w:id="1555235587">
          <w:marLeft w:val="0"/>
          <w:marRight w:val="0"/>
          <w:marTop w:val="0"/>
          <w:marBottom w:val="200"/>
          <w:divBdr>
            <w:top w:val="none" w:sz="0" w:space="0" w:color="auto"/>
            <w:left w:val="none" w:sz="0" w:space="0" w:color="auto"/>
            <w:bottom w:val="none" w:sz="0" w:space="0" w:color="auto"/>
            <w:right w:val="none" w:sz="0" w:space="0" w:color="auto"/>
          </w:divBdr>
        </w:div>
      </w:divsChild>
    </w:div>
    <w:div w:id="1151872037">
      <w:bodyDiv w:val="1"/>
      <w:marLeft w:val="0"/>
      <w:marRight w:val="0"/>
      <w:marTop w:val="0"/>
      <w:marBottom w:val="0"/>
      <w:divBdr>
        <w:top w:val="none" w:sz="0" w:space="0" w:color="auto"/>
        <w:left w:val="none" w:sz="0" w:space="0" w:color="auto"/>
        <w:bottom w:val="none" w:sz="0" w:space="0" w:color="auto"/>
        <w:right w:val="none" w:sz="0" w:space="0" w:color="auto"/>
      </w:divBdr>
    </w:div>
    <w:div w:id="1180117200">
      <w:bodyDiv w:val="1"/>
      <w:marLeft w:val="0"/>
      <w:marRight w:val="0"/>
      <w:marTop w:val="0"/>
      <w:marBottom w:val="0"/>
      <w:divBdr>
        <w:top w:val="none" w:sz="0" w:space="0" w:color="auto"/>
        <w:left w:val="none" w:sz="0" w:space="0" w:color="auto"/>
        <w:bottom w:val="none" w:sz="0" w:space="0" w:color="auto"/>
        <w:right w:val="none" w:sz="0" w:space="0" w:color="auto"/>
      </w:divBdr>
      <w:divsChild>
        <w:div w:id="307783838">
          <w:marLeft w:val="0"/>
          <w:marRight w:val="0"/>
          <w:marTop w:val="0"/>
          <w:marBottom w:val="0"/>
          <w:divBdr>
            <w:top w:val="none" w:sz="0" w:space="0" w:color="auto"/>
            <w:left w:val="none" w:sz="0" w:space="0" w:color="auto"/>
            <w:bottom w:val="none" w:sz="0" w:space="0" w:color="auto"/>
            <w:right w:val="none" w:sz="0" w:space="0" w:color="auto"/>
          </w:divBdr>
          <w:divsChild>
            <w:div w:id="380599405">
              <w:marLeft w:val="0"/>
              <w:marRight w:val="0"/>
              <w:marTop w:val="0"/>
              <w:marBottom w:val="0"/>
              <w:divBdr>
                <w:top w:val="none" w:sz="0" w:space="0" w:color="auto"/>
                <w:left w:val="none" w:sz="0" w:space="0" w:color="auto"/>
                <w:bottom w:val="none" w:sz="0" w:space="0" w:color="auto"/>
                <w:right w:val="none" w:sz="0" w:space="0" w:color="auto"/>
              </w:divBdr>
            </w:div>
          </w:divsChild>
        </w:div>
        <w:div w:id="1121413691">
          <w:marLeft w:val="0"/>
          <w:marRight w:val="0"/>
          <w:marTop w:val="0"/>
          <w:marBottom w:val="0"/>
          <w:divBdr>
            <w:top w:val="none" w:sz="0" w:space="0" w:color="auto"/>
            <w:left w:val="none" w:sz="0" w:space="0" w:color="auto"/>
            <w:bottom w:val="none" w:sz="0" w:space="0" w:color="auto"/>
            <w:right w:val="none" w:sz="0" w:space="0" w:color="auto"/>
          </w:divBdr>
          <w:divsChild>
            <w:div w:id="573854441">
              <w:marLeft w:val="0"/>
              <w:marRight w:val="0"/>
              <w:marTop w:val="0"/>
              <w:marBottom w:val="0"/>
              <w:divBdr>
                <w:top w:val="none" w:sz="0" w:space="0" w:color="auto"/>
                <w:left w:val="none" w:sz="0" w:space="0" w:color="auto"/>
                <w:bottom w:val="none" w:sz="0" w:space="0" w:color="auto"/>
                <w:right w:val="none" w:sz="0" w:space="0" w:color="auto"/>
              </w:divBdr>
            </w:div>
          </w:divsChild>
        </w:div>
        <w:div w:id="1007366112">
          <w:marLeft w:val="0"/>
          <w:marRight w:val="0"/>
          <w:marTop w:val="0"/>
          <w:marBottom w:val="0"/>
          <w:divBdr>
            <w:top w:val="none" w:sz="0" w:space="0" w:color="auto"/>
            <w:left w:val="none" w:sz="0" w:space="0" w:color="auto"/>
            <w:bottom w:val="none" w:sz="0" w:space="0" w:color="auto"/>
            <w:right w:val="none" w:sz="0" w:space="0" w:color="auto"/>
          </w:divBdr>
          <w:divsChild>
            <w:div w:id="147360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397462">
      <w:bodyDiv w:val="1"/>
      <w:marLeft w:val="0"/>
      <w:marRight w:val="0"/>
      <w:marTop w:val="0"/>
      <w:marBottom w:val="0"/>
      <w:divBdr>
        <w:top w:val="none" w:sz="0" w:space="0" w:color="auto"/>
        <w:left w:val="none" w:sz="0" w:space="0" w:color="auto"/>
        <w:bottom w:val="none" w:sz="0" w:space="0" w:color="auto"/>
        <w:right w:val="none" w:sz="0" w:space="0" w:color="auto"/>
      </w:divBdr>
    </w:div>
    <w:div w:id="1242519514">
      <w:bodyDiv w:val="1"/>
      <w:marLeft w:val="0"/>
      <w:marRight w:val="0"/>
      <w:marTop w:val="0"/>
      <w:marBottom w:val="0"/>
      <w:divBdr>
        <w:top w:val="none" w:sz="0" w:space="0" w:color="auto"/>
        <w:left w:val="none" w:sz="0" w:space="0" w:color="auto"/>
        <w:bottom w:val="none" w:sz="0" w:space="0" w:color="auto"/>
        <w:right w:val="none" w:sz="0" w:space="0" w:color="auto"/>
      </w:divBdr>
    </w:div>
    <w:div w:id="1348629846">
      <w:bodyDiv w:val="1"/>
      <w:marLeft w:val="0"/>
      <w:marRight w:val="0"/>
      <w:marTop w:val="0"/>
      <w:marBottom w:val="0"/>
      <w:divBdr>
        <w:top w:val="none" w:sz="0" w:space="0" w:color="auto"/>
        <w:left w:val="none" w:sz="0" w:space="0" w:color="auto"/>
        <w:bottom w:val="none" w:sz="0" w:space="0" w:color="auto"/>
        <w:right w:val="none" w:sz="0" w:space="0" w:color="auto"/>
      </w:divBdr>
    </w:div>
    <w:div w:id="1399741763">
      <w:bodyDiv w:val="1"/>
      <w:marLeft w:val="0"/>
      <w:marRight w:val="0"/>
      <w:marTop w:val="0"/>
      <w:marBottom w:val="0"/>
      <w:divBdr>
        <w:top w:val="none" w:sz="0" w:space="0" w:color="auto"/>
        <w:left w:val="none" w:sz="0" w:space="0" w:color="auto"/>
        <w:bottom w:val="none" w:sz="0" w:space="0" w:color="auto"/>
        <w:right w:val="none" w:sz="0" w:space="0" w:color="auto"/>
      </w:divBdr>
    </w:div>
    <w:div w:id="1494446231">
      <w:bodyDiv w:val="1"/>
      <w:marLeft w:val="0"/>
      <w:marRight w:val="0"/>
      <w:marTop w:val="0"/>
      <w:marBottom w:val="0"/>
      <w:divBdr>
        <w:top w:val="none" w:sz="0" w:space="0" w:color="auto"/>
        <w:left w:val="none" w:sz="0" w:space="0" w:color="auto"/>
        <w:bottom w:val="none" w:sz="0" w:space="0" w:color="auto"/>
        <w:right w:val="none" w:sz="0" w:space="0" w:color="auto"/>
      </w:divBdr>
      <w:divsChild>
        <w:div w:id="591357456">
          <w:marLeft w:val="0"/>
          <w:marRight w:val="0"/>
          <w:marTop w:val="0"/>
          <w:marBottom w:val="200"/>
          <w:divBdr>
            <w:top w:val="none" w:sz="0" w:space="0" w:color="auto"/>
            <w:left w:val="none" w:sz="0" w:space="0" w:color="auto"/>
            <w:bottom w:val="none" w:sz="0" w:space="0" w:color="auto"/>
            <w:right w:val="none" w:sz="0" w:space="0" w:color="auto"/>
          </w:divBdr>
        </w:div>
      </w:divsChild>
    </w:div>
    <w:div w:id="1522352158">
      <w:bodyDiv w:val="1"/>
      <w:marLeft w:val="0"/>
      <w:marRight w:val="0"/>
      <w:marTop w:val="0"/>
      <w:marBottom w:val="0"/>
      <w:divBdr>
        <w:top w:val="none" w:sz="0" w:space="0" w:color="auto"/>
        <w:left w:val="none" w:sz="0" w:space="0" w:color="auto"/>
        <w:bottom w:val="none" w:sz="0" w:space="0" w:color="auto"/>
        <w:right w:val="none" w:sz="0" w:space="0" w:color="auto"/>
      </w:divBdr>
      <w:divsChild>
        <w:div w:id="1607151975">
          <w:marLeft w:val="0"/>
          <w:marRight w:val="0"/>
          <w:marTop w:val="0"/>
          <w:marBottom w:val="200"/>
          <w:divBdr>
            <w:top w:val="none" w:sz="0" w:space="0" w:color="auto"/>
            <w:left w:val="none" w:sz="0" w:space="0" w:color="auto"/>
            <w:bottom w:val="none" w:sz="0" w:space="0" w:color="auto"/>
            <w:right w:val="none" w:sz="0" w:space="0" w:color="auto"/>
          </w:divBdr>
        </w:div>
      </w:divsChild>
    </w:div>
    <w:div w:id="1605304582">
      <w:bodyDiv w:val="1"/>
      <w:marLeft w:val="0"/>
      <w:marRight w:val="0"/>
      <w:marTop w:val="0"/>
      <w:marBottom w:val="0"/>
      <w:divBdr>
        <w:top w:val="none" w:sz="0" w:space="0" w:color="auto"/>
        <w:left w:val="none" w:sz="0" w:space="0" w:color="auto"/>
        <w:bottom w:val="none" w:sz="0" w:space="0" w:color="auto"/>
        <w:right w:val="none" w:sz="0" w:space="0" w:color="auto"/>
      </w:divBdr>
    </w:div>
    <w:div w:id="1642034488">
      <w:bodyDiv w:val="1"/>
      <w:marLeft w:val="0"/>
      <w:marRight w:val="0"/>
      <w:marTop w:val="0"/>
      <w:marBottom w:val="0"/>
      <w:divBdr>
        <w:top w:val="none" w:sz="0" w:space="0" w:color="auto"/>
        <w:left w:val="none" w:sz="0" w:space="0" w:color="auto"/>
        <w:bottom w:val="none" w:sz="0" w:space="0" w:color="auto"/>
        <w:right w:val="none" w:sz="0" w:space="0" w:color="auto"/>
      </w:divBdr>
    </w:div>
    <w:div w:id="1675061543">
      <w:bodyDiv w:val="1"/>
      <w:marLeft w:val="0"/>
      <w:marRight w:val="0"/>
      <w:marTop w:val="0"/>
      <w:marBottom w:val="0"/>
      <w:divBdr>
        <w:top w:val="none" w:sz="0" w:space="0" w:color="auto"/>
        <w:left w:val="none" w:sz="0" w:space="0" w:color="auto"/>
        <w:bottom w:val="none" w:sz="0" w:space="0" w:color="auto"/>
        <w:right w:val="none" w:sz="0" w:space="0" w:color="auto"/>
      </w:divBdr>
    </w:div>
    <w:div w:id="1780370377">
      <w:bodyDiv w:val="1"/>
      <w:marLeft w:val="0"/>
      <w:marRight w:val="0"/>
      <w:marTop w:val="0"/>
      <w:marBottom w:val="0"/>
      <w:divBdr>
        <w:top w:val="none" w:sz="0" w:space="0" w:color="auto"/>
        <w:left w:val="none" w:sz="0" w:space="0" w:color="auto"/>
        <w:bottom w:val="none" w:sz="0" w:space="0" w:color="auto"/>
        <w:right w:val="none" w:sz="0" w:space="0" w:color="auto"/>
      </w:divBdr>
    </w:div>
    <w:div w:id="1796216664">
      <w:bodyDiv w:val="1"/>
      <w:marLeft w:val="0"/>
      <w:marRight w:val="0"/>
      <w:marTop w:val="0"/>
      <w:marBottom w:val="0"/>
      <w:divBdr>
        <w:top w:val="none" w:sz="0" w:space="0" w:color="auto"/>
        <w:left w:val="none" w:sz="0" w:space="0" w:color="auto"/>
        <w:bottom w:val="none" w:sz="0" w:space="0" w:color="auto"/>
        <w:right w:val="none" w:sz="0" w:space="0" w:color="auto"/>
      </w:divBdr>
    </w:div>
    <w:div w:id="1830291802">
      <w:bodyDiv w:val="1"/>
      <w:marLeft w:val="0"/>
      <w:marRight w:val="0"/>
      <w:marTop w:val="0"/>
      <w:marBottom w:val="0"/>
      <w:divBdr>
        <w:top w:val="none" w:sz="0" w:space="0" w:color="auto"/>
        <w:left w:val="none" w:sz="0" w:space="0" w:color="auto"/>
        <w:bottom w:val="none" w:sz="0" w:space="0" w:color="auto"/>
        <w:right w:val="none" w:sz="0" w:space="0" w:color="auto"/>
      </w:divBdr>
    </w:div>
    <w:div w:id="1907107792">
      <w:bodyDiv w:val="1"/>
      <w:marLeft w:val="0"/>
      <w:marRight w:val="0"/>
      <w:marTop w:val="0"/>
      <w:marBottom w:val="0"/>
      <w:divBdr>
        <w:top w:val="none" w:sz="0" w:space="0" w:color="auto"/>
        <w:left w:val="none" w:sz="0" w:space="0" w:color="auto"/>
        <w:bottom w:val="none" w:sz="0" w:space="0" w:color="auto"/>
        <w:right w:val="none" w:sz="0" w:space="0" w:color="auto"/>
      </w:divBdr>
      <w:divsChild>
        <w:div w:id="575941488">
          <w:marLeft w:val="0"/>
          <w:marRight w:val="0"/>
          <w:marTop w:val="0"/>
          <w:marBottom w:val="0"/>
          <w:divBdr>
            <w:top w:val="none" w:sz="0" w:space="0" w:color="auto"/>
            <w:left w:val="none" w:sz="0" w:space="0" w:color="auto"/>
            <w:bottom w:val="none" w:sz="0" w:space="0" w:color="auto"/>
            <w:right w:val="none" w:sz="0" w:space="0" w:color="auto"/>
          </w:divBdr>
          <w:divsChild>
            <w:div w:id="585727139">
              <w:marLeft w:val="0"/>
              <w:marRight w:val="0"/>
              <w:marTop w:val="0"/>
              <w:marBottom w:val="0"/>
              <w:divBdr>
                <w:top w:val="none" w:sz="0" w:space="0" w:color="auto"/>
                <w:left w:val="none" w:sz="0" w:space="0" w:color="auto"/>
                <w:bottom w:val="none" w:sz="0" w:space="0" w:color="auto"/>
                <w:right w:val="none" w:sz="0" w:space="0" w:color="auto"/>
              </w:divBdr>
            </w:div>
          </w:divsChild>
        </w:div>
        <w:div w:id="1100377007">
          <w:marLeft w:val="0"/>
          <w:marRight w:val="0"/>
          <w:marTop w:val="0"/>
          <w:marBottom w:val="0"/>
          <w:divBdr>
            <w:top w:val="none" w:sz="0" w:space="0" w:color="auto"/>
            <w:left w:val="none" w:sz="0" w:space="0" w:color="auto"/>
            <w:bottom w:val="none" w:sz="0" w:space="0" w:color="auto"/>
            <w:right w:val="none" w:sz="0" w:space="0" w:color="auto"/>
          </w:divBdr>
          <w:divsChild>
            <w:div w:id="1208882503">
              <w:marLeft w:val="0"/>
              <w:marRight w:val="0"/>
              <w:marTop w:val="0"/>
              <w:marBottom w:val="0"/>
              <w:divBdr>
                <w:top w:val="none" w:sz="0" w:space="0" w:color="auto"/>
                <w:left w:val="none" w:sz="0" w:space="0" w:color="auto"/>
                <w:bottom w:val="none" w:sz="0" w:space="0" w:color="auto"/>
                <w:right w:val="none" w:sz="0" w:space="0" w:color="auto"/>
              </w:divBdr>
            </w:div>
          </w:divsChild>
        </w:div>
        <w:div w:id="587733377">
          <w:marLeft w:val="0"/>
          <w:marRight w:val="0"/>
          <w:marTop w:val="0"/>
          <w:marBottom w:val="0"/>
          <w:divBdr>
            <w:top w:val="none" w:sz="0" w:space="0" w:color="auto"/>
            <w:left w:val="none" w:sz="0" w:space="0" w:color="auto"/>
            <w:bottom w:val="none" w:sz="0" w:space="0" w:color="auto"/>
            <w:right w:val="none" w:sz="0" w:space="0" w:color="auto"/>
          </w:divBdr>
          <w:divsChild>
            <w:div w:id="361786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350839">
      <w:bodyDiv w:val="1"/>
      <w:marLeft w:val="0"/>
      <w:marRight w:val="0"/>
      <w:marTop w:val="0"/>
      <w:marBottom w:val="0"/>
      <w:divBdr>
        <w:top w:val="none" w:sz="0" w:space="0" w:color="auto"/>
        <w:left w:val="none" w:sz="0" w:space="0" w:color="auto"/>
        <w:bottom w:val="none" w:sz="0" w:space="0" w:color="auto"/>
        <w:right w:val="none" w:sz="0" w:space="0" w:color="auto"/>
      </w:divBdr>
    </w:div>
    <w:div w:id="1965194457">
      <w:bodyDiv w:val="1"/>
      <w:marLeft w:val="0"/>
      <w:marRight w:val="0"/>
      <w:marTop w:val="0"/>
      <w:marBottom w:val="0"/>
      <w:divBdr>
        <w:top w:val="none" w:sz="0" w:space="0" w:color="auto"/>
        <w:left w:val="none" w:sz="0" w:space="0" w:color="auto"/>
        <w:bottom w:val="none" w:sz="0" w:space="0" w:color="auto"/>
        <w:right w:val="none" w:sz="0" w:space="0" w:color="auto"/>
      </w:divBdr>
    </w:div>
    <w:div w:id="1993681491">
      <w:bodyDiv w:val="1"/>
      <w:marLeft w:val="0"/>
      <w:marRight w:val="0"/>
      <w:marTop w:val="0"/>
      <w:marBottom w:val="0"/>
      <w:divBdr>
        <w:top w:val="none" w:sz="0" w:space="0" w:color="auto"/>
        <w:left w:val="none" w:sz="0" w:space="0" w:color="auto"/>
        <w:bottom w:val="none" w:sz="0" w:space="0" w:color="auto"/>
        <w:right w:val="none" w:sz="0" w:space="0" w:color="auto"/>
      </w:divBdr>
    </w:div>
    <w:div w:id="2134638855">
      <w:bodyDiv w:val="1"/>
      <w:marLeft w:val="0"/>
      <w:marRight w:val="0"/>
      <w:marTop w:val="0"/>
      <w:marBottom w:val="0"/>
      <w:divBdr>
        <w:top w:val="none" w:sz="0" w:space="0" w:color="auto"/>
        <w:left w:val="none" w:sz="0" w:space="0" w:color="auto"/>
        <w:bottom w:val="none" w:sz="0" w:space="0" w:color="auto"/>
        <w:right w:val="none" w:sz="0" w:space="0" w:color="auto"/>
      </w:divBdr>
      <w:divsChild>
        <w:div w:id="2088452110">
          <w:marLeft w:val="0"/>
          <w:marRight w:val="0"/>
          <w:marTop w:val="0"/>
          <w:marBottom w:val="2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doi.org/10.1016/j.irefs.2019.12.004" TargetMode="External"/><Relationship Id="rId18" Type="http://schemas.openxmlformats.org/officeDocument/2006/relationships/hyperlink" Target="https://economics.fiu.edu/research/working-papers/2021/2108/2108.pdf" TargetMode="External"/><Relationship Id="rId26" Type="http://schemas.openxmlformats.org/officeDocument/2006/relationships/hyperlink" Target="https://doi.org/10.21477/fil.2019.1057" TargetMode="External"/><Relationship Id="rId3" Type="http://schemas.microsoft.com/office/2007/relationships/stylesWithEffects" Target="stylesWithEffects.xml"/><Relationship Id="rId21" Type="http://schemas.openxmlformats.org/officeDocument/2006/relationships/hyperlink" Target="https://doi.org/10.1016/j.apjr.2022.03.006" TargetMode="External"/><Relationship Id="rId7" Type="http://schemas.openxmlformats.org/officeDocument/2006/relationships/image" Target="media/image2.png"/><Relationship Id="rId12" Type="http://schemas.openxmlformats.org/officeDocument/2006/relationships/hyperlink" Target="https://doi.org/10.1108/JRF-09-2021-0071" TargetMode="External"/><Relationship Id="rId17" Type="http://schemas.openxmlformats.org/officeDocument/2006/relationships/hyperlink" Target="https://doi.org/10.1007/s10834-020-09562-w" TargetMode="External"/><Relationship Id="rId25" Type="http://schemas.openxmlformats.org/officeDocument/2006/relationships/hyperlink" Target="https://doi.org/10.1016/j.ijfie.2021.05.002" TargetMode="External"/><Relationship Id="rId2" Type="http://schemas.openxmlformats.org/officeDocument/2006/relationships/styles" Target="styles.xml"/><Relationship Id="rId16" Type="http://schemas.openxmlformats.org/officeDocument/2006/relationships/hyperlink" Target="https://doi.org/10.1142/S2345715721500119" TargetMode="External"/><Relationship Id="rId20" Type="http://schemas.openxmlformats.org/officeDocument/2006/relationships/hyperlink" Target="https://doi.org/10.1080/15228916.2021.1953439" TargetMode="External"/><Relationship Id="rId29" Type="http://schemas.openxmlformats.org/officeDocument/2006/relationships/hyperlink" Target="https://doi.org/10.21467/ajrf.2021.0155"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doi.org/10.1177/0007650320954069" TargetMode="External"/><Relationship Id="rId24" Type="http://schemas.openxmlformats.org/officeDocument/2006/relationships/hyperlink" Target="https://doi.org/10.1145/3059654" TargetMode="External"/><Relationship Id="rId5" Type="http://schemas.openxmlformats.org/officeDocument/2006/relationships/webSettings" Target="webSettings.xml"/><Relationship Id="rId15" Type="http://schemas.openxmlformats.org/officeDocument/2006/relationships/hyperlink" Target="https://doi.org/10.1057/s41287-023-00585-x" TargetMode="External"/><Relationship Id="rId23" Type="http://schemas.openxmlformats.org/officeDocument/2006/relationships/hyperlink" Target="https://www.adb.org/publications/digital-doorstep-banking-female-banking-agents-lead-digital-financial-inclusion-through-the-pandemic-and-beyond" TargetMode="External"/><Relationship Id="rId28" Type="http://schemas.openxmlformats.org/officeDocument/2006/relationships/hyperlink" Target="https://doi.org/10.1177/0975542920905426" TargetMode="External"/><Relationship Id="rId10" Type="http://schemas.openxmlformats.org/officeDocument/2006/relationships/hyperlink" Target="https://doi.org/10.1080/089336739.2021.1872212" TargetMode="External"/><Relationship Id="rId19" Type="http://schemas.openxmlformats.org/officeDocument/2006/relationships/hyperlink" Target="https://doi.org/10.1016/j.jfe.2019.03.011"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oi.org/10.1016/j.ijef.2020.04.002" TargetMode="External"/><Relationship Id="rId14" Type="http://schemas.openxmlformats.org/officeDocument/2006/relationships/hyperlink" Target="https://doi.org/10.1111/aepr.12252" TargetMode="External"/><Relationship Id="rId22" Type="http://schemas.openxmlformats.org/officeDocument/2006/relationships/hyperlink" Target="https://doi.org/10.1080/23811972.2020.1825541" TargetMode="External"/><Relationship Id="rId27" Type="http://schemas.openxmlformats.org/officeDocument/2006/relationships/hyperlink" Target="https://doi.org/10.1016/j.trd.2022.05.003"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13</Pages>
  <Words>4902</Words>
  <Characters>27948</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Indhu Kavi</dc:creator>
  <cp:keywords/>
  <dc:description/>
  <cp:lastModifiedBy>qwert</cp:lastModifiedBy>
  <cp:revision>3</cp:revision>
  <dcterms:created xsi:type="dcterms:W3CDTF">2025-07-30T10:45:00Z</dcterms:created>
  <dcterms:modified xsi:type="dcterms:W3CDTF">2026-05-11T13:33:00Z</dcterms:modified>
</cp:coreProperties>
</file>