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E904B" w14:textId="77777777" w:rsidR="002B462F" w:rsidRPr="00164444" w:rsidRDefault="00C052B5" w:rsidP="00164444">
      <w:pPr>
        <w:pStyle w:val="Heading1"/>
        <w:jc w:val="center"/>
        <w:rPr>
          <w:rFonts w:ascii="Times New Roman" w:hAnsi="Times New Roman" w:cs="Times New Roman"/>
          <w:sz w:val="36"/>
          <w:szCs w:val="36"/>
        </w:rPr>
      </w:pPr>
      <w:bookmarkStart w:id="0" w:name="X5752aed231ac464f5b711098db9c0c6c995cb76"/>
      <w:r w:rsidRPr="00164444">
        <w:rPr>
          <w:rFonts w:ascii="Times New Roman" w:hAnsi="Times New Roman" w:cs="Times New Roman"/>
          <w:sz w:val="36"/>
          <w:szCs w:val="36"/>
        </w:rPr>
        <w:t>Clinical Profile and Prognostic Significance of Lead aVR in Patients with Acute Coronary Syndrome: A Hospital-Based Observational Study</w:t>
      </w:r>
    </w:p>
    <w:p w14:paraId="00B14597" w14:textId="77777777" w:rsidR="002B462F" w:rsidRPr="00164444" w:rsidRDefault="00C052B5">
      <w:pPr>
        <w:rPr>
          <w:rFonts w:ascii="Times New Roman" w:hAnsi="Times New Roman" w:cs="Times New Roman"/>
        </w:rPr>
      </w:pPr>
      <w:bookmarkStart w:id="1" w:name="_GoBack"/>
      <w:bookmarkEnd w:id="1"/>
      <w:r>
        <w:rPr>
          <w:rFonts w:ascii="Times New Roman" w:hAnsi="Times New Roman" w:cs="Times New Roman"/>
        </w:rPr>
        <w:pict w14:anchorId="54D8DF66">
          <v:rect id="_x0000_i1025" style="width:0;height:1.5pt" o:hralign="center" o:hrstd="t" o:hr="t"/>
        </w:pict>
      </w:r>
    </w:p>
    <w:p w14:paraId="2BC75440" w14:textId="77777777" w:rsidR="002B462F" w:rsidRPr="00164444" w:rsidRDefault="00C052B5">
      <w:pPr>
        <w:pStyle w:val="Heading2"/>
        <w:rPr>
          <w:rFonts w:ascii="Times New Roman" w:hAnsi="Times New Roman" w:cs="Times New Roman"/>
        </w:rPr>
      </w:pPr>
      <w:bookmarkStart w:id="2" w:name="abstract"/>
      <w:r w:rsidRPr="00164444">
        <w:rPr>
          <w:rFonts w:ascii="Times New Roman" w:hAnsi="Times New Roman" w:cs="Times New Roman"/>
        </w:rPr>
        <w:t>Abstract</w:t>
      </w:r>
    </w:p>
    <w:p w14:paraId="18F7DD0A" w14:textId="77777777" w:rsidR="002B462F" w:rsidRPr="00164444" w:rsidRDefault="00C052B5">
      <w:pPr>
        <w:pStyle w:val="Heading3"/>
        <w:rPr>
          <w:rFonts w:ascii="Times New Roman" w:hAnsi="Times New Roman" w:cs="Times New Roman"/>
        </w:rPr>
      </w:pPr>
      <w:bookmarkStart w:id="3" w:name="background"/>
      <w:r w:rsidRPr="00164444">
        <w:rPr>
          <w:rFonts w:ascii="Times New Roman" w:hAnsi="Times New Roman" w:cs="Times New Roman"/>
        </w:rPr>
        <w:t>Background</w:t>
      </w:r>
    </w:p>
    <w:p w14:paraId="77E79A0A"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Acute Coronary Syndrome (ACS) remains one of the leading causes of morbidity and mortality worldwide. Electrocardiography (ECG) is an e</w:t>
      </w:r>
      <w:r w:rsidRPr="00164444">
        <w:rPr>
          <w:rFonts w:ascii="Times New Roman" w:hAnsi="Times New Roman" w:cs="Times New Roman"/>
        </w:rPr>
        <w:t>ssential diagnostic tool in ACS, yet lead aVR is frequently overlooked in routine interpretation. Emerging evidence suggests that ST-segment changes in lead aVR may indicate severe coronary artery disease and poor clinical outcomes.</w:t>
      </w:r>
    </w:p>
    <w:p w14:paraId="0B0D6C2E" w14:textId="77777777" w:rsidR="002B462F" w:rsidRPr="00164444" w:rsidRDefault="00C052B5">
      <w:pPr>
        <w:pStyle w:val="Heading3"/>
        <w:rPr>
          <w:rFonts w:ascii="Times New Roman" w:hAnsi="Times New Roman" w:cs="Times New Roman"/>
        </w:rPr>
      </w:pPr>
      <w:bookmarkStart w:id="4" w:name="aim"/>
      <w:bookmarkEnd w:id="3"/>
      <w:r w:rsidRPr="00164444">
        <w:rPr>
          <w:rFonts w:ascii="Times New Roman" w:hAnsi="Times New Roman" w:cs="Times New Roman"/>
        </w:rPr>
        <w:t>Aim</w:t>
      </w:r>
    </w:p>
    <w:p w14:paraId="1CFBEA38"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To evaluate the cli</w:t>
      </w:r>
      <w:r w:rsidRPr="00164444">
        <w:rPr>
          <w:rFonts w:ascii="Times New Roman" w:hAnsi="Times New Roman" w:cs="Times New Roman"/>
        </w:rPr>
        <w:t>nical profile of patients with Acute Coronary Syndrome and assess the prognostic significance of ST-segment changes in lead aVR.</w:t>
      </w:r>
    </w:p>
    <w:p w14:paraId="07552117" w14:textId="77777777" w:rsidR="002B462F" w:rsidRPr="00164444" w:rsidRDefault="00C052B5">
      <w:pPr>
        <w:pStyle w:val="Heading3"/>
        <w:rPr>
          <w:rFonts w:ascii="Times New Roman" w:hAnsi="Times New Roman" w:cs="Times New Roman"/>
        </w:rPr>
      </w:pPr>
      <w:bookmarkStart w:id="5" w:name="methods"/>
      <w:bookmarkEnd w:id="4"/>
      <w:r w:rsidRPr="00164444">
        <w:rPr>
          <w:rFonts w:ascii="Times New Roman" w:hAnsi="Times New Roman" w:cs="Times New Roman"/>
        </w:rPr>
        <w:t>Methods</w:t>
      </w:r>
    </w:p>
    <w:p w14:paraId="67E3326A"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This hospital-based observational cross-sectional study was conducted in the Department of General Medicine at MGM Medi</w:t>
      </w:r>
      <w:r w:rsidRPr="00164444">
        <w:rPr>
          <w:rFonts w:ascii="Times New Roman" w:hAnsi="Times New Roman" w:cs="Times New Roman"/>
        </w:rPr>
        <w:t>cal College, Navi Mumbai, Maharashtra, from June 2023 to December 2024. A total of 75 patients diagnosed with ACS were included. Clinical history, risk factors, laboratory parameters, ECG findings, and echocardiographic data were recorded. Patients were ca</w:t>
      </w:r>
      <w:r w:rsidRPr="00164444">
        <w:rPr>
          <w:rFonts w:ascii="Times New Roman" w:hAnsi="Times New Roman" w:cs="Times New Roman"/>
        </w:rPr>
        <w:t>tegorized according to lead aVR changes into three groups: &lt;0.05 mm, 0.5–0.9 mm, and ≥1 mm ST-segment deviation. Statistical analysis was performed using SPSS version 26.0.</w:t>
      </w:r>
    </w:p>
    <w:p w14:paraId="16B08C44" w14:textId="77777777" w:rsidR="002B462F" w:rsidRPr="00164444" w:rsidRDefault="00C052B5">
      <w:pPr>
        <w:pStyle w:val="Heading3"/>
        <w:rPr>
          <w:rFonts w:ascii="Times New Roman" w:hAnsi="Times New Roman" w:cs="Times New Roman"/>
        </w:rPr>
      </w:pPr>
      <w:bookmarkStart w:id="6" w:name="conclusion"/>
      <w:bookmarkStart w:id="7" w:name="table-13-qrs-complex-findings"/>
      <w:bookmarkEnd w:id="2"/>
      <w:bookmarkEnd w:id="5"/>
      <w:r w:rsidRPr="00164444">
        <w:rPr>
          <w:rFonts w:ascii="Times New Roman" w:hAnsi="Times New Roman" w:cs="Times New Roman"/>
        </w:rPr>
        <w:t>Conclusion</w:t>
      </w:r>
    </w:p>
    <w:p w14:paraId="0E01C042"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 xml:space="preserve">Lead aVR changes are commonly observed in ACS patients and may serve as </w:t>
      </w:r>
      <w:r w:rsidRPr="00164444">
        <w:rPr>
          <w:rFonts w:ascii="Times New Roman" w:hAnsi="Times New Roman" w:cs="Times New Roman"/>
        </w:rPr>
        <w:t>a useful adjunctive marker for early risk stratification. Careful evaluation of lead aVR during ECG interpretation can help identify high-risk patients and improve clinical decision-making, especially in resource-limited settings.</w:t>
      </w:r>
    </w:p>
    <w:p w14:paraId="74395640" w14:textId="77777777" w:rsidR="002B462F" w:rsidRPr="00164444" w:rsidRDefault="00C052B5">
      <w:pPr>
        <w:pStyle w:val="Heading3"/>
        <w:rPr>
          <w:rFonts w:ascii="Times New Roman" w:hAnsi="Times New Roman" w:cs="Times New Roman"/>
        </w:rPr>
      </w:pPr>
      <w:bookmarkStart w:id="8" w:name="keywords"/>
      <w:bookmarkEnd w:id="6"/>
      <w:r w:rsidRPr="00164444">
        <w:rPr>
          <w:rFonts w:ascii="Times New Roman" w:hAnsi="Times New Roman" w:cs="Times New Roman"/>
        </w:rPr>
        <w:t>Keywords</w:t>
      </w:r>
    </w:p>
    <w:p w14:paraId="56AED0E1"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Acute Coronary S</w:t>
      </w:r>
      <w:r w:rsidRPr="00164444">
        <w:rPr>
          <w:rFonts w:ascii="Times New Roman" w:hAnsi="Times New Roman" w:cs="Times New Roman"/>
        </w:rPr>
        <w:t>yndrome, Lead aVR, Electrocardiography, STEMI, NSTEMI, Risk Stratification, ST-Segment Elevation</w:t>
      </w:r>
    </w:p>
    <w:p w14:paraId="0B903CDB" w14:textId="77777777" w:rsidR="002B462F" w:rsidRPr="00164444" w:rsidRDefault="00C052B5">
      <w:pPr>
        <w:rPr>
          <w:rFonts w:ascii="Times New Roman" w:hAnsi="Times New Roman" w:cs="Times New Roman"/>
        </w:rPr>
      </w:pPr>
      <w:r>
        <w:rPr>
          <w:rFonts w:ascii="Times New Roman" w:hAnsi="Times New Roman" w:cs="Times New Roman"/>
        </w:rPr>
        <w:pict w14:anchorId="1EFF38A1">
          <v:rect id="_x0000_i1026" style="width:0;height:1.5pt" o:hralign="center" o:hrstd="t" o:hr="t"/>
        </w:pict>
      </w:r>
    </w:p>
    <w:p w14:paraId="377B4D5D" w14:textId="77777777" w:rsidR="002B462F" w:rsidRPr="00164444" w:rsidRDefault="00C052B5">
      <w:pPr>
        <w:pStyle w:val="Heading1"/>
        <w:rPr>
          <w:rFonts w:ascii="Times New Roman" w:hAnsi="Times New Roman" w:cs="Times New Roman"/>
        </w:rPr>
      </w:pPr>
      <w:bookmarkStart w:id="9" w:name="highlights"/>
      <w:bookmarkEnd w:id="0"/>
      <w:bookmarkEnd w:id="7"/>
      <w:bookmarkEnd w:id="8"/>
      <w:r w:rsidRPr="00164444">
        <w:rPr>
          <w:rFonts w:ascii="Times New Roman" w:hAnsi="Times New Roman" w:cs="Times New Roman"/>
        </w:rPr>
        <w:t>Highlights</w:t>
      </w:r>
    </w:p>
    <w:p w14:paraId="1053BE48" w14:textId="77777777" w:rsidR="002B462F" w:rsidRPr="00164444" w:rsidRDefault="00C052B5">
      <w:pPr>
        <w:pStyle w:val="Compact"/>
        <w:numPr>
          <w:ilvl w:val="0"/>
          <w:numId w:val="2"/>
        </w:numPr>
        <w:rPr>
          <w:rFonts w:ascii="Times New Roman" w:hAnsi="Times New Roman" w:cs="Times New Roman"/>
        </w:rPr>
      </w:pPr>
      <w:r w:rsidRPr="00164444">
        <w:rPr>
          <w:rFonts w:ascii="Times New Roman" w:hAnsi="Times New Roman" w:cs="Times New Roman"/>
        </w:rPr>
        <w:t>Lead aVR changes were observed in nearly two-thirds of ACS patients.</w:t>
      </w:r>
    </w:p>
    <w:p w14:paraId="77B78D4B" w14:textId="77777777" w:rsidR="002B462F" w:rsidRPr="00164444" w:rsidRDefault="00C052B5">
      <w:pPr>
        <w:pStyle w:val="Compact"/>
        <w:numPr>
          <w:ilvl w:val="0"/>
          <w:numId w:val="2"/>
        </w:numPr>
        <w:rPr>
          <w:rFonts w:ascii="Times New Roman" w:hAnsi="Times New Roman" w:cs="Times New Roman"/>
        </w:rPr>
      </w:pPr>
      <w:r w:rsidRPr="00164444">
        <w:rPr>
          <w:rFonts w:ascii="Times New Roman" w:hAnsi="Times New Roman" w:cs="Times New Roman"/>
        </w:rPr>
        <w:lastRenderedPageBreak/>
        <w:t xml:space="preserve">Hypertension and diabetes mellitus were highly prevalent among patients with </w:t>
      </w:r>
      <w:r w:rsidRPr="00164444">
        <w:rPr>
          <w:rFonts w:ascii="Times New Roman" w:hAnsi="Times New Roman" w:cs="Times New Roman"/>
        </w:rPr>
        <w:t>significant aVR deviation.</w:t>
      </w:r>
    </w:p>
    <w:p w14:paraId="57B47ED7" w14:textId="77777777" w:rsidR="002B462F" w:rsidRPr="00164444" w:rsidRDefault="00C052B5">
      <w:pPr>
        <w:pStyle w:val="Compact"/>
        <w:numPr>
          <w:ilvl w:val="0"/>
          <w:numId w:val="2"/>
        </w:numPr>
        <w:rPr>
          <w:rFonts w:ascii="Times New Roman" w:hAnsi="Times New Roman" w:cs="Times New Roman"/>
        </w:rPr>
      </w:pPr>
      <w:r w:rsidRPr="00164444">
        <w:rPr>
          <w:rFonts w:ascii="Times New Roman" w:hAnsi="Times New Roman" w:cs="Times New Roman"/>
        </w:rPr>
        <w:t>ST-segment deviation ≥1 mm in lead aVR may indicate high-risk coronary artery involvement.</w:t>
      </w:r>
    </w:p>
    <w:p w14:paraId="4272DD0A" w14:textId="77777777" w:rsidR="002B462F" w:rsidRPr="00164444" w:rsidRDefault="00C052B5">
      <w:pPr>
        <w:pStyle w:val="Compact"/>
        <w:numPr>
          <w:ilvl w:val="0"/>
          <w:numId w:val="2"/>
        </w:numPr>
        <w:rPr>
          <w:rFonts w:ascii="Times New Roman" w:hAnsi="Times New Roman" w:cs="Times New Roman"/>
        </w:rPr>
      </w:pPr>
      <w:r w:rsidRPr="00164444">
        <w:rPr>
          <w:rFonts w:ascii="Times New Roman" w:hAnsi="Times New Roman" w:cs="Times New Roman"/>
        </w:rPr>
        <w:t>Lead aVR can serve as an inexpensive bedside prognostic marker in resource-limited settings.</w:t>
      </w:r>
    </w:p>
    <w:p w14:paraId="4B96A7CB" w14:textId="77777777" w:rsidR="002B462F" w:rsidRPr="00164444" w:rsidRDefault="00C052B5">
      <w:pPr>
        <w:rPr>
          <w:rFonts w:ascii="Times New Roman" w:hAnsi="Times New Roman" w:cs="Times New Roman"/>
        </w:rPr>
      </w:pPr>
      <w:r>
        <w:rPr>
          <w:rFonts w:ascii="Times New Roman" w:hAnsi="Times New Roman" w:cs="Times New Roman"/>
        </w:rPr>
        <w:pict w14:anchorId="402C3EFF">
          <v:rect id="_x0000_i1027" style="width:0;height:1.5pt" o:hralign="center" o:hrstd="t" o:hr="t"/>
        </w:pict>
      </w:r>
    </w:p>
    <w:p w14:paraId="6DAFE472" w14:textId="77777777" w:rsidR="002B462F" w:rsidRPr="00164444" w:rsidRDefault="00C052B5">
      <w:pPr>
        <w:pStyle w:val="Heading1"/>
        <w:rPr>
          <w:rFonts w:ascii="Times New Roman" w:hAnsi="Times New Roman" w:cs="Times New Roman"/>
        </w:rPr>
      </w:pPr>
      <w:bookmarkStart w:id="10" w:name="graphical-abstract"/>
      <w:bookmarkEnd w:id="9"/>
      <w:r w:rsidRPr="00164444">
        <w:rPr>
          <w:rFonts w:ascii="Times New Roman" w:hAnsi="Times New Roman" w:cs="Times New Roman"/>
        </w:rPr>
        <w:t>Graphical Abstract</w:t>
      </w:r>
    </w:p>
    <w:p w14:paraId="0FDBD11E" w14:textId="77777777" w:rsidR="002B462F" w:rsidRPr="00164444" w:rsidRDefault="00C052B5">
      <w:pPr>
        <w:pStyle w:val="SourceCode"/>
        <w:rPr>
          <w:rFonts w:ascii="Times New Roman" w:hAnsi="Times New Roman" w:cs="Times New Roman"/>
        </w:rPr>
      </w:pPr>
      <w:r w:rsidRPr="00164444">
        <w:rPr>
          <w:rStyle w:val="VerbatimChar"/>
          <w:rFonts w:ascii="Times New Roman" w:hAnsi="Times New Roman" w:cs="Times New Roman"/>
        </w:rPr>
        <w:t>ACS Patients → ECG Evalu</w:t>
      </w:r>
      <w:r w:rsidRPr="00164444">
        <w:rPr>
          <w:rStyle w:val="VerbatimChar"/>
          <w:rFonts w:ascii="Times New Roman" w:hAnsi="Times New Roman" w:cs="Times New Roman"/>
        </w:rPr>
        <w:t>ation → Lead aVR Analysis → Early Risk Stratification</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 xml:space="preserve">                     Severe Coronary Disease Prediction</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 xml:space="preserve">                    Improved Clinical Decision-Making</w:t>
      </w:r>
    </w:p>
    <w:p w14:paraId="32BBC988" w14:textId="77777777" w:rsidR="002B462F" w:rsidRPr="00164444" w:rsidRDefault="00C052B5">
      <w:pPr>
        <w:pStyle w:val="Heading1"/>
        <w:rPr>
          <w:rFonts w:ascii="Times New Roman" w:hAnsi="Times New Roman" w:cs="Times New Roman"/>
        </w:rPr>
      </w:pPr>
      <w:bookmarkStart w:id="11" w:name="introduction"/>
      <w:bookmarkEnd w:id="10"/>
      <w:r w:rsidRPr="00164444">
        <w:rPr>
          <w:rFonts w:ascii="Times New Roman" w:hAnsi="Times New Roman" w:cs="Times New Roman"/>
        </w:rPr>
        <w:t>Introduction</w:t>
      </w:r>
    </w:p>
    <w:p w14:paraId="692F40C5"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Acute C</w:t>
      </w:r>
      <w:r w:rsidRPr="00164444">
        <w:rPr>
          <w:rFonts w:ascii="Times New Roman" w:hAnsi="Times New Roman" w:cs="Times New Roman"/>
        </w:rPr>
        <w:t>oronary Syndrome (ACS) refers to a spectrum of clinical conditions caused by acute myocardial ischemia resulting from sudden reduction in coronary blood flow. It includes ST-segment elevation myocardial infarction (STEMI), non-ST-segment elevation myocardi</w:t>
      </w:r>
      <w:r w:rsidRPr="00164444">
        <w:rPr>
          <w:rFonts w:ascii="Times New Roman" w:hAnsi="Times New Roman" w:cs="Times New Roman"/>
        </w:rPr>
        <w:t>al infarction (NSTEMI), and unstable angina. ACS continues to be a major global health burden and is associated with significant morbidity, mortality, and healthcare expenditure.</w:t>
      </w:r>
    </w:p>
    <w:p w14:paraId="54D4A1A7"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Rapid diagnosis and early risk stratification are essential for improving outcomes in patients with ACS. Electrocardiography (ECG) is the most accessible and cost-effective diagnostic tool used in emergency settings for evaluating patients with suspected m</w:t>
      </w:r>
      <w:r w:rsidRPr="00164444">
        <w:rPr>
          <w:rFonts w:ascii="Times New Roman" w:hAnsi="Times New Roman" w:cs="Times New Roman"/>
        </w:rPr>
        <w:t>yocardial ischemia. Conventional ECG interpretation mainly focuses on anterior, inferior, and lateral leads, whereas lead aVR has traditionally been neglected.</w:t>
      </w:r>
    </w:p>
    <w:p w14:paraId="7C4A6692"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Recent evidence has demonstrated that ST-segment changes in lead aVR may indicate severe coronar</w:t>
      </w:r>
      <w:r w:rsidRPr="00164444">
        <w:rPr>
          <w:rFonts w:ascii="Times New Roman" w:hAnsi="Times New Roman" w:cs="Times New Roman"/>
        </w:rPr>
        <w:t>y artery disease, including left main coronary artery obstruction and triple-vessel disease. ST elevation in lead aVR has also been associated with increased in-hospital complications, arrhythmias, heart failure, and mortality. Therefore, lead aVR may prov</w:t>
      </w:r>
      <w:r w:rsidRPr="00164444">
        <w:rPr>
          <w:rFonts w:ascii="Times New Roman" w:hAnsi="Times New Roman" w:cs="Times New Roman"/>
        </w:rPr>
        <w:t>ide valuable prognostic information and assist in identifying high-risk ACS patients who require urgent intervention.</w:t>
      </w:r>
    </w:p>
    <w:p w14:paraId="4D4DE640"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The present study was conducted to evaluate the clinical profile of ACS patients and determine the significance of lead aVR changes in pre</w:t>
      </w:r>
      <w:r w:rsidRPr="00164444">
        <w:rPr>
          <w:rFonts w:ascii="Times New Roman" w:hAnsi="Times New Roman" w:cs="Times New Roman"/>
        </w:rPr>
        <w:t>dicting disease severity and adverse clinical outcomes.</w:t>
      </w:r>
    </w:p>
    <w:p w14:paraId="4086FECA" w14:textId="77777777" w:rsidR="002B462F" w:rsidRPr="00164444" w:rsidRDefault="00C052B5">
      <w:pPr>
        <w:rPr>
          <w:rFonts w:ascii="Times New Roman" w:hAnsi="Times New Roman" w:cs="Times New Roman"/>
        </w:rPr>
      </w:pPr>
      <w:r>
        <w:rPr>
          <w:rFonts w:ascii="Times New Roman" w:hAnsi="Times New Roman" w:cs="Times New Roman"/>
        </w:rPr>
        <w:pict w14:anchorId="7C79938D">
          <v:rect id="_x0000_i1028" style="width:0;height:1.5pt" o:hralign="center" o:hrstd="t" o:hr="t"/>
        </w:pict>
      </w:r>
    </w:p>
    <w:p w14:paraId="15E9678C" w14:textId="77777777" w:rsidR="002B462F" w:rsidRPr="00164444" w:rsidRDefault="00C052B5">
      <w:pPr>
        <w:pStyle w:val="Heading1"/>
        <w:rPr>
          <w:rFonts w:ascii="Times New Roman" w:hAnsi="Times New Roman" w:cs="Times New Roman"/>
        </w:rPr>
      </w:pPr>
      <w:bookmarkStart w:id="12" w:name="review-of-literature"/>
      <w:bookmarkEnd w:id="11"/>
      <w:r w:rsidRPr="00164444">
        <w:rPr>
          <w:rFonts w:ascii="Times New Roman" w:hAnsi="Times New Roman" w:cs="Times New Roman"/>
        </w:rPr>
        <w:lastRenderedPageBreak/>
        <w:t>Review of Literature</w:t>
      </w:r>
    </w:p>
    <w:p w14:paraId="3636295F"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The role of lead aVR in acute coronary syndrome has gained increasing attention over the last two decades. Traditionally regarded as a non-contributory ECG lead, aVR is now reco</w:t>
      </w:r>
      <w:r w:rsidRPr="00164444">
        <w:rPr>
          <w:rFonts w:ascii="Times New Roman" w:hAnsi="Times New Roman" w:cs="Times New Roman"/>
        </w:rPr>
        <w:t>gnized as an important marker of diffuse subendocardial ischemia and severe coronary artery involvement.</w:t>
      </w:r>
    </w:p>
    <w:p w14:paraId="56DDEE3D"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Yamaji et al. demonstrated that ST-segment elevation in lead aVR greater than or equal to lead V1 strongly predicts left main coronary artery obstructi</w:t>
      </w:r>
      <w:r w:rsidRPr="00164444">
        <w:rPr>
          <w:rFonts w:ascii="Times New Roman" w:hAnsi="Times New Roman" w:cs="Times New Roman"/>
        </w:rPr>
        <w:t>on. Barrabés et al. reported that ST elevation in lead aVR in NSTEMI patients was associated with increased mortality, recurrent ischemia, and heart failure. Kosuge et al. identified lead aVR elevation as an independent predictor of left main coronary arte</w:t>
      </w:r>
      <w:r w:rsidRPr="00164444">
        <w:rPr>
          <w:rFonts w:ascii="Times New Roman" w:hAnsi="Times New Roman" w:cs="Times New Roman"/>
        </w:rPr>
        <w:t>ry disease and triple-vessel disease.</w:t>
      </w:r>
    </w:p>
    <w:p w14:paraId="1B097400"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Several meta-analyses have further confirmed the prognostic value of lead aVR. Studies by Lee et al. and Kazemi et al. showed that ST-segment elevation in lead aVR significantly correlates with severe coronary artery d</w:t>
      </w:r>
      <w:r w:rsidRPr="00164444">
        <w:rPr>
          <w:rFonts w:ascii="Times New Roman" w:hAnsi="Times New Roman" w:cs="Times New Roman"/>
        </w:rPr>
        <w:t>isease and increased mortality in ACS patients.</w:t>
      </w:r>
    </w:p>
    <w:p w14:paraId="54B3F5AC"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These findings suggest that careful assessment of lead aVR can enhance early risk stratification and support timely management decisions in patients with ACS.</w:t>
      </w:r>
    </w:p>
    <w:p w14:paraId="16E4A0E0" w14:textId="77777777" w:rsidR="002B462F" w:rsidRPr="00164444" w:rsidRDefault="00C052B5">
      <w:pPr>
        <w:rPr>
          <w:rFonts w:ascii="Times New Roman" w:hAnsi="Times New Roman" w:cs="Times New Roman"/>
        </w:rPr>
      </w:pPr>
      <w:r>
        <w:rPr>
          <w:rFonts w:ascii="Times New Roman" w:hAnsi="Times New Roman" w:cs="Times New Roman"/>
        </w:rPr>
        <w:pict w14:anchorId="5F1E7D09">
          <v:rect id="_x0000_i1029" style="width:0;height:1.5pt" o:hralign="center" o:hrstd="t" o:hr="t"/>
        </w:pict>
      </w:r>
    </w:p>
    <w:p w14:paraId="5BFC7F99" w14:textId="77777777" w:rsidR="002B462F" w:rsidRPr="00164444" w:rsidRDefault="00C052B5">
      <w:pPr>
        <w:pStyle w:val="Heading1"/>
        <w:rPr>
          <w:rFonts w:ascii="Times New Roman" w:hAnsi="Times New Roman" w:cs="Times New Roman"/>
        </w:rPr>
      </w:pPr>
      <w:bookmarkStart w:id="13" w:name="aim-and-objectives"/>
      <w:bookmarkEnd w:id="12"/>
      <w:r w:rsidRPr="00164444">
        <w:rPr>
          <w:rFonts w:ascii="Times New Roman" w:hAnsi="Times New Roman" w:cs="Times New Roman"/>
        </w:rPr>
        <w:t>Aim and Objectives</w:t>
      </w:r>
    </w:p>
    <w:p w14:paraId="00B802B4" w14:textId="77777777" w:rsidR="002B462F" w:rsidRPr="00164444" w:rsidRDefault="00C052B5">
      <w:pPr>
        <w:pStyle w:val="Heading2"/>
        <w:rPr>
          <w:rFonts w:ascii="Times New Roman" w:hAnsi="Times New Roman" w:cs="Times New Roman"/>
        </w:rPr>
      </w:pPr>
      <w:bookmarkStart w:id="14" w:name="aim-1"/>
      <w:r w:rsidRPr="00164444">
        <w:rPr>
          <w:rFonts w:ascii="Times New Roman" w:hAnsi="Times New Roman" w:cs="Times New Roman"/>
        </w:rPr>
        <w:t>Aim</w:t>
      </w:r>
    </w:p>
    <w:p w14:paraId="2E4C5902"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To evaluate the clinical</w:t>
      </w:r>
      <w:r w:rsidRPr="00164444">
        <w:rPr>
          <w:rFonts w:ascii="Times New Roman" w:hAnsi="Times New Roman" w:cs="Times New Roman"/>
        </w:rPr>
        <w:t xml:space="preserve"> profile of patients with Acute Coronary Syndrome and assess the prognostic significance of ST-segment changes in lead aVR.</w:t>
      </w:r>
    </w:p>
    <w:p w14:paraId="41FF5C3F" w14:textId="77777777" w:rsidR="002B462F" w:rsidRPr="00164444" w:rsidRDefault="00C052B5">
      <w:pPr>
        <w:pStyle w:val="Heading2"/>
        <w:rPr>
          <w:rFonts w:ascii="Times New Roman" w:hAnsi="Times New Roman" w:cs="Times New Roman"/>
        </w:rPr>
      </w:pPr>
      <w:bookmarkStart w:id="15" w:name="objectives"/>
      <w:bookmarkEnd w:id="14"/>
      <w:r w:rsidRPr="00164444">
        <w:rPr>
          <w:rFonts w:ascii="Times New Roman" w:hAnsi="Times New Roman" w:cs="Times New Roman"/>
        </w:rPr>
        <w:t>Objectives</w:t>
      </w:r>
    </w:p>
    <w:p w14:paraId="7C82BCE7" w14:textId="77777777" w:rsidR="002B462F" w:rsidRPr="00164444" w:rsidRDefault="00C052B5">
      <w:pPr>
        <w:pStyle w:val="Compact"/>
        <w:numPr>
          <w:ilvl w:val="0"/>
          <w:numId w:val="3"/>
        </w:numPr>
        <w:rPr>
          <w:rFonts w:ascii="Times New Roman" w:hAnsi="Times New Roman" w:cs="Times New Roman"/>
        </w:rPr>
      </w:pPr>
      <w:r w:rsidRPr="00164444">
        <w:rPr>
          <w:rFonts w:ascii="Times New Roman" w:hAnsi="Times New Roman" w:cs="Times New Roman"/>
        </w:rPr>
        <w:t>To study the clinical profile of patients presenting with ACS.</w:t>
      </w:r>
    </w:p>
    <w:p w14:paraId="3E95F489" w14:textId="77777777" w:rsidR="002B462F" w:rsidRPr="00164444" w:rsidRDefault="00C052B5">
      <w:pPr>
        <w:pStyle w:val="Compact"/>
        <w:numPr>
          <w:ilvl w:val="0"/>
          <w:numId w:val="3"/>
        </w:numPr>
        <w:rPr>
          <w:rFonts w:ascii="Times New Roman" w:hAnsi="Times New Roman" w:cs="Times New Roman"/>
        </w:rPr>
      </w:pPr>
      <w:r w:rsidRPr="00164444">
        <w:rPr>
          <w:rFonts w:ascii="Times New Roman" w:hAnsi="Times New Roman" w:cs="Times New Roman"/>
        </w:rPr>
        <w:t>To evaluate the prevalence of lead aVR changes among ACS p</w:t>
      </w:r>
      <w:r w:rsidRPr="00164444">
        <w:rPr>
          <w:rFonts w:ascii="Times New Roman" w:hAnsi="Times New Roman" w:cs="Times New Roman"/>
        </w:rPr>
        <w:t>atients.</w:t>
      </w:r>
    </w:p>
    <w:p w14:paraId="19D3071C" w14:textId="77777777" w:rsidR="002B462F" w:rsidRPr="00164444" w:rsidRDefault="00C052B5">
      <w:pPr>
        <w:pStyle w:val="Compact"/>
        <w:numPr>
          <w:ilvl w:val="0"/>
          <w:numId w:val="3"/>
        </w:numPr>
        <w:rPr>
          <w:rFonts w:ascii="Times New Roman" w:hAnsi="Times New Roman" w:cs="Times New Roman"/>
        </w:rPr>
      </w:pPr>
      <w:r w:rsidRPr="00164444">
        <w:rPr>
          <w:rFonts w:ascii="Times New Roman" w:hAnsi="Times New Roman" w:cs="Times New Roman"/>
        </w:rPr>
        <w:t>To assess the association between lead aVR changes and cardiovascular risk factors.</w:t>
      </w:r>
    </w:p>
    <w:p w14:paraId="4FC480C2" w14:textId="77777777" w:rsidR="002B462F" w:rsidRPr="00164444" w:rsidRDefault="00C052B5">
      <w:pPr>
        <w:pStyle w:val="Compact"/>
        <w:numPr>
          <w:ilvl w:val="0"/>
          <w:numId w:val="3"/>
        </w:numPr>
        <w:rPr>
          <w:rFonts w:ascii="Times New Roman" w:hAnsi="Times New Roman" w:cs="Times New Roman"/>
        </w:rPr>
      </w:pPr>
      <w:r w:rsidRPr="00164444">
        <w:rPr>
          <w:rFonts w:ascii="Times New Roman" w:hAnsi="Times New Roman" w:cs="Times New Roman"/>
        </w:rPr>
        <w:t>To determine the prognostic significance of lead aVR changes in ACS.</w:t>
      </w:r>
    </w:p>
    <w:p w14:paraId="408C662C" w14:textId="77777777" w:rsidR="002B462F" w:rsidRPr="00164444" w:rsidRDefault="00C052B5">
      <w:pPr>
        <w:rPr>
          <w:rFonts w:ascii="Times New Roman" w:hAnsi="Times New Roman" w:cs="Times New Roman"/>
        </w:rPr>
      </w:pPr>
      <w:r>
        <w:rPr>
          <w:rFonts w:ascii="Times New Roman" w:hAnsi="Times New Roman" w:cs="Times New Roman"/>
        </w:rPr>
        <w:pict w14:anchorId="2FAFA301">
          <v:rect id="_x0000_i1030" style="width:0;height:1.5pt" o:hralign="center" o:hrstd="t" o:hr="t"/>
        </w:pict>
      </w:r>
    </w:p>
    <w:p w14:paraId="65387BB3" w14:textId="77777777" w:rsidR="002B462F" w:rsidRPr="00164444" w:rsidRDefault="00C052B5">
      <w:pPr>
        <w:pStyle w:val="Heading1"/>
        <w:rPr>
          <w:rFonts w:ascii="Times New Roman" w:hAnsi="Times New Roman" w:cs="Times New Roman"/>
        </w:rPr>
      </w:pPr>
      <w:bookmarkStart w:id="16" w:name="materials-and-methods"/>
      <w:bookmarkEnd w:id="13"/>
      <w:bookmarkEnd w:id="15"/>
      <w:r w:rsidRPr="00164444">
        <w:rPr>
          <w:rFonts w:ascii="Times New Roman" w:hAnsi="Times New Roman" w:cs="Times New Roman"/>
        </w:rPr>
        <w:t>Materials and Methods</w:t>
      </w:r>
    </w:p>
    <w:p w14:paraId="42EE7A70" w14:textId="77777777" w:rsidR="002B462F" w:rsidRPr="00164444" w:rsidRDefault="00C052B5">
      <w:pPr>
        <w:pStyle w:val="Heading2"/>
        <w:rPr>
          <w:rFonts w:ascii="Times New Roman" w:hAnsi="Times New Roman" w:cs="Times New Roman"/>
        </w:rPr>
      </w:pPr>
      <w:bookmarkStart w:id="17" w:name="study-flow-diagram"/>
      <w:r w:rsidRPr="00164444">
        <w:rPr>
          <w:rFonts w:ascii="Times New Roman" w:hAnsi="Times New Roman" w:cs="Times New Roman"/>
        </w:rPr>
        <w:t>Study Flow Diagram</w:t>
      </w:r>
    </w:p>
    <w:p w14:paraId="51DBF08E" w14:textId="77777777" w:rsidR="002B462F" w:rsidRPr="00164444" w:rsidRDefault="00C052B5">
      <w:pPr>
        <w:pStyle w:val="SourceCode"/>
        <w:rPr>
          <w:rFonts w:ascii="Times New Roman" w:hAnsi="Times New Roman" w:cs="Times New Roman"/>
        </w:rPr>
      </w:pPr>
      <w:r w:rsidRPr="00164444">
        <w:rPr>
          <w:rStyle w:val="VerbatimChar"/>
          <w:rFonts w:ascii="Times New Roman" w:hAnsi="Times New Roman" w:cs="Times New Roman"/>
        </w:rPr>
        <w:t>Patients assessed for eligibility (n = 82)</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Excluded (n = 7)</w:t>
      </w:r>
      <w:r w:rsidRPr="00164444">
        <w:rPr>
          <w:rFonts w:ascii="Times New Roman" w:hAnsi="Times New Roman" w:cs="Times New Roman"/>
        </w:rPr>
        <w:br/>
      </w:r>
      <w:r w:rsidRPr="00164444">
        <w:rPr>
          <w:rStyle w:val="VerbatimChar"/>
          <w:rFonts w:ascii="Times New Roman" w:hAnsi="Times New Roman" w:cs="Times New Roman"/>
        </w:rPr>
        <w:t>- Incomplete records</w:t>
      </w:r>
      <w:r w:rsidRPr="00164444">
        <w:rPr>
          <w:rFonts w:ascii="Times New Roman" w:hAnsi="Times New Roman" w:cs="Times New Roman"/>
        </w:rPr>
        <w:br/>
      </w:r>
      <w:r w:rsidRPr="00164444">
        <w:rPr>
          <w:rStyle w:val="VerbatimChar"/>
          <w:rFonts w:ascii="Times New Roman" w:hAnsi="Times New Roman" w:cs="Times New Roman"/>
        </w:rPr>
        <w:t>- ECG confounding abnormalities</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Patients included in study (n = 75)</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lastRenderedPageBreak/>
        <w:t>Clinical and ECG Evaluation</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Classification according to lead aVR changes</w:t>
      </w:r>
      <w:r w:rsidRPr="00164444">
        <w:rPr>
          <w:rFonts w:ascii="Times New Roman" w:hAnsi="Times New Roman" w:cs="Times New Roman"/>
        </w:rPr>
        <w:br/>
      </w:r>
      <w:r w:rsidRPr="00164444">
        <w:rPr>
          <w:rStyle w:val="VerbatimChar"/>
          <w:rFonts w:ascii="Times New Roman" w:hAnsi="Times New Roman" w:cs="Times New Roman"/>
        </w:rPr>
        <w:t xml:space="preserve">             </w:t>
      </w:r>
      <w:r w:rsidRPr="00164444">
        <w:rPr>
          <w:rStyle w:val="VerbatimChar"/>
          <w:rFonts w:ascii="Times New Roman" w:hAnsi="Times New Roman" w:cs="Times New Roman"/>
        </w:rPr>
        <w:t xml:space="preserve">   ↓</w:t>
      </w:r>
      <w:r w:rsidRPr="00164444">
        <w:rPr>
          <w:rFonts w:ascii="Times New Roman" w:hAnsi="Times New Roman" w:cs="Times New Roman"/>
        </w:rPr>
        <w:br/>
      </w:r>
      <w:r w:rsidRPr="00164444">
        <w:rPr>
          <w:rStyle w:val="VerbatimChar"/>
          <w:rFonts w:ascii="Times New Roman" w:hAnsi="Times New Roman" w:cs="Times New Roman"/>
        </w:rPr>
        <w:t>Statistical Analysis and Outcome Assessment</w:t>
      </w:r>
    </w:p>
    <w:p w14:paraId="7DA85791" w14:textId="77777777" w:rsidR="002B462F" w:rsidRPr="00164444" w:rsidRDefault="00C052B5">
      <w:pPr>
        <w:rPr>
          <w:rFonts w:ascii="Times New Roman" w:hAnsi="Times New Roman" w:cs="Times New Roman"/>
        </w:rPr>
      </w:pPr>
      <w:r>
        <w:rPr>
          <w:rFonts w:ascii="Times New Roman" w:hAnsi="Times New Roman" w:cs="Times New Roman"/>
        </w:rPr>
        <w:pict w14:anchorId="000D23F3">
          <v:rect id="_x0000_i1031" style="width:0;height:1.5pt" o:hralign="center" o:hrstd="t" o:hr="t"/>
        </w:pict>
      </w:r>
    </w:p>
    <w:p w14:paraId="3E3449AA" w14:textId="77777777" w:rsidR="002B462F" w:rsidRPr="00164444" w:rsidRDefault="00C052B5">
      <w:pPr>
        <w:pStyle w:val="Heading2"/>
        <w:rPr>
          <w:rFonts w:ascii="Times New Roman" w:hAnsi="Times New Roman" w:cs="Times New Roman"/>
        </w:rPr>
      </w:pPr>
      <w:bookmarkStart w:id="18" w:name="study-design"/>
      <w:bookmarkEnd w:id="17"/>
      <w:r w:rsidRPr="00164444">
        <w:rPr>
          <w:rFonts w:ascii="Times New Roman" w:hAnsi="Times New Roman" w:cs="Times New Roman"/>
        </w:rPr>
        <w:t>Study Design</w:t>
      </w:r>
    </w:p>
    <w:p w14:paraId="76FADF7D"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Hospital-based observational cross-sectional study.</w:t>
      </w:r>
    </w:p>
    <w:p w14:paraId="115CAB5C" w14:textId="77777777" w:rsidR="002B462F" w:rsidRPr="00164444" w:rsidRDefault="00C052B5">
      <w:pPr>
        <w:pStyle w:val="Heading2"/>
        <w:rPr>
          <w:rFonts w:ascii="Times New Roman" w:hAnsi="Times New Roman" w:cs="Times New Roman"/>
        </w:rPr>
      </w:pPr>
      <w:bookmarkStart w:id="19" w:name="study-setting"/>
      <w:bookmarkEnd w:id="18"/>
      <w:r w:rsidRPr="00164444">
        <w:rPr>
          <w:rFonts w:ascii="Times New Roman" w:hAnsi="Times New Roman" w:cs="Times New Roman"/>
        </w:rPr>
        <w:t>Study Setting</w:t>
      </w:r>
    </w:p>
    <w:p w14:paraId="2B26A018"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Department of General Medicine, MGM Medical College and Hospital, Kamothe, Navi Mumbai, Maharashtra.</w:t>
      </w:r>
    </w:p>
    <w:p w14:paraId="03D890FD" w14:textId="77777777" w:rsidR="002B462F" w:rsidRPr="00164444" w:rsidRDefault="00C052B5">
      <w:pPr>
        <w:pStyle w:val="Heading2"/>
        <w:rPr>
          <w:rFonts w:ascii="Times New Roman" w:hAnsi="Times New Roman" w:cs="Times New Roman"/>
        </w:rPr>
      </w:pPr>
      <w:bookmarkStart w:id="20" w:name="study-duration"/>
      <w:bookmarkEnd w:id="19"/>
      <w:r w:rsidRPr="00164444">
        <w:rPr>
          <w:rFonts w:ascii="Times New Roman" w:hAnsi="Times New Roman" w:cs="Times New Roman"/>
        </w:rPr>
        <w:t>Study Duration</w:t>
      </w:r>
    </w:p>
    <w:p w14:paraId="263EEC57"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 xml:space="preserve">June 2023 </w:t>
      </w:r>
      <w:r w:rsidRPr="00164444">
        <w:rPr>
          <w:rFonts w:ascii="Times New Roman" w:hAnsi="Times New Roman" w:cs="Times New Roman"/>
        </w:rPr>
        <w:t>to December 2024.</w:t>
      </w:r>
    </w:p>
    <w:p w14:paraId="56FD8272" w14:textId="77777777" w:rsidR="002B462F" w:rsidRPr="00164444" w:rsidRDefault="00C052B5">
      <w:pPr>
        <w:pStyle w:val="Heading2"/>
        <w:rPr>
          <w:rFonts w:ascii="Times New Roman" w:hAnsi="Times New Roman" w:cs="Times New Roman"/>
        </w:rPr>
      </w:pPr>
      <w:bookmarkStart w:id="21" w:name="study-population"/>
      <w:bookmarkEnd w:id="20"/>
      <w:r w:rsidRPr="00164444">
        <w:rPr>
          <w:rFonts w:ascii="Times New Roman" w:hAnsi="Times New Roman" w:cs="Times New Roman"/>
        </w:rPr>
        <w:t>Study Population</w:t>
      </w:r>
    </w:p>
    <w:p w14:paraId="56823C22"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A total of 75 patients diagnosed with Acute Coronary Syndrome were included in the study.</w:t>
      </w:r>
    </w:p>
    <w:p w14:paraId="5D49D3B2" w14:textId="77777777" w:rsidR="002B462F" w:rsidRPr="00164444" w:rsidRDefault="00C052B5">
      <w:pPr>
        <w:pStyle w:val="Heading2"/>
        <w:rPr>
          <w:rFonts w:ascii="Times New Roman" w:hAnsi="Times New Roman" w:cs="Times New Roman"/>
        </w:rPr>
      </w:pPr>
      <w:bookmarkStart w:id="22" w:name="inclusion-criteria"/>
      <w:bookmarkEnd w:id="21"/>
      <w:r w:rsidRPr="00164444">
        <w:rPr>
          <w:rFonts w:ascii="Times New Roman" w:hAnsi="Times New Roman" w:cs="Times New Roman"/>
        </w:rPr>
        <w:t>Inclusion Criteria</w:t>
      </w:r>
    </w:p>
    <w:p w14:paraId="744B2A5A" w14:textId="77777777" w:rsidR="002B462F" w:rsidRPr="00164444" w:rsidRDefault="00C052B5">
      <w:pPr>
        <w:pStyle w:val="Compact"/>
        <w:numPr>
          <w:ilvl w:val="0"/>
          <w:numId w:val="4"/>
        </w:numPr>
        <w:rPr>
          <w:rFonts w:ascii="Times New Roman" w:hAnsi="Times New Roman" w:cs="Times New Roman"/>
        </w:rPr>
      </w:pPr>
      <w:r w:rsidRPr="00164444">
        <w:rPr>
          <w:rFonts w:ascii="Times New Roman" w:hAnsi="Times New Roman" w:cs="Times New Roman"/>
        </w:rPr>
        <w:t>Patients aged ≥18 years.</w:t>
      </w:r>
    </w:p>
    <w:p w14:paraId="02A4C4F9" w14:textId="77777777" w:rsidR="002B462F" w:rsidRPr="00164444" w:rsidRDefault="00C052B5">
      <w:pPr>
        <w:pStyle w:val="Compact"/>
        <w:numPr>
          <w:ilvl w:val="0"/>
          <w:numId w:val="4"/>
        </w:numPr>
        <w:rPr>
          <w:rFonts w:ascii="Times New Roman" w:hAnsi="Times New Roman" w:cs="Times New Roman"/>
        </w:rPr>
      </w:pPr>
      <w:r w:rsidRPr="00164444">
        <w:rPr>
          <w:rFonts w:ascii="Times New Roman" w:hAnsi="Times New Roman" w:cs="Times New Roman"/>
        </w:rPr>
        <w:t>Diagnosed cases of STEMI, NSTEMI, or unstable angina.</w:t>
      </w:r>
    </w:p>
    <w:p w14:paraId="062524C1" w14:textId="77777777" w:rsidR="002B462F" w:rsidRPr="00164444" w:rsidRDefault="00C052B5">
      <w:pPr>
        <w:pStyle w:val="Compact"/>
        <w:numPr>
          <w:ilvl w:val="0"/>
          <w:numId w:val="4"/>
        </w:numPr>
        <w:rPr>
          <w:rFonts w:ascii="Times New Roman" w:hAnsi="Times New Roman" w:cs="Times New Roman"/>
        </w:rPr>
      </w:pPr>
      <w:r w:rsidRPr="00164444">
        <w:rPr>
          <w:rFonts w:ascii="Times New Roman" w:hAnsi="Times New Roman" w:cs="Times New Roman"/>
        </w:rPr>
        <w:t>ECG performed within 10 minutes o</w:t>
      </w:r>
      <w:r w:rsidRPr="00164444">
        <w:rPr>
          <w:rFonts w:ascii="Times New Roman" w:hAnsi="Times New Roman" w:cs="Times New Roman"/>
        </w:rPr>
        <w:t>f admission.</w:t>
      </w:r>
    </w:p>
    <w:p w14:paraId="59FFBE9B" w14:textId="77777777" w:rsidR="002B462F" w:rsidRPr="00164444" w:rsidRDefault="00C052B5">
      <w:pPr>
        <w:pStyle w:val="Compact"/>
        <w:numPr>
          <w:ilvl w:val="0"/>
          <w:numId w:val="4"/>
        </w:numPr>
        <w:rPr>
          <w:rFonts w:ascii="Times New Roman" w:hAnsi="Times New Roman" w:cs="Times New Roman"/>
        </w:rPr>
      </w:pPr>
      <w:r w:rsidRPr="00164444">
        <w:rPr>
          <w:rFonts w:ascii="Times New Roman" w:hAnsi="Times New Roman" w:cs="Times New Roman"/>
        </w:rPr>
        <w:t>Patients willing to provide informed consent.</w:t>
      </w:r>
    </w:p>
    <w:p w14:paraId="43401D83" w14:textId="77777777" w:rsidR="002B462F" w:rsidRPr="00164444" w:rsidRDefault="00C052B5">
      <w:pPr>
        <w:pStyle w:val="Heading2"/>
        <w:rPr>
          <w:rFonts w:ascii="Times New Roman" w:hAnsi="Times New Roman" w:cs="Times New Roman"/>
        </w:rPr>
      </w:pPr>
      <w:bookmarkStart w:id="23" w:name="exclusion-criteria"/>
      <w:bookmarkEnd w:id="22"/>
      <w:r w:rsidRPr="00164444">
        <w:rPr>
          <w:rFonts w:ascii="Times New Roman" w:hAnsi="Times New Roman" w:cs="Times New Roman"/>
        </w:rPr>
        <w:t>Exclusion Criteria</w:t>
      </w:r>
    </w:p>
    <w:p w14:paraId="0DB8F3A6" w14:textId="77777777" w:rsidR="002B462F" w:rsidRPr="00164444" w:rsidRDefault="00C052B5">
      <w:pPr>
        <w:pStyle w:val="Compact"/>
        <w:numPr>
          <w:ilvl w:val="0"/>
          <w:numId w:val="5"/>
        </w:numPr>
        <w:rPr>
          <w:rFonts w:ascii="Times New Roman" w:hAnsi="Times New Roman" w:cs="Times New Roman"/>
        </w:rPr>
      </w:pPr>
      <w:r w:rsidRPr="00164444">
        <w:rPr>
          <w:rFonts w:ascii="Times New Roman" w:hAnsi="Times New Roman" w:cs="Times New Roman"/>
        </w:rPr>
        <w:t>Left bundle branch block.</w:t>
      </w:r>
    </w:p>
    <w:p w14:paraId="0B67DE9B" w14:textId="77777777" w:rsidR="002B462F" w:rsidRPr="00164444" w:rsidRDefault="00C052B5">
      <w:pPr>
        <w:pStyle w:val="Compact"/>
        <w:numPr>
          <w:ilvl w:val="0"/>
          <w:numId w:val="5"/>
        </w:numPr>
        <w:rPr>
          <w:rFonts w:ascii="Times New Roman" w:hAnsi="Times New Roman" w:cs="Times New Roman"/>
        </w:rPr>
      </w:pPr>
      <w:r w:rsidRPr="00164444">
        <w:rPr>
          <w:rFonts w:ascii="Times New Roman" w:hAnsi="Times New Roman" w:cs="Times New Roman"/>
        </w:rPr>
        <w:t>Paced rhythm.</w:t>
      </w:r>
    </w:p>
    <w:p w14:paraId="2AD395BC" w14:textId="77777777" w:rsidR="002B462F" w:rsidRPr="00164444" w:rsidRDefault="00C052B5">
      <w:pPr>
        <w:pStyle w:val="Compact"/>
        <w:numPr>
          <w:ilvl w:val="0"/>
          <w:numId w:val="5"/>
        </w:numPr>
        <w:rPr>
          <w:rFonts w:ascii="Times New Roman" w:hAnsi="Times New Roman" w:cs="Times New Roman"/>
        </w:rPr>
      </w:pPr>
      <w:r w:rsidRPr="00164444">
        <w:rPr>
          <w:rFonts w:ascii="Times New Roman" w:hAnsi="Times New Roman" w:cs="Times New Roman"/>
        </w:rPr>
        <w:t>Severe valvular heart disease.</w:t>
      </w:r>
    </w:p>
    <w:p w14:paraId="12241455" w14:textId="77777777" w:rsidR="002B462F" w:rsidRPr="00164444" w:rsidRDefault="00C052B5">
      <w:pPr>
        <w:pStyle w:val="Compact"/>
        <w:numPr>
          <w:ilvl w:val="0"/>
          <w:numId w:val="5"/>
        </w:numPr>
        <w:rPr>
          <w:rFonts w:ascii="Times New Roman" w:hAnsi="Times New Roman" w:cs="Times New Roman"/>
        </w:rPr>
      </w:pPr>
      <w:r w:rsidRPr="00164444">
        <w:rPr>
          <w:rFonts w:ascii="Times New Roman" w:hAnsi="Times New Roman" w:cs="Times New Roman"/>
        </w:rPr>
        <w:t>Congenital heart disease.</w:t>
      </w:r>
    </w:p>
    <w:p w14:paraId="0D2CBBDA" w14:textId="77777777" w:rsidR="002B462F" w:rsidRPr="00164444" w:rsidRDefault="00C052B5">
      <w:pPr>
        <w:pStyle w:val="Compact"/>
        <w:numPr>
          <w:ilvl w:val="0"/>
          <w:numId w:val="5"/>
        </w:numPr>
        <w:rPr>
          <w:rFonts w:ascii="Times New Roman" w:hAnsi="Times New Roman" w:cs="Times New Roman"/>
        </w:rPr>
      </w:pPr>
      <w:r w:rsidRPr="00164444">
        <w:rPr>
          <w:rFonts w:ascii="Times New Roman" w:hAnsi="Times New Roman" w:cs="Times New Roman"/>
        </w:rPr>
        <w:t>Incomplete records.</w:t>
      </w:r>
    </w:p>
    <w:p w14:paraId="082F4BCD" w14:textId="77777777" w:rsidR="002B462F" w:rsidRPr="00164444" w:rsidRDefault="00C052B5">
      <w:pPr>
        <w:pStyle w:val="Heading2"/>
        <w:rPr>
          <w:rFonts w:ascii="Times New Roman" w:hAnsi="Times New Roman" w:cs="Times New Roman"/>
        </w:rPr>
      </w:pPr>
      <w:bookmarkStart w:id="24" w:name="data-collection"/>
      <w:bookmarkEnd w:id="23"/>
      <w:r w:rsidRPr="00164444">
        <w:rPr>
          <w:rFonts w:ascii="Times New Roman" w:hAnsi="Times New Roman" w:cs="Times New Roman"/>
        </w:rPr>
        <w:t>Data Collection</w:t>
      </w:r>
    </w:p>
    <w:p w14:paraId="197BB464"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A detailed history was obtained from all part</w:t>
      </w:r>
      <w:r w:rsidRPr="00164444">
        <w:rPr>
          <w:rFonts w:ascii="Times New Roman" w:hAnsi="Times New Roman" w:cs="Times New Roman"/>
        </w:rPr>
        <w:t>icipants. Demographic details, cardiovascular risk factors, laboratory investigations, ECG findings, and echocardiographic parameters were recorded.</w:t>
      </w:r>
    </w:p>
    <w:p w14:paraId="39C42DA8"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Lead aVR changes were categorized as:</w:t>
      </w:r>
    </w:p>
    <w:p w14:paraId="36184AE4" w14:textId="77777777" w:rsidR="002B462F" w:rsidRPr="00164444" w:rsidRDefault="00C052B5">
      <w:pPr>
        <w:pStyle w:val="Compact"/>
        <w:numPr>
          <w:ilvl w:val="0"/>
          <w:numId w:val="6"/>
        </w:numPr>
        <w:rPr>
          <w:rFonts w:ascii="Times New Roman" w:hAnsi="Times New Roman" w:cs="Times New Roman"/>
        </w:rPr>
      </w:pPr>
      <w:r w:rsidRPr="00164444">
        <w:rPr>
          <w:rFonts w:ascii="Times New Roman" w:hAnsi="Times New Roman" w:cs="Times New Roman"/>
        </w:rPr>
        <w:t>&lt;0.05 mm deviation</w:t>
      </w:r>
    </w:p>
    <w:p w14:paraId="5CFDE3E5" w14:textId="77777777" w:rsidR="002B462F" w:rsidRPr="00164444" w:rsidRDefault="00C052B5">
      <w:pPr>
        <w:pStyle w:val="Compact"/>
        <w:numPr>
          <w:ilvl w:val="0"/>
          <w:numId w:val="6"/>
        </w:numPr>
        <w:rPr>
          <w:rFonts w:ascii="Times New Roman" w:hAnsi="Times New Roman" w:cs="Times New Roman"/>
        </w:rPr>
      </w:pPr>
      <w:r w:rsidRPr="00164444">
        <w:rPr>
          <w:rFonts w:ascii="Times New Roman" w:hAnsi="Times New Roman" w:cs="Times New Roman"/>
        </w:rPr>
        <w:lastRenderedPageBreak/>
        <w:t>0.5–0.9 mm deviation</w:t>
      </w:r>
    </w:p>
    <w:p w14:paraId="131CA495" w14:textId="77777777" w:rsidR="002B462F" w:rsidRPr="00164444" w:rsidRDefault="00C052B5">
      <w:pPr>
        <w:pStyle w:val="Compact"/>
        <w:numPr>
          <w:ilvl w:val="0"/>
          <w:numId w:val="6"/>
        </w:numPr>
        <w:rPr>
          <w:rFonts w:ascii="Times New Roman" w:hAnsi="Times New Roman" w:cs="Times New Roman"/>
        </w:rPr>
      </w:pPr>
      <w:r w:rsidRPr="00164444">
        <w:rPr>
          <w:rFonts w:ascii="Times New Roman" w:hAnsi="Times New Roman" w:cs="Times New Roman"/>
        </w:rPr>
        <w:t>≥1 mm deviation</w:t>
      </w:r>
    </w:p>
    <w:p w14:paraId="4CE29A2E"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Patients were</w:t>
      </w:r>
      <w:r w:rsidRPr="00164444">
        <w:rPr>
          <w:rFonts w:ascii="Times New Roman" w:hAnsi="Times New Roman" w:cs="Times New Roman"/>
        </w:rPr>
        <w:t xml:space="preserve"> monitored for in-hospital complications including arrhythmias, recurrent ischemia, heart failure, cardiogenic shock, and mortality.</w:t>
      </w:r>
    </w:p>
    <w:p w14:paraId="2C41BD70" w14:textId="77777777" w:rsidR="002B462F" w:rsidRPr="00164444" w:rsidRDefault="00C052B5">
      <w:pPr>
        <w:pStyle w:val="Heading2"/>
        <w:rPr>
          <w:rFonts w:ascii="Times New Roman" w:hAnsi="Times New Roman" w:cs="Times New Roman"/>
        </w:rPr>
      </w:pPr>
      <w:bookmarkStart w:id="25" w:name="statistical-analysis"/>
      <w:bookmarkEnd w:id="24"/>
      <w:r w:rsidRPr="00164444">
        <w:rPr>
          <w:rFonts w:ascii="Times New Roman" w:hAnsi="Times New Roman" w:cs="Times New Roman"/>
        </w:rPr>
        <w:t>Statistical Analysis</w:t>
      </w:r>
    </w:p>
    <w:p w14:paraId="710D4CA6"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Data were analyzed using IBM SPSS Statistics version 26. Continuous variables were expressed as mean ±</w:t>
      </w:r>
      <w:r w:rsidRPr="00164444">
        <w:rPr>
          <w:rFonts w:ascii="Times New Roman" w:hAnsi="Times New Roman" w:cs="Times New Roman"/>
        </w:rPr>
        <w:t xml:space="preserve"> standard deviation, while categorical variables were expressed as frequencies and percentages. Chi-square test and ANOVA were used where appropriate. A p-value &lt;0.05 was considered statistically significant.</w:t>
      </w:r>
    </w:p>
    <w:p w14:paraId="264269C7" w14:textId="77777777" w:rsidR="002B462F" w:rsidRPr="00164444" w:rsidRDefault="00C052B5">
      <w:pPr>
        <w:rPr>
          <w:rFonts w:ascii="Times New Roman" w:hAnsi="Times New Roman" w:cs="Times New Roman"/>
        </w:rPr>
      </w:pPr>
      <w:r>
        <w:rPr>
          <w:rFonts w:ascii="Times New Roman" w:hAnsi="Times New Roman" w:cs="Times New Roman"/>
        </w:rPr>
        <w:pict w14:anchorId="1328D8CD">
          <v:rect id="_x0000_i1032" style="width:0;height:1.5pt" o:hralign="center" o:hrstd="t" o:hr="t"/>
        </w:pict>
      </w:r>
    </w:p>
    <w:p w14:paraId="5CE0B94E" w14:textId="77777777" w:rsidR="002B462F" w:rsidRPr="00164444" w:rsidRDefault="00C052B5">
      <w:pPr>
        <w:pStyle w:val="Heading1"/>
        <w:rPr>
          <w:rFonts w:ascii="Times New Roman" w:hAnsi="Times New Roman" w:cs="Times New Roman"/>
        </w:rPr>
      </w:pPr>
      <w:bookmarkStart w:id="26" w:name="results-1"/>
      <w:bookmarkEnd w:id="16"/>
      <w:bookmarkEnd w:id="25"/>
      <w:r w:rsidRPr="00164444">
        <w:rPr>
          <w:rFonts w:ascii="Times New Roman" w:hAnsi="Times New Roman" w:cs="Times New Roman"/>
        </w:rPr>
        <w:t>Results</w:t>
      </w:r>
    </w:p>
    <w:p w14:paraId="3431C026" w14:textId="77777777" w:rsidR="002B462F" w:rsidRPr="00164444" w:rsidRDefault="00C052B5">
      <w:pPr>
        <w:pStyle w:val="Heading2"/>
        <w:rPr>
          <w:rFonts w:ascii="Times New Roman" w:hAnsi="Times New Roman" w:cs="Times New Roman"/>
        </w:rPr>
      </w:pPr>
      <w:bookmarkStart w:id="27" w:name="demographic-characteristics"/>
      <w:r w:rsidRPr="00164444">
        <w:rPr>
          <w:rFonts w:ascii="Times New Roman" w:hAnsi="Times New Roman" w:cs="Times New Roman"/>
        </w:rPr>
        <w:t>Demographic Characteristics</w:t>
      </w:r>
    </w:p>
    <w:p w14:paraId="73A55156"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 xml:space="preserve">The mean </w:t>
      </w:r>
      <w:r w:rsidRPr="00164444">
        <w:rPr>
          <w:rFonts w:ascii="Times New Roman" w:hAnsi="Times New Roman" w:cs="Times New Roman"/>
        </w:rPr>
        <w:t>age of study participants was 57.04 ± 12.90 years, ranging from 26 to 90 years. The majority of patients belonged to the 51–60 years age group (33.3%), followed by the 61–70 years group (25.3%). Male patients constituted 62.7% of the study population.</w:t>
      </w:r>
    </w:p>
    <w:p w14:paraId="282E40C9" w14:textId="77777777" w:rsidR="002B462F" w:rsidRPr="00164444" w:rsidRDefault="00C052B5">
      <w:pPr>
        <w:pStyle w:val="Heading2"/>
        <w:rPr>
          <w:rFonts w:ascii="Times New Roman" w:hAnsi="Times New Roman" w:cs="Times New Roman"/>
        </w:rPr>
      </w:pPr>
      <w:bookmarkStart w:id="28" w:name="body-mass-index-distribution"/>
      <w:bookmarkEnd w:id="27"/>
      <w:r w:rsidRPr="00164444">
        <w:rPr>
          <w:rFonts w:ascii="Times New Roman" w:hAnsi="Times New Roman" w:cs="Times New Roman"/>
        </w:rPr>
        <w:t>Body</w:t>
      </w:r>
      <w:r w:rsidRPr="00164444">
        <w:rPr>
          <w:rFonts w:ascii="Times New Roman" w:hAnsi="Times New Roman" w:cs="Times New Roman"/>
        </w:rPr>
        <w:t xml:space="preserve"> Mass Index Distribution</w:t>
      </w:r>
    </w:p>
    <w:p w14:paraId="11783245"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Among the study participants:</w:t>
      </w:r>
    </w:p>
    <w:p w14:paraId="4B2D2CF9" w14:textId="77777777" w:rsidR="002B462F" w:rsidRPr="00164444" w:rsidRDefault="00C052B5">
      <w:pPr>
        <w:pStyle w:val="Compact"/>
        <w:numPr>
          <w:ilvl w:val="0"/>
          <w:numId w:val="7"/>
        </w:numPr>
        <w:rPr>
          <w:rFonts w:ascii="Times New Roman" w:hAnsi="Times New Roman" w:cs="Times New Roman"/>
        </w:rPr>
      </w:pPr>
      <w:r w:rsidRPr="00164444">
        <w:rPr>
          <w:rFonts w:ascii="Times New Roman" w:hAnsi="Times New Roman" w:cs="Times New Roman"/>
        </w:rPr>
        <w:t>17.3% were underweight</w:t>
      </w:r>
    </w:p>
    <w:p w14:paraId="1F23373B" w14:textId="77777777" w:rsidR="002B462F" w:rsidRPr="00164444" w:rsidRDefault="00C052B5">
      <w:pPr>
        <w:pStyle w:val="Compact"/>
        <w:numPr>
          <w:ilvl w:val="0"/>
          <w:numId w:val="7"/>
        </w:numPr>
        <w:rPr>
          <w:rFonts w:ascii="Times New Roman" w:hAnsi="Times New Roman" w:cs="Times New Roman"/>
        </w:rPr>
      </w:pPr>
      <w:r w:rsidRPr="00164444">
        <w:rPr>
          <w:rFonts w:ascii="Times New Roman" w:hAnsi="Times New Roman" w:cs="Times New Roman"/>
        </w:rPr>
        <w:t>25.3% had normal BMI</w:t>
      </w:r>
    </w:p>
    <w:p w14:paraId="250AA60E" w14:textId="77777777" w:rsidR="002B462F" w:rsidRPr="00164444" w:rsidRDefault="00C052B5">
      <w:pPr>
        <w:pStyle w:val="Compact"/>
        <w:numPr>
          <w:ilvl w:val="0"/>
          <w:numId w:val="7"/>
        </w:numPr>
        <w:rPr>
          <w:rFonts w:ascii="Times New Roman" w:hAnsi="Times New Roman" w:cs="Times New Roman"/>
        </w:rPr>
      </w:pPr>
      <w:r w:rsidRPr="00164444">
        <w:rPr>
          <w:rFonts w:ascii="Times New Roman" w:hAnsi="Times New Roman" w:cs="Times New Roman"/>
        </w:rPr>
        <w:t>30.7% were overweight</w:t>
      </w:r>
    </w:p>
    <w:p w14:paraId="249135D6" w14:textId="77777777" w:rsidR="002B462F" w:rsidRPr="00164444" w:rsidRDefault="00C052B5">
      <w:pPr>
        <w:pStyle w:val="Compact"/>
        <w:numPr>
          <w:ilvl w:val="0"/>
          <w:numId w:val="7"/>
        </w:numPr>
        <w:rPr>
          <w:rFonts w:ascii="Times New Roman" w:hAnsi="Times New Roman" w:cs="Times New Roman"/>
        </w:rPr>
      </w:pPr>
      <w:r w:rsidRPr="00164444">
        <w:rPr>
          <w:rFonts w:ascii="Times New Roman" w:hAnsi="Times New Roman" w:cs="Times New Roman"/>
        </w:rPr>
        <w:t>26.7% were obese</w:t>
      </w:r>
    </w:p>
    <w:p w14:paraId="71CB28E8"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These findings indicate a high prevalence of overweight and obesity among ACS patients.</w:t>
      </w:r>
    </w:p>
    <w:p w14:paraId="19ED4824" w14:textId="77777777" w:rsidR="002B462F" w:rsidRPr="00164444" w:rsidRDefault="00C052B5">
      <w:pPr>
        <w:pStyle w:val="Heading2"/>
        <w:rPr>
          <w:rFonts w:ascii="Times New Roman" w:hAnsi="Times New Roman" w:cs="Times New Roman"/>
        </w:rPr>
      </w:pPr>
      <w:bookmarkStart w:id="29" w:name="smoking-status"/>
      <w:bookmarkEnd w:id="28"/>
      <w:r w:rsidRPr="00164444">
        <w:rPr>
          <w:rFonts w:ascii="Times New Roman" w:hAnsi="Times New Roman" w:cs="Times New Roman"/>
        </w:rPr>
        <w:t>Smoking Status</w:t>
      </w:r>
    </w:p>
    <w:p w14:paraId="3EF54A4C"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Approximately 3</w:t>
      </w:r>
      <w:r w:rsidRPr="00164444">
        <w:rPr>
          <w:rFonts w:ascii="Times New Roman" w:hAnsi="Times New Roman" w:cs="Times New Roman"/>
        </w:rPr>
        <w:t>0.7% of patients had a history of smoking. Current smokers accounted for 20% and former smokers for 10.7% of participants.</w:t>
      </w:r>
    </w:p>
    <w:p w14:paraId="63300872" w14:textId="77777777" w:rsidR="002B462F" w:rsidRPr="00164444" w:rsidRDefault="00C052B5">
      <w:pPr>
        <w:pStyle w:val="Heading2"/>
        <w:rPr>
          <w:rFonts w:ascii="Times New Roman" w:hAnsi="Times New Roman" w:cs="Times New Roman"/>
        </w:rPr>
      </w:pPr>
      <w:bookmarkStart w:id="30" w:name="comorbidities"/>
      <w:bookmarkEnd w:id="29"/>
      <w:r w:rsidRPr="00164444">
        <w:rPr>
          <w:rFonts w:ascii="Times New Roman" w:hAnsi="Times New Roman" w:cs="Times New Roman"/>
        </w:rPr>
        <w:t>Comorbidities</w:t>
      </w:r>
    </w:p>
    <w:p w14:paraId="44C0D827"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Hypertension was present in 60% of patients, making it the most common comorbidity. Diabetes mellitus was observed in 5</w:t>
      </w:r>
      <w:r w:rsidRPr="00164444">
        <w:rPr>
          <w:rFonts w:ascii="Times New Roman" w:hAnsi="Times New Roman" w:cs="Times New Roman"/>
        </w:rPr>
        <w:t>0.7% of participants.</w:t>
      </w:r>
    </w:p>
    <w:p w14:paraId="353128BC" w14:textId="77777777" w:rsidR="002B462F" w:rsidRPr="00164444" w:rsidRDefault="00C052B5">
      <w:pPr>
        <w:pStyle w:val="Heading2"/>
        <w:rPr>
          <w:rFonts w:ascii="Times New Roman" w:hAnsi="Times New Roman" w:cs="Times New Roman"/>
        </w:rPr>
      </w:pPr>
      <w:bookmarkStart w:id="31" w:name="clinical-and-laboratory-parameters"/>
      <w:bookmarkEnd w:id="30"/>
      <w:r w:rsidRPr="00164444">
        <w:rPr>
          <w:rFonts w:ascii="Times New Roman" w:hAnsi="Times New Roman" w:cs="Times New Roman"/>
        </w:rPr>
        <w:t>Clinical and Laboratory Parameters</w:t>
      </w:r>
    </w:p>
    <w:p w14:paraId="39F48299"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The mean systolic blood pressure was 139.8 ± 24.21 mmHg. The average ejection fraction was 51.45 ± 10%, suggesting preserved or mildly reduced ventricular function in most patients.</w:t>
      </w:r>
    </w:p>
    <w:p w14:paraId="7442FA4D" w14:textId="77777777" w:rsidR="002B462F" w:rsidRPr="00164444" w:rsidRDefault="00C052B5">
      <w:pPr>
        <w:pStyle w:val="Heading2"/>
        <w:rPr>
          <w:rFonts w:ascii="Times New Roman" w:hAnsi="Times New Roman" w:cs="Times New Roman"/>
        </w:rPr>
      </w:pPr>
      <w:bookmarkStart w:id="32" w:name="lead-avr-changes"/>
      <w:bookmarkEnd w:id="31"/>
      <w:r w:rsidRPr="00164444">
        <w:rPr>
          <w:rFonts w:ascii="Times New Roman" w:hAnsi="Times New Roman" w:cs="Times New Roman"/>
        </w:rPr>
        <w:lastRenderedPageBreak/>
        <w:t>Lead aVR Changes</w:t>
      </w:r>
    </w:p>
    <w:p w14:paraId="48894A31"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The distribution of lead aVR changes was as follows:</w:t>
      </w:r>
    </w:p>
    <w:p w14:paraId="55F01B22" w14:textId="77777777" w:rsidR="002B462F" w:rsidRPr="00164444" w:rsidRDefault="00C052B5">
      <w:pPr>
        <w:pStyle w:val="Compact"/>
        <w:numPr>
          <w:ilvl w:val="0"/>
          <w:numId w:val="8"/>
        </w:numPr>
        <w:rPr>
          <w:rFonts w:ascii="Times New Roman" w:hAnsi="Times New Roman" w:cs="Times New Roman"/>
        </w:rPr>
      </w:pPr>
      <w:r w:rsidRPr="00164444">
        <w:rPr>
          <w:rFonts w:ascii="Times New Roman" w:hAnsi="Times New Roman" w:cs="Times New Roman"/>
        </w:rPr>
        <w:t>&lt;0.05 mm: 32%</w:t>
      </w:r>
    </w:p>
    <w:p w14:paraId="774DBF50" w14:textId="77777777" w:rsidR="002B462F" w:rsidRPr="00164444" w:rsidRDefault="00C052B5">
      <w:pPr>
        <w:pStyle w:val="Compact"/>
        <w:numPr>
          <w:ilvl w:val="0"/>
          <w:numId w:val="8"/>
        </w:numPr>
        <w:rPr>
          <w:rFonts w:ascii="Times New Roman" w:hAnsi="Times New Roman" w:cs="Times New Roman"/>
        </w:rPr>
      </w:pPr>
      <w:r w:rsidRPr="00164444">
        <w:rPr>
          <w:rFonts w:ascii="Times New Roman" w:hAnsi="Times New Roman" w:cs="Times New Roman"/>
        </w:rPr>
        <w:t>0.5–0.9 mm: 34.7%</w:t>
      </w:r>
    </w:p>
    <w:p w14:paraId="7CB169B4" w14:textId="77777777" w:rsidR="002B462F" w:rsidRPr="00164444" w:rsidRDefault="00C052B5">
      <w:pPr>
        <w:pStyle w:val="Compact"/>
        <w:numPr>
          <w:ilvl w:val="0"/>
          <w:numId w:val="8"/>
        </w:numPr>
        <w:rPr>
          <w:rFonts w:ascii="Times New Roman" w:hAnsi="Times New Roman" w:cs="Times New Roman"/>
        </w:rPr>
      </w:pPr>
      <w:r w:rsidRPr="00164444">
        <w:rPr>
          <w:rFonts w:ascii="Times New Roman" w:hAnsi="Times New Roman" w:cs="Times New Roman"/>
        </w:rPr>
        <w:t>≥1 mm: 33.3%</w:t>
      </w:r>
    </w:p>
    <w:p w14:paraId="3D311228"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These findings demonstrate that significant lead aVR changes were present in nearly two-thirds of ACS patients.</w:t>
      </w:r>
    </w:p>
    <w:p w14:paraId="1E925470" w14:textId="77777777" w:rsidR="002B462F" w:rsidRPr="00164444" w:rsidRDefault="00C052B5">
      <w:pPr>
        <w:pStyle w:val="Heading2"/>
        <w:rPr>
          <w:rFonts w:ascii="Times New Roman" w:hAnsi="Times New Roman" w:cs="Times New Roman"/>
        </w:rPr>
      </w:pPr>
      <w:bookmarkStart w:id="33" w:name="type-of-myocardial-infarction"/>
      <w:bookmarkEnd w:id="32"/>
      <w:r w:rsidRPr="00164444">
        <w:rPr>
          <w:rFonts w:ascii="Times New Roman" w:hAnsi="Times New Roman" w:cs="Times New Roman"/>
        </w:rPr>
        <w:t>Type of Myocardial Infarction</w:t>
      </w:r>
    </w:p>
    <w:p w14:paraId="6EBE003C"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STEMI was observ</w:t>
      </w:r>
      <w:r w:rsidRPr="00164444">
        <w:rPr>
          <w:rFonts w:ascii="Times New Roman" w:hAnsi="Times New Roman" w:cs="Times New Roman"/>
        </w:rPr>
        <w:t>ed in 52% of patients, while NSTEMI accounted for 48%.</w:t>
      </w:r>
    </w:p>
    <w:p w14:paraId="0A1BFCCE" w14:textId="77777777" w:rsidR="002B462F" w:rsidRPr="00164444" w:rsidRDefault="00C052B5">
      <w:pPr>
        <w:pStyle w:val="Heading2"/>
        <w:rPr>
          <w:rFonts w:ascii="Times New Roman" w:hAnsi="Times New Roman" w:cs="Times New Roman"/>
        </w:rPr>
      </w:pPr>
      <w:bookmarkStart w:id="34" w:name="ecg-findings"/>
      <w:bookmarkEnd w:id="33"/>
      <w:r w:rsidRPr="00164444">
        <w:rPr>
          <w:rFonts w:ascii="Times New Roman" w:hAnsi="Times New Roman" w:cs="Times New Roman"/>
        </w:rPr>
        <w:t>ECG Findings</w:t>
      </w:r>
    </w:p>
    <w:p w14:paraId="6EBE19D0" w14:textId="77777777" w:rsidR="002B462F" w:rsidRPr="00164444" w:rsidRDefault="00C052B5" w:rsidP="00164444">
      <w:pPr>
        <w:pStyle w:val="FirstParagraph"/>
        <w:spacing w:line="360" w:lineRule="auto"/>
        <w:rPr>
          <w:rFonts w:ascii="Times New Roman" w:hAnsi="Times New Roman" w:cs="Times New Roman"/>
        </w:rPr>
      </w:pPr>
      <w:r w:rsidRPr="00164444">
        <w:rPr>
          <w:rFonts w:ascii="Times New Roman" w:hAnsi="Times New Roman" w:cs="Times New Roman"/>
        </w:rPr>
        <w:t>Abnormal P-wave morphology was present in 53.3% of patients. Widened QRS complexes were noted in 54.7% of cases.</w:t>
      </w:r>
    </w:p>
    <w:p w14:paraId="1FA353D1" w14:textId="77777777" w:rsidR="00164444" w:rsidRPr="00164444" w:rsidRDefault="00164444" w:rsidP="00164444">
      <w:pPr>
        <w:pStyle w:val="Heading3"/>
        <w:spacing w:line="360" w:lineRule="auto"/>
        <w:rPr>
          <w:rFonts w:ascii="Times New Roman" w:hAnsi="Times New Roman" w:cs="Times New Roman"/>
          <w:sz w:val="40"/>
          <w:szCs w:val="40"/>
        </w:rPr>
      </w:pPr>
      <w:bookmarkStart w:id="35" w:name="results"/>
      <w:bookmarkStart w:id="36" w:name="X804ab2366e0c3a18695c2154d292a8c9f8b1546"/>
      <w:bookmarkEnd w:id="34"/>
      <w:r w:rsidRPr="00164444">
        <w:rPr>
          <w:rFonts w:ascii="Times New Roman" w:hAnsi="Times New Roman" w:cs="Times New Roman"/>
          <w:sz w:val="40"/>
          <w:szCs w:val="40"/>
        </w:rPr>
        <w:t>Results</w:t>
      </w:r>
    </w:p>
    <w:p w14:paraId="57D337A4" w14:textId="77777777" w:rsidR="00164444" w:rsidRPr="00164444" w:rsidRDefault="00164444" w:rsidP="00164444">
      <w:pPr>
        <w:pStyle w:val="Heading2"/>
        <w:spacing w:line="360" w:lineRule="auto"/>
        <w:rPr>
          <w:rFonts w:ascii="Times New Roman" w:hAnsi="Times New Roman" w:cs="Times New Roman"/>
        </w:rPr>
      </w:pPr>
      <w:bookmarkStart w:id="37" w:name="X4a8b20f7bb89c6d3eb64b3f82617fd26ed25322"/>
      <w:bookmarkEnd w:id="35"/>
      <w:r w:rsidRPr="00164444">
        <w:rPr>
          <w:rFonts w:ascii="Times New Roman" w:hAnsi="Times New Roman" w:cs="Times New Roman"/>
        </w:rPr>
        <w:t>Table 1: Age-wise Distribution of Study Participants</w:t>
      </w:r>
    </w:p>
    <w:tbl>
      <w:tblPr>
        <w:tblStyle w:val="Table"/>
        <w:tblW w:w="0" w:type="auto"/>
        <w:tblLook w:val="0020" w:firstRow="1" w:lastRow="0" w:firstColumn="0" w:lastColumn="0" w:noHBand="0" w:noVBand="0"/>
      </w:tblPr>
      <w:tblGrid>
        <w:gridCol w:w="2069"/>
        <w:gridCol w:w="1229"/>
        <w:gridCol w:w="1269"/>
      </w:tblGrid>
      <w:tr w:rsidR="00164444" w:rsidRPr="00164444" w14:paraId="1537314A"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5D0A69B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Age Group (Years)</w:t>
            </w:r>
          </w:p>
        </w:tc>
        <w:tc>
          <w:tcPr>
            <w:tcW w:w="0" w:type="auto"/>
          </w:tcPr>
          <w:p w14:paraId="7385805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6399900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13CFF928" w14:textId="77777777" w:rsidTr="00464414">
        <w:tc>
          <w:tcPr>
            <w:tcW w:w="0" w:type="auto"/>
          </w:tcPr>
          <w:p w14:paraId="016AA81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≤30</w:t>
            </w:r>
          </w:p>
        </w:tc>
        <w:tc>
          <w:tcPr>
            <w:tcW w:w="0" w:type="auto"/>
          </w:tcPr>
          <w:p w14:paraId="73BE794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w:t>
            </w:r>
          </w:p>
        </w:tc>
        <w:tc>
          <w:tcPr>
            <w:tcW w:w="0" w:type="auto"/>
          </w:tcPr>
          <w:p w14:paraId="6D3E8DB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2.7%</w:t>
            </w:r>
          </w:p>
        </w:tc>
      </w:tr>
      <w:tr w:rsidR="00164444" w:rsidRPr="00164444" w14:paraId="29197CD6" w14:textId="77777777" w:rsidTr="00464414">
        <w:tc>
          <w:tcPr>
            <w:tcW w:w="0" w:type="auto"/>
          </w:tcPr>
          <w:p w14:paraId="2C962C4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31–40</w:t>
            </w:r>
          </w:p>
        </w:tc>
        <w:tc>
          <w:tcPr>
            <w:tcW w:w="0" w:type="auto"/>
          </w:tcPr>
          <w:p w14:paraId="182C805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w:t>
            </w:r>
          </w:p>
        </w:tc>
        <w:tc>
          <w:tcPr>
            <w:tcW w:w="0" w:type="auto"/>
          </w:tcPr>
          <w:p w14:paraId="7E449BC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4.0%</w:t>
            </w:r>
          </w:p>
        </w:tc>
      </w:tr>
      <w:tr w:rsidR="00164444" w:rsidRPr="00164444" w14:paraId="382CE798" w14:textId="77777777" w:rsidTr="00464414">
        <w:tc>
          <w:tcPr>
            <w:tcW w:w="0" w:type="auto"/>
          </w:tcPr>
          <w:p w14:paraId="51D6D94F"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41–50</w:t>
            </w:r>
          </w:p>
        </w:tc>
        <w:tc>
          <w:tcPr>
            <w:tcW w:w="0" w:type="auto"/>
          </w:tcPr>
          <w:p w14:paraId="3A5B950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17</w:t>
            </w:r>
          </w:p>
        </w:tc>
        <w:tc>
          <w:tcPr>
            <w:tcW w:w="0" w:type="auto"/>
          </w:tcPr>
          <w:p w14:paraId="6671D60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22.7%</w:t>
            </w:r>
          </w:p>
        </w:tc>
      </w:tr>
      <w:tr w:rsidR="00164444" w:rsidRPr="00164444" w14:paraId="19BC92B3" w14:textId="77777777" w:rsidTr="00464414">
        <w:tc>
          <w:tcPr>
            <w:tcW w:w="0" w:type="auto"/>
          </w:tcPr>
          <w:p w14:paraId="2DBD8145"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51–60</w:t>
            </w:r>
          </w:p>
        </w:tc>
        <w:tc>
          <w:tcPr>
            <w:tcW w:w="0" w:type="auto"/>
          </w:tcPr>
          <w:p w14:paraId="5A14FFB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25</w:t>
            </w:r>
          </w:p>
        </w:tc>
        <w:tc>
          <w:tcPr>
            <w:tcW w:w="0" w:type="auto"/>
          </w:tcPr>
          <w:p w14:paraId="72A4076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33.3%</w:t>
            </w:r>
          </w:p>
        </w:tc>
      </w:tr>
      <w:tr w:rsidR="00164444" w:rsidRPr="00164444" w14:paraId="4E69C673" w14:textId="77777777" w:rsidTr="00464414">
        <w:tc>
          <w:tcPr>
            <w:tcW w:w="0" w:type="auto"/>
          </w:tcPr>
          <w:p w14:paraId="72548ACE"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61–70</w:t>
            </w:r>
          </w:p>
        </w:tc>
        <w:tc>
          <w:tcPr>
            <w:tcW w:w="0" w:type="auto"/>
          </w:tcPr>
          <w:p w14:paraId="305E005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19</w:t>
            </w:r>
          </w:p>
        </w:tc>
        <w:tc>
          <w:tcPr>
            <w:tcW w:w="0" w:type="auto"/>
          </w:tcPr>
          <w:p w14:paraId="2140CF9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25.3%</w:t>
            </w:r>
          </w:p>
        </w:tc>
      </w:tr>
      <w:tr w:rsidR="00164444" w:rsidRPr="00164444" w14:paraId="051D06A6" w14:textId="77777777" w:rsidTr="00464414">
        <w:tc>
          <w:tcPr>
            <w:tcW w:w="0" w:type="auto"/>
          </w:tcPr>
          <w:p w14:paraId="4AEF12C0"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71–80</w:t>
            </w:r>
          </w:p>
        </w:tc>
        <w:tc>
          <w:tcPr>
            <w:tcW w:w="0" w:type="auto"/>
          </w:tcPr>
          <w:p w14:paraId="50AF3BF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w:t>
            </w:r>
          </w:p>
        </w:tc>
        <w:tc>
          <w:tcPr>
            <w:tcW w:w="0" w:type="auto"/>
          </w:tcPr>
          <w:p w14:paraId="6D9B97D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8.0%</w:t>
            </w:r>
          </w:p>
        </w:tc>
      </w:tr>
      <w:tr w:rsidR="00164444" w:rsidRPr="00164444" w14:paraId="1FA04E51" w14:textId="77777777" w:rsidTr="00464414">
        <w:tc>
          <w:tcPr>
            <w:tcW w:w="0" w:type="auto"/>
          </w:tcPr>
          <w:p w14:paraId="4594C56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&gt;80</w:t>
            </w:r>
          </w:p>
        </w:tc>
        <w:tc>
          <w:tcPr>
            <w:tcW w:w="0" w:type="auto"/>
          </w:tcPr>
          <w:p w14:paraId="7764E11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w:t>
            </w:r>
          </w:p>
        </w:tc>
        <w:tc>
          <w:tcPr>
            <w:tcW w:w="0" w:type="auto"/>
          </w:tcPr>
          <w:p w14:paraId="741D35A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4.0%</w:t>
            </w:r>
          </w:p>
        </w:tc>
      </w:tr>
      <w:tr w:rsidR="00164444" w:rsidRPr="00164444" w14:paraId="7FCE5EB0" w14:textId="77777777" w:rsidTr="00464414">
        <w:tc>
          <w:tcPr>
            <w:tcW w:w="0" w:type="auto"/>
          </w:tcPr>
          <w:p w14:paraId="63E93CA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05C8106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672B364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2B1393C7" w14:textId="77777777" w:rsidR="00164444" w:rsidRPr="00164444" w:rsidRDefault="00164444" w:rsidP="00164444">
      <w:pPr>
        <w:pStyle w:val="Heading3"/>
        <w:spacing w:line="360" w:lineRule="auto"/>
        <w:rPr>
          <w:rFonts w:ascii="Times New Roman" w:hAnsi="Times New Roman" w:cs="Times New Roman"/>
        </w:rPr>
      </w:pPr>
      <w:bookmarkStart w:id="38" w:name="figure-1-age-wise-distribution"/>
      <w:r w:rsidRPr="00164444">
        <w:rPr>
          <w:rFonts w:ascii="Times New Roman" w:hAnsi="Times New Roman" w:cs="Times New Roman"/>
        </w:rPr>
        <w:t>Figure 1: Age-wise Distribution</w:t>
      </w:r>
    </w:p>
    <w:p w14:paraId="29190D4A"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51–60 years  █████████████████████████</w:t>
      </w:r>
      <w:r w:rsidRPr="00164444">
        <w:rPr>
          <w:rFonts w:ascii="Times New Roman" w:hAnsi="Times New Roman" w:cs="Times New Roman"/>
        </w:rPr>
        <w:br/>
      </w:r>
      <w:r w:rsidRPr="00164444">
        <w:rPr>
          <w:rStyle w:val="VerbatimChar"/>
          <w:rFonts w:ascii="Times New Roman" w:hAnsi="Times New Roman" w:cs="Times New Roman"/>
        </w:rPr>
        <w:t>61–70 years  ███████████████████</w:t>
      </w:r>
      <w:r w:rsidRPr="00164444">
        <w:rPr>
          <w:rFonts w:ascii="Times New Roman" w:hAnsi="Times New Roman" w:cs="Times New Roman"/>
        </w:rPr>
        <w:br/>
      </w:r>
      <w:r w:rsidRPr="00164444">
        <w:rPr>
          <w:rStyle w:val="VerbatimChar"/>
          <w:rFonts w:ascii="Times New Roman" w:hAnsi="Times New Roman" w:cs="Times New Roman"/>
        </w:rPr>
        <w:lastRenderedPageBreak/>
        <w:t>41–50 years  █████████████</w:t>
      </w:r>
      <w:r w:rsidRPr="00164444">
        <w:rPr>
          <w:rFonts w:ascii="Times New Roman" w:hAnsi="Times New Roman" w:cs="Times New Roman"/>
        </w:rPr>
        <w:br/>
      </w:r>
      <w:r w:rsidRPr="00164444">
        <w:rPr>
          <w:rStyle w:val="VerbatimChar"/>
          <w:rFonts w:ascii="Times New Roman" w:hAnsi="Times New Roman" w:cs="Times New Roman"/>
        </w:rPr>
        <w:t>71–80 years  █████</w:t>
      </w:r>
      <w:r w:rsidRPr="00164444">
        <w:rPr>
          <w:rFonts w:ascii="Times New Roman" w:hAnsi="Times New Roman" w:cs="Times New Roman"/>
        </w:rPr>
        <w:br/>
      </w:r>
      <w:r w:rsidRPr="00164444">
        <w:rPr>
          <w:rStyle w:val="VerbatimChar"/>
          <w:rFonts w:ascii="Times New Roman" w:hAnsi="Times New Roman" w:cs="Times New Roman"/>
        </w:rPr>
        <w:t>31–40 years  ██</w:t>
      </w:r>
      <w:r w:rsidRPr="00164444">
        <w:rPr>
          <w:rFonts w:ascii="Times New Roman" w:hAnsi="Times New Roman" w:cs="Times New Roman"/>
        </w:rPr>
        <w:br/>
      </w:r>
      <w:r w:rsidRPr="00164444">
        <w:rPr>
          <w:rStyle w:val="VerbatimChar"/>
          <w:rFonts w:ascii="Times New Roman" w:hAnsi="Times New Roman" w:cs="Times New Roman"/>
        </w:rPr>
        <w:t>&gt;80 years    ██</w:t>
      </w:r>
      <w:r w:rsidRPr="00164444">
        <w:rPr>
          <w:rFonts w:ascii="Times New Roman" w:hAnsi="Times New Roman" w:cs="Times New Roman"/>
        </w:rPr>
        <w:br/>
      </w:r>
      <w:r w:rsidRPr="00164444">
        <w:rPr>
          <w:rStyle w:val="VerbatimChar"/>
          <w:rFonts w:ascii="Times New Roman" w:hAnsi="Times New Roman" w:cs="Times New Roman"/>
        </w:rPr>
        <w:t>≤30 years    ██</w:t>
      </w:r>
    </w:p>
    <w:p w14:paraId="411F9B1C" w14:textId="77777777" w:rsidR="00164444" w:rsidRPr="00164444" w:rsidRDefault="00164444" w:rsidP="00164444">
      <w:pPr>
        <w:pStyle w:val="Heading2"/>
        <w:spacing w:line="360" w:lineRule="auto"/>
        <w:rPr>
          <w:rFonts w:ascii="Times New Roman" w:hAnsi="Times New Roman" w:cs="Times New Roman"/>
        </w:rPr>
      </w:pPr>
      <w:bookmarkStart w:id="39" w:name="table-2-gender-wise-distribution"/>
      <w:bookmarkEnd w:id="37"/>
      <w:bookmarkEnd w:id="38"/>
      <w:r w:rsidRPr="00164444">
        <w:rPr>
          <w:rFonts w:ascii="Times New Roman" w:hAnsi="Times New Roman" w:cs="Times New Roman"/>
        </w:rPr>
        <w:t>Table 2: Gender-wise Distribution</w:t>
      </w:r>
    </w:p>
    <w:tbl>
      <w:tblPr>
        <w:tblStyle w:val="Table"/>
        <w:tblW w:w="0" w:type="auto"/>
        <w:tblLook w:val="0020" w:firstRow="1" w:lastRow="0" w:firstColumn="0" w:lastColumn="0" w:noHBand="0" w:noVBand="0"/>
      </w:tblPr>
      <w:tblGrid>
        <w:gridCol w:w="923"/>
        <w:gridCol w:w="1229"/>
        <w:gridCol w:w="1269"/>
      </w:tblGrid>
      <w:tr w:rsidR="00164444" w:rsidRPr="00164444" w14:paraId="67990085"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748E691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Gender</w:t>
            </w:r>
          </w:p>
        </w:tc>
        <w:tc>
          <w:tcPr>
            <w:tcW w:w="0" w:type="auto"/>
          </w:tcPr>
          <w:p w14:paraId="1662BB7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64BDFCD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04831503" w14:textId="77777777" w:rsidTr="00464414">
        <w:tc>
          <w:tcPr>
            <w:tcW w:w="0" w:type="auto"/>
          </w:tcPr>
          <w:p w14:paraId="73B5CE4C"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Male</w:t>
            </w:r>
          </w:p>
        </w:tc>
        <w:tc>
          <w:tcPr>
            <w:tcW w:w="0" w:type="auto"/>
          </w:tcPr>
          <w:p w14:paraId="20B82D9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47</w:t>
            </w:r>
          </w:p>
        </w:tc>
        <w:tc>
          <w:tcPr>
            <w:tcW w:w="0" w:type="auto"/>
          </w:tcPr>
          <w:p w14:paraId="54BA275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62.7%</w:t>
            </w:r>
          </w:p>
        </w:tc>
      </w:tr>
      <w:tr w:rsidR="00164444" w:rsidRPr="00164444" w14:paraId="77A35461" w14:textId="77777777" w:rsidTr="00464414">
        <w:tc>
          <w:tcPr>
            <w:tcW w:w="0" w:type="auto"/>
          </w:tcPr>
          <w:p w14:paraId="33C9CB9D"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Female</w:t>
            </w:r>
          </w:p>
        </w:tc>
        <w:tc>
          <w:tcPr>
            <w:tcW w:w="0" w:type="auto"/>
          </w:tcPr>
          <w:p w14:paraId="5F95105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28</w:t>
            </w:r>
          </w:p>
        </w:tc>
        <w:tc>
          <w:tcPr>
            <w:tcW w:w="0" w:type="auto"/>
          </w:tcPr>
          <w:p w14:paraId="74A1A0D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37.3%</w:t>
            </w:r>
          </w:p>
        </w:tc>
      </w:tr>
      <w:tr w:rsidR="00164444" w:rsidRPr="00164444" w14:paraId="29C0CF72" w14:textId="77777777" w:rsidTr="00464414">
        <w:tc>
          <w:tcPr>
            <w:tcW w:w="0" w:type="auto"/>
          </w:tcPr>
          <w:p w14:paraId="4FE90127"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38DE0F0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39F2916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64E316A3" w14:textId="77777777" w:rsidR="00164444" w:rsidRPr="00164444" w:rsidRDefault="00164444" w:rsidP="00164444">
      <w:pPr>
        <w:pStyle w:val="Heading3"/>
        <w:spacing w:line="360" w:lineRule="auto"/>
        <w:rPr>
          <w:rFonts w:ascii="Times New Roman" w:hAnsi="Times New Roman" w:cs="Times New Roman"/>
        </w:rPr>
      </w:pPr>
      <w:bookmarkStart w:id="40" w:name="figure-2-gender-distribution"/>
      <w:r w:rsidRPr="00164444">
        <w:rPr>
          <w:rFonts w:ascii="Times New Roman" w:hAnsi="Times New Roman" w:cs="Times New Roman"/>
        </w:rPr>
        <w:t>Figure 2: Gender Distribution</w:t>
      </w:r>
    </w:p>
    <w:p w14:paraId="76E85D54"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Male     ███████████████████████████████</w:t>
      </w:r>
      <w:r w:rsidRPr="00164444">
        <w:rPr>
          <w:rFonts w:ascii="Times New Roman" w:hAnsi="Times New Roman" w:cs="Times New Roman"/>
        </w:rPr>
        <w:br/>
      </w:r>
      <w:r w:rsidRPr="00164444">
        <w:rPr>
          <w:rStyle w:val="VerbatimChar"/>
          <w:rFonts w:ascii="Times New Roman" w:hAnsi="Times New Roman" w:cs="Times New Roman"/>
        </w:rPr>
        <w:t>Female   ████████████████</w:t>
      </w:r>
    </w:p>
    <w:p w14:paraId="4B5151DB" w14:textId="77777777" w:rsidR="00164444" w:rsidRPr="00164444" w:rsidRDefault="00164444" w:rsidP="00164444">
      <w:pPr>
        <w:pStyle w:val="Heading2"/>
        <w:spacing w:line="360" w:lineRule="auto"/>
        <w:rPr>
          <w:rFonts w:ascii="Times New Roman" w:hAnsi="Times New Roman" w:cs="Times New Roman"/>
        </w:rPr>
      </w:pPr>
      <w:bookmarkStart w:id="41" w:name="X0e3ebea3a25acfa89463fe1a53152fab50e0b06"/>
      <w:bookmarkEnd w:id="39"/>
      <w:bookmarkEnd w:id="40"/>
      <w:r w:rsidRPr="00164444">
        <w:rPr>
          <w:rFonts w:ascii="Times New Roman" w:hAnsi="Times New Roman" w:cs="Times New Roman"/>
        </w:rPr>
        <w:t>Table 3: Descriptive Statistics for Height and Weight</w:t>
      </w:r>
    </w:p>
    <w:tbl>
      <w:tblPr>
        <w:tblStyle w:val="Table"/>
        <w:tblW w:w="0" w:type="auto"/>
        <w:tblLook w:val="0020" w:firstRow="1" w:lastRow="0" w:firstColumn="0" w:lastColumn="0" w:noHBand="0" w:noVBand="0"/>
      </w:tblPr>
      <w:tblGrid>
        <w:gridCol w:w="1383"/>
        <w:gridCol w:w="876"/>
        <w:gridCol w:w="950"/>
        <w:gridCol w:w="756"/>
        <w:gridCol w:w="1177"/>
        <w:gridCol w:w="1216"/>
      </w:tblGrid>
      <w:tr w:rsidR="00164444" w:rsidRPr="00164444" w14:paraId="2FFC5909"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09BE1F9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Variable</w:t>
            </w:r>
          </w:p>
        </w:tc>
        <w:tc>
          <w:tcPr>
            <w:tcW w:w="0" w:type="auto"/>
          </w:tcPr>
          <w:p w14:paraId="5DCEC64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Mean</w:t>
            </w:r>
          </w:p>
        </w:tc>
        <w:tc>
          <w:tcPr>
            <w:tcW w:w="0" w:type="auto"/>
          </w:tcPr>
          <w:p w14:paraId="609AB87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Median</w:t>
            </w:r>
          </w:p>
        </w:tc>
        <w:tc>
          <w:tcPr>
            <w:tcW w:w="0" w:type="auto"/>
          </w:tcPr>
          <w:p w14:paraId="2AA3790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SD</w:t>
            </w:r>
          </w:p>
        </w:tc>
        <w:tc>
          <w:tcPr>
            <w:tcW w:w="0" w:type="auto"/>
          </w:tcPr>
          <w:p w14:paraId="5C68076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Minimum</w:t>
            </w:r>
          </w:p>
        </w:tc>
        <w:tc>
          <w:tcPr>
            <w:tcW w:w="0" w:type="auto"/>
          </w:tcPr>
          <w:p w14:paraId="1DF08A7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Maximum</w:t>
            </w:r>
          </w:p>
        </w:tc>
      </w:tr>
      <w:tr w:rsidR="00164444" w:rsidRPr="00164444" w14:paraId="0B06EAB9" w14:textId="77777777" w:rsidTr="00464414">
        <w:tc>
          <w:tcPr>
            <w:tcW w:w="0" w:type="auto"/>
          </w:tcPr>
          <w:p w14:paraId="7EF08063"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Height (cm)</w:t>
            </w:r>
          </w:p>
        </w:tc>
        <w:tc>
          <w:tcPr>
            <w:tcW w:w="0" w:type="auto"/>
          </w:tcPr>
          <w:p w14:paraId="6B7A592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164.73</w:t>
            </w:r>
          </w:p>
        </w:tc>
        <w:tc>
          <w:tcPr>
            <w:tcW w:w="0" w:type="auto"/>
          </w:tcPr>
          <w:p w14:paraId="4FBB7C3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164.40</w:t>
            </w:r>
          </w:p>
        </w:tc>
        <w:tc>
          <w:tcPr>
            <w:tcW w:w="0" w:type="auto"/>
          </w:tcPr>
          <w:p w14:paraId="66985F3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9.52</w:t>
            </w:r>
          </w:p>
        </w:tc>
        <w:tc>
          <w:tcPr>
            <w:tcW w:w="0" w:type="auto"/>
          </w:tcPr>
          <w:p w14:paraId="7E89544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140.00</w:t>
            </w:r>
          </w:p>
        </w:tc>
        <w:tc>
          <w:tcPr>
            <w:tcW w:w="0" w:type="auto"/>
          </w:tcPr>
          <w:p w14:paraId="757455A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186.60</w:t>
            </w:r>
          </w:p>
        </w:tc>
      </w:tr>
      <w:tr w:rsidR="00164444" w:rsidRPr="00164444" w14:paraId="058442B7" w14:textId="77777777" w:rsidTr="00464414">
        <w:tc>
          <w:tcPr>
            <w:tcW w:w="0" w:type="auto"/>
          </w:tcPr>
          <w:p w14:paraId="236762D9"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Weight (kg)</w:t>
            </w:r>
          </w:p>
        </w:tc>
        <w:tc>
          <w:tcPr>
            <w:tcW w:w="0" w:type="auto"/>
          </w:tcPr>
          <w:p w14:paraId="5047D5A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69.23</w:t>
            </w:r>
          </w:p>
        </w:tc>
        <w:tc>
          <w:tcPr>
            <w:tcW w:w="0" w:type="auto"/>
          </w:tcPr>
          <w:p w14:paraId="6EDD4C8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70.90</w:t>
            </w:r>
          </w:p>
        </w:tc>
        <w:tc>
          <w:tcPr>
            <w:tcW w:w="0" w:type="auto"/>
          </w:tcPr>
          <w:p w14:paraId="3ACE9CF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16.08</w:t>
            </w:r>
          </w:p>
        </w:tc>
        <w:tc>
          <w:tcPr>
            <w:tcW w:w="0" w:type="auto"/>
          </w:tcPr>
          <w:p w14:paraId="2369286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26.80</w:t>
            </w:r>
          </w:p>
        </w:tc>
        <w:tc>
          <w:tcPr>
            <w:tcW w:w="0" w:type="auto"/>
          </w:tcPr>
          <w:p w14:paraId="1440658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104.10</w:t>
            </w:r>
          </w:p>
        </w:tc>
      </w:tr>
    </w:tbl>
    <w:p w14:paraId="3E002951" w14:textId="77777777" w:rsidR="00164444" w:rsidRPr="00164444" w:rsidRDefault="00164444" w:rsidP="00164444">
      <w:pPr>
        <w:pStyle w:val="Heading2"/>
        <w:spacing w:line="360" w:lineRule="auto"/>
        <w:rPr>
          <w:rFonts w:ascii="Times New Roman" w:hAnsi="Times New Roman" w:cs="Times New Roman"/>
        </w:rPr>
      </w:pPr>
      <w:bookmarkStart w:id="42" w:name="table-4-distribution-according-to-bmi"/>
      <w:bookmarkEnd w:id="41"/>
      <w:r w:rsidRPr="00164444">
        <w:rPr>
          <w:rFonts w:ascii="Times New Roman" w:hAnsi="Times New Roman" w:cs="Times New Roman"/>
        </w:rPr>
        <w:t>Table 4: Distribution According to BMI</w:t>
      </w:r>
    </w:p>
    <w:tbl>
      <w:tblPr>
        <w:tblStyle w:val="Table"/>
        <w:tblW w:w="0" w:type="auto"/>
        <w:tblLook w:val="0020" w:firstRow="1" w:lastRow="0" w:firstColumn="0" w:lastColumn="0" w:noHBand="0" w:noVBand="0"/>
      </w:tblPr>
      <w:tblGrid>
        <w:gridCol w:w="1716"/>
        <w:gridCol w:w="1229"/>
        <w:gridCol w:w="1269"/>
      </w:tblGrid>
      <w:tr w:rsidR="00164444" w:rsidRPr="00164444" w14:paraId="48C7895C"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273DE32A"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BMI Category</w:t>
            </w:r>
          </w:p>
        </w:tc>
        <w:tc>
          <w:tcPr>
            <w:tcW w:w="0" w:type="auto"/>
          </w:tcPr>
          <w:p w14:paraId="0C409AD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25805EF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3592D410" w14:textId="77777777" w:rsidTr="00464414">
        <w:tc>
          <w:tcPr>
            <w:tcW w:w="0" w:type="auto"/>
          </w:tcPr>
          <w:p w14:paraId="29ED7CA5"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Underweight</w:t>
            </w:r>
          </w:p>
        </w:tc>
        <w:tc>
          <w:tcPr>
            <w:tcW w:w="0" w:type="auto"/>
          </w:tcPr>
          <w:p w14:paraId="16D380D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13</w:t>
            </w:r>
          </w:p>
        </w:tc>
        <w:tc>
          <w:tcPr>
            <w:tcW w:w="0" w:type="auto"/>
          </w:tcPr>
          <w:p w14:paraId="4B0262B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17.3%</w:t>
            </w:r>
          </w:p>
        </w:tc>
      </w:tr>
      <w:tr w:rsidR="00164444" w:rsidRPr="00164444" w14:paraId="2ABE22FD" w14:textId="77777777" w:rsidTr="00464414">
        <w:tc>
          <w:tcPr>
            <w:tcW w:w="0" w:type="auto"/>
          </w:tcPr>
          <w:p w14:paraId="5CDE36C3"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Normal Weight</w:t>
            </w:r>
          </w:p>
        </w:tc>
        <w:tc>
          <w:tcPr>
            <w:tcW w:w="0" w:type="auto"/>
          </w:tcPr>
          <w:p w14:paraId="53E7C59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19</w:t>
            </w:r>
          </w:p>
        </w:tc>
        <w:tc>
          <w:tcPr>
            <w:tcW w:w="0" w:type="auto"/>
          </w:tcPr>
          <w:p w14:paraId="7D93D0C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25.3%</w:t>
            </w:r>
          </w:p>
        </w:tc>
      </w:tr>
      <w:tr w:rsidR="00164444" w:rsidRPr="00164444" w14:paraId="33041455" w14:textId="77777777" w:rsidTr="00464414">
        <w:tc>
          <w:tcPr>
            <w:tcW w:w="0" w:type="auto"/>
          </w:tcPr>
          <w:p w14:paraId="5B51079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Overweight</w:t>
            </w:r>
          </w:p>
        </w:tc>
        <w:tc>
          <w:tcPr>
            <w:tcW w:w="0" w:type="auto"/>
          </w:tcPr>
          <w:p w14:paraId="4E9C46B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23</w:t>
            </w:r>
          </w:p>
        </w:tc>
        <w:tc>
          <w:tcPr>
            <w:tcW w:w="0" w:type="auto"/>
          </w:tcPr>
          <w:p w14:paraId="5C5138F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30.7%</w:t>
            </w:r>
          </w:p>
        </w:tc>
      </w:tr>
      <w:tr w:rsidR="00164444" w:rsidRPr="00164444" w14:paraId="35A5ECEB" w14:textId="77777777" w:rsidTr="00464414">
        <w:tc>
          <w:tcPr>
            <w:tcW w:w="0" w:type="auto"/>
          </w:tcPr>
          <w:p w14:paraId="3E8CD33A"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Obese</w:t>
            </w:r>
          </w:p>
        </w:tc>
        <w:tc>
          <w:tcPr>
            <w:tcW w:w="0" w:type="auto"/>
          </w:tcPr>
          <w:p w14:paraId="3B90237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20</w:t>
            </w:r>
          </w:p>
        </w:tc>
        <w:tc>
          <w:tcPr>
            <w:tcW w:w="0" w:type="auto"/>
          </w:tcPr>
          <w:p w14:paraId="23ACC24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26.7%</w:t>
            </w:r>
          </w:p>
        </w:tc>
      </w:tr>
      <w:tr w:rsidR="00164444" w:rsidRPr="00164444" w14:paraId="74DD5A30" w14:textId="77777777" w:rsidTr="00464414">
        <w:tc>
          <w:tcPr>
            <w:tcW w:w="0" w:type="auto"/>
          </w:tcPr>
          <w:p w14:paraId="397EC605"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4F7F6EB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66C6D4C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6AD9CE5C" w14:textId="77777777" w:rsidR="00164444" w:rsidRPr="00164444" w:rsidRDefault="00164444" w:rsidP="00164444">
      <w:pPr>
        <w:pStyle w:val="Heading3"/>
        <w:spacing w:line="360" w:lineRule="auto"/>
        <w:rPr>
          <w:rFonts w:ascii="Times New Roman" w:hAnsi="Times New Roman" w:cs="Times New Roman"/>
        </w:rPr>
      </w:pPr>
      <w:bookmarkStart w:id="43" w:name="figure-3-bmi-distribution"/>
      <w:r w:rsidRPr="00164444">
        <w:rPr>
          <w:rFonts w:ascii="Times New Roman" w:hAnsi="Times New Roman" w:cs="Times New Roman"/>
        </w:rPr>
        <w:lastRenderedPageBreak/>
        <w:t>Figure 3: BMI Distribution</w:t>
      </w:r>
    </w:p>
    <w:p w14:paraId="40CE810E"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Overweight     ███████████████</w:t>
      </w:r>
      <w:r w:rsidRPr="00164444">
        <w:rPr>
          <w:rFonts w:ascii="Times New Roman" w:hAnsi="Times New Roman" w:cs="Times New Roman"/>
        </w:rPr>
        <w:br/>
      </w:r>
      <w:r w:rsidRPr="00164444">
        <w:rPr>
          <w:rStyle w:val="VerbatimChar"/>
          <w:rFonts w:ascii="Times New Roman" w:hAnsi="Times New Roman" w:cs="Times New Roman"/>
        </w:rPr>
        <w:t>Obese          █████████████</w:t>
      </w:r>
      <w:r w:rsidRPr="00164444">
        <w:rPr>
          <w:rFonts w:ascii="Times New Roman" w:hAnsi="Times New Roman" w:cs="Times New Roman"/>
        </w:rPr>
        <w:br/>
      </w:r>
      <w:r w:rsidRPr="00164444">
        <w:rPr>
          <w:rStyle w:val="VerbatimChar"/>
          <w:rFonts w:ascii="Times New Roman" w:hAnsi="Times New Roman" w:cs="Times New Roman"/>
        </w:rPr>
        <w:t xml:space="preserve">Normal </w:t>
      </w:r>
      <w:proofErr w:type="gramStart"/>
      <w:r w:rsidRPr="00164444">
        <w:rPr>
          <w:rStyle w:val="VerbatimChar"/>
          <w:rFonts w:ascii="Times New Roman" w:hAnsi="Times New Roman" w:cs="Times New Roman"/>
        </w:rPr>
        <w:t>Weight  █</w:t>
      </w:r>
      <w:proofErr w:type="gramEnd"/>
      <w:r w:rsidRPr="00164444">
        <w:rPr>
          <w:rStyle w:val="VerbatimChar"/>
          <w:rFonts w:ascii="Times New Roman" w:hAnsi="Times New Roman" w:cs="Times New Roman"/>
        </w:rPr>
        <w:t>██████████</w:t>
      </w:r>
      <w:r w:rsidRPr="00164444">
        <w:rPr>
          <w:rFonts w:ascii="Times New Roman" w:hAnsi="Times New Roman" w:cs="Times New Roman"/>
        </w:rPr>
        <w:br/>
      </w:r>
      <w:r w:rsidRPr="00164444">
        <w:rPr>
          <w:rStyle w:val="VerbatimChar"/>
          <w:rFonts w:ascii="Times New Roman" w:hAnsi="Times New Roman" w:cs="Times New Roman"/>
        </w:rPr>
        <w:t>Underweight    ███████</w:t>
      </w:r>
    </w:p>
    <w:p w14:paraId="4D39C3A3" w14:textId="77777777" w:rsidR="00164444" w:rsidRPr="00164444" w:rsidRDefault="00164444" w:rsidP="00164444">
      <w:pPr>
        <w:pStyle w:val="Heading2"/>
        <w:spacing w:line="360" w:lineRule="auto"/>
        <w:rPr>
          <w:rFonts w:ascii="Times New Roman" w:hAnsi="Times New Roman" w:cs="Times New Roman"/>
        </w:rPr>
      </w:pPr>
      <w:bookmarkStart w:id="44" w:name="table-5-smoking-status"/>
      <w:bookmarkEnd w:id="42"/>
      <w:bookmarkEnd w:id="43"/>
      <w:r w:rsidRPr="00164444">
        <w:rPr>
          <w:rFonts w:ascii="Times New Roman" w:hAnsi="Times New Roman" w:cs="Times New Roman"/>
        </w:rPr>
        <w:t>Table 5: Smoking Status</w:t>
      </w:r>
    </w:p>
    <w:tbl>
      <w:tblPr>
        <w:tblStyle w:val="Table"/>
        <w:tblW w:w="0" w:type="auto"/>
        <w:tblLook w:val="0020" w:firstRow="1" w:lastRow="0" w:firstColumn="0" w:lastColumn="0" w:noHBand="0" w:noVBand="0"/>
      </w:tblPr>
      <w:tblGrid>
        <w:gridCol w:w="1730"/>
        <w:gridCol w:w="1229"/>
        <w:gridCol w:w="1269"/>
      </w:tblGrid>
      <w:tr w:rsidR="00164444" w:rsidRPr="00164444" w14:paraId="5C4571AB"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3C131DFB"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Smoking Status</w:t>
            </w:r>
          </w:p>
        </w:tc>
        <w:tc>
          <w:tcPr>
            <w:tcW w:w="0" w:type="auto"/>
          </w:tcPr>
          <w:p w14:paraId="4471F0E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623311F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27BB2981" w14:textId="77777777" w:rsidTr="00464414">
        <w:tc>
          <w:tcPr>
            <w:tcW w:w="0" w:type="auto"/>
          </w:tcPr>
          <w:p w14:paraId="6F26A2C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Yes</w:t>
            </w:r>
          </w:p>
        </w:tc>
        <w:tc>
          <w:tcPr>
            <w:tcW w:w="0" w:type="auto"/>
          </w:tcPr>
          <w:p w14:paraId="383ECD0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23</w:t>
            </w:r>
          </w:p>
        </w:tc>
        <w:tc>
          <w:tcPr>
            <w:tcW w:w="0" w:type="auto"/>
          </w:tcPr>
          <w:p w14:paraId="5C4D978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30.7%</w:t>
            </w:r>
          </w:p>
        </w:tc>
      </w:tr>
      <w:tr w:rsidR="00164444" w:rsidRPr="00164444" w14:paraId="4CDD06F6" w14:textId="77777777" w:rsidTr="00464414">
        <w:tc>
          <w:tcPr>
            <w:tcW w:w="0" w:type="auto"/>
          </w:tcPr>
          <w:p w14:paraId="5233FF5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w:t>
            </w:r>
          </w:p>
        </w:tc>
        <w:tc>
          <w:tcPr>
            <w:tcW w:w="0" w:type="auto"/>
          </w:tcPr>
          <w:p w14:paraId="2FD6D53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52</w:t>
            </w:r>
          </w:p>
        </w:tc>
        <w:tc>
          <w:tcPr>
            <w:tcW w:w="0" w:type="auto"/>
          </w:tcPr>
          <w:p w14:paraId="5FBF66F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69.3%</w:t>
            </w:r>
          </w:p>
        </w:tc>
      </w:tr>
      <w:tr w:rsidR="00164444" w:rsidRPr="00164444" w14:paraId="17A29C17" w14:textId="77777777" w:rsidTr="00464414">
        <w:tc>
          <w:tcPr>
            <w:tcW w:w="0" w:type="auto"/>
          </w:tcPr>
          <w:p w14:paraId="5660FC4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61BB4C1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69630AC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544ADF9E" w14:textId="77777777" w:rsidR="00164444" w:rsidRPr="00164444" w:rsidRDefault="00164444" w:rsidP="00164444">
      <w:pPr>
        <w:pStyle w:val="Heading3"/>
        <w:spacing w:line="360" w:lineRule="auto"/>
        <w:rPr>
          <w:rFonts w:ascii="Times New Roman" w:hAnsi="Times New Roman" w:cs="Times New Roman"/>
        </w:rPr>
      </w:pPr>
      <w:bookmarkStart w:id="45" w:name="figure-4-smoking-status"/>
      <w:r w:rsidRPr="00164444">
        <w:rPr>
          <w:rFonts w:ascii="Times New Roman" w:hAnsi="Times New Roman" w:cs="Times New Roman"/>
        </w:rPr>
        <w:t>Figure 4: Smoking Status</w:t>
      </w:r>
    </w:p>
    <w:p w14:paraId="57719241"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Non-</w:t>
      </w:r>
      <w:proofErr w:type="gramStart"/>
      <w:r w:rsidRPr="00164444">
        <w:rPr>
          <w:rStyle w:val="VerbatimChar"/>
          <w:rFonts w:ascii="Times New Roman" w:hAnsi="Times New Roman" w:cs="Times New Roman"/>
        </w:rPr>
        <w:t>smokers  █</w:t>
      </w:r>
      <w:proofErr w:type="gramEnd"/>
      <w:r w:rsidRPr="00164444">
        <w:rPr>
          <w:rStyle w:val="VerbatimChar"/>
          <w:rFonts w:ascii="Times New Roman" w:hAnsi="Times New Roman" w:cs="Times New Roman"/>
        </w:rPr>
        <w:t>███████████████████████████████</w:t>
      </w:r>
      <w:r w:rsidRPr="00164444">
        <w:rPr>
          <w:rFonts w:ascii="Times New Roman" w:hAnsi="Times New Roman" w:cs="Times New Roman"/>
        </w:rPr>
        <w:br/>
      </w:r>
      <w:r w:rsidRPr="00164444">
        <w:rPr>
          <w:rStyle w:val="VerbatimChar"/>
          <w:rFonts w:ascii="Times New Roman" w:hAnsi="Times New Roman" w:cs="Times New Roman"/>
        </w:rPr>
        <w:t>Smokers      ████████████</w:t>
      </w:r>
    </w:p>
    <w:p w14:paraId="3B04A9FF" w14:textId="77777777" w:rsidR="00164444" w:rsidRPr="00164444" w:rsidRDefault="00164444" w:rsidP="00164444">
      <w:pPr>
        <w:pStyle w:val="Heading2"/>
        <w:spacing w:line="360" w:lineRule="auto"/>
        <w:rPr>
          <w:rFonts w:ascii="Times New Roman" w:hAnsi="Times New Roman" w:cs="Times New Roman"/>
        </w:rPr>
      </w:pPr>
      <w:bookmarkStart w:id="46" w:name="table-6-smoking-category"/>
      <w:bookmarkEnd w:id="44"/>
      <w:bookmarkEnd w:id="45"/>
      <w:r w:rsidRPr="00164444">
        <w:rPr>
          <w:rFonts w:ascii="Times New Roman" w:hAnsi="Times New Roman" w:cs="Times New Roman"/>
        </w:rPr>
        <w:t>Table 6: Smoking Category</w:t>
      </w:r>
    </w:p>
    <w:tbl>
      <w:tblPr>
        <w:tblStyle w:val="Table"/>
        <w:tblW w:w="0" w:type="auto"/>
        <w:tblLook w:val="0020" w:firstRow="1" w:lastRow="0" w:firstColumn="0" w:lastColumn="0" w:noHBand="0" w:noVBand="0"/>
      </w:tblPr>
      <w:tblGrid>
        <w:gridCol w:w="2023"/>
        <w:gridCol w:w="1229"/>
        <w:gridCol w:w="1269"/>
      </w:tblGrid>
      <w:tr w:rsidR="00164444" w:rsidRPr="00164444" w14:paraId="6831B29D"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3CFA621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Smoking Category</w:t>
            </w:r>
          </w:p>
        </w:tc>
        <w:tc>
          <w:tcPr>
            <w:tcW w:w="0" w:type="auto"/>
          </w:tcPr>
          <w:p w14:paraId="6C911C7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15FEB9F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08223212" w14:textId="77777777" w:rsidTr="00464414">
        <w:tc>
          <w:tcPr>
            <w:tcW w:w="0" w:type="auto"/>
          </w:tcPr>
          <w:p w14:paraId="559E287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Current</w:t>
            </w:r>
          </w:p>
        </w:tc>
        <w:tc>
          <w:tcPr>
            <w:tcW w:w="0" w:type="auto"/>
          </w:tcPr>
          <w:p w14:paraId="2F8371F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15</w:t>
            </w:r>
          </w:p>
        </w:tc>
        <w:tc>
          <w:tcPr>
            <w:tcW w:w="0" w:type="auto"/>
          </w:tcPr>
          <w:p w14:paraId="60B7D98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20.0%</w:t>
            </w:r>
          </w:p>
        </w:tc>
      </w:tr>
      <w:tr w:rsidR="00164444" w:rsidRPr="00164444" w14:paraId="46720268" w14:textId="77777777" w:rsidTr="00464414">
        <w:tc>
          <w:tcPr>
            <w:tcW w:w="0" w:type="auto"/>
          </w:tcPr>
          <w:p w14:paraId="22E79E54"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Former</w:t>
            </w:r>
          </w:p>
        </w:tc>
        <w:tc>
          <w:tcPr>
            <w:tcW w:w="0" w:type="auto"/>
          </w:tcPr>
          <w:p w14:paraId="2AB1C26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8</w:t>
            </w:r>
          </w:p>
        </w:tc>
        <w:tc>
          <w:tcPr>
            <w:tcW w:w="0" w:type="auto"/>
          </w:tcPr>
          <w:p w14:paraId="007C952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10.7%</w:t>
            </w:r>
          </w:p>
        </w:tc>
      </w:tr>
      <w:tr w:rsidR="00164444" w:rsidRPr="00164444" w14:paraId="3B278752" w14:textId="77777777" w:rsidTr="00464414">
        <w:tc>
          <w:tcPr>
            <w:tcW w:w="0" w:type="auto"/>
          </w:tcPr>
          <w:p w14:paraId="1ED32D7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Never</w:t>
            </w:r>
          </w:p>
        </w:tc>
        <w:tc>
          <w:tcPr>
            <w:tcW w:w="0" w:type="auto"/>
          </w:tcPr>
          <w:p w14:paraId="26832F4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52</w:t>
            </w:r>
          </w:p>
        </w:tc>
        <w:tc>
          <w:tcPr>
            <w:tcW w:w="0" w:type="auto"/>
          </w:tcPr>
          <w:p w14:paraId="11BA825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69.3%</w:t>
            </w:r>
          </w:p>
        </w:tc>
      </w:tr>
      <w:tr w:rsidR="00164444" w:rsidRPr="00164444" w14:paraId="5526B2E6" w14:textId="77777777" w:rsidTr="00464414">
        <w:tc>
          <w:tcPr>
            <w:tcW w:w="0" w:type="auto"/>
          </w:tcPr>
          <w:p w14:paraId="767F195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04FC4CE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5E1E8D7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48AA0E20" w14:textId="77777777" w:rsidR="00164444" w:rsidRPr="00164444" w:rsidRDefault="00164444" w:rsidP="00164444">
      <w:pPr>
        <w:pStyle w:val="Heading3"/>
        <w:spacing w:line="360" w:lineRule="auto"/>
        <w:rPr>
          <w:rFonts w:ascii="Times New Roman" w:hAnsi="Times New Roman" w:cs="Times New Roman"/>
        </w:rPr>
      </w:pPr>
      <w:bookmarkStart w:id="47" w:name="figure-5-smoking-category-distribution"/>
      <w:r w:rsidRPr="00164444">
        <w:rPr>
          <w:rFonts w:ascii="Times New Roman" w:hAnsi="Times New Roman" w:cs="Times New Roman"/>
        </w:rPr>
        <w:t>Figure 5: Smoking Category Distribution</w:t>
      </w:r>
    </w:p>
    <w:p w14:paraId="3EECC308"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Never     ████████████████████████████████</w:t>
      </w:r>
      <w:r w:rsidRPr="00164444">
        <w:rPr>
          <w:rFonts w:ascii="Times New Roman" w:hAnsi="Times New Roman" w:cs="Times New Roman"/>
        </w:rPr>
        <w:br/>
      </w:r>
      <w:r w:rsidRPr="00164444">
        <w:rPr>
          <w:rStyle w:val="VerbatimChar"/>
          <w:rFonts w:ascii="Times New Roman" w:hAnsi="Times New Roman" w:cs="Times New Roman"/>
        </w:rPr>
        <w:t>Current   █████████</w:t>
      </w:r>
      <w:r w:rsidRPr="00164444">
        <w:rPr>
          <w:rFonts w:ascii="Times New Roman" w:hAnsi="Times New Roman" w:cs="Times New Roman"/>
        </w:rPr>
        <w:br/>
      </w:r>
      <w:r w:rsidRPr="00164444">
        <w:rPr>
          <w:rStyle w:val="VerbatimChar"/>
          <w:rFonts w:ascii="Times New Roman" w:hAnsi="Times New Roman" w:cs="Times New Roman"/>
        </w:rPr>
        <w:t>Former    █████</w:t>
      </w:r>
    </w:p>
    <w:p w14:paraId="1C02E8D8" w14:textId="77777777" w:rsidR="00164444" w:rsidRPr="00164444" w:rsidRDefault="00164444" w:rsidP="00164444">
      <w:pPr>
        <w:pStyle w:val="Heading2"/>
        <w:spacing w:line="360" w:lineRule="auto"/>
        <w:rPr>
          <w:rFonts w:ascii="Times New Roman" w:hAnsi="Times New Roman" w:cs="Times New Roman"/>
        </w:rPr>
      </w:pPr>
      <w:bookmarkStart w:id="48" w:name="X5f9ff9a48f6ddc47f95fd6eb6c881cd126089fd"/>
      <w:bookmarkEnd w:id="46"/>
      <w:bookmarkEnd w:id="47"/>
      <w:r w:rsidRPr="00164444">
        <w:rPr>
          <w:rFonts w:ascii="Times New Roman" w:hAnsi="Times New Roman" w:cs="Times New Roman"/>
        </w:rPr>
        <w:t>Table 7: Distribution According to Diabetes Mellitus</w:t>
      </w:r>
    </w:p>
    <w:tbl>
      <w:tblPr>
        <w:tblStyle w:val="Table"/>
        <w:tblW w:w="0" w:type="auto"/>
        <w:tblLook w:val="0020" w:firstRow="1" w:lastRow="0" w:firstColumn="0" w:lastColumn="0" w:noHBand="0" w:noVBand="0"/>
      </w:tblPr>
      <w:tblGrid>
        <w:gridCol w:w="1916"/>
        <w:gridCol w:w="1229"/>
        <w:gridCol w:w="1269"/>
      </w:tblGrid>
      <w:tr w:rsidR="00164444" w:rsidRPr="00164444" w14:paraId="2A6B4BBA"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36AB5F44"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Diabetes Mellitus</w:t>
            </w:r>
          </w:p>
        </w:tc>
        <w:tc>
          <w:tcPr>
            <w:tcW w:w="0" w:type="auto"/>
          </w:tcPr>
          <w:p w14:paraId="6772816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2EDB341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431C11BE" w14:textId="77777777" w:rsidTr="00464414">
        <w:tc>
          <w:tcPr>
            <w:tcW w:w="0" w:type="auto"/>
          </w:tcPr>
          <w:p w14:paraId="7144D677"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lastRenderedPageBreak/>
              <w:t>Yes</w:t>
            </w:r>
          </w:p>
        </w:tc>
        <w:tc>
          <w:tcPr>
            <w:tcW w:w="0" w:type="auto"/>
          </w:tcPr>
          <w:p w14:paraId="78E4806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38</w:t>
            </w:r>
          </w:p>
        </w:tc>
        <w:tc>
          <w:tcPr>
            <w:tcW w:w="0" w:type="auto"/>
          </w:tcPr>
          <w:p w14:paraId="711EBBE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50.7%</w:t>
            </w:r>
          </w:p>
        </w:tc>
      </w:tr>
      <w:tr w:rsidR="00164444" w:rsidRPr="00164444" w14:paraId="72576154" w14:textId="77777777" w:rsidTr="00464414">
        <w:tc>
          <w:tcPr>
            <w:tcW w:w="0" w:type="auto"/>
          </w:tcPr>
          <w:p w14:paraId="26E18B1B"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w:t>
            </w:r>
          </w:p>
        </w:tc>
        <w:tc>
          <w:tcPr>
            <w:tcW w:w="0" w:type="auto"/>
          </w:tcPr>
          <w:p w14:paraId="35A23F8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37</w:t>
            </w:r>
          </w:p>
        </w:tc>
        <w:tc>
          <w:tcPr>
            <w:tcW w:w="0" w:type="auto"/>
          </w:tcPr>
          <w:p w14:paraId="2C6D25F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49.3%</w:t>
            </w:r>
          </w:p>
        </w:tc>
      </w:tr>
      <w:tr w:rsidR="00164444" w:rsidRPr="00164444" w14:paraId="5DDA99E4" w14:textId="77777777" w:rsidTr="00464414">
        <w:tc>
          <w:tcPr>
            <w:tcW w:w="0" w:type="auto"/>
          </w:tcPr>
          <w:p w14:paraId="1D3DCE7A"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6726D4A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57B88BD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264E9C4B" w14:textId="77777777" w:rsidR="00164444" w:rsidRPr="00164444" w:rsidRDefault="00164444" w:rsidP="00164444">
      <w:pPr>
        <w:pStyle w:val="Heading3"/>
        <w:spacing w:line="360" w:lineRule="auto"/>
        <w:rPr>
          <w:rFonts w:ascii="Times New Roman" w:hAnsi="Times New Roman" w:cs="Times New Roman"/>
        </w:rPr>
      </w:pPr>
      <w:bookmarkStart w:id="49" w:name="figure-6-diabetes-mellitus-distribution"/>
      <w:r w:rsidRPr="00164444">
        <w:rPr>
          <w:rFonts w:ascii="Times New Roman" w:hAnsi="Times New Roman" w:cs="Times New Roman"/>
        </w:rPr>
        <w:t>Figure 6: Diabetes Mellitus Distribution</w:t>
      </w:r>
    </w:p>
    <w:p w14:paraId="30CEA245"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Diabetes Present   █████████████████</w:t>
      </w:r>
      <w:r w:rsidRPr="00164444">
        <w:rPr>
          <w:rFonts w:ascii="Times New Roman" w:hAnsi="Times New Roman" w:cs="Times New Roman"/>
        </w:rPr>
        <w:br/>
      </w:r>
      <w:r w:rsidRPr="00164444">
        <w:rPr>
          <w:rStyle w:val="VerbatimChar"/>
          <w:rFonts w:ascii="Times New Roman" w:hAnsi="Times New Roman" w:cs="Times New Roman"/>
        </w:rPr>
        <w:t>Diabetes Absent    ████████████████</w:t>
      </w:r>
    </w:p>
    <w:p w14:paraId="0233ED50" w14:textId="77777777" w:rsidR="00164444" w:rsidRPr="00164444" w:rsidRDefault="00164444" w:rsidP="00164444">
      <w:pPr>
        <w:pStyle w:val="Heading2"/>
        <w:spacing w:line="360" w:lineRule="auto"/>
        <w:rPr>
          <w:rFonts w:ascii="Times New Roman" w:hAnsi="Times New Roman" w:cs="Times New Roman"/>
        </w:rPr>
      </w:pPr>
      <w:bookmarkStart w:id="50" w:name="Xc2874f6945d9a383b6986ce718fa2bf80ac00f0"/>
      <w:bookmarkEnd w:id="48"/>
      <w:bookmarkEnd w:id="49"/>
      <w:r w:rsidRPr="00164444">
        <w:rPr>
          <w:rFonts w:ascii="Times New Roman" w:hAnsi="Times New Roman" w:cs="Times New Roman"/>
        </w:rPr>
        <w:t>Table 8: Distribution According to Hypertension</w:t>
      </w:r>
    </w:p>
    <w:tbl>
      <w:tblPr>
        <w:tblStyle w:val="Table"/>
        <w:tblW w:w="0" w:type="auto"/>
        <w:tblLook w:val="0020" w:firstRow="1" w:lastRow="0" w:firstColumn="0" w:lastColumn="0" w:noHBand="0" w:noVBand="0"/>
      </w:tblPr>
      <w:tblGrid>
        <w:gridCol w:w="1510"/>
        <w:gridCol w:w="1229"/>
        <w:gridCol w:w="1269"/>
      </w:tblGrid>
      <w:tr w:rsidR="00164444" w:rsidRPr="00164444" w14:paraId="377AB7A6"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1D23CB0A"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Hypertension</w:t>
            </w:r>
          </w:p>
        </w:tc>
        <w:tc>
          <w:tcPr>
            <w:tcW w:w="0" w:type="auto"/>
          </w:tcPr>
          <w:p w14:paraId="0131023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502F090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508EB93B" w14:textId="77777777" w:rsidTr="00464414">
        <w:tc>
          <w:tcPr>
            <w:tcW w:w="0" w:type="auto"/>
          </w:tcPr>
          <w:p w14:paraId="79E439A3"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Yes</w:t>
            </w:r>
          </w:p>
        </w:tc>
        <w:tc>
          <w:tcPr>
            <w:tcW w:w="0" w:type="auto"/>
          </w:tcPr>
          <w:p w14:paraId="4384165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45</w:t>
            </w:r>
          </w:p>
        </w:tc>
        <w:tc>
          <w:tcPr>
            <w:tcW w:w="0" w:type="auto"/>
          </w:tcPr>
          <w:p w14:paraId="3D5A698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60.0%</w:t>
            </w:r>
          </w:p>
        </w:tc>
      </w:tr>
      <w:tr w:rsidR="00164444" w:rsidRPr="00164444" w14:paraId="6E0801A3" w14:textId="77777777" w:rsidTr="00464414">
        <w:tc>
          <w:tcPr>
            <w:tcW w:w="0" w:type="auto"/>
          </w:tcPr>
          <w:p w14:paraId="0E64E2D4"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w:t>
            </w:r>
          </w:p>
        </w:tc>
        <w:tc>
          <w:tcPr>
            <w:tcW w:w="0" w:type="auto"/>
          </w:tcPr>
          <w:p w14:paraId="4F5EA30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30</w:t>
            </w:r>
          </w:p>
        </w:tc>
        <w:tc>
          <w:tcPr>
            <w:tcW w:w="0" w:type="auto"/>
          </w:tcPr>
          <w:p w14:paraId="7CA200D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40.0%</w:t>
            </w:r>
          </w:p>
        </w:tc>
      </w:tr>
      <w:tr w:rsidR="00164444" w:rsidRPr="00164444" w14:paraId="7C54A2FA" w14:textId="77777777" w:rsidTr="00464414">
        <w:tc>
          <w:tcPr>
            <w:tcW w:w="0" w:type="auto"/>
          </w:tcPr>
          <w:p w14:paraId="4433C506"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111A45E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37F991A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55FD5AB0" w14:textId="77777777" w:rsidR="00164444" w:rsidRPr="00164444" w:rsidRDefault="00164444" w:rsidP="00164444">
      <w:pPr>
        <w:pStyle w:val="Heading3"/>
        <w:spacing w:line="360" w:lineRule="auto"/>
        <w:rPr>
          <w:rFonts w:ascii="Times New Roman" w:hAnsi="Times New Roman" w:cs="Times New Roman"/>
        </w:rPr>
      </w:pPr>
      <w:bookmarkStart w:id="51" w:name="figure-7-hypertension-distribution"/>
      <w:r w:rsidRPr="00164444">
        <w:rPr>
          <w:rFonts w:ascii="Times New Roman" w:hAnsi="Times New Roman" w:cs="Times New Roman"/>
        </w:rPr>
        <w:t>Figure 7: Hypertension Distribution</w:t>
      </w:r>
    </w:p>
    <w:p w14:paraId="738CF42A"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 xml:space="preserve">Hypertension </w:t>
      </w:r>
      <w:proofErr w:type="gramStart"/>
      <w:r w:rsidRPr="00164444">
        <w:rPr>
          <w:rStyle w:val="VerbatimChar"/>
          <w:rFonts w:ascii="Times New Roman" w:hAnsi="Times New Roman" w:cs="Times New Roman"/>
        </w:rPr>
        <w:t>Present  █</w:t>
      </w:r>
      <w:proofErr w:type="gramEnd"/>
      <w:r w:rsidRPr="00164444">
        <w:rPr>
          <w:rStyle w:val="VerbatimChar"/>
          <w:rFonts w:ascii="Times New Roman" w:hAnsi="Times New Roman" w:cs="Times New Roman"/>
        </w:rPr>
        <w:t>██████████████████████</w:t>
      </w:r>
      <w:r w:rsidRPr="00164444">
        <w:rPr>
          <w:rFonts w:ascii="Times New Roman" w:hAnsi="Times New Roman" w:cs="Times New Roman"/>
        </w:rPr>
        <w:br/>
      </w:r>
      <w:r w:rsidRPr="00164444">
        <w:rPr>
          <w:rStyle w:val="VerbatimChar"/>
          <w:rFonts w:ascii="Times New Roman" w:hAnsi="Times New Roman" w:cs="Times New Roman"/>
        </w:rPr>
        <w:t>Hypertension Absent   ███████████████</w:t>
      </w:r>
    </w:p>
    <w:p w14:paraId="017FF47C" w14:textId="77777777" w:rsidR="00164444" w:rsidRPr="00164444" w:rsidRDefault="00164444" w:rsidP="00164444">
      <w:pPr>
        <w:pStyle w:val="Heading2"/>
        <w:spacing w:line="360" w:lineRule="auto"/>
        <w:rPr>
          <w:rFonts w:ascii="Times New Roman" w:hAnsi="Times New Roman" w:cs="Times New Roman"/>
        </w:rPr>
      </w:pPr>
      <w:bookmarkStart w:id="52" w:name="X2a97efa08933ee89b969c8e2706356ec6cf9b3c"/>
      <w:bookmarkEnd w:id="50"/>
      <w:bookmarkEnd w:id="51"/>
      <w:r w:rsidRPr="00164444">
        <w:rPr>
          <w:rFonts w:ascii="Times New Roman" w:hAnsi="Times New Roman" w:cs="Times New Roman"/>
        </w:rPr>
        <w:t>Table 9: Descriptive Statistics for Clinical Parameters</w:t>
      </w:r>
    </w:p>
    <w:tbl>
      <w:tblPr>
        <w:tblStyle w:val="Table"/>
        <w:tblW w:w="0" w:type="auto"/>
        <w:tblLook w:val="0020" w:firstRow="1" w:lastRow="0" w:firstColumn="0" w:lastColumn="0" w:noHBand="0" w:noVBand="0"/>
      </w:tblPr>
      <w:tblGrid>
        <w:gridCol w:w="2463"/>
        <w:gridCol w:w="876"/>
        <w:gridCol w:w="950"/>
        <w:gridCol w:w="756"/>
        <w:gridCol w:w="1177"/>
        <w:gridCol w:w="1216"/>
      </w:tblGrid>
      <w:tr w:rsidR="00164444" w:rsidRPr="00164444" w14:paraId="6BAF497B"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24D2EB07"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Variable</w:t>
            </w:r>
          </w:p>
        </w:tc>
        <w:tc>
          <w:tcPr>
            <w:tcW w:w="0" w:type="auto"/>
          </w:tcPr>
          <w:p w14:paraId="4A8F24F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Mean</w:t>
            </w:r>
          </w:p>
        </w:tc>
        <w:tc>
          <w:tcPr>
            <w:tcW w:w="0" w:type="auto"/>
          </w:tcPr>
          <w:p w14:paraId="7088F5C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Median</w:t>
            </w:r>
          </w:p>
        </w:tc>
        <w:tc>
          <w:tcPr>
            <w:tcW w:w="0" w:type="auto"/>
          </w:tcPr>
          <w:p w14:paraId="5149825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SD</w:t>
            </w:r>
          </w:p>
        </w:tc>
        <w:tc>
          <w:tcPr>
            <w:tcW w:w="0" w:type="auto"/>
          </w:tcPr>
          <w:p w14:paraId="0C1A6CD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Minimum</w:t>
            </w:r>
          </w:p>
        </w:tc>
        <w:tc>
          <w:tcPr>
            <w:tcW w:w="0" w:type="auto"/>
          </w:tcPr>
          <w:p w14:paraId="6CCF670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Maximum</w:t>
            </w:r>
          </w:p>
        </w:tc>
      </w:tr>
      <w:tr w:rsidR="00164444" w:rsidRPr="00164444" w14:paraId="11561057" w14:textId="77777777" w:rsidTr="00464414">
        <w:tc>
          <w:tcPr>
            <w:tcW w:w="0" w:type="auto"/>
          </w:tcPr>
          <w:p w14:paraId="3EA2F5D6"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Cholesterol/HDL Ratio</w:t>
            </w:r>
          </w:p>
        </w:tc>
        <w:tc>
          <w:tcPr>
            <w:tcW w:w="0" w:type="auto"/>
          </w:tcPr>
          <w:p w14:paraId="0CBDD9D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4.43</w:t>
            </w:r>
          </w:p>
        </w:tc>
        <w:tc>
          <w:tcPr>
            <w:tcW w:w="0" w:type="auto"/>
          </w:tcPr>
          <w:p w14:paraId="6A5B422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4.38</w:t>
            </w:r>
          </w:p>
        </w:tc>
        <w:tc>
          <w:tcPr>
            <w:tcW w:w="0" w:type="auto"/>
          </w:tcPr>
          <w:p w14:paraId="4A04E63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1.02</w:t>
            </w:r>
          </w:p>
        </w:tc>
        <w:tc>
          <w:tcPr>
            <w:tcW w:w="0" w:type="auto"/>
          </w:tcPr>
          <w:p w14:paraId="38FFEFD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1.02</w:t>
            </w:r>
          </w:p>
        </w:tc>
        <w:tc>
          <w:tcPr>
            <w:tcW w:w="0" w:type="auto"/>
          </w:tcPr>
          <w:p w14:paraId="4DA0151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7.04</w:t>
            </w:r>
          </w:p>
        </w:tc>
      </w:tr>
      <w:tr w:rsidR="00164444" w:rsidRPr="00164444" w14:paraId="68E9BD50" w14:textId="77777777" w:rsidTr="00464414">
        <w:tc>
          <w:tcPr>
            <w:tcW w:w="0" w:type="auto"/>
          </w:tcPr>
          <w:p w14:paraId="2DBD8C2F"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SBP (mmHg)</w:t>
            </w:r>
          </w:p>
        </w:tc>
        <w:tc>
          <w:tcPr>
            <w:tcW w:w="0" w:type="auto"/>
          </w:tcPr>
          <w:p w14:paraId="5BB7B1D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139.80</w:t>
            </w:r>
          </w:p>
        </w:tc>
        <w:tc>
          <w:tcPr>
            <w:tcW w:w="0" w:type="auto"/>
          </w:tcPr>
          <w:p w14:paraId="312EDCA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144.00</w:t>
            </w:r>
          </w:p>
        </w:tc>
        <w:tc>
          <w:tcPr>
            <w:tcW w:w="0" w:type="auto"/>
          </w:tcPr>
          <w:p w14:paraId="6DD4A29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24.21</w:t>
            </w:r>
          </w:p>
        </w:tc>
        <w:tc>
          <w:tcPr>
            <w:tcW w:w="0" w:type="auto"/>
          </w:tcPr>
          <w:p w14:paraId="116DD76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100.00</w:t>
            </w:r>
          </w:p>
        </w:tc>
        <w:tc>
          <w:tcPr>
            <w:tcW w:w="0" w:type="auto"/>
          </w:tcPr>
          <w:p w14:paraId="3DEDDAA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179.00</w:t>
            </w:r>
          </w:p>
        </w:tc>
      </w:tr>
      <w:tr w:rsidR="00164444" w:rsidRPr="00164444" w14:paraId="3FC79E6F" w14:textId="77777777" w:rsidTr="00464414">
        <w:tc>
          <w:tcPr>
            <w:tcW w:w="0" w:type="auto"/>
          </w:tcPr>
          <w:p w14:paraId="6A1089F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EF (%)</w:t>
            </w:r>
          </w:p>
        </w:tc>
        <w:tc>
          <w:tcPr>
            <w:tcW w:w="0" w:type="auto"/>
          </w:tcPr>
          <w:p w14:paraId="1788C14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51.45</w:t>
            </w:r>
          </w:p>
        </w:tc>
        <w:tc>
          <w:tcPr>
            <w:tcW w:w="0" w:type="auto"/>
          </w:tcPr>
          <w:p w14:paraId="746AF19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53.00</w:t>
            </w:r>
          </w:p>
        </w:tc>
        <w:tc>
          <w:tcPr>
            <w:tcW w:w="0" w:type="auto"/>
          </w:tcPr>
          <w:p w14:paraId="45C32E4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10.00</w:t>
            </w:r>
          </w:p>
        </w:tc>
        <w:tc>
          <w:tcPr>
            <w:tcW w:w="0" w:type="auto"/>
          </w:tcPr>
          <w:p w14:paraId="6BD366E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36.00</w:t>
            </w:r>
          </w:p>
        </w:tc>
        <w:tc>
          <w:tcPr>
            <w:tcW w:w="0" w:type="auto"/>
          </w:tcPr>
          <w:p w14:paraId="281EC71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69.00</w:t>
            </w:r>
          </w:p>
        </w:tc>
      </w:tr>
      <w:tr w:rsidR="00164444" w:rsidRPr="00164444" w14:paraId="1208D3B3" w14:textId="77777777" w:rsidTr="00464414">
        <w:tc>
          <w:tcPr>
            <w:tcW w:w="0" w:type="auto"/>
          </w:tcPr>
          <w:p w14:paraId="6815D832"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AVR Change (mm)</w:t>
            </w:r>
          </w:p>
        </w:tc>
        <w:tc>
          <w:tcPr>
            <w:tcW w:w="0" w:type="auto"/>
          </w:tcPr>
          <w:p w14:paraId="2913E82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0.73</w:t>
            </w:r>
          </w:p>
        </w:tc>
        <w:tc>
          <w:tcPr>
            <w:tcW w:w="0" w:type="auto"/>
          </w:tcPr>
          <w:p w14:paraId="7BBD1E6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0.74</w:t>
            </w:r>
          </w:p>
        </w:tc>
        <w:tc>
          <w:tcPr>
            <w:tcW w:w="0" w:type="auto"/>
          </w:tcPr>
          <w:p w14:paraId="2143CB7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0.40</w:t>
            </w:r>
          </w:p>
        </w:tc>
        <w:tc>
          <w:tcPr>
            <w:tcW w:w="0" w:type="auto"/>
          </w:tcPr>
          <w:p w14:paraId="40E0F4FC"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-0.19</w:t>
            </w:r>
          </w:p>
        </w:tc>
        <w:tc>
          <w:tcPr>
            <w:tcW w:w="0" w:type="auto"/>
          </w:tcPr>
          <w:p w14:paraId="11234B3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1.81</w:t>
            </w:r>
          </w:p>
        </w:tc>
      </w:tr>
    </w:tbl>
    <w:p w14:paraId="77AE2A47" w14:textId="77777777" w:rsidR="00164444" w:rsidRPr="00164444" w:rsidRDefault="00164444" w:rsidP="00164444">
      <w:pPr>
        <w:pStyle w:val="Heading2"/>
        <w:spacing w:line="360" w:lineRule="auto"/>
        <w:rPr>
          <w:rFonts w:ascii="Times New Roman" w:hAnsi="Times New Roman" w:cs="Times New Roman"/>
        </w:rPr>
      </w:pPr>
      <w:bookmarkStart w:id="53" w:name="table-10-avr-change-grade"/>
      <w:bookmarkEnd w:id="52"/>
      <w:r w:rsidRPr="00164444">
        <w:rPr>
          <w:rFonts w:ascii="Times New Roman" w:hAnsi="Times New Roman" w:cs="Times New Roman"/>
        </w:rPr>
        <w:t>Table 10: AVR Change Grade</w:t>
      </w:r>
    </w:p>
    <w:tbl>
      <w:tblPr>
        <w:tblStyle w:val="Table"/>
        <w:tblW w:w="0" w:type="auto"/>
        <w:tblLook w:val="0020" w:firstRow="1" w:lastRow="0" w:firstColumn="0" w:lastColumn="0" w:noHBand="0" w:noVBand="0"/>
      </w:tblPr>
      <w:tblGrid>
        <w:gridCol w:w="2163"/>
        <w:gridCol w:w="1229"/>
        <w:gridCol w:w="1269"/>
      </w:tblGrid>
      <w:tr w:rsidR="00164444" w:rsidRPr="00164444" w14:paraId="43BB78E9"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6F98E51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AVR Change Grade</w:t>
            </w:r>
          </w:p>
        </w:tc>
        <w:tc>
          <w:tcPr>
            <w:tcW w:w="0" w:type="auto"/>
          </w:tcPr>
          <w:p w14:paraId="5799BAE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3FA54E5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45B3A44F" w14:textId="77777777" w:rsidTr="00464414">
        <w:tc>
          <w:tcPr>
            <w:tcW w:w="0" w:type="auto"/>
          </w:tcPr>
          <w:p w14:paraId="0A1A4E8D"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&lt;0.05 mm</w:t>
            </w:r>
          </w:p>
        </w:tc>
        <w:tc>
          <w:tcPr>
            <w:tcW w:w="0" w:type="auto"/>
          </w:tcPr>
          <w:p w14:paraId="2E442AC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24</w:t>
            </w:r>
          </w:p>
        </w:tc>
        <w:tc>
          <w:tcPr>
            <w:tcW w:w="0" w:type="auto"/>
          </w:tcPr>
          <w:p w14:paraId="0829C693"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32.0%</w:t>
            </w:r>
          </w:p>
        </w:tc>
      </w:tr>
      <w:tr w:rsidR="00164444" w:rsidRPr="00164444" w14:paraId="614063E1" w14:textId="77777777" w:rsidTr="00464414">
        <w:tc>
          <w:tcPr>
            <w:tcW w:w="0" w:type="auto"/>
          </w:tcPr>
          <w:p w14:paraId="17B3394D"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lastRenderedPageBreak/>
              <w:t>0.5–0.9 mm</w:t>
            </w:r>
          </w:p>
        </w:tc>
        <w:tc>
          <w:tcPr>
            <w:tcW w:w="0" w:type="auto"/>
          </w:tcPr>
          <w:p w14:paraId="51AA073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26</w:t>
            </w:r>
          </w:p>
        </w:tc>
        <w:tc>
          <w:tcPr>
            <w:tcW w:w="0" w:type="auto"/>
          </w:tcPr>
          <w:p w14:paraId="02E333A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34.7%</w:t>
            </w:r>
          </w:p>
        </w:tc>
      </w:tr>
      <w:tr w:rsidR="00164444" w:rsidRPr="00164444" w14:paraId="400FEC91" w14:textId="77777777" w:rsidTr="00464414">
        <w:tc>
          <w:tcPr>
            <w:tcW w:w="0" w:type="auto"/>
          </w:tcPr>
          <w:p w14:paraId="7E449803"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≥1 mm</w:t>
            </w:r>
          </w:p>
        </w:tc>
        <w:tc>
          <w:tcPr>
            <w:tcW w:w="0" w:type="auto"/>
          </w:tcPr>
          <w:p w14:paraId="2888A3C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25</w:t>
            </w:r>
          </w:p>
        </w:tc>
        <w:tc>
          <w:tcPr>
            <w:tcW w:w="0" w:type="auto"/>
          </w:tcPr>
          <w:p w14:paraId="1D00BAE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33.3%</w:t>
            </w:r>
          </w:p>
        </w:tc>
      </w:tr>
      <w:tr w:rsidR="00164444" w:rsidRPr="00164444" w14:paraId="229AE608" w14:textId="77777777" w:rsidTr="00464414">
        <w:tc>
          <w:tcPr>
            <w:tcW w:w="0" w:type="auto"/>
          </w:tcPr>
          <w:p w14:paraId="3DF341AE"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382B833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78565229"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2B77938E" w14:textId="77777777" w:rsidR="00164444" w:rsidRPr="00164444" w:rsidRDefault="00164444" w:rsidP="00164444">
      <w:pPr>
        <w:pStyle w:val="Heading3"/>
        <w:spacing w:line="360" w:lineRule="auto"/>
        <w:rPr>
          <w:rFonts w:ascii="Times New Roman" w:hAnsi="Times New Roman" w:cs="Times New Roman"/>
        </w:rPr>
      </w:pPr>
      <w:bookmarkStart w:id="54" w:name="figure-8-avr-change-grade-distribution"/>
      <w:r w:rsidRPr="00164444">
        <w:rPr>
          <w:rFonts w:ascii="Times New Roman" w:hAnsi="Times New Roman" w:cs="Times New Roman"/>
        </w:rPr>
        <w:t>Figure 8: AVR Change Grade Distribution</w:t>
      </w:r>
    </w:p>
    <w:p w14:paraId="25646F7A"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0.5–0.9 mm   █████████████████</w:t>
      </w:r>
      <w:r w:rsidRPr="00164444">
        <w:rPr>
          <w:rFonts w:ascii="Times New Roman" w:hAnsi="Times New Roman" w:cs="Times New Roman"/>
        </w:rPr>
        <w:br/>
      </w:r>
      <w:r w:rsidRPr="00164444">
        <w:rPr>
          <w:rStyle w:val="VerbatimChar"/>
          <w:rFonts w:ascii="Times New Roman" w:hAnsi="Times New Roman" w:cs="Times New Roman"/>
        </w:rPr>
        <w:t>≥1 mm        ████████████████</w:t>
      </w:r>
      <w:r w:rsidRPr="00164444">
        <w:rPr>
          <w:rFonts w:ascii="Times New Roman" w:hAnsi="Times New Roman" w:cs="Times New Roman"/>
        </w:rPr>
        <w:br/>
      </w:r>
      <w:r w:rsidRPr="00164444">
        <w:rPr>
          <w:rStyle w:val="VerbatimChar"/>
          <w:rFonts w:ascii="Times New Roman" w:hAnsi="Times New Roman" w:cs="Times New Roman"/>
        </w:rPr>
        <w:t>&lt;0.05 mm     ███████████████</w:t>
      </w:r>
    </w:p>
    <w:p w14:paraId="19155A56" w14:textId="77777777" w:rsidR="00164444" w:rsidRPr="00164444" w:rsidRDefault="00164444" w:rsidP="00164444">
      <w:pPr>
        <w:pStyle w:val="Heading2"/>
        <w:spacing w:line="360" w:lineRule="auto"/>
        <w:rPr>
          <w:rFonts w:ascii="Times New Roman" w:hAnsi="Times New Roman" w:cs="Times New Roman"/>
        </w:rPr>
      </w:pPr>
      <w:bookmarkStart w:id="55" w:name="table-11-type-of-myocardial-infarction"/>
      <w:bookmarkEnd w:id="53"/>
      <w:bookmarkEnd w:id="54"/>
      <w:r w:rsidRPr="00164444">
        <w:rPr>
          <w:rFonts w:ascii="Times New Roman" w:hAnsi="Times New Roman" w:cs="Times New Roman"/>
        </w:rPr>
        <w:t>Table 11: Type of Myocardial Infarction</w:t>
      </w:r>
    </w:p>
    <w:tbl>
      <w:tblPr>
        <w:tblStyle w:val="Table"/>
        <w:tblW w:w="0" w:type="auto"/>
        <w:tblLook w:val="0020" w:firstRow="1" w:lastRow="0" w:firstColumn="0" w:lastColumn="0" w:noHBand="0" w:noVBand="0"/>
      </w:tblPr>
      <w:tblGrid>
        <w:gridCol w:w="1323"/>
        <w:gridCol w:w="1229"/>
        <w:gridCol w:w="1269"/>
      </w:tblGrid>
      <w:tr w:rsidR="00164444" w:rsidRPr="00164444" w14:paraId="09AF4613"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633765DD"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Type of MI</w:t>
            </w:r>
          </w:p>
        </w:tc>
        <w:tc>
          <w:tcPr>
            <w:tcW w:w="0" w:type="auto"/>
          </w:tcPr>
          <w:p w14:paraId="5F4BBA3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773364CF"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7307FFDD" w14:textId="77777777" w:rsidTr="00464414">
        <w:tc>
          <w:tcPr>
            <w:tcW w:w="0" w:type="auto"/>
          </w:tcPr>
          <w:p w14:paraId="241FF788"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NSTEMI</w:t>
            </w:r>
          </w:p>
        </w:tc>
        <w:tc>
          <w:tcPr>
            <w:tcW w:w="0" w:type="auto"/>
          </w:tcPr>
          <w:p w14:paraId="7967F1D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36</w:t>
            </w:r>
          </w:p>
        </w:tc>
        <w:tc>
          <w:tcPr>
            <w:tcW w:w="0" w:type="auto"/>
          </w:tcPr>
          <w:p w14:paraId="23B5083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48.0%</w:t>
            </w:r>
          </w:p>
        </w:tc>
      </w:tr>
      <w:tr w:rsidR="00164444" w:rsidRPr="00164444" w14:paraId="272DA670" w14:textId="77777777" w:rsidTr="00464414">
        <w:tc>
          <w:tcPr>
            <w:tcW w:w="0" w:type="auto"/>
          </w:tcPr>
          <w:p w14:paraId="14EFA6BE"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STEMI</w:t>
            </w:r>
          </w:p>
        </w:tc>
        <w:tc>
          <w:tcPr>
            <w:tcW w:w="0" w:type="auto"/>
          </w:tcPr>
          <w:p w14:paraId="48DC786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39</w:t>
            </w:r>
          </w:p>
        </w:tc>
        <w:tc>
          <w:tcPr>
            <w:tcW w:w="0" w:type="auto"/>
          </w:tcPr>
          <w:p w14:paraId="4D03D5CB"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52.0%</w:t>
            </w:r>
          </w:p>
        </w:tc>
      </w:tr>
      <w:tr w:rsidR="00164444" w:rsidRPr="00164444" w14:paraId="1B1DFA6C" w14:textId="77777777" w:rsidTr="00464414">
        <w:tc>
          <w:tcPr>
            <w:tcW w:w="0" w:type="auto"/>
          </w:tcPr>
          <w:p w14:paraId="1D56DA6D"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280642DE"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13400C21"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681CD00F" w14:textId="77777777" w:rsidR="00164444" w:rsidRPr="00164444" w:rsidRDefault="00164444" w:rsidP="00164444">
      <w:pPr>
        <w:pStyle w:val="Heading3"/>
        <w:spacing w:line="360" w:lineRule="auto"/>
        <w:rPr>
          <w:rFonts w:ascii="Times New Roman" w:hAnsi="Times New Roman" w:cs="Times New Roman"/>
        </w:rPr>
      </w:pPr>
      <w:bookmarkStart w:id="56" w:name="figure-9-type-of-mi-distribution"/>
      <w:r w:rsidRPr="00164444">
        <w:rPr>
          <w:rFonts w:ascii="Times New Roman" w:hAnsi="Times New Roman" w:cs="Times New Roman"/>
        </w:rPr>
        <w:t>Figure 9: Type of MI Distribution</w:t>
      </w:r>
    </w:p>
    <w:p w14:paraId="3466AC96"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STEMI    ██████████████████</w:t>
      </w:r>
      <w:r w:rsidRPr="00164444">
        <w:rPr>
          <w:rFonts w:ascii="Times New Roman" w:hAnsi="Times New Roman" w:cs="Times New Roman"/>
        </w:rPr>
        <w:br/>
      </w:r>
      <w:r w:rsidRPr="00164444">
        <w:rPr>
          <w:rStyle w:val="VerbatimChar"/>
          <w:rFonts w:ascii="Times New Roman" w:hAnsi="Times New Roman" w:cs="Times New Roman"/>
        </w:rPr>
        <w:t>NSTEMI   █████████████████</w:t>
      </w:r>
    </w:p>
    <w:p w14:paraId="61F7C7DD" w14:textId="77777777" w:rsidR="00164444" w:rsidRPr="00164444" w:rsidRDefault="00164444" w:rsidP="00164444">
      <w:pPr>
        <w:pStyle w:val="Heading2"/>
        <w:spacing w:line="360" w:lineRule="auto"/>
        <w:rPr>
          <w:rFonts w:ascii="Times New Roman" w:hAnsi="Times New Roman" w:cs="Times New Roman"/>
        </w:rPr>
      </w:pPr>
      <w:bookmarkStart w:id="57" w:name="table-12-p-wave-findings"/>
      <w:bookmarkEnd w:id="55"/>
      <w:bookmarkEnd w:id="56"/>
      <w:r w:rsidRPr="00164444">
        <w:rPr>
          <w:rFonts w:ascii="Times New Roman" w:hAnsi="Times New Roman" w:cs="Times New Roman"/>
        </w:rPr>
        <w:t>Table 12: P-Wave Findings</w:t>
      </w:r>
    </w:p>
    <w:tbl>
      <w:tblPr>
        <w:tblStyle w:val="Table"/>
        <w:tblW w:w="0" w:type="auto"/>
        <w:tblLook w:val="0020" w:firstRow="1" w:lastRow="0" w:firstColumn="0" w:lastColumn="0" w:noHBand="0" w:noVBand="0"/>
      </w:tblPr>
      <w:tblGrid>
        <w:gridCol w:w="1190"/>
        <w:gridCol w:w="1229"/>
        <w:gridCol w:w="1269"/>
      </w:tblGrid>
      <w:tr w:rsidR="00164444" w:rsidRPr="00164444" w14:paraId="10988666"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79BB4D29"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P Wave</w:t>
            </w:r>
          </w:p>
        </w:tc>
        <w:tc>
          <w:tcPr>
            <w:tcW w:w="0" w:type="auto"/>
          </w:tcPr>
          <w:p w14:paraId="218C22F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18264E5A"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1A3812BB" w14:textId="77777777" w:rsidTr="00464414">
        <w:tc>
          <w:tcPr>
            <w:tcW w:w="0" w:type="auto"/>
          </w:tcPr>
          <w:p w14:paraId="4668B745"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Abnormal</w:t>
            </w:r>
          </w:p>
        </w:tc>
        <w:tc>
          <w:tcPr>
            <w:tcW w:w="0" w:type="auto"/>
          </w:tcPr>
          <w:p w14:paraId="3A4B9F1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40</w:t>
            </w:r>
          </w:p>
        </w:tc>
        <w:tc>
          <w:tcPr>
            <w:tcW w:w="0" w:type="auto"/>
          </w:tcPr>
          <w:p w14:paraId="02232B1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53.3%</w:t>
            </w:r>
          </w:p>
        </w:tc>
      </w:tr>
      <w:tr w:rsidR="00164444" w:rsidRPr="00164444" w14:paraId="1002D3DF" w14:textId="77777777" w:rsidTr="00464414">
        <w:tc>
          <w:tcPr>
            <w:tcW w:w="0" w:type="auto"/>
          </w:tcPr>
          <w:p w14:paraId="74334475"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Normal</w:t>
            </w:r>
          </w:p>
        </w:tc>
        <w:tc>
          <w:tcPr>
            <w:tcW w:w="0" w:type="auto"/>
          </w:tcPr>
          <w:p w14:paraId="6DD63A0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35</w:t>
            </w:r>
          </w:p>
        </w:tc>
        <w:tc>
          <w:tcPr>
            <w:tcW w:w="0" w:type="auto"/>
          </w:tcPr>
          <w:p w14:paraId="4E7C422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46.7%</w:t>
            </w:r>
          </w:p>
        </w:tc>
      </w:tr>
      <w:tr w:rsidR="00164444" w:rsidRPr="00164444" w14:paraId="3D371AA3" w14:textId="77777777" w:rsidTr="00464414">
        <w:tc>
          <w:tcPr>
            <w:tcW w:w="0" w:type="auto"/>
          </w:tcPr>
          <w:p w14:paraId="5786D599"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6ABD2246"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74D8D38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0605B529" w14:textId="77777777" w:rsidR="00164444" w:rsidRPr="00164444" w:rsidRDefault="00164444" w:rsidP="00164444">
      <w:pPr>
        <w:pStyle w:val="Heading3"/>
        <w:spacing w:line="360" w:lineRule="auto"/>
        <w:rPr>
          <w:rFonts w:ascii="Times New Roman" w:hAnsi="Times New Roman" w:cs="Times New Roman"/>
        </w:rPr>
      </w:pPr>
      <w:bookmarkStart w:id="58" w:name="figure-10-p-wave-distribution"/>
      <w:r w:rsidRPr="00164444">
        <w:rPr>
          <w:rFonts w:ascii="Times New Roman" w:hAnsi="Times New Roman" w:cs="Times New Roman"/>
        </w:rPr>
        <w:t>Figure 10: P-Wave Distribution</w:t>
      </w:r>
    </w:p>
    <w:p w14:paraId="2403A67C"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Abnormal   ██████████████████</w:t>
      </w:r>
      <w:r w:rsidRPr="00164444">
        <w:rPr>
          <w:rFonts w:ascii="Times New Roman" w:hAnsi="Times New Roman" w:cs="Times New Roman"/>
        </w:rPr>
        <w:br/>
      </w:r>
      <w:r w:rsidRPr="00164444">
        <w:rPr>
          <w:rStyle w:val="VerbatimChar"/>
          <w:rFonts w:ascii="Times New Roman" w:hAnsi="Times New Roman" w:cs="Times New Roman"/>
        </w:rPr>
        <w:t>Normal     ████████████████</w:t>
      </w:r>
    </w:p>
    <w:bookmarkEnd w:id="57"/>
    <w:bookmarkEnd w:id="58"/>
    <w:p w14:paraId="3B16AC8D" w14:textId="77777777" w:rsidR="00164444" w:rsidRPr="00164444" w:rsidRDefault="00164444" w:rsidP="00164444">
      <w:pPr>
        <w:pStyle w:val="Heading2"/>
        <w:spacing w:line="360" w:lineRule="auto"/>
        <w:rPr>
          <w:rFonts w:ascii="Times New Roman" w:hAnsi="Times New Roman" w:cs="Times New Roman"/>
        </w:rPr>
      </w:pPr>
      <w:r w:rsidRPr="00164444">
        <w:rPr>
          <w:rFonts w:ascii="Times New Roman" w:hAnsi="Times New Roman" w:cs="Times New Roman"/>
        </w:rPr>
        <w:lastRenderedPageBreak/>
        <w:t>Table 13: QRS Complex Findings</w:t>
      </w:r>
    </w:p>
    <w:tbl>
      <w:tblPr>
        <w:tblStyle w:val="Table"/>
        <w:tblW w:w="0" w:type="auto"/>
        <w:tblLook w:val="0020" w:firstRow="1" w:lastRow="0" w:firstColumn="0" w:lastColumn="0" w:noHBand="0" w:noVBand="0"/>
      </w:tblPr>
      <w:tblGrid>
        <w:gridCol w:w="1623"/>
        <w:gridCol w:w="1229"/>
        <w:gridCol w:w="1269"/>
      </w:tblGrid>
      <w:tr w:rsidR="00164444" w:rsidRPr="00164444" w14:paraId="34CF5287" w14:textId="77777777" w:rsidTr="00464414">
        <w:trPr>
          <w:cnfStyle w:val="100000000000" w:firstRow="1" w:lastRow="0" w:firstColumn="0" w:lastColumn="0" w:oddVBand="0" w:evenVBand="0" w:oddHBand="0" w:evenHBand="0" w:firstRowFirstColumn="0" w:firstRowLastColumn="0" w:lastRowFirstColumn="0" w:lastRowLastColumn="0"/>
          <w:tblHeader/>
        </w:trPr>
        <w:tc>
          <w:tcPr>
            <w:tcW w:w="0" w:type="auto"/>
          </w:tcPr>
          <w:p w14:paraId="6FE67E54"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QRS Complex</w:t>
            </w:r>
          </w:p>
        </w:tc>
        <w:tc>
          <w:tcPr>
            <w:tcW w:w="0" w:type="auto"/>
          </w:tcPr>
          <w:p w14:paraId="788945F0"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Frequency</w:t>
            </w:r>
          </w:p>
        </w:tc>
        <w:tc>
          <w:tcPr>
            <w:tcW w:w="0" w:type="auto"/>
          </w:tcPr>
          <w:p w14:paraId="454CF7E8"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Percentage</w:t>
            </w:r>
          </w:p>
        </w:tc>
      </w:tr>
      <w:tr w:rsidR="00164444" w:rsidRPr="00164444" w14:paraId="7E8D8188" w14:textId="77777777" w:rsidTr="00464414">
        <w:tc>
          <w:tcPr>
            <w:tcW w:w="0" w:type="auto"/>
          </w:tcPr>
          <w:p w14:paraId="109DD75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Normal</w:t>
            </w:r>
          </w:p>
        </w:tc>
        <w:tc>
          <w:tcPr>
            <w:tcW w:w="0" w:type="auto"/>
          </w:tcPr>
          <w:p w14:paraId="125A02D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34</w:t>
            </w:r>
          </w:p>
        </w:tc>
        <w:tc>
          <w:tcPr>
            <w:tcW w:w="0" w:type="auto"/>
          </w:tcPr>
          <w:p w14:paraId="222B9F5D"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45.3%</w:t>
            </w:r>
          </w:p>
        </w:tc>
      </w:tr>
      <w:tr w:rsidR="00164444" w:rsidRPr="00164444" w14:paraId="5108CEA4" w14:textId="77777777" w:rsidTr="00464414">
        <w:tc>
          <w:tcPr>
            <w:tcW w:w="0" w:type="auto"/>
          </w:tcPr>
          <w:p w14:paraId="15AF3AF1"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rPr>
              <w:t>Widened</w:t>
            </w:r>
          </w:p>
        </w:tc>
        <w:tc>
          <w:tcPr>
            <w:tcW w:w="0" w:type="auto"/>
          </w:tcPr>
          <w:p w14:paraId="7E74DED4"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41</w:t>
            </w:r>
          </w:p>
        </w:tc>
        <w:tc>
          <w:tcPr>
            <w:tcW w:w="0" w:type="auto"/>
          </w:tcPr>
          <w:p w14:paraId="64955C75"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rPr>
              <w:t>54.7%</w:t>
            </w:r>
          </w:p>
        </w:tc>
      </w:tr>
      <w:tr w:rsidR="00164444" w:rsidRPr="00164444" w14:paraId="250D8A05" w14:textId="77777777" w:rsidTr="00464414">
        <w:tc>
          <w:tcPr>
            <w:tcW w:w="0" w:type="auto"/>
          </w:tcPr>
          <w:p w14:paraId="59EC571F" w14:textId="77777777" w:rsidR="00164444" w:rsidRPr="00164444" w:rsidRDefault="00164444" w:rsidP="00164444">
            <w:pPr>
              <w:pStyle w:val="Compact"/>
              <w:spacing w:line="360" w:lineRule="auto"/>
              <w:rPr>
                <w:rFonts w:ascii="Times New Roman" w:hAnsi="Times New Roman" w:cs="Times New Roman"/>
              </w:rPr>
            </w:pPr>
            <w:r w:rsidRPr="00164444">
              <w:rPr>
                <w:rFonts w:ascii="Times New Roman" w:hAnsi="Times New Roman" w:cs="Times New Roman"/>
                <w:b/>
                <w:bCs/>
              </w:rPr>
              <w:t>Total</w:t>
            </w:r>
          </w:p>
        </w:tc>
        <w:tc>
          <w:tcPr>
            <w:tcW w:w="0" w:type="auto"/>
          </w:tcPr>
          <w:p w14:paraId="5AD72F87"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75</w:t>
            </w:r>
          </w:p>
        </w:tc>
        <w:tc>
          <w:tcPr>
            <w:tcW w:w="0" w:type="auto"/>
          </w:tcPr>
          <w:p w14:paraId="0C474422" w14:textId="77777777" w:rsidR="00164444" w:rsidRPr="00164444" w:rsidRDefault="00164444" w:rsidP="00164444">
            <w:pPr>
              <w:pStyle w:val="Compact"/>
              <w:spacing w:line="360" w:lineRule="auto"/>
              <w:jc w:val="right"/>
              <w:rPr>
                <w:rFonts w:ascii="Times New Roman" w:hAnsi="Times New Roman" w:cs="Times New Roman"/>
              </w:rPr>
            </w:pPr>
            <w:r w:rsidRPr="00164444">
              <w:rPr>
                <w:rFonts w:ascii="Times New Roman" w:hAnsi="Times New Roman" w:cs="Times New Roman"/>
                <w:b/>
                <w:bCs/>
              </w:rPr>
              <w:t>100%</w:t>
            </w:r>
          </w:p>
        </w:tc>
      </w:tr>
    </w:tbl>
    <w:p w14:paraId="1374A81A" w14:textId="77777777" w:rsidR="00164444" w:rsidRPr="00164444" w:rsidRDefault="00164444" w:rsidP="00164444">
      <w:pPr>
        <w:pStyle w:val="Heading3"/>
        <w:spacing w:line="360" w:lineRule="auto"/>
        <w:rPr>
          <w:rFonts w:ascii="Times New Roman" w:hAnsi="Times New Roman" w:cs="Times New Roman"/>
        </w:rPr>
      </w:pPr>
      <w:bookmarkStart w:id="59" w:name="figure-11-qrs-complex-distribution"/>
      <w:r w:rsidRPr="00164444">
        <w:rPr>
          <w:rFonts w:ascii="Times New Roman" w:hAnsi="Times New Roman" w:cs="Times New Roman"/>
        </w:rPr>
        <w:t>Figure 11: QRS Complex Distribution</w:t>
      </w:r>
    </w:p>
    <w:p w14:paraId="7D61AF74" w14:textId="77777777" w:rsidR="00164444" w:rsidRPr="00164444" w:rsidRDefault="00164444"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Widened   ██████████████████</w:t>
      </w:r>
      <w:r w:rsidRPr="00164444">
        <w:rPr>
          <w:rFonts w:ascii="Times New Roman" w:hAnsi="Times New Roman" w:cs="Times New Roman"/>
        </w:rPr>
        <w:br/>
      </w:r>
      <w:r w:rsidRPr="00164444">
        <w:rPr>
          <w:rStyle w:val="VerbatimChar"/>
          <w:rFonts w:ascii="Times New Roman" w:hAnsi="Times New Roman" w:cs="Times New Roman"/>
        </w:rPr>
        <w:t>Normal    ███████████████</w:t>
      </w:r>
    </w:p>
    <w:p w14:paraId="2794F652" w14:textId="77777777" w:rsidR="00164444" w:rsidRPr="00164444" w:rsidRDefault="00164444" w:rsidP="00164444">
      <w:pPr>
        <w:pStyle w:val="FirstParagraph"/>
        <w:spacing w:line="360" w:lineRule="auto"/>
        <w:rPr>
          <w:rFonts w:ascii="Times New Roman" w:hAnsi="Times New Roman" w:cs="Times New Roman"/>
        </w:rPr>
      </w:pPr>
      <w:r w:rsidRPr="00164444">
        <w:rPr>
          <w:rFonts w:ascii="Times New Roman" w:hAnsi="Times New Roman" w:cs="Times New Roman"/>
        </w:rPr>
        <w:t>The mean age of the study population was 57.04 ± 12.90 years, with male predominance (62.7%). Hypertension (60%) and diabetes mellitus (50.7%) were the most common comorbidities. Overweight and obesity together accounted for 57.4% of patients. ST-segment deviation in lead aVR was observed in a substantial proportion of patients, with 34.7% showing 0.5–0.9 mm deviation and 33.3% showing ≥1 mm deviation. STEMI constituted 52% of cases, while NSTEMI accounted for 48%. Although associations between aVR changes and baseline demographic or clinical variables were not statistically significant, higher aVR deviations were frequently associated with hypertension, diabetes, and abnormal ECG findings.</w:t>
      </w:r>
    </w:p>
    <w:bookmarkEnd w:id="59"/>
    <w:p w14:paraId="0DF13C7F" w14:textId="551CD14E" w:rsidR="002B462F" w:rsidRPr="00164444" w:rsidRDefault="00C052B5" w:rsidP="00164444">
      <w:pPr>
        <w:pStyle w:val="Heading2"/>
        <w:spacing w:line="360" w:lineRule="auto"/>
        <w:rPr>
          <w:rFonts w:ascii="Times New Roman" w:hAnsi="Times New Roman" w:cs="Times New Roman"/>
        </w:rPr>
      </w:pPr>
      <w:r w:rsidRPr="00164444">
        <w:rPr>
          <w:rFonts w:ascii="Times New Roman" w:hAnsi="Times New Roman" w:cs="Times New Roman"/>
        </w:rPr>
        <w:t>Association Between Lead aVR Changes and Clinical Variables</w:t>
      </w:r>
    </w:p>
    <w:p w14:paraId="7AAA9865" w14:textId="77777777" w:rsidR="002B462F" w:rsidRPr="00164444" w:rsidRDefault="00C052B5" w:rsidP="00164444">
      <w:pPr>
        <w:pStyle w:val="Heading2"/>
        <w:spacing w:line="360" w:lineRule="auto"/>
        <w:rPr>
          <w:rFonts w:ascii="Times New Roman" w:hAnsi="Times New Roman" w:cs="Times New Roman"/>
        </w:rPr>
      </w:pPr>
      <w:bookmarkStart w:id="60" w:name="X2b4e86ebee7837b9e06cf7692c3662af794174f"/>
      <w:bookmarkEnd w:id="36"/>
      <w:r w:rsidRPr="00164444">
        <w:rPr>
          <w:rFonts w:ascii="Times New Roman" w:hAnsi="Times New Roman" w:cs="Times New Roman"/>
        </w:rPr>
        <w:t>Table 14: Association Between AVR Change Grade and Clinical Variables</w:t>
      </w:r>
    </w:p>
    <w:tbl>
      <w:tblPr>
        <w:tblStyle w:val="Table"/>
        <w:tblW w:w="0" w:type="auto"/>
        <w:tblLook w:val="0020" w:firstRow="1" w:lastRow="0" w:firstColumn="0" w:lastColumn="0" w:noHBand="0" w:noVBand="0"/>
      </w:tblPr>
      <w:tblGrid>
        <w:gridCol w:w="1916"/>
        <w:gridCol w:w="1085"/>
        <w:gridCol w:w="1370"/>
        <w:gridCol w:w="902"/>
        <w:gridCol w:w="936"/>
      </w:tblGrid>
      <w:tr w:rsidR="002B462F" w:rsidRPr="00164444" w14:paraId="07F6B7DD" w14:textId="77777777" w:rsidTr="002B462F">
        <w:trPr>
          <w:cnfStyle w:val="100000000000" w:firstRow="1" w:lastRow="0" w:firstColumn="0" w:lastColumn="0" w:oddVBand="0" w:evenVBand="0" w:oddHBand="0" w:evenHBand="0" w:firstRowFirstColumn="0" w:firstRowLastColumn="0" w:lastRowFirstColumn="0" w:lastRowLastColumn="0"/>
          <w:tblHeader/>
        </w:trPr>
        <w:tc>
          <w:tcPr>
            <w:tcW w:w="0" w:type="auto"/>
          </w:tcPr>
          <w:p w14:paraId="7DA546BC"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Variable</w:t>
            </w:r>
          </w:p>
        </w:tc>
        <w:tc>
          <w:tcPr>
            <w:tcW w:w="0" w:type="auto"/>
          </w:tcPr>
          <w:p w14:paraId="489797CD"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&lt;0.5 mm</w:t>
            </w:r>
          </w:p>
        </w:tc>
        <w:tc>
          <w:tcPr>
            <w:tcW w:w="0" w:type="auto"/>
          </w:tcPr>
          <w:p w14:paraId="7AA776E6"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0.5–0.9 mm</w:t>
            </w:r>
          </w:p>
        </w:tc>
        <w:tc>
          <w:tcPr>
            <w:tcW w:w="0" w:type="auto"/>
          </w:tcPr>
          <w:p w14:paraId="0589572F"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≥1 mm</w:t>
            </w:r>
          </w:p>
        </w:tc>
        <w:tc>
          <w:tcPr>
            <w:tcW w:w="0" w:type="auto"/>
          </w:tcPr>
          <w:p w14:paraId="00E262D8"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p-value</w:t>
            </w:r>
          </w:p>
        </w:tc>
      </w:tr>
      <w:tr w:rsidR="002B462F" w:rsidRPr="00164444" w14:paraId="76AB7EA4" w14:textId="77777777">
        <w:tc>
          <w:tcPr>
            <w:tcW w:w="0" w:type="auto"/>
          </w:tcPr>
          <w:p w14:paraId="1EF84007"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Male Sex</w:t>
            </w:r>
          </w:p>
        </w:tc>
        <w:tc>
          <w:tcPr>
            <w:tcW w:w="0" w:type="auto"/>
          </w:tcPr>
          <w:p w14:paraId="34BD0800"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58.3%</w:t>
            </w:r>
          </w:p>
        </w:tc>
        <w:tc>
          <w:tcPr>
            <w:tcW w:w="0" w:type="auto"/>
          </w:tcPr>
          <w:p w14:paraId="52E8B3B7"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65.4%</w:t>
            </w:r>
          </w:p>
        </w:tc>
        <w:tc>
          <w:tcPr>
            <w:tcW w:w="0" w:type="auto"/>
          </w:tcPr>
          <w:p w14:paraId="44434F28"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64.0%</w:t>
            </w:r>
          </w:p>
        </w:tc>
        <w:tc>
          <w:tcPr>
            <w:tcW w:w="0" w:type="auto"/>
          </w:tcPr>
          <w:p w14:paraId="65408141"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0.863</w:t>
            </w:r>
          </w:p>
        </w:tc>
      </w:tr>
      <w:tr w:rsidR="002B462F" w:rsidRPr="00164444" w14:paraId="71BB6B51" w14:textId="77777777">
        <w:tc>
          <w:tcPr>
            <w:tcW w:w="0" w:type="auto"/>
          </w:tcPr>
          <w:p w14:paraId="2C26463A"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Diabetes Mellitus</w:t>
            </w:r>
          </w:p>
        </w:tc>
        <w:tc>
          <w:tcPr>
            <w:tcW w:w="0" w:type="auto"/>
          </w:tcPr>
          <w:p w14:paraId="5360E13B"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41.7%</w:t>
            </w:r>
          </w:p>
        </w:tc>
        <w:tc>
          <w:tcPr>
            <w:tcW w:w="0" w:type="auto"/>
          </w:tcPr>
          <w:p w14:paraId="46AD7D2F"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50.0%</w:t>
            </w:r>
          </w:p>
        </w:tc>
        <w:tc>
          <w:tcPr>
            <w:tcW w:w="0" w:type="auto"/>
          </w:tcPr>
          <w:p w14:paraId="08A84B5F"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60.0%</w:t>
            </w:r>
          </w:p>
        </w:tc>
        <w:tc>
          <w:tcPr>
            <w:tcW w:w="0" w:type="auto"/>
          </w:tcPr>
          <w:p w14:paraId="3B602014"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0.449</w:t>
            </w:r>
          </w:p>
        </w:tc>
      </w:tr>
      <w:tr w:rsidR="002B462F" w:rsidRPr="00164444" w14:paraId="1EE65E34" w14:textId="77777777">
        <w:tc>
          <w:tcPr>
            <w:tcW w:w="0" w:type="auto"/>
          </w:tcPr>
          <w:p w14:paraId="3E10EA47"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Hypertension</w:t>
            </w:r>
          </w:p>
        </w:tc>
        <w:tc>
          <w:tcPr>
            <w:tcW w:w="0" w:type="auto"/>
          </w:tcPr>
          <w:p w14:paraId="29F87658"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50.0%</w:t>
            </w:r>
          </w:p>
        </w:tc>
        <w:tc>
          <w:tcPr>
            <w:tcW w:w="0" w:type="auto"/>
          </w:tcPr>
          <w:p w14:paraId="3BE0CB8F"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61.5%</w:t>
            </w:r>
          </w:p>
        </w:tc>
        <w:tc>
          <w:tcPr>
            <w:tcW w:w="0" w:type="auto"/>
          </w:tcPr>
          <w:p w14:paraId="39EE12A1"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68.0%</w:t>
            </w:r>
          </w:p>
        </w:tc>
        <w:tc>
          <w:tcPr>
            <w:tcW w:w="0" w:type="auto"/>
          </w:tcPr>
          <w:p w14:paraId="7D4D709E"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0.404</w:t>
            </w:r>
          </w:p>
        </w:tc>
      </w:tr>
      <w:tr w:rsidR="002B462F" w:rsidRPr="00164444" w14:paraId="44B3FA51" w14:textId="77777777">
        <w:tc>
          <w:tcPr>
            <w:tcW w:w="0" w:type="auto"/>
          </w:tcPr>
          <w:p w14:paraId="06B8ADA9"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Smoking</w:t>
            </w:r>
          </w:p>
        </w:tc>
        <w:tc>
          <w:tcPr>
            <w:tcW w:w="0" w:type="auto"/>
          </w:tcPr>
          <w:p w14:paraId="75EAEBC8"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54.2%</w:t>
            </w:r>
          </w:p>
        </w:tc>
        <w:tc>
          <w:tcPr>
            <w:tcW w:w="0" w:type="auto"/>
          </w:tcPr>
          <w:p w14:paraId="50644B1F"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26.9%</w:t>
            </w:r>
          </w:p>
        </w:tc>
        <w:tc>
          <w:tcPr>
            <w:tcW w:w="0" w:type="auto"/>
          </w:tcPr>
          <w:p w14:paraId="32A2BAA8"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28.0%</w:t>
            </w:r>
          </w:p>
        </w:tc>
        <w:tc>
          <w:tcPr>
            <w:tcW w:w="0" w:type="auto"/>
          </w:tcPr>
          <w:p w14:paraId="27DF8311"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0.474</w:t>
            </w:r>
          </w:p>
        </w:tc>
      </w:tr>
      <w:tr w:rsidR="002B462F" w:rsidRPr="00164444" w14:paraId="74DC342F" w14:textId="77777777">
        <w:tc>
          <w:tcPr>
            <w:tcW w:w="0" w:type="auto"/>
          </w:tcPr>
          <w:p w14:paraId="4796D8C8"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STEMI</w:t>
            </w:r>
          </w:p>
        </w:tc>
        <w:tc>
          <w:tcPr>
            <w:tcW w:w="0" w:type="auto"/>
          </w:tcPr>
          <w:p w14:paraId="010744F4"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45.8%</w:t>
            </w:r>
          </w:p>
        </w:tc>
        <w:tc>
          <w:tcPr>
            <w:tcW w:w="0" w:type="auto"/>
          </w:tcPr>
          <w:p w14:paraId="0EED0562"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53.8%</w:t>
            </w:r>
          </w:p>
        </w:tc>
        <w:tc>
          <w:tcPr>
            <w:tcW w:w="0" w:type="auto"/>
          </w:tcPr>
          <w:p w14:paraId="35F431AF"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56.0%</w:t>
            </w:r>
          </w:p>
        </w:tc>
        <w:tc>
          <w:tcPr>
            <w:tcW w:w="0" w:type="auto"/>
          </w:tcPr>
          <w:p w14:paraId="7422C493" w14:textId="77777777" w:rsidR="002B462F" w:rsidRPr="00164444" w:rsidRDefault="00C052B5" w:rsidP="00164444">
            <w:pPr>
              <w:pStyle w:val="Compact"/>
              <w:spacing w:line="360" w:lineRule="auto"/>
              <w:jc w:val="right"/>
              <w:rPr>
                <w:rFonts w:ascii="Times New Roman" w:hAnsi="Times New Roman" w:cs="Times New Roman"/>
              </w:rPr>
            </w:pPr>
            <w:r w:rsidRPr="00164444">
              <w:rPr>
                <w:rFonts w:ascii="Times New Roman" w:hAnsi="Times New Roman" w:cs="Times New Roman"/>
              </w:rPr>
              <w:t>0.599</w:t>
            </w:r>
          </w:p>
        </w:tc>
      </w:tr>
    </w:tbl>
    <w:p w14:paraId="3ECAE7C9" w14:textId="77777777" w:rsidR="002B462F" w:rsidRPr="00164444" w:rsidRDefault="00C052B5" w:rsidP="00164444">
      <w:pPr>
        <w:pStyle w:val="Heading3"/>
        <w:spacing w:line="360" w:lineRule="auto"/>
        <w:rPr>
          <w:rFonts w:ascii="Times New Roman" w:hAnsi="Times New Roman" w:cs="Times New Roman"/>
        </w:rPr>
      </w:pPr>
      <w:bookmarkStart w:id="61" w:name="Xb907e330bfbd8e472773ffaae6efb2c1c934ebc"/>
      <w:r w:rsidRPr="00164444">
        <w:rPr>
          <w:rFonts w:ascii="Times New Roman" w:hAnsi="Times New Roman" w:cs="Times New Roman"/>
        </w:rPr>
        <w:lastRenderedPageBreak/>
        <w:t>Figure 12: Relationship Between AVR Change and Comorbidities</w:t>
      </w:r>
    </w:p>
    <w:p w14:paraId="092AD57A" w14:textId="77777777" w:rsidR="002B462F" w:rsidRPr="00164444" w:rsidRDefault="00C052B5" w:rsidP="00164444">
      <w:pPr>
        <w:pStyle w:val="SourceCode"/>
        <w:spacing w:line="360" w:lineRule="auto"/>
        <w:rPr>
          <w:rFonts w:ascii="Times New Roman" w:hAnsi="Times New Roman" w:cs="Times New Roman"/>
        </w:rPr>
      </w:pPr>
      <w:r w:rsidRPr="00164444">
        <w:rPr>
          <w:rStyle w:val="VerbatimChar"/>
          <w:rFonts w:ascii="Times New Roman" w:hAnsi="Times New Roman" w:cs="Times New Roman"/>
        </w:rPr>
        <w:t>Diabetes Mellitus</w:t>
      </w:r>
      <w:r w:rsidRPr="00164444">
        <w:rPr>
          <w:rFonts w:ascii="Times New Roman" w:hAnsi="Times New Roman" w:cs="Times New Roman"/>
        </w:rPr>
        <w:br/>
      </w:r>
      <w:r w:rsidRPr="00164444">
        <w:rPr>
          <w:rStyle w:val="VerbatimChar"/>
          <w:rFonts w:ascii="Times New Roman" w:hAnsi="Times New Roman" w:cs="Times New Roman"/>
        </w:rPr>
        <w:t>&lt;0.5 mm     ███████████</w:t>
      </w:r>
      <w:r w:rsidRPr="00164444">
        <w:rPr>
          <w:rFonts w:ascii="Times New Roman" w:hAnsi="Times New Roman" w:cs="Times New Roman"/>
        </w:rPr>
        <w:br/>
      </w:r>
      <w:r w:rsidRPr="00164444">
        <w:rPr>
          <w:rStyle w:val="VerbatimChar"/>
          <w:rFonts w:ascii="Times New Roman" w:hAnsi="Times New Roman" w:cs="Times New Roman"/>
        </w:rPr>
        <w:t xml:space="preserve">0.5–0.9 </w:t>
      </w:r>
      <w:r w:rsidRPr="00164444">
        <w:rPr>
          <w:rStyle w:val="VerbatimChar"/>
          <w:rFonts w:ascii="Times New Roman" w:hAnsi="Times New Roman" w:cs="Times New Roman"/>
        </w:rPr>
        <w:t>mm  █████████████</w:t>
      </w:r>
      <w:r w:rsidRPr="00164444">
        <w:rPr>
          <w:rFonts w:ascii="Times New Roman" w:hAnsi="Times New Roman" w:cs="Times New Roman"/>
        </w:rPr>
        <w:br/>
      </w:r>
      <w:r w:rsidRPr="00164444">
        <w:rPr>
          <w:rStyle w:val="VerbatimChar"/>
          <w:rFonts w:ascii="Times New Roman" w:hAnsi="Times New Roman" w:cs="Times New Roman"/>
        </w:rPr>
        <w:t>≥1 mm       ███████████████</w:t>
      </w:r>
      <w:r w:rsidRPr="00164444">
        <w:rPr>
          <w:rFonts w:ascii="Times New Roman" w:hAnsi="Times New Roman" w:cs="Times New Roman"/>
        </w:rPr>
        <w:br/>
      </w:r>
      <w:r w:rsidRPr="00164444">
        <w:rPr>
          <w:rFonts w:ascii="Times New Roman" w:hAnsi="Times New Roman" w:cs="Times New Roman"/>
        </w:rPr>
        <w:br/>
      </w:r>
      <w:r w:rsidRPr="00164444">
        <w:rPr>
          <w:rStyle w:val="VerbatimChar"/>
          <w:rFonts w:ascii="Times New Roman" w:hAnsi="Times New Roman" w:cs="Times New Roman"/>
        </w:rPr>
        <w:t>Hypertension</w:t>
      </w:r>
      <w:r w:rsidRPr="00164444">
        <w:rPr>
          <w:rFonts w:ascii="Times New Roman" w:hAnsi="Times New Roman" w:cs="Times New Roman"/>
        </w:rPr>
        <w:br/>
      </w:r>
      <w:r w:rsidRPr="00164444">
        <w:rPr>
          <w:rStyle w:val="VerbatimChar"/>
          <w:rFonts w:ascii="Times New Roman" w:hAnsi="Times New Roman" w:cs="Times New Roman"/>
        </w:rPr>
        <w:t>&lt;0.5 mm     █████████████</w:t>
      </w:r>
      <w:r w:rsidRPr="00164444">
        <w:rPr>
          <w:rFonts w:ascii="Times New Roman" w:hAnsi="Times New Roman" w:cs="Times New Roman"/>
        </w:rPr>
        <w:br/>
      </w:r>
      <w:r w:rsidRPr="00164444">
        <w:rPr>
          <w:rStyle w:val="VerbatimChar"/>
          <w:rFonts w:ascii="Times New Roman" w:hAnsi="Times New Roman" w:cs="Times New Roman"/>
        </w:rPr>
        <w:t>0.5–0.9 mm  ███████████████</w:t>
      </w:r>
      <w:r w:rsidRPr="00164444">
        <w:rPr>
          <w:rFonts w:ascii="Times New Roman" w:hAnsi="Times New Roman" w:cs="Times New Roman"/>
        </w:rPr>
        <w:br/>
      </w:r>
      <w:r w:rsidRPr="00164444">
        <w:rPr>
          <w:rStyle w:val="VerbatimChar"/>
          <w:rFonts w:ascii="Times New Roman" w:hAnsi="Times New Roman" w:cs="Times New Roman"/>
        </w:rPr>
        <w:t>≥1 mm       █████████████████</w:t>
      </w:r>
    </w:p>
    <w:p w14:paraId="4B4C596D" w14:textId="77777777" w:rsidR="002B462F" w:rsidRPr="00164444" w:rsidRDefault="00C052B5" w:rsidP="00164444">
      <w:pPr>
        <w:spacing w:line="360" w:lineRule="auto"/>
        <w:rPr>
          <w:rFonts w:ascii="Times New Roman" w:hAnsi="Times New Roman" w:cs="Times New Roman"/>
        </w:rPr>
      </w:pPr>
      <w:r>
        <w:rPr>
          <w:rFonts w:ascii="Times New Roman" w:hAnsi="Times New Roman" w:cs="Times New Roman"/>
        </w:rPr>
        <w:pict w14:anchorId="2111FACE">
          <v:rect id="_x0000_i1033" style="width:0;height:1.5pt" o:hralign="center" o:hrstd="t" o:hr="t"/>
        </w:pict>
      </w:r>
    </w:p>
    <w:p w14:paraId="4B0F759A" w14:textId="77777777" w:rsidR="002B462F" w:rsidRPr="00164444" w:rsidRDefault="00C052B5" w:rsidP="00164444">
      <w:pPr>
        <w:pStyle w:val="Heading2"/>
        <w:spacing w:line="360" w:lineRule="auto"/>
        <w:rPr>
          <w:rFonts w:ascii="Times New Roman" w:hAnsi="Times New Roman" w:cs="Times New Roman"/>
        </w:rPr>
      </w:pPr>
      <w:bookmarkStart w:id="62" w:name="table-15-summary-of-major-findings"/>
      <w:bookmarkEnd w:id="60"/>
      <w:bookmarkEnd w:id="61"/>
      <w:r w:rsidRPr="00164444">
        <w:rPr>
          <w:rFonts w:ascii="Times New Roman" w:hAnsi="Times New Roman" w:cs="Times New Roman"/>
        </w:rPr>
        <w:t>Table 15: Summary of Major Findings</w:t>
      </w:r>
    </w:p>
    <w:tbl>
      <w:tblPr>
        <w:tblStyle w:val="Table"/>
        <w:tblW w:w="0" w:type="auto"/>
        <w:tblLook w:val="0020" w:firstRow="1" w:lastRow="0" w:firstColumn="0" w:lastColumn="0" w:noHBand="0" w:noVBand="0"/>
      </w:tblPr>
      <w:tblGrid>
        <w:gridCol w:w="2563"/>
        <w:gridCol w:w="2115"/>
      </w:tblGrid>
      <w:tr w:rsidR="002B462F" w:rsidRPr="00164444" w14:paraId="483C49A4" w14:textId="77777777" w:rsidTr="002B462F">
        <w:trPr>
          <w:cnfStyle w:val="100000000000" w:firstRow="1" w:lastRow="0" w:firstColumn="0" w:lastColumn="0" w:oddVBand="0" w:evenVBand="0" w:oddHBand="0" w:evenHBand="0" w:firstRowFirstColumn="0" w:firstRowLastColumn="0" w:lastRowFirstColumn="0" w:lastRowLastColumn="0"/>
          <w:tblHeader/>
        </w:trPr>
        <w:tc>
          <w:tcPr>
            <w:tcW w:w="0" w:type="auto"/>
          </w:tcPr>
          <w:p w14:paraId="2B1F67F8"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Parameter</w:t>
            </w:r>
          </w:p>
        </w:tc>
        <w:tc>
          <w:tcPr>
            <w:tcW w:w="0" w:type="auto"/>
          </w:tcPr>
          <w:p w14:paraId="6EE45275"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Key Observation</w:t>
            </w:r>
          </w:p>
        </w:tc>
      </w:tr>
      <w:tr w:rsidR="002B462F" w:rsidRPr="00164444" w14:paraId="54A22C62" w14:textId="77777777">
        <w:tc>
          <w:tcPr>
            <w:tcW w:w="0" w:type="auto"/>
          </w:tcPr>
          <w:p w14:paraId="4BE1EB39"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Mean Age</w:t>
            </w:r>
          </w:p>
        </w:tc>
        <w:tc>
          <w:tcPr>
            <w:tcW w:w="0" w:type="auto"/>
          </w:tcPr>
          <w:p w14:paraId="3509D0F6"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57.04 ± 12.90 years</w:t>
            </w:r>
          </w:p>
        </w:tc>
      </w:tr>
      <w:tr w:rsidR="002B462F" w:rsidRPr="00164444" w14:paraId="54F0DF1E" w14:textId="77777777">
        <w:tc>
          <w:tcPr>
            <w:tcW w:w="0" w:type="auto"/>
          </w:tcPr>
          <w:p w14:paraId="6C8D7C39"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Male Patients</w:t>
            </w:r>
          </w:p>
        </w:tc>
        <w:tc>
          <w:tcPr>
            <w:tcW w:w="0" w:type="auto"/>
          </w:tcPr>
          <w:p w14:paraId="0AE381A2"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62.7%</w:t>
            </w:r>
          </w:p>
        </w:tc>
      </w:tr>
      <w:tr w:rsidR="002B462F" w:rsidRPr="00164444" w14:paraId="6857A554" w14:textId="77777777">
        <w:tc>
          <w:tcPr>
            <w:tcW w:w="0" w:type="auto"/>
          </w:tcPr>
          <w:p w14:paraId="37AC75BD"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Hypertension</w:t>
            </w:r>
          </w:p>
        </w:tc>
        <w:tc>
          <w:tcPr>
            <w:tcW w:w="0" w:type="auto"/>
          </w:tcPr>
          <w:p w14:paraId="6E2DA674"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60%</w:t>
            </w:r>
          </w:p>
        </w:tc>
      </w:tr>
      <w:tr w:rsidR="002B462F" w:rsidRPr="00164444" w14:paraId="755E5F82" w14:textId="77777777">
        <w:tc>
          <w:tcPr>
            <w:tcW w:w="0" w:type="auto"/>
          </w:tcPr>
          <w:p w14:paraId="056E64A8"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Diabetes Mellitus</w:t>
            </w:r>
          </w:p>
        </w:tc>
        <w:tc>
          <w:tcPr>
            <w:tcW w:w="0" w:type="auto"/>
          </w:tcPr>
          <w:p w14:paraId="77182C09"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50.7%</w:t>
            </w:r>
          </w:p>
        </w:tc>
      </w:tr>
      <w:tr w:rsidR="002B462F" w:rsidRPr="00164444" w14:paraId="1AC1B3E6" w14:textId="77777777">
        <w:tc>
          <w:tcPr>
            <w:tcW w:w="0" w:type="auto"/>
          </w:tcPr>
          <w:p w14:paraId="40830360"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Overweight/Obese</w:t>
            </w:r>
          </w:p>
        </w:tc>
        <w:tc>
          <w:tcPr>
            <w:tcW w:w="0" w:type="auto"/>
          </w:tcPr>
          <w:p w14:paraId="7D254B2B"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57.4%</w:t>
            </w:r>
          </w:p>
        </w:tc>
      </w:tr>
      <w:tr w:rsidR="002B462F" w:rsidRPr="00164444" w14:paraId="573C6009" w14:textId="77777777">
        <w:tc>
          <w:tcPr>
            <w:tcW w:w="0" w:type="auto"/>
          </w:tcPr>
          <w:p w14:paraId="141F3B06"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Significant aVR Change</w:t>
            </w:r>
          </w:p>
        </w:tc>
        <w:tc>
          <w:tcPr>
            <w:tcW w:w="0" w:type="auto"/>
          </w:tcPr>
          <w:p w14:paraId="0D281F10"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68%</w:t>
            </w:r>
          </w:p>
        </w:tc>
      </w:tr>
      <w:tr w:rsidR="002B462F" w:rsidRPr="00164444" w14:paraId="605A832F" w14:textId="77777777">
        <w:tc>
          <w:tcPr>
            <w:tcW w:w="0" w:type="auto"/>
          </w:tcPr>
          <w:p w14:paraId="423D0E17"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STEMI Cases</w:t>
            </w:r>
          </w:p>
        </w:tc>
        <w:tc>
          <w:tcPr>
            <w:tcW w:w="0" w:type="auto"/>
          </w:tcPr>
          <w:p w14:paraId="3B525382"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52%</w:t>
            </w:r>
          </w:p>
        </w:tc>
      </w:tr>
      <w:tr w:rsidR="002B462F" w:rsidRPr="00164444" w14:paraId="3033B332" w14:textId="77777777">
        <w:tc>
          <w:tcPr>
            <w:tcW w:w="0" w:type="auto"/>
          </w:tcPr>
          <w:p w14:paraId="0B677D91"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Widened QRS</w:t>
            </w:r>
          </w:p>
        </w:tc>
        <w:tc>
          <w:tcPr>
            <w:tcW w:w="0" w:type="auto"/>
          </w:tcPr>
          <w:p w14:paraId="1C48CED6"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54.7%</w:t>
            </w:r>
          </w:p>
        </w:tc>
      </w:tr>
    </w:tbl>
    <w:p w14:paraId="4A6E5BA2" w14:textId="77777777" w:rsidR="002B462F" w:rsidRPr="00164444" w:rsidRDefault="00C052B5" w:rsidP="00164444">
      <w:pPr>
        <w:spacing w:line="360" w:lineRule="auto"/>
        <w:rPr>
          <w:rFonts w:ascii="Times New Roman" w:hAnsi="Times New Roman" w:cs="Times New Roman"/>
        </w:rPr>
      </w:pPr>
      <w:r>
        <w:rPr>
          <w:rFonts w:ascii="Times New Roman" w:hAnsi="Times New Roman" w:cs="Times New Roman"/>
        </w:rPr>
        <w:pict w14:anchorId="49CF7929">
          <v:rect id="_x0000_i1034" style="width:0;height:1.5pt" o:hralign="center" o:hrstd="t" o:hr="t"/>
        </w:pict>
      </w:r>
    </w:p>
    <w:p w14:paraId="06BE20DC" w14:textId="77777777" w:rsidR="002B462F" w:rsidRPr="00164444" w:rsidRDefault="00C052B5" w:rsidP="00164444">
      <w:pPr>
        <w:pStyle w:val="Heading2"/>
        <w:spacing w:line="360" w:lineRule="auto"/>
        <w:rPr>
          <w:rFonts w:ascii="Times New Roman" w:hAnsi="Times New Roman" w:cs="Times New Roman"/>
        </w:rPr>
      </w:pPr>
      <w:bookmarkStart w:id="63" w:name="X8e56fccb0cbc3f42e37a32e15961e15bb8e6c09"/>
      <w:bookmarkEnd w:id="62"/>
      <w:r w:rsidRPr="00164444">
        <w:rPr>
          <w:rFonts w:ascii="Times New Roman" w:hAnsi="Times New Roman" w:cs="Times New Roman"/>
        </w:rPr>
        <w:t>Table 16: Comparison with Previous Studies</w:t>
      </w:r>
    </w:p>
    <w:tbl>
      <w:tblPr>
        <w:tblStyle w:val="Table"/>
        <w:tblW w:w="5000" w:type="pct"/>
        <w:tblLayout w:type="fixed"/>
        <w:tblLook w:val="0020" w:firstRow="1" w:lastRow="0" w:firstColumn="0" w:lastColumn="0" w:noHBand="0" w:noVBand="0"/>
      </w:tblPr>
      <w:tblGrid>
        <w:gridCol w:w="3192"/>
        <w:gridCol w:w="3192"/>
        <w:gridCol w:w="3192"/>
      </w:tblGrid>
      <w:tr w:rsidR="002B462F" w:rsidRPr="00164444" w14:paraId="6D02E223" w14:textId="77777777" w:rsidTr="002B462F">
        <w:trPr>
          <w:cnfStyle w:val="100000000000" w:firstRow="1" w:lastRow="0" w:firstColumn="0" w:lastColumn="0" w:oddVBand="0" w:evenVBand="0" w:oddHBand="0" w:evenHBand="0" w:firstRowFirstColumn="0" w:firstRowLastColumn="0" w:lastRowFirstColumn="0" w:lastRowLastColumn="0"/>
          <w:tblHeader/>
        </w:trPr>
        <w:tc>
          <w:tcPr>
            <w:tcW w:w="2640" w:type="dxa"/>
          </w:tcPr>
          <w:p w14:paraId="46FF4494"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Study</w:t>
            </w:r>
          </w:p>
        </w:tc>
        <w:tc>
          <w:tcPr>
            <w:tcW w:w="2640" w:type="dxa"/>
          </w:tcPr>
          <w:p w14:paraId="49F6C57F"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Major Finding</w:t>
            </w:r>
          </w:p>
        </w:tc>
        <w:tc>
          <w:tcPr>
            <w:tcW w:w="2640" w:type="dxa"/>
          </w:tcPr>
          <w:p w14:paraId="1B0369E9"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Similarity with Present Study</w:t>
            </w:r>
          </w:p>
        </w:tc>
      </w:tr>
      <w:tr w:rsidR="002B462F" w:rsidRPr="00164444" w14:paraId="4F935EEB" w14:textId="77777777">
        <w:tc>
          <w:tcPr>
            <w:tcW w:w="2640" w:type="dxa"/>
          </w:tcPr>
          <w:p w14:paraId="22AA5865"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Yamaji et al.</w:t>
            </w:r>
          </w:p>
        </w:tc>
        <w:tc>
          <w:tcPr>
            <w:tcW w:w="2640" w:type="dxa"/>
          </w:tcPr>
          <w:p w14:paraId="7C0DE1F2"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aVR</w:t>
            </w:r>
            <w:r w:rsidRPr="00164444">
              <w:rPr>
                <w:rFonts w:ascii="Times New Roman" w:hAnsi="Times New Roman" w:cs="Times New Roman"/>
              </w:rPr>
              <w:t xml:space="preserve"> elevation predicts LMCA disease</w:t>
            </w:r>
          </w:p>
        </w:tc>
        <w:tc>
          <w:tcPr>
            <w:tcW w:w="2640" w:type="dxa"/>
          </w:tcPr>
          <w:p w14:paraId="3BA1F727"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Consistent</w:t>
            </w:r>
          </w:p>
        </w:tc>
      </w:tr>
      <w:tr w:rsidR="002B462F" w:rsidRPr="00164444" w14:paraId="5BADF1F5" w14:textId="77777777">
        <w:tc>
          <w:tcPr>
            <w:tcW w:w="2640" w:type="dxa"/>
          </w:tcPr>
          <w:p w14:paraId="63AD4FB6"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Barrabés et al.</w:t>
            </w:r>
          </w:p>
        </w:tc>
        <w:tc>
          <w:tcPr>
            <w:tcW w:w="2640" w:type="dxa"/>
          </w:tcPr>
          <w:p w14:paraId="0AD7DA01"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aVR associated with mortality</w:t>
            </w:r>
          </w:p>
        </w:tc>
        <w:tc>
          <w:tcPr>
            <w:tcW w:w="2640" w:type="dxa"/>
          </w:tcPr>
          <w:p w14:paraId="15D30686"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Similar trend observed</w:t>
            </w:r>
          </w:p>
        </w:tc>
      </w:tr>
      <w:tr w:rsidR="002B462F" w:rsidRPr="00164444" w14:paraId="1D3540B1" w14:textId="77777777">
        <w:tc>
          <w:tcPr>
            <w:tcW w:w="2640" w:type="dxa"/>
          </w:tcPr>
          <w:p w14:paraId="3B283572"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lastRenderedPageBreak/>
              <w:t>Kosuge et al.</w:t>
            </w:r>
          </w:p>
        </w:tc>
        <w:tc>
          <w:tcPr>
            <w:tcW w:w="2640" w:type="dxa"/>
          </w:tcPr>
          <w:p w14:paraId="10973068"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aVR predicts multivessel disease</w:t>
            </w:r>
          </w:p>
        </w:tc>
        <w:tc>
          <w:tcPr>
            <w:tcW w:w="2640" w:type="dxa"/>
          </w:tcPr>
          <w:p w14:paraId="1328BF08"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Supports present findings</w:t>
            </w:r>
          </w:p>
        </w:tc>
      </w:tr>
      <w:tr w:rsidR="002B462F" w:rsidRPr="00164444" w14:paraId="75BA0EE6" w14:textId="77777777">
        <w:tc>
          <w:tcPr>
            <w:tcW w:w="2640" w:type="dxa"/>
          </w:tcPr>
          <w:p w14:paraId="1EFF9547"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Wang et al.</w:t>
            </w:r>
          </w:p>
        </w:tc>
        <w:tc>
          <w:tcPr>
            <w:tcW w:w="2640" w:type="dxa"/>
          </w:tcPr>
          <w:p w14:paraId="4E0E8980"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Higher aVR elevation linked with poor outcomes</w:t>
            </w:r>
          </w:p>
        </w:tc>
        <w:tc>
          <w:tcPr>
            <w:tcW w:w="2640" w:type="dxa"/>
          </w:tcPr>
          <w:p w14:paraId="1EBDE2FF"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Comparable</w:t>
            </w:r>
          </w:p>
        </w:tc>
      </w:tr>
      <w:tr w:rsidR="002B462F" w:rsidRPr="00164444" w14:paraId="76022E28" w14:textId="77777777">
        <w:tc>
          <w:tcPr>
            <w:tcW w:w="2640" w:type="dxa"/>
          </w:tcPr>
          <w:p w14:paraId="7DDA8B95"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Kazemi et al.</w:t>
            </w:r>
          </w:p>
        </w:tc>
        <w:tc>
          <w:tcPr>
            <w:tcW w:w="2640" w:type="dxa"/>
          </w:tcPr>
          <w:p w14:paraId="4429C10C"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aVR useful for risk stratification</w:t>
            </w:r>
          </w:p>
        </w:tc>
        <w:tc>
          <w:tcPr>
            <w:tcW w:w="2640" w:type="dxa"/>
          </w:tcPr>
          <w:p w14:paraId="10DFD52F" w14:textId="77777777" w:rsidR="002B462F" w:rsidRPr="00164444" w:rsidRDefault="00C052B5" w:rsidP="00164444">
            <w:pPr>
              <w:pStyle w:val="Compact"/>
              <w:spacing w:line="360" w:lineRule="auto"/>
              <w:rPr>
                <w:rFonts w:ascii="Times New Roman" w:hAnsi="Times New Roman" w:cs="Times New Roman"/>
              </w:rPr>
            </w:pPr>
            <w:r w:rsidRPr="00164444">
              <w:rPr>
                <w:rFonts w:ascii="Times New Roman" w:hAnsi="Times New Roman" w:cs="Times New Roman"/>
              </w:rPr>
              <w:t>Strongly consistent</w:t>
            </w:r>
          </w:p>
        </w:tc>
      </w:tr>
    </w:tbl>
    <w:p w14:paraId="4CB1BCAD" w14:textId="77777777" w:rsidR="002B462F" w:rsidRPr="00164444" w:rsidRDefault="002B462F">
      <w:pPr>
        <w:rPr>
          <w:rFonts w:ascii="Times New Roman" w:hAnsi="Times New Roman" w:cs="Times New Roman"/>
        </w:rPr>
      </w:pPr>
    </w:p>
    <w:tbl>
      <w:tblPr>
        <w:tblStyle w:val="Table"/>
        <w:tblW w:w="278" w:type="pct"/>
        <w:tblLayout w:type="fixed"/>
        <w:tblLook w:val="0000" w:firstRow="0" w:lastRow="0" w:firstColumn="0" w:lastColumn="0" w:noHBand="0" w:noVBand="0"/>
      </w:tblPr>
      <w:tblGrid>
        <w:gridCol w:w="532"/>
      </w:tblGrid>
      <w:tr w:rsidR="002B462F" w:rsidRPr="00164444" w14:paraId="6D38F8C3" w14:textId="77777777">
        <w:tc>
          <w:tcPr>
            <w:tcW w:w="440" w:type="dxa"/>
          </w:tcPr>
          <w:p w14:paraId="59A01455" w14:textId="32182AAE" w:rsidR="002B462F" w:rsidRPr="00164444" w:rsidRDefault="002B462F">
            <w:pPr>
              <w:pStyle w:val="Compact"/>
              <w:rPr>
                <w:rFonts w:ascii="Times New Roman" w:hAnsi="Times New Roman" w:cs="Times New Roman"/>
              </w:rPr>
            </w:pPr>
          </w:p>
        </w:tc>
      </w:tr>
    </w:tbl>
    <w:p w14:paraId="3DAC42A8" w14:textId="06710FE0" w:rsidR="002B462F" w:rsidRPr="00164444" w:rsidRDefault="00164444">
      <w:pPr>
        <w:pStyle w:val="Heading1"/>
        <w:rPr>
          <w:rFonts w:ascii="Times New Roman" w:hAnsi="Times New Roman" w:cs="Times New Roman"/>
        </w:rPr>
      </w:pPr>
      <w:bookmarkStart w:id="64" w:name="discussion"/>
      <w:bookmarkEnd w:id="26"/>
      <w:bookmarkEnd w:id="63"/>
      <w:r w:rsidRPr="00164444">
        <w:rPr>
          <w:rFonts w:ascii="Times New Roman" w:hAnsi="Times New Roman" w:cs="Times New Roman"/>
        </w:rPr>
        <w:t>Discussion</w:t>
      </w:r>
    </w:p>
    <w:p w14:paraId="1485FD94"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The present study evaluated the clinical profile and significance of lead aVR</w:t>
      </w:r>
      <w:r w:rsidRPr="00164444">
        <w:rPr>
          <w:rFonts w:ascii="Times New Roman" w:hAnsi="Times New Roman" w:cs="Times New Roman"/>
        </w:rPr>
        <w:t xml:space="preserve"> changes in patients with Acute Coronary Syndrome. The mean age of participants was 57 years, which is consistent with previous Indian studies indicating earlier onset of coronary artery disease in the Indian population compared to Western cohorts.</w:t>
      </w:r>
    </w:p>
    <w:p w14:paraId="735DC25F"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 xml:space="preserve">Male </w:t>
      </w:r>
      <w:r w:rsidRPr="00164444">
        <w:rPr>
          <w:rFonts w:ascii="Times New Roman" w:hAnsi="Times New Roman" w:cs="Times New Roman"/>
        </w:rPr>
        <w:t>predominance observed in this study aligns with established epidemiological patterns of ACS. Hypertension and diabetes mellitus were highly prevalent among participants, emphasizing their role as major cardiovascular risk factors.</w:t>
      </w:r>
    </w:p>
    <w:p w14:paraId="6EF6ABC6"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The study demonstrated th</w:t>
      </w:r>
      <w:r w:rsidRPr="00164444">
        <w:rPr>
          <w:rFonts w:ascii="Times New Roman" w:hAnsi="Times New Roman" w:cs="Times New Roman"/>
        </w:rPr>
        <w:t>at lead aVR changes are common in ACS patients. Approximately one-third of patients showed ST-segment deviation ≥1 mm, supporting previous evidence that aVR changes may indicate more extensive coronary involvement.</w:t>
      </w:r>
    </w:p>
    <w:p w14:paraId="0828AF1D"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Although statistical significance was not</w:t>
      </w:r>
      <w:r w:rsidRPr="00164444">
        <w:rPr>
          <w:rFonts w:ascii="Times New Roman" w:hAnsi="Times New Roman" w:cs="Times New Roman"/>
        </w:rPr>
        <w:t xml:space="preserve"> achieved between aVR changes and demographic variables, trends suggested increased prevalence of hypertension and diabetes in patients with greater aVR deviations. Similar observations have been reported by Barrabés et al., Kosuge et al., and Wang et al.,</w:t>
      </w:r>
      <w:r w:rsidRPr="00164444">
        <w:rPr>
          <w:rFonts w:ascii="Times New Roman" w:hAnsi="Times New Roman" w:cs="Times New Roman"/>
        </w:rPr>
        <w:t xml:space="preserve"> who found that ST elevation in lead aVR correlates with severe coronary artery disease and poorer outcomes.</w:t>
      </w:r>
    </w:p>
    <w:p w14:paraId="1BD29978"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The high prevalence of abnormal P-wave morphology and widened QRS complexes in this study may reflect associated atrial ischemia, conduction abnorm</w:t>
      </w:r>
      <w:r w:rsidRPr="00164444">
        <w:rPr>
          <w:rFonts w:ascii="Times New Roman" w:hAnsi="Times New Roman" w:cs="Times New Roman"/>
        </w:rPr>
        <w:t>alities, and increased myocardial damage. These ECG abnormalities may further contribute to adverse cardiovascular outcomes.</w:t>
      </w:r>
    </w:p>
    <w:p w14:paraId="79565154"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 xml:space="preserve">The findings of this study reinforce the importance of comprehensive ECG interpretation, including careful evaluation of lead aVR. </w:t>
      </w:r>
      <w:r w:rsidRPr="00164444">
        <w:rPr>
          <w:rFonts w:ascii="Times New Roman" w:hAnsi="Times New Roman" w:cs="Times New Roman"/>
        </w:rPr>
        <w:t>In resource-limited settings where advanced imaging and angiography may not be immediately available, lead aVR can serve as a valuable bedside tool for early identification of high-risk patients.</w:t>
      </w:r>
    </w:p>
    <w:p w14:paraId="7F7B0151" w14:textId="77777777" w:rsidR="002B462F" w:rsidRPr="00164444" w:rsidRDefault="00C052B5">
      <w:pPr>
        <w:rPr>
          <w:rFonts w:ascii="Times New Roman" w:hAnsi="Times New Roman" w:cs="Times New Roman"/>
        </w:rPr>
      </w:pPr>
      <w:r>
        <w:rPr>
          <w:rFonts w:ascii="Times New Roman" w:hAnsi="Times New Roman" w:cs="Times New Roman"/>
        </w:rPr>
        <w:pict w14:anchorId="3767F6BB">
          <v:rect id="_x0000_i1035" style="width:0;height:1.5pt" o:hralign="center" o:hrstd="t" o:hr="t"/>
        </w:pict>
      </w:r>
    </w:p>
    <w:p w14:paraId="2CEE7FBB" w14:textId="77777777" w:rsidR="002B462F" w:rsidRPr="00164444" w:rsidRDefault="00C052B5">
      <w:pPr>
        <w:pStyle w:val="Heading1"/>
        <w:rPr>
          <w:rFonts w:ascii="Times New Roman" w:hAnsi="Times New Roman" w:cs="Times New Roman"/>
        </w:rPr>
      </w:pPr>
      <w:bookmarkStart w:id="65" w:name="conclusion-1"/>
      <w:bookmarkEnd w:id="64"/>
      <w:r w:rsidRPr="00164444">
        <w:rPr>
          <w:rFonts w:ascii="Times New Roman" w:hAnsi="Times New Roman" w:cs="Times New Roman"/>
        </w:rPr>
        <w:lastRenderedPageBreak/>
        <w:t>Conclusion</w:t>
      </w:r>
    </w:p>
    <w:p w14:paraId="54A6F3C9"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The present study highlights the clinical impor</w:t>
      </w:r>
      <w:r w:rsidRPr="00164444">
        <w:rPr>
          <w:rFonts w:ascii="Times New Roman" w:hAnsi="Times New Roman" w:cs="Times New Roman"/>
        </w:rPr>
        <w:t>tance of lead aVR in patients with Acute Coronary Syndrome. Significant ST-segment changes in lead aVR were observed in a large proportion of patients and were frequently associated with major cardiovascular risk factors and abnormal ECG findings.</w:t>
      </w:r>
    </w:p>
    <w:p w14:paraId="23E35178"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Although</w:t>
      </w:r>
      <w:r w:rsidRPr="00164444">
        <w:rPr>
          <w:rFonts w:ascii="Times New Roman" w:hAnsi="Times New Roman" w:cs="Times New Roman"/>
        </w:rPr>
        <w:t xml:space="preserve"> statistical associations with baseline variables were not significant, lead aVR changes demonstrated potential utility as an adjunctive prognostic marker in ACS. Evaluation of lead aVR may improve early risk stratification and facilitate timely interventi</w:t>
      </w:r>
      <w:r w:rsidRPr="00164444">
        <w:rPr>
          <w:rFonts w:ascii="Times New Roman" w:hAnsi="Times New Roman" w:cs="Times New Roman"/>
        </w:rPr>
        <w:t>on in high-risk patients.</w:t>
      </w:r>
    </w:p>
    <w:p w14:paraId="62B92E33" w14:textId="77777777" w:rsidR="002B462F" w:rsidRPr="00164444" w:rsidRDefault="00C052B5">
      <w:pPr>
        <w:pStyle w:val="BodyText"/>
        <w:rPr>
          <w:rFonts w:ascii="Times New Roman" w:hAnsi="Times New Roman" w:cs="Times New Roman"/>
        </w:rPr>
      </w:pPr>
      <w:r w:rsidRPr="00164444">
        <w:rPr>
          <w:rFonts w:ascii="Times New Roman" w:hAnsi="Times New Roman" w:cs="Times New Roman"/>
        </w:rPr>
        <w:t>Routine assessment of lead aVR should therefore be incorporated into standard ECG interpretation protocols for patients presenting with ACS.</w:t>
      </w:r>
    </w:p>
    <w:p w14:paraId="752E50E9" w14:textId="77777777" w:rsidR="002B462F" w:rsidRPr="00164444" w:rsidRDefault="00C052B5">
      <w:pPr>
        <w:rPr>
          <w:rFonts w:ascii="Times New Roman" w:hAnsi="Times New Roman" w:cs="Times New Roman"/>
        </w:rPr>
      </w:pPr>
      <w:r>
        <w:rPr>
          <w:rFonts w:ascii="Times New Roman" w:hAnsi="Times New Roman" w:cs="Times New Roman"/>
        </w:rPr>
        <w:pict w14:anchorId="2A713FCC">
          <v:rect id="_x0000_i1036" style="width:0;height:1.5pt" o:hralign="center" o:hrstd="t" o:hr="t"/>
        </w:pict>
      </w:r>
    </w:p>
    <w:p w14:paraId="0CE2FA8D" w14:textId="77777777" w:rsidR="002B462F" w:rsidRPr="00164444" w:rsidRDefault="00C052B5">
      <w:pPr>
        <w:pStyle w:val="Heading1"/>
        <w:rPr>
          <w:rFonts w:ascii="Times New Roman" w:hAnsi="Times New Roman" w:cs="Times New Roman"/>
        </w:rPr>
      </w:pPr>
      <w:bookmarkStart w:id="66" w:name="limitations"/>
      <w:bookmarkEnd w:id="65"/>
      <w:r w:rsidRPr="00164444">
        <w:rPr>
          <w:rFonts w:ascii="Times New Roman" w:hAnsi="Times New Roman" w:cs="Times New Roman"/>
        </w:rPr>
        <w:t>Limitations</w:t>
      </w:r>
    </w:p>
    <w:p w14:paraId="7AB2A918" w14:textId="77777777" w:rsidR="002B462F" w:rsidRPr="00164444" w:rsidRDefault="00C052B5">
      <w:pPr>
        <w:pStyle w:val="Compact"/>
        <w:numPr>
          <w:ilvl w:val="0"/>
          <w:numId w:val="9"/>
        </w:numPr>
        <w:rPr>
          <w:rFonts w:ascii="Times New Roman" w:hAnsi="Times New Roman" w:cs="Times New Roman"/>
        </w:rPr>
      </w:pPr>
      <w:r w:rsidRPr="00164444">
        <w:rPr>
          <w:rFonts w:ascii="Times New Roman" w:hAnsi="Times New Roman" w:cs="Times New Roman"/>
        </w:rPr>
        <w:t>The study was conducted at a single tertiary care center.</w:t>
      </w:r>
    </w:p>
    <w:p w14:paraId="330DEE90" w14:textId="77777777" w:rsidR="002B462F" w:rsidRPr="00164444" w:rsidRDefault="00C052B5">
      <w:pPr>
        <w:pStyle w:val="Compact"/>
        <w:numPr>
          <w:ilvl w:val="0"/>
          <w:numId w:val="9"/>
        </w:numPr>
        <w:rPr>
          <w:rFonts w:ascii="Times New Roman" w:hAnsi="Times New Roman" w:cs="Times New Roman"/>
        </w:rPr>
      </w:pPr>
      <w:r w:rsidRPr="00164444">
        <w:rPr>
          <w:rFonts w:ascii="Times New Roman" w:hAnsi="Times New Roman" w:cs="Times New Roman"/>
        </w:rPr>
        <w:t>The sample size w</w:t>
      </w:r>
      <w:r w:rsidRPr="00164444">
        <w:rPr>
          <w:rFonts w:ascii="Times New Roman" w:hAnsi="Times New Roman" w:cs="Times New Roman"/>
        </w:rPr>
        <w:t>as relatively small.</w:t>
      </w:r>
    </w:p>
    <w:p w14:paraId="3885D312" w14:textId="77777777" w:rsidR="002B462F" w:rsidRPr="00164444" w:rsidRDefault="00C052B5">
      <w:pPr>
        <w:pStyle w:val="Compact"/>
        <w:numPr>
          <w:ilvl w:val="0"/>
          <w:numId w:val="9"/>
        </w:numPr>
        <w:rPr>
          <w:rFonts w:ascii="Times New Roman" w:hAnsi="Times New Roman" w:cs="Times New Roman"/>
        </w:rPr>
      </w:pPr>
      <w:r w:rsidRPr="00164444">
        <w:rPr>
          <w:rFonts w:ascii="Times New Roman" w:hAnsi="Times New Roman" w:cs="Times New Roman"/>
        </w:rPr>
        <w:t>Long-term follow-up was not performed.</w:t>
      </w:r>
    </w:p>
    <w:p w14:paraId="00FF1B55" w14:textId="77777777" w:rsidR="002B462F" w:rsidRPr="00164444" w:rsidRDefault="00C052B5">
      <w:pPr>
        <w:pStyle w:val="Compact"/>
        <w:numPr>
          <w:ilvl w:val="0"/>
          <w:numId w:val="9"/>
        </w:numPr>
        <w:rPr>
          <w:rFonts w:ascii="Times New Roman" w:hAnsi="Times New Roman" w:cs="Times New Roman"/>
        </w:rPr>
      </w:pPr>
      <w:r w:rsidRPr="00164444">
        <w:rPr>
          <w:rFonts w:ascii="Times New Roman" w:hAnsi="Times New Roman" w:cs="Times New Roman"/>
        </w:rPr>
        <w:t>Coronary angiographic correlation was not available for all patients.</w:t>
      </w:r>
    </w:p>
    <w:p w14:paraId="55C82B6C"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Future multicentric studies with larger sample sizes and long-term follow-up are recommended.</w:t>
      </w:r>
    </w:p>
    <w:p w14:paraId="7B36BA21" w14:textId="77777777" w:rsidR="002B462F" w:rsidRPr="00164444" w:rsidRDefault="00C052B5">
      <w:pPr>
        <w:rPr>
          <w:rFonts w:ascii="Times New Roman" w:hAnsi="Times New Roman" w:cs="Times New Roman"/>
        </w:rPr>
      </w:pPr>
      <w:r>
        <w:rPr>
          <w:rFonts w:ascii="Times New Roman" w:hAnsi="Times New Roman" w:cs="Times New Roman"/>
        </w:rPr>
        <w:pict w14:anchorId="55A9431C">
          <v:rect id="_x0000_i1037" style="width:0;height:1.5pt" o:hralign="center" o:hrstd="t" o:hr="t"/>
        </w:pict>
      </w:r>
    </w:p>
    <w:p w14:paraId="7D8F7EDE" w14:textId="77777777" w:rsidR="002B462F" w:rsidRPr="00164444" w:rsidRDefault="00C052B5">
      <w:pPr>
        <w:pStyle w:val="Heading1"/>
        <w:rPr>
          <w:rFonts w:ascii="Times New Roman" w:hAnsi="Times New Roman" w:cs="Times New Roman"/>
        </w:rPr>
      </w:pPr>
      <w:bookmarkStart w:id="67" w:name="recommendations"/>
      <w:bookmarkEnd w:id="66"/>
      <w:r w:rsidRPr="00164444">
        <w:rPr>
          <w:rFonts w:ascii="Times New Roman" w:hAnsi="Times New Roman" w:cs="Times New Roman"/>
        </w:rPr>
        <w:t>Recommendations</w:t>
      </w:r>
    </w:p>
    <w:p w14:paraId="050306A9" w14:textId="77777777" w:rsidR="002B462F" w:rsidRPr="00164444" w:rsidRDefault="00C052B5">
      <w:pPr>
        <w:pStyle w:val="Compact"/>
        <w:numPr>
          <w:ilvl w:val="0"/>
          <w:numId w:val="10"/>
        </w:numPr>
        <w:rPr>
          <w:rFonts w:ascii="Times New Roman" w:hAnsi="Times New Roman" w:cs="Times New Roman"/>
        </w:rPr>
      </w:pPr>
      <w:r w:rsidRPr="00164444">
        <w:rPr>
          <w:rFonts w:ascii="Times New Roman" w:hAnsi="Times New Roman" w:cs="Times New Roman"/>
        </w:rPr>
        <w:t>Lead aVR shoul</w:t>
      </w:r>
      <w:r w:rsidRPr="00164444">
        <w:rPr>
          <w:rFonts w:ascii="Times New Roman" w:hAnsi="Times New Roman" w:cs="Times New Roman"/>
        </w:rPr>
        <w:t>d be routinely evaluated in all ACS patients.</w:t>
      </w:r>
    </w:p>
    <w:p w14:paraId="6023262F" w14:textId="77777777" w:rsidR="002B462F" w:rsidRPr="00164444" w:rsidRDefault="00C052B5">
      <w:pPr>
        <w:pStyle w:val="Compact"/>
        <w:numPr>
          <w:ilvl w:val="0"/>
          <w:numId w:val="10"/>
        </w:numPr>
        <w:rPr>
          <w:rFonts w:ascii="Times New Roman" w:hAnsi="Times New Roman" w:cs="Times New Roman"/>
        </w:rPr>
      </w:pPr>
      <w:r w:rsidRPr="00164444">
        <w:rPr>
          <w:rFonts w:ascii="Times New Roman" w:hAnsi="Times New Roman" w:cs="Times New Roman"/>
        </w:rPr>
        <w:t>Patients with significant ST-segment elevation in lead aVR should be considered high risk.</w:t>
      </w:r>
    </w:p>
    <w:p w14:paraId="3F7CBA08" w14:textId="77777777" w:rsidR="002B462F" w:rsidRPr="00164444" w:rsidRDefault="00C052B5">
      <w:pPr>
        <w:pStyle w:val="Compact"/>
        <w:numPr>
          <w:ilvl w:val="0"/>
          <w:numId w:val="10"/>
        </w:numPr>
        <w:rPr>
          <w:rFonts w:ascii="Times New Roman" w:hAnsi="Times New Roman" w:cs="Times New Roman"/>
        </w:rPr>
      </w:pPr>
      <w:r w:rsidRPr="00164444">
        <w:rPr>
          <w:rFonts w:ascii="Times New Roman" w:hAnsi="Times New Roman" w:cs="Times New Roman"/>
        </w:rPr>
        <w:t>Early invasive evaluation may be beneficial in patients demonstrating marked aVR changes.</w:t>
      </w:r>
    </w:p>
    <w:p w14:paraId="2EF9A065" w14:textId="77777777" w:rsidR="002B462F" w:rsidRPr="00164444" w:rsidRDefault="00C052B5">
      <w:pPr>
        <w:pStyle w:val="Compact"/>
        <w:numPr>
          <w:ilvl w:val="0"/>
          <w:numId w:val="10"/>
        </w:numPr>
        <w:rPr>
          <w:rFonts w:ascii="Times New Roman" w:hAnsi="Times New Roman" w:cs="Times New Roman"/>
        </w:rPr>
      </w:pPr>
      <w:r w:rsidRPr="00164444">
        <w:rPr>
          <w:rFonts w:ascii="Times New Roman" w:hAnsi="Times New Roman" w:cs="Times New Roman"/>
        </w:rPr>
        <w:t>Further large-scale studies a</w:t>
      </w:r>
      <w:r w:rsidRPr="00164444">
        <w:rPr>
          <w:rFonts w:ascii="Times New Roman" w:hAnsi="Times New Roman" w:cs="Times New Roman"/>
        </w:rPr>
        <w:t>re required to validate the prognostic role of lead aVR in the Indian population.</w:t>
      </w:r>
    </w:p>
    <w:p w14:paraId="398B1437" w14:textId="77777777" w:rsidR="002B462F" w:rsidRPr="00164444" w:rsidRDefault="00C052B5">
      <w:pPr>
        <w:rPr>
          <w:rFonts w:ascii="Times New Roman" w:hAnsi="Times New Roman" w:cs="Times New Roman"/>
        </w:rPr>
      </w:pPr>
      <w:r>
        <w:rPr>
          <w:rFonts w:ascii="Times New Roman" w:hAnsi="Times New Roman" w:cs="Times New Roman"/>
        </w:rPr>
        <w:pict w14:anchorId="59806662">
          <v:rect id="_x0000_i1038" style="width:0;height:1.5pt" o:hralign="center" o:hrstd="t" o:hr="t"/>
        </w:pict>
      </w:r>
    </w:p>
    <w:p w14:paraId="27934D6F" w14:textId="77777777" w:rsidR="002B462F" w:rsidRPr="00164444" w:rsidRDefault="00C052B5">
      <w:pPr>
        <w:pStyle w:val="Heading1"/>
        <w:rPr>
          <w:rFonts w:ascii="Times New Roman" w:hAnsi="Times New Roman" w:cs="Times New Roman"/>
        </w:rPr>
      </w:pPr>
      <w:bookmarkStart w:id="68" w:name="references"/>
      <w:bookmarkEnd w:id="67"/>
      <w:r w:rsidRPr="00164444">
        <w:rPr>
          <w:rFonts w:ascii="Times New Roman" w:hAnsi="Times New Roman" w:cs="Times New Roman"/>
        </w:rPr>
        <w:t>References</w:t>
      </w:r>
    </w:p>
    <w:p w14:paraId="590E71CA" w14:textId="77777777" w:rsidR="002B462F" w:rsidRPr="00164444" w:rsidRDefault="00C052B5">
      <w:pPr>
        <w:pStyle w:val="Compact"/>
        <w:numPr>
          <w:ilvl w:val="0"/>
          <w:numId w:val="11"/>
        </w:numPr>
        <w:rPr>
          <w:rFonts w:ascii="Times New Roman" w:hAnsi="Times New Roman" w:cs="Times New Roman"/>
        </w:rPr>
      </w:pPr>
      <w:r w:rsidRPr="00164444">
        <w:rPr>
          <w:rFonts w:ascii="Times New Roman" w:hAnsi="Times New Roman" w:cs="Times New Roman"/>
        </w:rPr>
        <w:t>Thygesen K, Alpert JS, Jaffe AS, et al. Fourth universal definition of myocardial infarction. Circulation. 2018.</w:t>
      </w:r>
    </w:p>
    <w:p w14:paraId="1A3043C0" w14:textId="77777777" w:rsidR="002B462F" w:rsidRPr="00164444" w:rsidRDefault="00C052B5">
      <w:pPr>
        <w:pStyle w:val="Compact"/>
        <w:numPr>
          <w:ilvl w:val="0"/>
          <w:numId w:val="11"/>
        </w:numPr>
        <w:rPr>
          <w:rFonts w:ascii="Times New Roman" w:hAnsi="Times New Roman" w:cs="Times New Roman"/>
        </w:rPr>
      </w:pPr>
      <w:r w:rsidRPr="00164444">
        <w:rPr>
          <w:rFonts w:ascii="Times New Roman" w:hAnsi="Times New Roman" w:cs="Times New Roman"/>
        </w:rPr>
        <w:t>Ibanez B, James S, Agewall</w:t>
      </w:r>
      <w:r w:rsidRPr="00164444">
        <w:rPr>
          <w:rFonts w:ascii="Times New Roman" w:hAnsi="Times New Roman" w:cs="Times New Roman"/>
        </w:rPr>
        <w:t xml:space="preserve"> S, et al. ESC Guidelines for the management of acute myocardial infarction. Eur Heart J. 2018.</w:t>
      </w:r>
    </w:p>
    <w:p w14:paraId="48A3EFC5" w14:textId="77777777" w:rsidR="002B462F" w:rsidRPr="00164444" w:rsidRDefault="00C052B5">
      <w:pPr>
        <w:pStyle w:val="Compact"/>
        <w:numPr>
          <w:ilvl w:val="0"/>
          <w:numId w:val="11"/>
        </w:numPr>
        <w:rPr>
          <w:rFonts w:ascii="Times New Roman" w:hAnsi="Times New Roman" w:cs="Times New Roman"/>
        </w:rPr>
      </w:pPr>
      <w:r w:rsidRPr="00164444">
        <w:rPr>
          <w:rFonts w:ascii="Times New Roman" w:hAnsi="Times New Roman" w:cs="Times New Roman"/>
        </w:rPr>
        <w:t>O’Gara PT, Kushner FG, Ascheim DD, et al. ACCF/AHA guideline for STEMI management. Circulation. 2013.</w:t>
      </w:r>
    </w:p>
    <w:p w14:paraId="54323C4C" w14:textId="77777777" w:rsidR="002B462F" w:rsidRPr="00164444" w:rsidRDefault="00C052B5">
      <w:pPr>
        <w:pStyle w:val="Compact"/>
        <w:numPr>
          <w:ilvl w:val="0"/>
          <w:numId w:val="11"/>
        </w:numPr>
        <w:rPr>
          <w:rFonts w:ascii="Times New Roman" w:hAnsi="Times New Roman" w:cs="Times New Roman"/>
        </w:rPr>
      </w:pPr>
      <w:r w:rsidRPr="00164444">
        <w:rPr>
          <w:rFonts w:ascii="Times New Roman" w:hAnsi="Times New Roman" w:cs="Times New Roman"/>
        </w:rPr>
        <w:lastRenderedPageBreak/>
        <w:t>Yamaji H, Iwasaki K, Kusachi S, et al. Prediction of acute</w:t>
      </w:r>
      <w:r w:rsidRPr="00164444">
        <w:rPr>
          <w:rFonts w:ascii="Times New Roman" w:hAnsi="Times New Roman" w:cs="Times New Roman"/>
        </w:rPr>
        <w:t xml:space="preserve"> left main coronary artery obstruction by lead aVR. J Am Coll Cardiol. 2001.</w:t>
      </w:r>
    </w:p>
    <w:p w14:paraId="26400062" w14:textId="77777777" w:rsidR="002B462F" w:rsidRPr="00164444" w:rsidRDefault="00C052B5">
      <w:pPr>
        <w:pStyle w:val="Compact"/>
        <w:numPr>
          <w:ilvl w:val="0"/>
          <w:numId w:val="11"/>
        </w:numPr>
        <w:rPr>
          <w:rFonts w:ascii="Times New Roman" w:hAnsi="Times New Roman" w:cs="Times New Roman"/>
        </w:rPr>
      </w:pPr>
      <w:r w:rsidRPr="00164444">
        <w:rPr>
          <w:rFonts w:ascii="Times New Roman" w:hAnsi="Times New Roman" w:cs="Times New Roman"/>
        </w:rPr>
        <w:t>Barrabés JA, Figueras J, Moure C, et al. Prognostic value of lead aVR in non-ST elevation myocardial infarction. Circulation. 2003.</w:t>
      </w:r>
    </w:p>
    <w:p w14:paraId="005B821A" w14:textId="77777777" w:rsidR="002B462F" w:rsidRPr="00164444" w:rsidRDefault="00C052B5">
      <w:pPr>
        <w:pStyle w:val="Compact"/>
        <w:numPr>
          <w:ilvl w:val="0"/>
          <w:numId w:val="11"/>
        </w:numPr>
        <w:rPr>
          <w:rFonts w:ascii="Times New Roman" w:hAnsi="Times New Roman" w:cs="Times New Roman"/>
        </w:rPr>
      </w:pPr>
      <w:r w:rsidRPr="00164444">
        <w:rPr>
          <w:rFonts w:ascii="Times New Roman" w:hAnsi="Times New Roman" w:cs="Times New Roman"/>
        </w:rPr>
        <w:t>Kosuge M, Kimura K, Ishikawa T, et al. Predicti</w:t>
      </w:r>
      <w:r w:rsidRPr="00164444">
        <w:rPr>
          <w:rFonts w:ascii="Times New Roman" w:hAnsi="Times New Roman" w:cs="Times New Roman"/>
        </w:rPr>
        <w:t>ve value of ST elevation in lead aVR in ACS. Am J Cardiol. 2008.</w:t>
      </w:r>
    </w:p>
    <w:p w14:paraId="519AD265" w14:textId="77777777" w:rsidR="002B462F" w:rsidRPr="00164444" w:rsidRDefault="00C052B5">
      <w:pPr>
        <w:pStyle w:val="Compact"/>
        <w:numPr>
          <w:ilvl w:val="0"/>
          <w:numId w:val="11"/>
        </w:numPr>
        <w:rPr>
          <w:rFonts w:ascii="Times New Roman" w:hAnsi="Times New Roman" w:cs="Times New Roman"/>
        </w:rPr>
      </w:pPr>
      <w:r w:rsidRPr="00164444">
        <w:rPr>
          <w:rFonts w:ascii="Times New Roman" w:hAnsi="Times New Roman" w:cs="Times New Roman"/>
        </w:rPr>
        <w:t>Wang Y, et al. Prognostic implications of ST elevation in lead aVR: Meta-analysis. Ann Noninvasive Electrocardiol. 2021.</w:t>
      </w:r>
    </w:p>
    <w:p w14:paraId="3B865A50" w14:textId="77777777" w:rsidR="002B462F" w:rsidRPr="00164444" w:rsidRDefault="00C052B5">
      <w:pPr>
        <w:pStyle w:val="Compact"/>
        <w:numPr>
          <w:ilvl w:val="0"/>
          <w:numId w:val="11"/>
        </w:numPr>
        <w:rPr>
          <w:rFonts w:ascii="Times New Roman" w:hAnsi="Times New Roman" w:cs="Times New Roman"/>
        </w:rPr>
      </w:pPr>
      <w:r w:rsidRPr="00164444">
        <w:rPr>
          <w:rFonts w:ascii="Times New Roman" w:hAnsi="Times New Roman" w:cs="Times New Roman"/>
        </w:rPr>
        <w:t>Kazemi T, et al. Prognostic significance of lead aVR in ACS: Systemati</w:t>
      </w:r>
      <w:r w:rsidRPr="00164444">
        <w:rPr>
          <w:rFonts w:ascii="Times New Roman" w:hAnsi="Times New Roman" w:cs="Times New Roman"/>
        </w:rPr>
        <w:t>c review and meta-analysis. 2022.</w:t>
      </w:r>
    </w:p>
    <w:p w14:paraId="2C438D53" w14:textId="77777777" w:rsidR="002B462F" w:rsidRPr="00164444" w:rsidRDefault="00C052B5">
      <w:pPr>
        <w:pStyle w:val="Compact"/>
        <w:numPr>
          <w:ilvl w:val="0"/>
          <w:numId w:val="11"/>
        </w:numPr>
        <w:rPr>
          <w:rFonts w:ascii="Times New Roman" w:hAnsi="Times New Roman" w:cs="Times New Roman"/>
        </w:rPr>
      </w:pPr>
      <w:r w:rsidRPr="00164444">
        <w:rPr>
          <w:rFonts w:ascii="Times New Roman" w:hAnsi="Times New Roman" w:cs="Times New Roman"/>
        </w:rPr>
        <w:t>Lee GK, et al. Diagnostic value of lead aVR in left main coronary artery disease. Int J Cardiol. 2019.</w:t>
      </w:r>
    </w:p>
    <w:p w14:paraId="36916FF6" w14:textId="77777777" w:rsidR="002B462F" w:rsidRPr="00164444" w:rsidRDefault="00C052B5">
      <w:pPr>
        <w:pStyle w:val="Compact"/>
        <w:numPr>
          <w:ilvl w:val="0"/>
          <w:numId w:val="11"/>
        </w:numPr>
        <w:rPr>
          <w:rFonts w:ascii="Times New Roman" w:hAnsi="Times New Roman" w:cs="Times New Roman"/>
        </w:rPr>
      </w:pPr>
      <w:r w:rsidRPr="00164444">
        <w:rPr>
          <w:rFonts w:ascii="Times New Roman" w:hAnsi="Times New Roman" w:cs="Times New Roman"/>
        </w:rPr>
        <w:t>Chhikara S, et al. Clinical importance of lead aVR in acute coronary syndrome. 2023.</w:t>
      </w:r>
    </w:p>
    <w:p w14:paraId="0480FCCC" w14:textId="77777777" w:rsidR="002B462F" w:rsidRPr="00164444" w:rsidRDefault="00C052B5">
      <w:pPr>
        <w:rPr>
          <w:rFonts w:ascii="Times New Roman" w:hAnsi="Times New Roman" w:cs="Times New Roman"/>
        </w:rPr>
      </w:pPr>
      <w:r>
        <w:rPr>
          <w:rFonts w:ascii="Times New Roman" w:hAnsi="Times New Roman" w:cs="Times New Roman"/>
        </w:rPr>
        <w:pict w14:anchorId="2DE495F2">
          <v:rect id="_x0000_i1039" style="width:0;height:1.5pt" o:hralign="center" o:hrstd="t" o:hr="t"/>
        </w:pict>
      </w:r>
    </w:p>
    <w:p w14:paraId="636EDC13" w14:textId="77777777" w:rsidR="002B462F" w:rsidRPr="00164444" w:rsidRDefault="00C052B5">
      <w:pPr>
        <w:pStyle w:val="Heading1"/>
        <w:rPr>
          <w:rFonts w:ascii="Times New Roman" w:hAnsi="Times New Roman" w:cs="Times New Roman"/>
        </w:rPr>
      </w:pPr>
      <w:bookmarkStart w:id="69" w:name="acknowledgement"/>
      <w:bookmarkEnd w:id="68"/>
      <w:r w:rsidRPr="00164444">
        <w:rPr>
          <w:rFonts w:ascii="Times New Roman" w:hAnsi="Times New Roman" w:cs="Times New Roman"/>
        </w:rPr>
        <w:t>Acknowledgement</w:t>
      </w:r>
    </w:p>
    <w:p w14:paraId="2EFDA70F"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The authors expr</w:t>
      </w:r>
      <w:r w:rsidRPr="00164444">
        <w:rPr>
          <w:rFonts w:ascii="Times New Roman" w:hAnsi="Times New Roman" w:cs="Times New Roman"/>
        </w:rPr>
        <w:t>ess sincere gratitude to the Department of General Medicine, MGM Medical College and Hospital, Navi Mumbai, for providing the facilities and support necessary for conducting this study. The cooperation of all study participants is gratefully acknowledged.</w:t>
      </w:r>
    </w:p>
    <w:p w14:paraId="53FEC257" w14:textId="77777777" w:rsidR="002B462F" w:rsidRPr="00164444" w:rsidRDefault="00C052B5">
      <w:pPr>
        <w:rPr>
          <w:rFonts w:ascii="Times New Roman" w:hAnsi="Times New Roman" w:cs="Times New Roman"/>
        </w:rPr>
      </w:pPr>
      <w:r>
        <w:rPr>
          <w:rFonts w:ascii="Times New Roman" w:hAnsi="Times New Roman" w:cs="Times New Roman"/>
        </w:rPr>
        <w:pict w14:anchorId="35591E4F">
          <v:rect id="_x0000_i1040" style="width:0;height:1.5pt" o:hralign="center" o:hrstd="t" o:hr="t"/>
        </w:pict>
      </w:r>
    </w:p>
    <w:p w14:paraId="6F725FEA" w14:textId="77777777" w:rsidR="002B462F" w:rsidRPr="00164444" w:rsidRDefault="00C052B5">
      <w:pPr>
        <w:pStyle w:val="Heading1"/>
        <w:rPr>
          <w:rFonts w:ascii="Times New Roman" w:hAnsi="Times New Roman" w:cs="Times New Roman"/>
        </w:rPr>
      </w:pPr>
      <w:bookmarkStart w:id="70" w:name="conflict-of-interest"/>
      <w:bookmarkEnd w:id="69"/>
      <w:r w:rsidRPr="00164444">
        <w:rPr>
          <w:rFonts w:ascii="Times New Roman" w:hAnsi="Times New Roman" w:cs="Times New Roman"/>
        </w:rPr>
        <w:t>Conflict of Interest</w:t>
      </w:r>
    </w:p>
    <w:p w14:paraId="11D68BD2"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The authors declare no conflict of interest.</w:t>
      </w:r>
    </w:p>
    <w:p w14:paraId="6EBEBBD9" w14:textId="77777777" w:rsidR="002B462F" w:rsidRPr="00164444" w:rsidRDefault="00C052B5">
      <w:pPr>
        <w:rPr>
          <w:rFonts w:ascii="Times New Roman" w:hAnsi="Times New Roman" w:cs="Times New Roman"/>
        </w:rPr>
      </w:pPr>
      <w:r>
        <w:rPr>
          <w:rFonts w:ascii="Times New Roman" w:hAnsi="Times New Roman" w:cs="Times New Roman"/>
        </w:rPr>
        <w:pict w14:anchorId="36EC9BC9">
          <v:rect id="_x0000_i1041" style="width:0;height:1.5pt" o:hralign="center" o:hrstd="t" o:hr="t"/>
        </w:pict>
      </w:r>
    </w:p>
    <w:p w14:paraId="26395564" w14:textId="77777777" w:rsidR="002B462F" w:rsidRPr="00164444" w:rsidRDefault="00C052B5">
      <w:pPr>
        <w:pStyle w:val="Heading1"/>
        <w:rPr>
          <w:rFonts w:ascii="Times New Roman" w:hAnsi="Times New Roman" w:cs="Times New Roman"/>
        </w:rPr>
      </w:pPr>
      <w:bookmarkStart w:id="71" w:name="funding"/>
      <w:bookmarkEnd w:id="70"/>
      <w:r w:rsidRPr="00164444">
        <w:rPr>
          <w:rFonts w:ascii="Times New Roman" w:hAnsi="Times New Roman" w:cs="Times New Roman"/>
        </w:rPr>
        <w:t>Funding</w:t>
      </w:r>
    </w:p>
    <w:p w14:paraId="008DA3FD" w14:textId="77777777" w:rsidR="002B462F" w:rsidRPr="00164444" w:rsidRDefault="00C052B5">
      <w:pPr>
        <w:pStyle w:val="FirstParagraph"/>
        <w:rPr>
          <w:rFonts w:ascii="Times New Roman" w:hAnsi="Times New Roman" w:cs="Times New Roman"/>
        </w:rPr>
      </w:pPr>
      <w:r w:rsidRPr="00164444">
        <w:rPr>
          <w:rFonts w:ascii="Times New Roman" w:hAnsi="Times New Roman" w:cs="Times New Roman"/>
        </w:rPr>
        <w:t>No external funding was received for this study.</w:t>
      </w:r>
      <w:bookmarkEnd w:id="71"/>
    </w:p>
    <w:sectPr w:rsidR="002B462F" w:rsidRPr="0016444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7344949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66AE7A6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411"/>
    <w:multiLevelType w:val="multilevel"/>
    <w:tmpl w:val="9B5457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1"/>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2F"/>
    <w:rsid w:val="00164444"/>
    <w:rsid w:val="002B462F"/>
    <w:rsid w:val="00541F62"/>
    <w:rsid w:val="008466A7"/>
    <w:rsid w:val="00C0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2813</Words>
  <Characters>16039</Characters>
  <Application>Microsoft Office Word</Application>
  <DocSecurity>0</DocSecurity>
  <Lines>133</Lines>
  <Paragraphs>37</Paragraphs>
  <ScaleCrop>false</ScaleCrop>
  <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Isha Bhatt</dc:creator>
  <cp:keywords/>
  <cp:lastModifiedBy>qwert</cp:lastModifiedBy>
  <cp:revision>3</cp:revision>
  <dcterms:created xsi:type="dcterms:W3CDTF">2026-05-09T06:51:00Z</dcterms:created>
  <dcterms:modified xsi:type="dcterms:W3CDTF">2026-05-11T13:37:00Z</dcterms:modified>
</cp:coreProperties>
</file>