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C1A" w:rsidRDefault="005C6C1A"/>
    <w:p w:rsidR="00575ABE" w:rsidRDefault="00575ABE"/>
    <w:p w:rsidR="00575ABE" w:rsidRDefault="00575ABE" w:rsidP="00575ABE">
      <w:pPr>
        <w:shd w:val="clear" w:color="auto" w:fill="FFFFFF"/>
        <w:spacing w:before="100" w:beforeAutospacing="1" w:after="0" w:line="240" w:lineRule="auto"/>
        <w:jc w:val="center"/>
        <w:rPr>
          <w:rFonts w:ascii="Times New Roman" w:eastAsia="Times New Roman" w:hAnsi="Times New Roman" w:cs="Times New Roman"/>
          <w:color w:val="0F1115"/>
          <w:sz w:val="28"/>
          <w:szCs w:val="28"/>
        </w:rPr>
      </w:pPr>
      <w:r w:rsidRPr="00575ABE">
        <w:rPr>
          <w:rFonts w:ascii="Times New Roman" w:eastAsia="Times New Roman" w:hAnsi="Times New Roman" w:cs="Times New Roman"/>
          <w:color w:val="0F1115"/>
          <w:sz w:val="28"/>
          <w:szCs w:val="28"/>
        </w:rPr>
        <w:t>Integrating Indigenous Malaria Knowledge with Machine Learning for Community-Based Digital Health Surveillance in Dire Dawa, Ethiopia: A Mixed-Methods Study</w:t>
      </w:r>
    </w:p>
    <w:p w:rsidR="00575ABE" w:rsidRPr="006D4F74" w:rsidRDefault="00575ABE" w:rsidP="00946D60">
      <w:pPr>
        <w:spacing w:after="120"/>
        <w:jc w:val="center"/>
        <w:rPr>
          <w:rFonts w:ascii="Times New Roman" w:hAnsi="Times New Roman" w:cs="Times New Roman"/>
          <w:sz w:val="24"/>
          <w:szCs w:val="24"/>
        </w:rPr>
      </w:pPr>
      <w:bookmarkStart w:id="0" w:name="_GoBack"/>
      <w:bookmarkEnd w:id="0"/>
    </w:p>
    <w:p w:rsidR="00575ABE" w:rsidRPr="00946D60" w:rsidRDefault="00575ABE" w:rsidP="00946D60">
      <w:pPr>
        <w:shd w:val="clear" w:color="auto" w:fill="FFFFFF"/>
        <w:spacing w:after="120"/>
        <w:jc w:val="both"/>
        <w:outlineLvl w:val="1"/>
        <w:rPr>
          <w:rFonts w:ascii="Times New Roman" w:eastAsia="Times New Roman" w:hAnsi="Times New Roman" w:cs="Times New Roman"/>
          <w:bCs/>
          <w:color w:val="0F1115"/>
          <w:sz w:val="24"/>
          <w:szCs w:val="24"/>
        </w:rPr>
      </w:pPr>
      <w:r w:rsidRPr="00946D60">
        <w:rPr>
          <w:rFonts w:ascii="Times New Roman" w:eastAsia="Times New Roman" w:hAnsi="Times New Roman" w:cs="Times New Roman"/>
          <w:bCs/>
          <w:color w:val="0F1115"/>
          <w:sz w:val="24"/>
          <w:szCs w:val="24"/>
        </w:rPr>
        <w:t xml:space="preserve">Abstract </w:t>
      </w:r>
    </w:p>
    <w:p w:rsidR="00946D60" w:rsidRPr="00946D60" w:rsidRDefault="00946D60" w:rsidP="00946D60">
      <w:pPr>
        <w:shd w:val="clear" w:color="auto" w:fill="FFFFFF"/>
        <w:spacing w:after="120"/>
        <w:jc w:val="both"/>
        <w:rPr>
          <w:rFonts w:ascii="Times New Roman" w:eastAsia="Times New Roman" w:hAnsi="Times New Roman" w:cs="Times New Roman"/>
          <w:color w:val="0F1115"/>
          <w:sz w:val="24"/>
          <w:szCs w:val="24"/>
        </w:rPr>
      </w:pPr>
      <w:r w:rsidRPr="00946D60">
        <w:rPr>
          <w:rFonts w:ascii="Times New Roman" w:eastAsia="Times New Roman" w:hAnsi="Times New Roman" w:cs="Times New Roman"/>
          <w:bCs/>
          <w:color w:val="0F1115"/>
          <w:sz w:val="24"/>
          <w:szCs w:val="24"/>
        </w:rPr>
        <w:t>Background:</w:t>
      </w:r>
      <w:r w:rsidRPr="00946D60">
        <w:rPr>
          <w:rFonts w:ascii="Times New Roman" w:eastAsia="Times New Roman" w:hAnsi="Times New Roman" w:cs="Times New Roman"/>
          <w:color w:val="0F1115"/>
          <w:sz w:val="24"/>
          <w:szCs w:val="24"/>
        </w:rPr>
        <w:t> Malaria remains a major public health threat in Ethiopia, particularly in Dire Dawa where the invasive </w:t>
      </w:r>
      <w:r w:rsidRPr="00946D60">
        <w:rPr>
          <w:rFonts w:ascii="Times New Roman" w:eastAsia="Times New Roman" w:hAnsi="Times New Roman" w:cs="Times New Roman"/>
          <w:i/>
          <w:iCs/>
          <w:color w:val="0F1115"/>
          <w:sz w:val="24"/>
          <w:szCs w:val="24"/>
        </w:rPr>
        <w:t>Anopheles stephensi</w:t>
      </w:r>
      <w:r w:rsidRPr="00946D60">
        <w:rPr>
          <w:rFonts w:ascii="Times New Roman" w:eastAsia="Times New Roman" w:hAnsi="Times New Roman" w:cs="Times New Roman"/>
          <w:color w:val="0F1115"/>
          <w:sz w:val="24"/>
          <w:szCs w:val="24"/>
        </w:rPr>
        <w:t> has enabled dry</w:t>
      </w:r>
      <w:r w:rsidRPr="00946D60">
        <w:rPr>
          <w:rFonts w:ascii="Times New Roman" w:eastAsia="Times New Roman" w:hAnsi="Times New Roman" w:cs="Times New Roman"/>
          <w:color w:val="0F1115"/>
          <w:sz w:val="24"/>
          <w:szCs w:val="24"/>
        </w:rPr>
        <w:noBreakHyphen/>
        <w:t xml:space="preserve">season transmission. Conventional surveillance relies on passive case detection and climate data, ignoring the rich indigenous knowledge held by local communities. </w:t>
      </w:r>
      <w:r w:rsidRPr="00946D60">
        <w:rPr>
          <w:rFonts w:ascii="Times New Roman" w:eastAsia="Times New Roman" w:hAnsi="Times New Roman" w:cs="Times New Roman"/>
          <w:bCs/>
          <w:color w:val="0F1115"/>
          <w:sz w:val="24"/>
          <w:szCs w:val="24"/>
        </w:rPr>
        <w:t>Purpose:</w:t>
      </w:r>
      <w:r w:rsidRPr="00946D60">
        <w:rPr>
          <w:rFonts w:ascii="Times New Roman" w:eastAsia="Times New Roman" w:hAnsi="Times New Roman" w:cs="Times New Roman"/>
          <w:color w:val="0F1115"/>
          <w:sz w:val="24"/>
          <w:szCs w:val="24"/>
        </w:rPr>
        <w:t> To integrate indigenous malaria knowledge from Oromo, Somali and Amhara communities with machine learning to develop and pilot a community</w:t>
      </w:r>
      <w:r w:rsidRPr="00946D60">
        <w:rPr>
          <w:rFonts w:ascii="Times New Roman" w:eastAsia="Times New Roman" w:hAnsi="Times New Roman" w:cs="Times New Roman"/>
          <w:color w:val="0F1115"/>
          <w:sz w:val="24"/>
          <w:szCs w:val="24"/>
        </w:rPr>
        <w:noBreakHyphen/>
        <w:t xml:space="preserve">based digital health surveillance tool in Dire Dawa, Ethiopia. </w:t>
      </w:r>
      <w:r w:rsidRPr="00946D60">
        <w:rPr>
          <w:rFonts w:ascii="Times New Roman" w:eastAsia="Times New Roman" w:hAnsi="Times New Roman" w:cs="Times New Roman"/>
          <w:bCs/>
          <w:color w:val="0F1115"/>
          <w:sz w:val="24"/>
          <w:szCs w:val="24"/>
        </w:rPr>
        <w:t>Methods:</w:t>
      </w:r>
      <w:r w:rsidRPr="00946D60">
        <w:rPr>
          <w:rFonts w:ascii="Times New Roman" w:eastAsia="Times New Roman" w:hAnsi="Times New Roman" w:cs="Times New Roman"/>
          <w:color w:val="0F1115"/>
          <w:sz w:val="24"/>
          <w:szCs w:val="24"/>
        </w:rPr>
        <w:t> A sequential explanatory mixed</w:t>
      </w:r>
      <w:r w:rsidRPr="00946D60">
        <w:rPr>
          <w:rFonts w:ascii="Times New Roman" w:eastAsia="Times New Roman" w:hAnsi="Times New Roman" w:cs="Times New Roman"/>
          <w:color w:val="0F1115"/>
          <w:sz w:val="24"/>
          <w:szCs w:val="24"/>
        </w:rPr>
        <w:noBreakHyphen/>
        <w:t>methods design was employed. Phase 1: qualitative elicitation of indigenous indicators (n=300 participants). Phase 2: training of an ensemble machine learning model combining indigenous, climatic, topographic and clinical data (2019–2023). Phase 3: co</w:t>
      </w:r>
      <w:r w:rsidRPr="00946D60">
        <w:rPr>
          <w:rFonts w:ascii="Times New Roman" w:eastAsia="Times New Roman" w:hAnsi="Times New Roman" w:cs="Times New Roman"/>
          <w:color w:val="0F1115"/>
          <w:sz w:val="24"/>
          <w:szCs w:val="24"/>
        </w:rPr>
        <w:noBreakHyphen/>
        <w:t>design and four</w:t>
      </w:r>
      <w:r w:rsidRPr="00946D60">
        <w:rPr>
          <w:rFonts w:ascii="Times New Roman" w:eastAsia="Times New Roman" w:hAnsi="Times New Roman" w:cs="Times New Roman"/>
          <w:color w:val="0F1115"/>
          <w:sz w:val="24"/>
          <w:szCs w:val="24"/>
        </w:rPr>
        <w:noBreakHyphen/>
        <w:t xml:space="preserve">month pilot of a mobile surveillance tool (20 health workers, 100 households). </w:t>
      </w:r>
      <w:r w:rsidRPr="00946D60">
        <w:rPr>
          <w:rFonts w:ascii="Times New Roman" w:eastAsia="Times New Roman" w:hAnsi="Times New Roman" w:cs="Times New Roman"/>
          <w:bCs/>
          <w:color w:val="0F1115"/>
          <w:sz w:val="24"/>
          <w:szCs w:val="24"/>
        </w:rPr>
        <w:t>Findings:</w:t>
      </w:r>
      <w:r w:rsidRPr="00946D60">
        <w:rPr>
          <w:rFonts w:ascii="Times New Roman" w:eastAsia="Times New Roman" w:hAnsi="Times New Roman" w:cs="Times New Roman"/>
          <w:color w:val="0F1115"/>
          <w:sz w:val="24"/>
          <w:szCs w:val="24"/>
        </w:rPr>
        <w:t> Twelve quantifiable indigenous indicators were identified. The combined ensemble model achieved 88% sensitivity and 84% specificity (AUC=0.92), outperforming climate</w:t>
      </w:r>
      <w:r w:rsidRPr="00946D60">
        <w:rPr>
          <w:rFonts w:ascii="Times New Roman" w:eastAsia="Times New Roman" w:hAnsi="Times New Roman" w:cs="Times New Roman"/>
          <w:color w:val="0F1115"/>
          <w:sz w:val="24"/>
          <w:szCs w:val="24"/>
        </w:rPr>
        <w:noBreakHyphen/>
        <w:t>only models by 16–20 percentage points and providing a two</w:t>
      </w:r>
      <w:r w:rsidRPr="00946D60">
        <w:rPr>
          <w:rFonts w:ascii="Times New Roman" w:eastAsia="Times New Roman" w:hAnsi="Times New Roman" w:cs="Times New Roman"/>
          <w:color w:val="0F1115"/>
          <w:sz w:val="24"/>
          <w:szCs w:val="24"/>
        </w:rPr>
        <w:noBreakHyphen/>
        <w:t>week early warning lead time. Red cattle proximity ranked as the third most important predictor. The pilot demonstrated 98% household completion, 90% voice input preference, and a System Usability Scale score of 78.4 (good to excellent). Real</w:t>
      </w:r>
      <w:r w:rsidRPr="00946D60">
        <w:rPr>
          <w:rFonts w:ascii="Times New Roman" w:eastAsia="Times New Roman" w:hAnsi="Times New Roman" w:cs="Times New Roman"/>
          <w:color w:val="0F1115"/>
          <w:sz w:val="24"/>
          <w:szCs w:val="24"/>
        </w:rPr>
        <w:noBreakHyphen/>
        <w:t xml:space="preserve">time alerts matched confirmed cases in 82% of weeks. </w:t>
      </w:r>
      <w:r w:rsidRPr="00946D60">
        <w:rPr>
          <w:rFonts w:ascii="Times New Roman" w:eastAsia="Times New Roman" w:hAnsi="Times New Roman" w:cs="Times New Roman"/>
          <w:bCs/>
          <w:color w:val="0F1115"/>
          <w:sz w:val="24"/>
          <w:szCs w:val="24"/>
        </w:rPr>
        <w:t>Conclusion:</w:t>
      </w:r>
      <w:r w:rsidRPr="00946D60">
        <w:rPr>
          <w:rFonts w:ascii="Times New Roman" w:eastAsia="Times New Roman" w:hAnsi="Times New Roman" w:cs="Times New Roman"/>
          <w:color w:val="0F1115"/>
          <w:sz w:val="24"/>
          <w:szCs w:val="24"/>
        </w:rPr>
        <w:t> Indigenous malaria knowledge is scientifically valid and, when integrated with machine learning, substantially improves outbreak prediction. Co</w:t>
      </w:r>
      <w:r w:rsidRPr="00946D60">
        <w:rPr>
          <w:rFonts w:ascii="Times New Roman" w:eastAsia="Times New Roman" w:hAnsi="Times New Roman" w:cs="Times New Roman"/>
          <w:color w:val="0F1115"/>
          <w:sz w:val="24"/>
          <w:szCs w:val="24"/>
        </w:rPr>
        <w:noBreakHyphen/>
        <w:t xml:space="preserve">designed mobile tools achieve high usability and engagement. </w:t>
      </w:r>
      <w:r w:rsidRPr="00946D60">
        <w:rPr>
          <w:rFonts w:ascii="Times New Roman" w:eastAsia="Times New Roman" w:hAnsi="Times New Roman" w:cs="Times New Roman"/>
          <w:bCs/>
          <w:color w:val="0F1115"/>
          <w:sz w:val="24"/>
          <w:szCs w:val="24"/>
        </w:rPr>
        <w:t>Recommendation:</w:t>
      </w:r>
      <w:r w:rsidRPr="00946D60">
        <w:rPr>
          <w:rFonts w:ascii="Times New Roman" w:eastAsia="Times New Roman" w:hAnsi="Times New Roman" w:cs="Times New Roman"/>
          <w:color w:val="0F1115"/>
          <w:sz w:val="24"/>
          <w:szCs w:val="24"/>
        </w:rPr>
        <w:t> A cluster</w:t>
      </w:r>
      <w:r w:rsidRPr="00946D60">
        <w:rPr>
          <w:rFonts w:ascii="Times New Roman" w:eastAsia="Times New Roman" w:hAnsi="Times New Roman" w:cs="Times New Roman"/>
          <w:color w:val="0F1115"/>
          <w:sz w:val="24"/>
          <w:szCs w:val="24"/>
        </w:rPr>
        <w:noBreakHyphen/>
        <w:t>randomised trial is needed to assess clinical and cost</w:t>
      </w:r>
      <w:r w:rsidRPr="00946D60">
        <w:rPr>
          <w:rFonts w:ascii="Times New Roman" w:eastAsia="Times New Roman" w:hAnsi="Times New Roman" w:cs="Times New Roman"/>
          <w:color w:val="0F1115"/>
          <w:sz w:val="24"/>
          <w:szCs w:val="24"/>
        </w:rPr>
        <w:noBreakHyphen/>
        <w:t>effectiveness before national scaling.</w:t>
      </w:r>
    </w:p>
    <w:p w:rsidR="00946D60" w:rsidRPr="00946D60" w:rsidRDefault="00946D60" w:rsidP="00946D60">
      <w:pPr>
        <w:shd w:val="clear" w:color="auto" w:fill="FFFFFF"/>
        <w:spacing w:after="120"/>
        <w:jc w:val="both"/>
        <w:rPr>
          <w:rFonts w:ascii="Times New Roman" w:eastAsia="Times New Roman" w:hAnsi="Times New Roman" w:cs="Times New Roman"/>
          <w:color w:val="0F1115"/>
          <w:sz w:val="24"/>
          <w:szCs w:val="24"/>
        </w:rPr>
      </w:pPr>
      <w:r w:rsidRPr="00946D60">
        <w:rPr>
          <w:rFonts w:ascii="Times New Roman" w:eastAsia="Times New Roman" w:hAnsi="Times New Roman" w:cs="Times New Roman"/>
          <w:bCs/>
          <w:color w:val="0F1115"/>
          <w:sz w:val="24"/>
          <w:szCs w:val="24"/>
        </w:rPr>
        <w:t>Keywords:</w:t>
      </w:r>
      <w:r w:rsidRPr="00946D60">
        <w:rPr>
          <w:rFonts w:ascii="Times New Roman" w:eastAsia="Times New Roman" w:hAnsi="Times New Roman" w:cs="Times New Roman"/>
          <w:color w:val="0F1115"/>
          <w:sz w:val="24"/>
          <w:szCs w:val="24"/>
        </w:rPr>
        <w:t> Indigenous knowledge; machine learning; malaria surveillance; digital health; Dire Dawa, Ethiopia.</w:t>
      </w:r>
    </w:p>
    <w:p w:rsidR="00575ABE" w:rsidRPr="00575ABE" w:rsidRDefault="00575ABE" w:rsidP="00575ABE">
      <w:pPr>
        <w:shd w:val="clear" w:color="auto" w:fill="FFFFFF"/>
        <w:spacing w:after="120"/>
        <w:jc w:val="both"/>
        <w:outlineLvl w:val="1"/>
        <w:rPr>
          <w:rFonts w:ascii="Times New Roman" w:eastAsia="Times New Roman" w:hAnsi="Times New Roman" w:cs="Times New Roman"/>
          <w:bCs/>
          <w:color w:val="0F1115"/>
          <w:sz w:val="24"/>
          <w:szCs w:val="24"/>
        </w:rPr>
      </w:pPr>
      <w:r w:rsidRPr="00575ABE">
        <w:rPr>
          <w:rFonts w:ascii="Times New Roman" w:eastAsia="Times New Roman" w:hAnsi="Times New Roman" w:cs="Times New Roman"/>
          <w:bCs/>
          <w:color w:val="0F1115"/>
          <w:sz w:val="24"/>
          <w:szCs w:val="24"/>
        </w:rPr>
        <w:t>1. Introduction</w:t>
      </w:r>
    </w:p>
    <w:p w:rsidR="00575ABE" w:rsidRPr="00575ABE" w:rsidRDefault="00575ABE" w:rsidP="00575ABE">
      <w:pPr>
        <w:shd w:val="clear" w:color="auto" w:fill="FFFFFF"/>
        <w:spacing w:after="120"/>
        <w:jc w:val="both"/>
        <w:outlineLvl w:val="2"/>
        <w:rPr>
          <w:rFonts w:ascii="Times New Roman" w:eastAsia="Times New Roman" w:hAnsi="Times New Roman" w:cs="Times New Roman"/>
          <w:bCs/>
          <w:color w:val="0F1115"/>
          <w:sz w:val="24"/>
          <w:szCs w:val="24"/>
        </w:rPr>
      </w:pPr>
      <w:r w:rsidRPr="00575ABE">
        <w:rPr>
          <w:rFonts w:ascii="Times New Roman" w:eastAsia="Times New Roman" w:hAnsi="Times New Roman" w:cs="Times New Roman"/>
          <w:bCs/>
          <w:color w:val="0F1115"/>
          <w:sz w:val="24"/>
          <w:szCs w:val="24"/>
        </w:rPr>
        <w:t>1.1 Global and National Burden of Malaria</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Malaria remains one of the most formidable public health challenges globally, with its burden overwhelmingly concentrated in sub-Saharan Africa. According to the World Health Organization (WHO)’s World Malaria Report 2025, there were an estimated 282 million malaria c</w:t>
      </w:r>
      <w:r>
        <w:rPr>
          <w:rFonts w:ascii="Times New Roman" w:eastAsia="Times New Roman" w:hAnsi="Times New Roman" w:cs="Times New Roman"/>
          <w:color w:val="0F1115"/>
          <w:sz w:val="24"/>
          <w:szCs w:val="24"/>
        </w:rPr>
        <w:t xml:space="preserve">ases and 610,000 deaths in 2024, </w:t>
      </w:r>
      <w:r w:rsidRPr="00575ABE">
        <w:rPr>
          <w:rFonts w:ascii="Times New Roman" w:eastAsia="Times New Roman" w:hAnsi="Times New Roman" w:cs="Times New Roman"/>
          <w:color w:val="0F1115"/>
          <w:sz w:val="24"/>
          <w:szCs w:val="24"/>
        </w:rPr>
        <w:t xml:space="preserve">approximately 9 million more cases than the previous year (WHO, 2025). An estimated 95% of these deaths occurred in the WHO African Region, with children under five years of age bearing the brunt of mortality (WHO, 2025). The African region </w:t>
      </w:r>
      <w:r w:rsidRPr="00575ABE">
        <w:rPr>
          <w:rFonts w:ascii="Times New Roman" w:eastAsia="Times New Roman" w:hAnsi="Times New Roman" w:cs="Times New Roman"/>
          <w:color w:val="0F1115"/>
          <w:sz w:val="24"/>
          <w:szCs w:val="24"/>
        </w:rPr>
        <w:lastRenderedPageBreak/>
        <w:t>accounts for 94% of global malaria cases and 95% of mala</w:t>
      </w:r>
      <w:r>
        <w:rPr>
          <w:rFonts w:ascii="Times New Roman" w:eastAsia="Times New Roman" w:hAnsi="Times New Roman" w:cs="Times New Roman"/>
          <w:color w:val="0F1115"/>
          <w:sz w:val="24"/>
          <w:szCs w:val="24"/>
        </w:rPr>
        <w:t xml:space="preserve">ria deaths, with five countries </w:t>
      </w:r>
      <w:r w:rsidRPr="00575ABE">
        <w:rPr>
          <w:rFonts w:ascii="Times New Roman" w:eastAsia="Times New Roman" w:hAnsi="Times New Roman" w:cs="Times New Roman"/>
          <w:color w:val="0F1115"/>
          <w:sz w:val="24"/>
          <w:szCs w:val="24"/>
        </w:rPr>
        <w:t>Nigeria (24.3%), the Democratic Republic of the Congo (12.5%), Uganda (4.7%), Ethiop</w:t>
      </w:r>
      <w:r>
        <w:rPr>
          <w:rFonts w:ascii="Times New Roman" w:eastAsia="Times New Roman" w:hAnsi="Times New Roman" w:cs="Times New Roman"/>
          <w:color w:val="0F1115"/>
          <w:sz w:val="24"/>
          <w:szCs w:val="24"/>
        </w:rPr>
        <w:t xml:space="preserve">ia (4.4%) and Mozambique (3.6%) </w:t>
      </w:r>
      <w:r w:rsidRPr="00575ABE">
        <w:rPr>
          <w:rFonts w:ascii="Times New Roman" w:eastAsia="Times New Roman" w:hAnsi="Times New Roman" w:cs="Times New Roman"/>
          <w:color w:val="0F1115"/>
          <w:sz w:val="24"/>
          <w:szCs w:val="24"/>
        </w:rPr>
        <w:t>contributing nearly half of all cases globally (WHO, 2025). The WHO Director-General has noted that “increasing numbers of cases and deaths, the growing threat of drug resistance and the impact of funding cuts all threaten to roll back the progress we have made over the past two decades” (WHO, 2025, para. 27–29).</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Ethiopia’s malaria epidemiology is characterized by marked heterogeneity across altitudinal gradients, ecological zones, and population movement patterns. The disease affects three-quarters of the country’s land area and more than two-thirds of the population living below 2,000 m altitude (Adugna, 2025). Over 42 </w:t>
      </w:r>
      <w:r w:rsidRPr="00575ABE">
        <w:rPr>
          <w:rFonts w:ascii="Times New Roman" w:eastAsia="Times New Roman" w:hAnsi="Times New Roman" w:cs="Times New Roman"/>
          <w:i/>
          <w:iCs/>
          <w:color w:val="0F1115"/>
          <w:sz w:val="24"/>
          <w:szCs w:val="24"/>
        </w:rPr>
        <w:t>Anopheles</w:t>
      </w:r>
      <w:r w:rsidRPr="00575ABE">
        <w:rPr>
          <w:rFonts w:ascii="Times New Roman" w:eastAsia="Times New Roman" w:hAnsi="Times New Roman" w:cs="Times New Roman"/>
          <w:color w:val="0F1115"/>
          <w:sz w:val="24"/>
          <w:szCs w:val="24"/>
        </w:rPr>
        <w:t> species have been identified in the country, with </w:t>
      </w:r>
      <w:r w:rsidRPr="00575ABE">
        <w:rPr>
          <w:rFonts w:ascii="Times New Roman" w:eastAsia="Times New Roman" w:hAnsi="Times New Roman" w:cs="Times New Roman"/>
          <w:i/>
          <w:iCs/>
          <w:color w:val="0F1115"/>
          <w:sz w:val="24"/>
          <w:szCs w:val="24"/>
        </w:rPr>
        <w:t>Anopheles arabiensis</w:t>
      </w:r>
      <w:r w:rsidRPr="00575ABE">
        <w:rPr>
          <w:rFonts w:ascii="Times New Roman" w:eastAsia="Times New Roman" w:hAnsi="Times New Roman" w:cs="Times New Roman"/>
          <w:color w:val="0F1115"/>
          <w:sz w:val="24"/>
          <w:szCs w:val="24"/>
        </w:rPr>
        <w:t> historically serving as the primary vector (Adugna, 2025). However, the recent invasion of </w:t>
      </w:r>
      <w:r w:rsidRPr="00575ABE">
        <w:rPr>
          <w:rFonts w:ascii="Times New Roman" w:eastAsia="Times New Roman" w:hAnsi="Times New Roman" w:cs="Times New Roman"/>
          <w:i/>
          <w:iCs/>
          <w:color w:val="0F1115"/>
          <w:sz w:val="24"/>
          <w:szCs w:val="24"/>
        </w:rPr>
        <w:t>Anopheles stephensi</w:t>
      </w:r>
      <w:r w:rsidR="00A843D3">
        <w:rPr>
          <w:rFonts w:ascii="Times New Roman" w:eastAsia="Times New Roman" w:hAnsi="Times New Roman" w:cs="Times New Roman"/>
          <w:color w:val="0F1115"/>
          <w:sz w:val="24"/>
          <w:szCs w:val="24"/>
        </w:rPr>
        <w:t xml:space="preserve">, </w:t>
      </w:r>
      <w:r w:rsidRPr="00575ABE">
        <w:rPr>
          <w:rFonts w:ascii="Times New Roman" w:eastAsia="Times New Roman" w:hAnsi="Times New Roman" w:cs="Times New Roman"/>
          <w:color w:val="0F1115"/>
          <w:sz w:val="24"/>
          <w:szCs w:val="24"/>
        </w:rPr>
        <w:t xml:space="preserve">an Asian urban malaria vector resistant </w:t>
      </w:r>
      <w:r>
        <w:rPr>
          <w:rFonts w:ascii="Times New Roman" w:eastAsia="Times New Roman" w:hAnsi="Times New Roman" w:cs="Times New Roman"/>
          <w:color w:val="0F1115"/>
          <w:sz w:val="24"/>
          <w:szCs w:val="24"/>
        </w:rPr>
        <w:t xml:space="preserve">to multiple insecticide classes </w:t>
      </w:r>
      <w:r w:rsidRPr="00575ABE">
        <w:rPr>
          <w:rFonts w:ascii="Times New Roman" w:eastAsia="Times New Roman" w:hAnsi="Times New Roman" w:cs="Times New Roman"/>
          <w:color w:val="0F1115"/>
          <w:sz w:val="24"/>
          <w:szCs w:val="24"/>
        </w:rPr>
        <w:t>has fundamentally altered the transmission landscape (Adugna, 2025; Emiru et al., 2023). Ethiopia accounted for approximately 3.6% of global malaria cases, with over 7.3 million confirmed cases and 1,157 deaths reported in 2024, representing the highest incidence recorded in the past seven years (Malaria World, 2026). </w:t>
      </w:r>
      <w:r w:rsidRPr="00575ABE">
        <w:rPr>
          <w:rFonts w:ascii="Times New Roman" w:eastAsia="Times New Roman" w:hAnsi="Times New Roman" w:cs="Times New Roman"/>
          <w:i/>
          <w:iCs/>
          <w:color w:val="0F1115"/>
          <w:sz w:val="24"/>
          <w:szCs w:val="24"/>
        </w:rPr>
        <w:t>Plasmodium falciparum</w:t>
      </w:r>
      <w:r w:rsidRPr="00575ABE">
        <w:rPr>
          <w:rFonts w:ascii="Times New Roman" w:eastAsia="Times New Roman" w:hAnsi="Times New Roman" w:cs="Times New Roman"/>
          <w:color w:val="0F1115"/>
          <w:sz w:val="24"/>
          <w:szCs w:val="24"/>
        </w:rPr>
        <w:t> and </w:t>
      </w:r>
      <w:r w:rsidRPr="00575ABE">
        <w:rPr>
          <w:rFonts w:ascii="Times New Roman" w:eastAsia="Times New Roman" w:hAnsi="Times New Roman" w:cs="Times New Roman"/>
          <w:i/>
          <w:iCs/>
          <w:color w:val="0F1115"/>
          <w:sz w:val="24"/>
          <w:szCs w:val="24"/>
        </w:rPr>
        <w:t>Plasmodium vivax</w:t>
      </w:r>
      <w:r w:rsidRPr="00575ABE">
        <w:rPr>
          <w:rFonts w:ascii="Times New Roman" w:eastAsia="Times New Roman" w:hAnsi="Times New Roman" w:cs="Times New Roman"/>
          <w:color w:val="0F1115"/>
          <w:sz w:val="24"/>
          <w:szCs w:val="24"/>
        </w:rPr>
        <w:t> account for the majority of cases, but both species have evolved resistance to several antimalarial medications across the country, adding further complexity to elimination efforts (Adugna, 2025).</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Within this heterogeneous national landscape, </w:t>
      </w:r>
      <w:r w:rsidRPr="00575ABE">
        <w:rPr>
          <w:rFonts w:ascii="Times New Roman" w:eastAsia="Times New Roman" w:hAnsi="Times New Roman" w:cs="Times New Roman"/>
          <w:bCs/>
          <w:color w:val="0F1115"/>
          <w:sz w:val="24"/>
          <w:szCs w:val="24"/>
        </w:rPr>
        <w:t>Dire Dawa</w:t>
      </w:r>
      <w:r w:rsidRPr="00575ABE">
        <w:rPr>
          <w:rFonts w:ascii="Times New Roman" w:eastAsia="Times New Roman" w:hAnsi="Times New Roman" w:cs="Times New Roman"/>
          <w:color w:val="0F1115"/>
          <w:sz w:val="24"/>
          <w:szCs w:val="24"/>
        </w:rPr>
        <w:t> presents uniquely complex malaria ecology. As a semi-arid, lowland city in eastern Ethiopia, Dire Dawa experiences seasonal malaria transmission typically coinciding with the long rains (September–December) and short rains (March–May). However, the emergence of </w:t>
      </w:r>
      <w:r w:rsidRPr="00575ABE">
        <w:rPr>
          <w:rFonts w:ascii="Times New Roman" w:eastAsia="Times New Roman" w:hAnsi="Times New Roman" w:cs="Times New Roman"/>
          <w:i/>
          <w:iCs/>
          <w:color w:val="0F1115"/>
          <w:sz w:val="24"/>
          <w:szCs w:val="24"/>
        </w:rPr>
        <w:t>An. stephensi</w:t>
      </w:r>
      <w:r w:rsidRPr="00575ABE">
        <w:rPr>
          <w:rFonts w:ascii="Times New Roman" w:eastAsia="Times New Roman" w:hAnsi="Times New Roman" w:cs="Times New Roman"/>
          <w:color w:val="0F1115"/>
          <w:sz w:val="24"/>
          <w:szCs w:val="24"/>
        </w:rPr>
        <w:t> has enabled dry-season transmission, as demonstrated by the 2022 outbreak at Dire Dawa University where approximately 1,300 students</w:t>
      </w:r>
      <w:r w:rsidR="00A843D3">
        <w:rPr>
          <w:rFonts w:ascii="Times New Roman" w:eastAsia="Times New Roman" w:hAnsi="Times New Roman" w:cs="Times New Roman"/>
          <w:color w:val="0F1115"/>
          <w:sz w:val="24"/>
          <w:szCs w:val="24"/>
        </w:rPr>
        <w:t xml:space="preserve"> fell ill during the dry season, </w:t>
      </w:r>
      <w:r w:rsidRPr="00575ABE">
        <w:rPr>
          <w:rFonts w:ascii="Times New Roman" w:eastAsia="Times New Roman" w:hAnsi="Times New Roman" w:cs="Times New Roman"/>
          <w:color w:val="0F1115"/>
          <w:sz w:val="24"/>
          <w:szCs w:val="24"/>
        </w:rPr>
        <w:t>an occurrence previously considered impossible (Emiru et al., 2023; Tadesse et al., 2022). The city’s mixed urban, peri-urban, and rural settlements create diverse transmission environments, with travel history, livestock ownership, stagnant water presence, and housing conditions identified as key determinants of infection (Degefa et al., 2024). A matched case-control study in Dire Dawa found that 27 of 34 adult </w:t>
      </w:r>
      <w:r w:rsidRPr="00575ABE">
        <w:rPr>
          <w:rFonts w:ascii="Times New Roman" w:eastAsia="Times New Roman" w:hAnsi="Times New Roman" w:cs="Times New Roman"/>
          <w:i/>
          <w:iCs/>
          <w:color w:val="0F1115"/>
          <w:sz w:val="24"/>
          <w:szCs w:val="24"/>
        </w:rPr>
        <w:t>Anopheles</w:t>
      </w:r>
      <w:r w:rsidRPr="00575ABE">
        <w:rPr>
          <w:rFonts w:ascii="Times New Roman" w:eastAsia="Times New Roman" w:hAnsi="Times New Roman" w:cs="Times New Roman"/>
          <w:color w:val="0F1115"/>
          <w:sz w:val="24"/>
          <w:szCs w:val="24"/>
        </w:rPr>
        <w:t> mosquitoes collected were identified as </w:t>
      </w:r>
      <w:r w:rsidRPr="00575ABE">
        <w:rPr>
          <w:rFonts w:ascii="Times New Roman" w:eastAsia="Times New Roman" w:hAnsi="Times New Roman" w:cs="Times New Roman"/>
          <w:i/>
          <w:iCs/>
          <w:color w:val="0F1115"/>
          <w:sz w:val="24"/>
          <w:szCs w:val="24"/>
        </w:rPr>
        <w:t>An. stephensi</w:t>
      </w:r>
      <w:r w:rsidRPr="00575ABE">
        <w:rPr>
          <w:rFonts w:ascii="Times New Roman" w:eastAsia="Times New Roman" w:hAnsi="Times New Roman" w:cs="Times New Roman"/>
          <w:color w:val="0F1115"/>
          <w:sz w:val="24"/>
          <w:szCs w:val="24"/>
        </w:rPr>
        <w:t>, and livestock ownership was associated with a seven-fold increased odds of malaria infection (AOR: 7.5, 95% CI 2.4–22.8) (Degefa et al., 2024). This ecological complexity demands surveillance approaches that are sensitive to both environmental an</w:t>
      </w:r>
      <w:r>
        <w:rPr>
          <w:rFonts w:ascii="Times New Roman" w:eastAsia="Times New Roman" w:hAnsi="Times New Roman" w:cs="Times New Roman"/>
          <w:color w:val="0F1115"/>
          <w:sz w:val="24"/>
          <w:szCs w:val="24"/>
        </w:rPr>
        <w:t xml:space="preserve">d human-behavioral determinants, </w:t>
      </w:r>
      <w:r w:rsidRPr="00575ABE">
        <w:rPr>
          <w:rFonts w:ascii="Times New Roman" w:eastAsia="Times New Roman" w:hAnsi="Times New Roman" w:cs="Times New Roman"/>
          <w:color w:val="0F1115"/>
          <w:sz w:val="24"/>
          <w:szCs w:val="24"/>
        </w:rPr>
        <w:t>including the indigenous knowledge that local communities have developed over generations.</w:t>
      </w:r>
    </w:p>
    <w:p w:rsidR="00575ABE" w:rsidRPr="00575ABE" w:rsidRDefault="00575ABE" w:rsidP="00575ABE">
      <w:pPr>
        <w:shd w:val="clear" w:color="auto" w:fill="FFFFFF"/>
        <w:spacing w:after="120"/>
        <w:jc w:val="both"/>
        <w:outlineLvl w:val="2"/>
        <w:rPr>
          <w:rFonts w:ascii="Times New Roman" w:eastAsia="Times New Roman" w:hAnsi="Times New Roman" w:cs="Times New Roman"/>
          <w:bCs/>
          <w:color w:val="0F1115"/>
          <w:sz w:val="24"/>
          <w:szCs w:val="24"/>
        </w:rPr>
      </w:pPr>
      <w:r w:rsidRPr="00575ABE">
        <w:rPr>
          <w:rFonts w:ascii="Times New Roman" w:eastAsia="Times New Roman" w:hAnsi="Times New Roman" w:cs="Times New Roman"/>
          <w:bCs/>
          <w:color w:val="0F1115"/>
          <w:sz w:val="24"/>
          <w:szCs w:val="24"/>
        </w:rPr>
        <w:t>1.2 Limitations of Conventional Malaria Surveillance in Ethiopia</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Despite Ethiopia’s long-standing commitment to malaria control through the Health Extension Program and the deployment of insecticide-treated nets (ITNs) and indoor residual spraying (IRS), the national surveillance system faces persistent structural and operational constraints. A national landscape analysis of Ethiopia’s malaria manageme</w:t>
      </w:r>
      <w:r>
        <w:rPr>
          <w:rFonts w:ascii="Times New Roman" w:eastAsia="Times New Roman" w:hAnsi="Times New Roman" w:cs="Times New Roman"/>
          <w:color w:val="0F1115"/>
          <w:sz w:val="24"/>
          <w:szCs w:val="24"/>
        </w:rPr>
        <w:t xml:space="preserve">nt operating across six domains </w:t>
      </w:r>
      <w:r w:rsidRPr="00575ABE">
        <w:rPr>
          <w:rFonts w:ascii="Times New Roman" w:eastAsia="Times New Roman" w:hAnsi="Times New Roman" w:cs="Times New Roman"/>
          <w:color w:val="0F1115"/>
          <w:sz w:val="24"/>
          <w:szCs w:val="24"/>
        </w:rPr>
        <w:lastRenderedPageBreak/>
        <w:t>preparedness, detection, containment, res</w:t>
      </w:r>
      <w:r>
        <w:rPr>
          <w:rFonts w:ascii="Times New Roman" w:eastAsia="Times New Roman" w:hAnsi="Times New Roman" w:cs="Times New Roman"/>
          <w:color w:val="0F1115"/>
          <w:sz w:val="24"/>
          <w:szCs w:val="24"/>
        </w:rPr>
        <w:t xml:space="preserve">ponse, recovery, and prevention </w:t>
      </w:r>
      <w:r w:rsidRPr="00575ABE">
        <w:rPr>
          <w:rFonts w:ascii="Times New Roman" w:eastAsia="Times New Roman" w:hAnsi="Times New Roman" w:cs="Times New Roman"/>
          <w:color w:val="0F1115"/>
          <w:sz w:val="24"/>
          <w:szCs w:val="24"/>
        </w:rPr>
        <w:t>identified substantial systemic gaps (Malaria World, 2026). Digital malaria surveillance platforms are operational in approximately 80% of health facilities; however, multiple studies have documented delayed reporting, incomplete data submission, and weak feedback mechanisms, particularly in remote districts (Malaria World, 2026). Household surveys report national ITN ownership averaging approximately 64%, with substantially lower coverage documented in several high-burden and urban-adjacent settings (Malaria World, 2026).</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A mixed-method evaluation of the malaria surveillance system in Jimma Town, Southwest Ethiopia, found that although the system is generally simple and flexible, it remains constrained by data incompleteness, limited feedback, and poor integration of private providers (Mulugeta et al., 2026). Malaria cases rose dramatically from 432 in 2012 to 11,824 in 2016 EFY, with </w:t>
      </w:r>
      <w:r w:rsidRPr="00575ABE">
        <w:rPr>
          <w:rFonts w:ascii="Times New Roman" w:eastAsia="Times New Roman" w:hAnsi="Times New Roman" w:cs="Times New Roman"/>
          <w:i/>
          <w:iCs/>
          <w:color w:val="0F1115"/>
          <w:sz w:val="24"/>
          <w:szCs w:val="24"/>
        </w:rPr>
        <w:t>P. falciparum</w:t>
      </w:r>
      <w:r w:rsidRPr="00575ABE">
        <w:rPr>
          <w:rFonts w:ascii="Times New Roman" w:eastAsia="Times New Roman" w:hAnsi="Times New Roman" w:cs="Times New Roman"/>
          <w:color w:val="0F1115"/>
          <w:sz w:val="24"/>
          <w:szCs w:val="24"/>
        </w:rPr>
        <w:t> accounting for 56.4% of infections and the contribution of private facilities to case reporting growing from 47% to 66% (Mulugeta et al., 2026). Reporting completeness for routine health data has been found to vary widely across Ethiopia, ranging from 50% to 100% (Food Security Portal, 2025). The DHIS2 platform—Ethiopia’s nat</w:t>
      </w:r>
      <w:r>
        <w:rPr>
          <w:rFonts w:ascii="Times New Roman" w:eastAsia="Times New Roman" w:hAnsi="Times New Roman" w:cs="Times New Roman"/>
          <w:color w:val="0F1115"/>
          <w:sz w:val="24"/>
          <w:szCs w:val="24"/>
        </w:rPr>
        <w:t xml:space="preserve">ional health information system </w:t>
      </w:r>
      <w:r w:rsidRPr="00575ABE">
        <w:rPr>
          <w:rFonts w:ascii="Times New Roman" w:eastAsia="Times New Roman" w:hAnsi="Times New Roman" w:cs="Times New Roman"/>
          <w:color w:val="0F1115"/>
          <w:sz w:val="24"/>
          <w:szCs w:val="24"/>
        </w:rPr>
        <w:t>faces challenges including data availability, quality, and completeness; lack of routine reporting for intervention data; and technical issues related to population data frequency and calendar alignment (DHIS2, 2025).</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Beyond data quality issues, Ethiopia’s malaria surveillance remains heavily reliant on </w:t>
      </w:r>
      <w:r w:rsidRPr="00575ABE">
        <w:rPr>
          <w:rFonts w:ascii="Times New Roman" w:eastAsia="Times New Roman" w:hAnsi="Times New Roman" w:cs="Times New Roman"/>
          <w:bCs/>
          <w:color w:val="0F1115"/>
          <w:sz w:val="24"/>
          <w:szCs w:val="24"/>
        </w:rPr>
        <w:t>passive case detection</w:t>
      </w:r>
      <w:r w:rsidRPr="00575ABE">
        <w:rPr>
          <w:rFonts w:ascii="Times New Roman" w:eastAsia="Times New Roman" w:hAnsi="Times New Roman" w:cs="Times New Roman"/>
          <w:color w:val="0F1115"/>
          <w:sz w:val="24"/>
          <w:szCs w:val="24"/>
        </w:rPr>
        <w:t>, meaning that cases are identified only when symptomatic individuals seek care at health facilities. This approach systematically misses asymptomatic infections, mild cases managed at home with traditional remedies, and cases treated in the private or informal sector (Mulugeta et al., 2026; Malaria World, 2026). Furthermore, the absence of </w:t>
      </w:r>
      <w:r w:rsidRPr="00575ABE">
        <w:rPr>
          <w:rFonts w:ascii="Times New Roman" w:eastAsia="Times New Roman" w:hAnsi="Times New Roman" w:cs="Times New Roman"/>
          <w:bCs/>
          <w:color w:val="0F1115"/>
          <w:sz w:val="24"/>
          <w:szCs w:val="24"/>
        </w:rPr>
        <w:t>fine-grained spatiotemporal risk mapping</w:t>
      </w:r>
      <w:r w:rsidRPr="00575ABE">
        <w:rPr>
          <w:rFonts w:ascii="Times New Roman" w:eastAsia="Times New Roman" w:hAnsi="Times New Roman" w:cs="Times New Roman"/>
          <w:color w:val="0F1115"/>
          <w:sz w:val="24"/>
          <w:szCs w:val="24"/>
        </w:rPr>
        <w:t> limits the ability to target interventions to high-transmission neighborhoods, households, or seasonal windows. The invasion of </w:t>
      </w:r>
      <w:r w:rsidRPr="00575ABE">
        <w:rPr>
          <w:rFonts w:ascii="Times New Roman" w:eastAsia="Times New Roman" w:hAnsi="Times New Roman" w:cs="Times New Roman"/>
          <w:i/>
          <w:iCs/>
          <w:color w:val="0F1115"/>
          <w:sz w:val="24"/>
          <w:szCs w:val="24"/>
        </w:rPr>
        <w:t>An. Stephensi</w:t>
      </w:r>
      <w:r>
        <w:rPr>
          <w:rFonts w:ascii="Times New Roman" w:eastAsia="Times New Roman" w:hAnsi="Times New Roman" w:cs="Times New Roman"/>
          <w:color w:val="0F1115"/>
          <w:sz w:val="24"/>
          <w:szCs w:val="24"/>
        </w:rPr>
        <w:t xml:space="preserve">, </w:t>
      </w:r>
      <w:r w:rsidRPr="00575ABE">
        <w:rPr>
          <w:rFonts w:ascii="Times New Roman" w:eastAsia="Times New Roman" w:hAnsi="Times New Roman" w:cs="Times New Roman"/>
          <w:color w:val="0F1115"/>
          <w:sz w:val="24"/>
          <w:szCs w:val="24"/>
        </w:rPr>
        <w:t>which breeds in small, temporary water containers an</w:t>
      </w:r>
      <w:r>
        <w:rPr>
          <w:rFonts w:ascii="Times New Roman" w:eastAsia="Times New Roman" w:hAnsi="Times New Roman" w:cs="Times New Roman"/>
          <w:color w:val="0F1115"/>
          <w:sz w:val="24"/>
          <w:szCs w:val="24"/>
        </w:rPr>
        <w:t xml:space="preserve">d thrives in urban </w:t>
      </w:r>
      <w:r w:rsidR="00A843D3">
        <w:rPr>
          <w:rFonts w:ascii="Times New Roman" w:eastAsia="Times New Roman" w:hAnsi="Times New Roman" w:cs="Times New Roman"/>
          <w:color w:val="0F1115"/>
          <w:sz w:val="24"/>
          <w:szCs w:val="24"/>
        </w:rPr>
        <w:t>environments,</w:t>
      </w:r>
      <w:r>
        <w:rPr>
          <w:rFonts w:ascii="Times New Roman" w:eastAsia="Times New Roman" w:hAnsi="Times New Roman" w:cs="Times New Roman"/>
          <w:color w:val="0F1115"/>
          <w:sz w:val="24"/>
          <w:szCs w:val="24"/>
        </w:rPr>
        <w:t xml:space="preserve"> </w:t>
      </w:r>
      <w:r w:rsidRPr="00575ABE">
        <w:rPr>
          <w:rFonts w:ascii="Times New Roman" w:eastAsia="Times New Roman" w:hAnsi="Times New Roman" w:cs="Times New Roman"/>
          <w:color w:val="0F1115"/>
          <w:sz w:val="24"/>
          <w:szCs w:val="24"/>
        </w:rPr>
        <w:t>exacerbates these limitations, as conventional surveillance systems were not designed to detect dry-season transmission or urban micro-outbreaks (Emiru et al., 2023; Adugna, 2025). Community engagement in prevention and surveillance activities remains insufficient, and feedback loops from higher-level health facilities to community health workers are often weak or absent (Malaria World, 2026). These limitations collectively create a surveillance gap that undermines Ethiopia’s progress toward malaria elimination.</w:t>
      </w:r>
    </w:p>
    <w:p w:rsidR="00575ABE" w:rsidRPr="00575ABE" w:rsidRDefault="00575ABE" w:rsidP="00575ABE">
      <w:pPr>
        <w:shd w:val="clear" w:color="auto" w:fill="FFFFFF"/>
        <w:spacing w:after="120"/>
        <w:jc w:val="both"/>
        <w:outlineLvl w:val="2"/>
        <w:rPr>
          <w:rFonts w:ascii="Times New Roman" w:eastAsia="Times New Roman" w:hAnsi="Times New Roman" w:cs="Times New Roman"/>
          <w:bCs/>
          <w:color w:val="0F1115"/>
          <w:sz w:val="24"/>
          <w:szCs w:val="24"/>
        </w:rPr>
      </w:pPr>
      <w:r w:rsidRPr="00575ABE">
        <w:rPr>
          <w:rFonts w:ascii="Times New Roman" w:eastAsia="Times New Roman" w:hAnsi="Times New Roman" w:cs="Times New Roman"/>
          <w:bCs/>
          <w:color w:val="0F1115"/>
          <w:sz w:val="24"/>
          <w:szCs w:val="24"/>
        </w:rPr>
        <w:t>1.3 Indigenous Malaria Knowledge: A Neglected Resource</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bCs/>
          <w:color w:val="0F1115"/>
          <w:sz w:val="24"/>
          <w:szCs w:val="24"/>
        </w:rPr>
        <w:t>Indigenous knowledge</w:t>
      </w:r>
      <w:r w:rsidRPr="00575ABE">
        <w:rPr>
          <w:rFonts w:ascii="Times New Roman" w:eastAsia="Times New Roman" w:hAnsi="Times New Roman" w:cs="Times New Roman"/>
          <w:color w:val="0F1115"/>
          <w:sz w:val="24"/>
          <w:szCs w:val="24"/>
        </w:rPr>
        <w:t xml:space="preserve"> (IK) refers to locally acquired, orally transmitted, and experientially grounded understandings of disease ecology, symptom recognition, prevention practices, and treatment strategies that have evolved within communities over generations (Phoobane et al., 2024). Unlike formal scientific knowledge, IK is embedded in daily practices, cultural beliefs, and observation of local environmental phenomena. In the context of malaria, IK encompasses </w:t>
      </w:r>
      <w:r w:rsidRPr="00575ABE">
        <w:rPr>
          <w:rFonts w:ascii="Times New Roman" w:eastAsia="Times New Roman" w:hAnsi="Times New Roman" w:cs="Times New Roman"/>
          <w:color w:val="0F1115"/>
          <w:sz w:val="24"/>
          <w:szCs w:val="24"/>
        </w:rPr>
        <w:lastRenderedPageBreak/>
        <w:t>community-level understandings of mosquito breeding sites, seasonal transmission patterns, symptom classification, and traditional prevention and treatment methods.</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Across sub-Saharan Africa, indigenous malaria knowledge has been documented as a valuable but frequently overlooked resource. Studies in the Vhembe District of South Africa have identified IK indicators used by community members to predict malaria outbreaks, including observations of celestial bodies, plant and animal species behavior, and rainfall patterns (Mabhaudhi et al., 2023; Phoobane et al., 2024). In rural Tanzania, crowdsourced community knowledge has been shown to reliably predict mosquito abundance and distribution without requiring formal entomological surveys (Ifakara Health Institute, personal communication, 2020). Communities in Burkina Faso have demonstrated sophisticated understanding of mosquito behavioral ecology, including biting times and preferred resting sites (Diallo, personal communication).</w:t>
      </w:r>
    </w:p>
    <w:p w:rsidR="00575ABE" w:rsidRPr="00575ABE" w:rsidRDefault="00A843D3" w:rsidP="00575ABE">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In eastern Ethiopia, </w:t>
      </w:r>
      <w:r w:rsidR="00575ABE" w:rsidRPr="00575ABE">
        <w:rPr>
          <w:rFonts w:ascii="Times New Roman" w:eastAsia="Times New Roman" w:hAnsi="Times New Roman" w:cs="Times New Roman"/>
          <w:color w:val="0F1115"/>
          <w:sz w:val="24"/>
          <w:szCs w:val="24"/>
        </w:rPr>
        <w:t xml:space="preserve">including the Somali Region adjacent to Dire </w:t>
      </w:r>
      <w:r>
        <w:rPr>
          <w:rFonts w:ascii="Times New Roman" w:eastAsia="Times New Roman" w:hAnsi="Times New Roman" w:cs="Times New Roman"/>
          <w:color w:val="0F1115"/>
          <w:sz w:val="24"/>
          <w:szCs w:val="24"/>
        </w:rPr>
        <w:t xml:space="preserve">Dawa, </w:t>
      </w:r>
      <w:r w:rsidR="00575ABE" w:rsidRPr="00575ABE">
        <w:rPr>
          <w:rFonts w:ascii="Times New Roman" w:eastAsia="Times New Roman" w:hAnsi="Times New Roman" w:cs="Times New Roman"/>
          <w:color w:val="0F1115"/>
          <w:sz w:val="24"/>
          <w:szCs w:val="24"/>
        </w:rPr>
        <w:t>ethnobotanical studies have documented extensive indigenous knowledge of antimalarial plants. A study in Shinile District documented 27 plant species traditionally used for malaria treatment, with </w:t>
      </w:r>
      <w:r w:rsidR="00575ABE" w:rsidRPr="00575ABE">
        <w:rPr>
          <w:rFonts w:ascii="Times New Roman" w:eastAsia="Times New Roman" w:hAnsi="Times New Roman" w:cs="Times New Roman"/>
          <w:i/>
          <w:iCs/>
          <w:color w:val="0F1115"/>
          <w:sz w:val="24"/>
          <w:szCs w:val="24"/>
        </w:rPr>
        <w:t>Aloe sp.</w:t>
      </w:r>
      <w:r w:rsidR="00575ABE" w:rsidRPr="00575ABE">
        <w:rPr>
          <w:rFonts w:ascii="Times New Roman" w:eastAsia="Times New Roman" w:hAnsi="Times New Roman" w:cs="Times New Roman"/>
          <w:color w:val="0F1115"/>
          <w:sz w:val="24"/>
          <w:szCs w:val="24"/>
        </w:rPr>
        <w:t>, </w:t>
      </w:r>
      <w:r w:rsidR="00575ABE" w:rsidRPr="00575ABE">
        <w:rPr>
          <w:rFonts w:ascii="Times New Roman" w:eastAsia="Times New Roman" w:hAnsi="Times New Roman" w:cs="Times New Roman"/>
          <w:i/>
          <w:iCs/>
          <w:color w:val="0F1115"/>
          <w:sz w:val="24"/>
          <w:szCs w:val="24"/>
        </w:rPr>
        <w:t>Azadirachta indica</w:t>
      </w:r>
      <w:r w:rsidR="00575ABE" w:rsidRPr="00575ABE">
        <w:rPr>
          <w:rFonts w:ascii="Times New Roman" w:eastAsia="Times New Roman" w:hAnsi="Times New Roman" w:cs="Times New Roman"/>
          <w:color w:val="0F1115"/>
          <w:sz w:val="24"/>
          <w:szCs w:val="24"/>
        </w:rPr>
        <w:t> (neem), and </w:t>
      </w:r>
      <w:r w:rsidR="00575ABE" w:rsidRPr="00575ABE">
        <w:rPr>
          <w:rFonts w:ascii="Times New Roman" w:eastAsia="Times New Roman" w:hAnsi="Times New Roman" w:cs="Times New Roman"/>
          <w:i/>
          <w:iCs/>
          <w:color w:val="0F1115"/>
          <w:sz w:val="24"/>
          <w:szCs w:val="24"/>
        </w:rPr>
        <w:t>Tamarindus indica</w:t>
      </w:r>
      <w:r w:rsidR="00575ABE" w:rsidRPr="00575ABE">
        <w:rPr>
          <w:rFonts w:ascii="Times New Roman" w:eastAsia="Times New Roman" w:hAnsi="Times New Roman" w:cs="Times New Roman"/>
          <w:color w:val="0F1115"/>
          <w:sz w:val="24"/>
          <w:szCs w:val="24"/>
        </w:rPr>
        <w:t> identified as the most commonly reported species (Biruksew et al., 2012). In vivo testing of these plants against </w:t>
      </w:r>
      <w:r w:rsidR="00575ABE" w:rsidRPr="00575ABE">
        <w:rPr>
          <w:rFonts w:ascii="Times New Roman" w:eastAsia="Times New Roman" w:hAnsi="Times New Roman" w:cs="Times New Roman"/>
          <w:i/>
          <w:iCs/>
          <w:color w:val="0F1115"/>
          <w:sz w:val="24"/>
          <w:szCs w:val="24"/>
        </w:rPr>
        <w:t>Plasmodium berghei</w:t>
      </w:r>
      <w:r w:rsidR="00575ABE" w:rsidRPr="00575ABE">
        <w:rPr>
          <w:rFonts w:ascii="Times New Roman" w:eastAsia="Times New Roman" w:hAnsi="Times New Roman" w:cs="Times New Roman"/>
          <w:color w:val="0F1115"/>
          <w:sz w:val="24"/>
          <w:szCs w:val="24"/>
        </w:rPr>
        <w:t> demonstrated significant parasitaemia suppression, with </w:t>
      </w:r>
      <w:r w:rsidR="00575ABE" w:rsidRPr="00575ABE">
        <w:rPr>
          <w:rFonts w:ascii="Times New Roman" w:eastAsia="Times New Roman" w:hAnsi="Times New Roman" w:cs="Times New Roman"/>
          <w:i/>
          <w:iCs/>
          <w:color w:val="0F1115"/>
          <w:sz w:val="24"/>
          <w:szCs w:val="24"/>
        </w:rPr>
        <w:t>Tamarindus indica</w:t>
      </w:r>
      <w:r w:rsidR="00575ABE" w:rsidRPr="00575ABE">
        <w:rPr>
          <w:rFonts w:ascii="Times New Roman" w:eastAsia="Times New Roman" w:hAnsi="Times New Roman" w:cs="Times New Roman"/>
          <w:color w:val="0F1115"/>
          <w:sz w:val="24"/>
          <w:szCs w:val="24"/>
        </w:rPr>
        <w:t> water extract achieving 81.09% suppression at 650 mg/kg (Biruksew et al., 2012). In the Oromia communities of western Ethiopia, an ethnobotanical investigation identified 46 known species of antimalarial medicinal plants belonging to 24 families, with the majority of remedies prepared as decoctions taken orally (Sibu Sire District study, 2022). The Oromo communities in Jimma Zone have also documented knowledge of </w:t>
      </w:r>
      <w:r w:rsidR="00575ABE" w:rsidRPr="00575ABE">
        <w:rPr>
          <w:rFonts w:ascii="Times New Roman" w:eastAsia="Times New Roman" w:hAnsi="Times New Roman" w:cs="Times New Roman"/>
          <w:i/>
          <w:iCs/>
          <w:color w:val="0F1115"/>
          <w:sz w:val="24"/>
          <w:szCs w:val="24"/>
        </w:rPr>
        <w:t>Argemone mexicana</w:t>
      </w:r>
      <w:r w:rsidR="00575ABE" w:rsidRPr="00575ABE">
        <w:rPr>
          <w:rFonts w:ascii="Times New Roman" w:eastAsia="Times New Roman" w:hAnsi="Times New Roman" w:cs="Times New Roman"/>
          <w:color w:val="0F1115"/>
          <w:sz w:val="24"/>
          <w:szCs w:val="24"/>
        </w:rPr>
        <w:t> for uncomplicated malaria, with 39.8% of respondents familiar with the plant and 5.7% reporting its use for prevention and treatment (Ahmed et al., 2022).</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Despite this rich documentation, </w:t>
      </w:r>
      <w:r w:rsidRPr="00575ABE">
        <w:rPr>
          <w:rFonts w:ascii="Times New Roman" w:eastAsia="Times New Roman" w:hAnsi="Times New Roman" w:cs="Times New Roman"/>
          <w:bCs/>
          <w:color w:val="0F1115"/>
          <w:sz w:val="24"/>
          <w:szCs w:val="24"/>
        </w:rPr>
        <w:t>no study to date has systematically digitized or integrated indigenous malaria knowledge into digital health surveillance platforms in Ethiopia</w:t>
      </w:r>
      <w:r w:rsidRPr="00575ABE">
        <w:rPr>
          <w:rFonts w:ascii="Times New Roman" w:eastAsia="Times New Roman" w:hAnsi="Times New Roman" w:cs="Times New Roman"/>
          <w:color w:val="0F1115"/>
          <w:sz w:val="24"/>
          <w:szCs w:val="24"/>
        </w:rPr>
        <w:t>. The knowledge remains largely undocumented beyond isolated ethnobotanical surveys, trapped in oral traditions that are vulnerable to intergenerational loss. Moreover, the Oromo, Somali, and Amhara communities in and around Dire Dawa possess distinct ecological observations and malaria-related practices that have never been systematically elicited or codified. These include locally specific indicators of mosquito breeding (e.g., presence of </w:t>
      </w:r>
      <w:r w:rsidRPr="00575ABE">
        <w:rPr>
          <w:rFonts w:ascii="Times New Roman" w:eastAsia="Times New Roman" w:hAnsi="Times New Roman" w:cs="Times New Roman"/>
          <w:i/>
          <w:iCs/>
          <w:color w:val="0F1115"/>
          <w:sz w:val="24"/>
          <w:szCs w:val="24"/>
        </w:rPr>
        <w:t>Ficus vasta</w:t>
      </w:r>
      <w:r w:rsidRPr="00575ABE">
        <w:rPr>
          <w:rFonts w:ascii="Times New Roman" w:eastAsia="Times New Roman" w:hAnsi="Times New Roman" w:cs="Times New Roman"/>
          <w:color w:val="0F1115"/>
          <w:sz w:val="24"/>
          <w:szCs w:val="24"/>
        </w:rPr>
        <w:t> tree shade, stagnant pools in the Dechatu River), symptom classification using local terminology (</w:t>
      </w:r>
      <w:r w:rsidRPr="00575ABE">
        <w:rPr>
          <w:rFonts w:ascii="Times New Roman" w:eastAsia="Times New Roman" w:hAnsi="Times New Roman" w:cs="Times New Roman"/>
          <w:i/>
          <w:iCs/>
          <w:color w:val="0F1115"/>
          <w:sz w:val="24"/>
          <w:szCs w:val="24"/>
        </w:rPr>
        <w:t>gurgaacha</w:t>
      </w:r>
      <w:r w:rsidRPr="00575ABE">
        <w:rPr>
          <w:rFonts w:ascii="Times New Roman" w:eastAsia="Times New Roman" w:hAnsi="Times New Roman" w:cs="Times New Roman"/>
          <w:color w:val="0F1115"/>
          <w:sz w:val="24"/>
          <w:szCs w:val="24"/>
        </w:rPr>
        <w:t> in Oromo, </w:t>
      </w:r>
      <w:r w:rsidRPr="00575ABE">
        <w:rPr>
          <w:rFonts w:ascii="Times New Roman" w:eastAsia="Times New Roman" w:hAnsi="Times New Roman" w:cs="Times New Roman"/>
          <w:i/>
          <w:iCs/>
          <w:color w:val="0F1115"/>
          <w:sz w:val="24"/>
          <w:szCs w:val="24"/>
        </w:rPr>
        <w:t>qandho</w:t>
      </w:r>
      <w:r w:rsidRPr="00575ABE">
        <w:rPr>
          <w:rFonts w:ascii="Times New Roman" w:eastAsia="Times New Roman" w:hAnsi="Times New Roman" w:cs="Times New Roman"/>
          <w:color w:val="0F1115"/>
          <w:sz w:val="24"/>
          <w:szCs w:val="24"/>
        </w:rPr>
        <w:t> in Somali, </w:t>
      </w:r>
      <w:r w:rsidRPr="00575ABE">
        <w:rPr>
          <w:rFonts w:ascii="Times New Roman" w:eastAsia="Times New Roman" w:hAnsi="Times New Roman" w:cs="Times New Roman"/>
          <w:i/>
          <w:iCs/>
          <w:color w:val="0F1115"/>
          <w:sz w:val="24"/>
          <w:szCs w:val="24"/>
        </w:rPr>
        <w:t>dhukkuba sukku</w:t>
      </w:r>
      <w:r w:rsidRPr="00575ABE">
        <w:rPr>
          <w:rFonts w:ascii="Times New Roman" w:eastAsia="Times New Roman" w:hAnsi="Times New Roman" w:cs="Times New Roman"/>
          <w:color w:val="0F1115"/>
          <w:sz w:val="24"/>
          <w:szCs w:val="24"/>
        </w:rPr>
        <w:t> in Amharic), and preventive practices (e.g., smoking homesteads with </w:t>
      </w:r>
      <w:r w:rsidRPr="00575ABE">
        <w:rPr>
          <w:rFonts w:ascii="Times New Roman" w:eastAsia="Times New Roman" w:hAnsi="Times New Roman" w:cs="Times New Roman"/>
          <w:i/>
          <w:iCs/>
          <w:color w:val="0F1115"/>
          <w:sz w:val="24"/>
          <w:szCs w:val="24"/>
        </w:rPr>
        <w:t>Olea europaea</w:t>
      </w:r>
      <w:r w:rsidRPr="00575ABE">
        <w:rPr>
          <w:rFonts w:ascii="Times New Roman" w:eastAsia="Times New Roman" w:hAnsi="Times New Roman" w:cs="Times New Roman"/>
          <w:color w:val="0F1115"/>
          <w:sz w:val="24"/>
          <w:szCs w:val="24"/>
        </w:rPr>
        <w:t> leaves, neem oil application, and livestock relocation). The failure to recognize, document, and operationalize this knowledge represents both a scientific gap and an equity concern, as it excludes the very communities most affected by malaria from contributing to surveillance innovation.</w:t>
      </w:r>
    </w:p>
    <w:p w:rsidR="00575ABE" w:rsidRPr="00575ABE" w:rsidRDefault="00575ABE" w:rsidP="00575ABE">
      <w:pPr>
        <w:shd w:val="clear" w:color="auto" w:fill="FFFFFF"/>
        <w:spacing w:after="120"/>
        <w:jc w:val="both"/>
        <w:outlineLvl w:val="2"/>
        <w:rPr>
          <w:rFonts w:ascii="Times New Roman" w:eastAsia="Times New Roman" w:hAnsi="Times New Roman" w:cs="Times New Roman"/>
          <w:bCs/>
          <w:color w:val="0F1115"/>
          <w:sz w:val="24"/>
          <w:szCs w:val="24"/>
        </w:rPr>
      </w:pPr>
      <w:r w:rsidRPr="00575ABE">
        <w:rPr>
          <w:rFonts w:ascii="Times New Roman" w:eastAsia="Times New Roman" w:hAnsi="Times New Roman" w:cs="Times New Roman"/>
          <w:bCs/>
          <w:color w:val="0F1115"/>
          <w:sz w:val="24"/>
          <w:szCs w:val="24"/>
        </w:rPr>
        <w:t>1.4 Artificial Intelligence and Machine Learning in Malaria Control</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lastRenderedPageBreak/>
        <w:t xml:space="preserve">Artificial intelligence (AI), </w:t>
      </w:r>
      <w:r w:rsidRPr="00575ABE">
        <w:rPr>
          <w:rFonts w:ascii="Times New Roman" w:eastAsia="Times New Roman" w:hAnsi="Times New Roman" w:cs="Times New Roman"/>
          <w:color w:val="0F1115"/>
          <w:sz w:val="24"/>
          <w:szCs w:val="24"/>
        </w:rPr>
        <w:t xml:space="preserve">including machine learning (ML), deep learning, </w:t>
      </w:r>
      <w:r>
        <w:rPr>
          <w:rFonts w:ascii="Times New Roman" w:eastAsia="Times New Roman" w:hAnsi="Times New Roman" w:cs="Times New Roman"/>
          <w:color w:val="0F1115"/>
          <w:sz w:val="24"/>
          <w:szCs w:val="24"/>
        </w:rPr>
        <w:t xml:space="preserve">and natural language processing </w:t>
      </w:r>
      <w:r w:rsidRPr="00575ABE">
        <w:rPr>
          <w:rFonts w:ascii="Times New Roman" w:eastAsia="Times New Roman" w:hAnsi="Times New Roman" w:cs="Times New Roman"/>
          <w:color w:val="0F1115"/>
          <w:sz w:val="24"/>
          <w:szCs w:val="24"/>
        </w:rPr>
        <w:t>has emerged as a transformative tool for strengthening malaria control programs in Africa (Olawade et al., 2025). AI’s capacity to analyze large, heterogeneous datasets spanning epidemiological surveillance, environmental monitoring, climate variables, and genomic data offers unprecedented opportunities for predictive modeling, outbreak detection, and resource allocation (Olawade et al., 2025).</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Predominantly, ML applications for malaria prediction have relied on </w:t>
      </w:r>
      <w:r w:rsidRPr="00575ABE">
        <w:rPr>
          <w:rFonts w:ascii="Times New Roman" w:eastAsia="Times New Roman" w:hAnsi="Times New Roman" w:cs="Times New Roman"/>
          <w:bCs/>
          <w:color w:val="0F1115"/>
          <w:sz w:val="24"/>
          <w:szCs w:val="24"/>
        </w:rPr>
        <w:t>climatic and satellite-derived environmental data</w:t>
      </w:r>
      <w:r w:rsidRPr="00575ABE">
        <w:rPr>
          <w:rFonts w:ascii="Times New Roman" w:eastAsia="Times New Roman" w:hAnsi="Times New Roman" w:cs="Times New Roman"/>
          <w:color w:val="0F1115"/>
          <w:sz w:val="24"/>
          <w:szCs w:val="24"/>
        </w:rPr>
        <w:t>. Machine learning algorithms have been used to analyze rainfall, temperature, vegetation indices (e.g., NDVI), and land surface temperature to predict malaria outbreaks and identify high-risk transmission hotspots across Africa (Olawade et al., 2025; Kanetkar et al., 2024). For instance, geospatial AI using earth observations and routine disease surveillance data has achieved an F1 score of 0.96 for malaria outbreak prediction at continental scale, uncovering critical cultural and environmental factors affecting outbreaks (SAGE, 2024). In Ethiopia specifically, researchers at Bahir Dar University are advancing the “Malaria AID” project, which applies AI and digital health approaches to strengthen malaria prevention and control in the Amhara region using large-scale datasets (Bogale, 2025). The DHIS2 Climate &amp; Health Analytics Platform is also piloting the integration of localized disease forecasts into national health information architectures, offering proof of concept for predictive public health intelligence across Africa (DHIS2, 2025).</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However, despite these advances, significant </w:t>
      </w:r>
      <w:r w:rsidRPr="00575ABE">
        <w:rPr>
          <w:rFonts w:ascii="Times New Roman" w:eastAsia="Times New Roman" w:hAnsi="Times New Roman" w:cs="Times New Roman"/>
          <w:bCs/>
          <w:color w:val="0F1115"/>
          <w:sz w:val="24"/>
          <w:szCs w:val="24"/>
        </w:rPr>
        <w:t>gaps remain</w:t>
      </w:r>
      <w:r w:rsidRPr="00575ABE">
        <w:rPr>
          <w:rFonts w:ascii="Times New Roman" w:eastAsia="Times New Roman" w:hAnsi="Times New Roman" w:cs="Times New Roman"/>
          <w:color w:val="0F1115"/>
          <w:sz w:val="24"/>
          <w:szCs w:val="24"/>
        </w:rPr>
        <w:t>. First, no ML model for malaria prediction in Ethiopia has incorporated indigenous environmental indicators or community-derived observations as predictive features. The vast majority of models rely solely on remote sensing and climatic data, ignoring the rich, ground-level intelligence held by community members. Second, the ML models developed to date are largely </w:t>
      </w:r>
      <w:r w:rsidRPr="00575ABE">
        <w:rPr>
          <w:rFonts w:ascii="Times New Roman" w:eastAsia="Times New Roman" w:hAnsi="Times New Roman" w:cs="Times New Roman"/>
          <w:bCs/>
          <w:color w:val="0F1115"/>
          <w:sz w:val="24"/>
          <w:szCs w:val="24"/>
        </w:rPr>
        <w:t>expert-facing</w:t>
      </w:r>
      <w:r w:rsidRPr="00575ABE">
        <w:rPr>
          <w:rFonts w:ascii="Times New Roman" w:eastAsia="Times New Roman" w:hAnsi="Times New Roman" w:cs="Times New Roman"/>
          <w:color w:val="0F1115"/>
          <w:sz w:val="24"/>
          <w:szCs w:val="24"/>
        </w:rPr>
        <w:t> (i.e., designed for epidemiologists and policymakers) rather than </w:t>
      </w:r>
      <w:r w:rsidRPr="00575ABE">
        <w:rPr>
          <w:rFonts w:ascii="Times New Roman" w:eastAsia="Times New Roman" w:hAnsi="Times New Roman" w:cs="Times New Roman"/>
          <w:bCs/>
          <w:color w:val="0F1115"/>
          <w:sz w:val="24"/>
          <w:szCs w:val="24"/>
        </w:rPr>
        <w:t>community-facing</w:t>
      </w:r>
      <w:r w:rsidRPr="00575ABE">
        <w:rPr>
          <w:rFonts w:ascii="Times New Roman" w:eastAsia="Times New Roman" w:hAnsi="Times New Roman" w:cs="Times New Roman"/>
          <w:color w:val="0F1115"/>
          <w:sz w:val="24"/>
          <w:szCs w:val="24"/>
        </w:rPr>
        <w:t>. There is a notable absence of digital tools co-designed wi</w:t>
      </w:r>
      <w:r w:rsidR="00A843D3">
        <w:rPr>
          <w:rFonts w:ascii="Times New Roman" w:eastAsia="Times New Roman" w:hAnsi="Times New Roman" w:cs="Times New Roman"/>
          <w:color w:val="0F1115"/>
          <w:sz w:val="24"/>
          <w:szCs w:val="24"/>
        </w:rPr>
        <w:t xml:space="preserve">th community members themselves </w:t>
      </w:r>
      <w:r w:rsidRPr="00575ABE">
        <w:rPr>
          <w:rFonts w:ascii="Times New Roman" w:eastAsia="Times New Roman" w:hAnsi="Times New Roman" w:cs="Times New Roman"/>
          <w:color w:val="0F1115"/>
          <w:sz w:val="24"/>
          <w:szCs w:val="24"/>
        </w:rPr>
        <w:t>tools that would enable community health workers and households to input local observations, receive real-time risk alerts, and contribute actively to surveillance. Third, the lack of multilingual, low-literacy-friendly, and offline-capable mobile interfaces excludes the very populations living in high-transmission areas from benefiting from digital health innovations. The combination of these gaps means that AI’s potential to democratize and decentralize malaria surveillance remains largely unrealized in Ethiopia.</w:t>
      </w:r>
    </w:p>
    <w:p w:rsidR="00575ABE" w:rsidRPr="00575ABE" w:rsidRDefault="00575ABE" w:rsidP="00575ABE">
      <w:pPr>
        <w:shd w:val="clear" w:color="auto" w:fill="FFFFFF"/>
        <w:spacing w:after="120"/>
        <w:jc w:val="both"/>
        <w:outlineLvl w:val="2"/>
        <w:rPr>
          <w:rFonts w:ascii="Times New Roman" w:eastAsia="Times New Roman" w:hAnsi="Times New Roman" w:cs="Times New Roman"/>
          <w:bCs/>
          <w:color w:val="0F1115"/>
          <w:sz w:val="24"/>
          <w:szCs w:val="24"/>
        </w:rPr>
      </w:pPr>
      <w:r w:rsidRPr="00575ABE">
        <w:rPr>
          <w:rFonts w:ascii="Times New Roman" w:eastAsia="Times New Roman" w:hAnsi="Times New Roman" w:cs="Times New Roman"/>
          <w:bCs/>
          <w:color w:val="0F1115"/>
          <w:sz w:val="24"/>
          <w:szCs w:val="24"/>
        </w:rPr>
        <w:t>1.5 The Gap and Rationale</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Taken together, the literature reveals a critical disconnect. Indigenous malaria knowledge in Ethiopia has been documented in isolated ethnobotanical and anthropological studies but has never been systematically integrated into digital surveillance or ML models. Concurrently, advanced ML models for malaria prediction have been developed using climate and satellite data but have not incorporated the locally specific, ecologically grounded indicators that communities have refined over generations. No study in Ethiopia has:</w:t>
      </w:r>
    </w:p>
    <w:p w:rsidR="00575ABE" w:rsidRDefault="00575ABE" w:rsidP="00AC459B">
      <w:pPr>
        <w:pStyle w:val="ListParagraph"/>
        <w:numPr>
          <w:ilvl w:val="0"/>
          <w:numId w:val="2"/>
        </w:num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lastRenderedPageBreak/>
        <w:t>Systematically elicited and codified indigenous malaria indicators from the Oromo, Somali, and Amhara communities of Dire Dawa;</w:t>
      </w:r>
    </w:p>
    <w:p w:rsidR="00575ABE" w:rsidRDefault="00575ABE" w:rsidP="00AC459B">
      <w:pPr>
        <w:pStyle w:val="ListParagraph"/>
        <w:numPr>
          <w:ilvl w:val="0"/>
          <w:numId w:val="2"/>
        </w:num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Integrated these indicators into a machine learning model for predicting malaria risk at fine spatial and temporal scales;</w:t>
      </w:r>
    </w:p>
    <w:p w:rsidR="00575ABE" w:rsidRDefault="00575ABE" w:rsidP="00AC459B">
      <w:pPr>
        <w:pStyle w:val="ListParagraph"/>
        <w:numPr>
          <w:ilvl w:val="0"/>
          <w:numId w:val="2"/>
        </w:num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Co-designed a community-facing mobile digital health surveillance tool incorporating both indigenous and clinical data streams; and</w:t>
      </w:r>
    </w:p>
    <w:p w:rsidR="00575ABE" w:rsidRPr="00575ABE" w:rsidRDefault="00575ABE" w:rsidP="00AC459B">
      <w:pPr>
        <w:pStyle w:val="ListParagraph"/>
        <w:numPr>
          <w:ilvl w:val="0"/>
          <w:numId w:val="2"/>
        </w:num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Assessed the feasibility, usability, and predictive accuracy of such an integrated system in a real-world, peri-urban setting.</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This gap has both </w:t>
      </w:r>
      <w:r w:rsidRPr="00575ABE">
        <w:rPr>
          <w:rFonts w:ascii="Times New Roman" w:eastAsia="Times New Roman" w:hAnsi="Times New Roman" w:cs="Times New Roman"/>
          <w:bCs/>
          <w:color w:val="0F1115"/>
          <w:sz w:val="24"/>
          <w:szCs w:val="24"/>
        </w:rPr>
        <w:t>scientific</w:t>
      </w:r>
      <w:r w:rsidRPr="00575ABE">
        <w:rPr>
          <w:rFonts w:ascii="Times New Roman" w:eastAsia="Times New Roman" w:hAnsi="Times New Roman" w:cs="Times New Roman"/>
          <w:color w:val="0F1115"/>
          <w:sz w:val="24"/>
          <w:szCs w:val="24"/>
        </w:rPr>
        <w:t> and </w:t>
      </w:r>
      <w:r w:rsidRPr="00575ABE">
        <w:rPr>
          <w:rFonts w:ascii="Times New Roman" w:eastAsia="Times New Roman" w:hAnsi="Times New Roman" w:cs="Times New Roman"/>
          <w:bCs/>
          <w:color w:val="0F1115"/>
          <w:sz w:val="24"/>
          <w:szCs w:val="24"/>
        </w:rPr>
        <w:t>equity</w:t>
      </w:r>
      <w:r w:rsidRPr="00575ABE">
        <w:rPr>
          <w:rFonts w:ascii="Times New Roman" w:eastAsia="Times New Roman" w:hAnsi="Times New Roman" w:cs="Times New Roman"/>
          <w:color w:val="0F1115"/>
          <w:sz w:val="24"/>
          <w:szCs w:val="24"/>
        </w:rPr>
        <w:t xml:space="preserve"> implications. Scientifically, it represents a missed opportunity to improve predictive accuracy by incorporating variables that are not captured by satellite data (e.g., livestock presence, water storage practices, </w:t>
      </w:r>
      <w:r w:rsidR="00A843D3" w:rsidRPr="00575ABE">
        <w:rPr>
          <w:rFonts w:ascii="Times New Roman" w:eastAsia="Times New Roman" w:hAnsi="Times New Roman" w:cs="Times New Roman"/>
          <w:color w:val="0F1115"/>
          <w:sz w:val="24"/>
          <w:szCs w:val="24"/>
        </w:rPr>
        <w:t>and specific</w:t>
      </w:r>
      <w:r w:rsidRPr="00575ABE">
        <w:rPr>
          <w:rFonts w:ascii="Times New Roman" w:eastAsia="Times New Roman" w:hAnsi="Times New Roman" w:cs="Times New Roman"/>
          <w:color w:val="0F1115"/>
          <w:sz w:val="24"/>
          <w:szCs w:val="24"/>
        </w:rPr>
        <w:t xml:space="preserve"> plant phenology). Equitably, the continued exclusion of indigenous knowledge from formal surveillance systems perpetuates the marginalization of local communities and traditional health practitioners, undermining the potential for truly participatory, community-owned health interventions. The recent landscape analysis of Ethiopia’s malaria program explicitly called for “embedding community-centred prevention approaches” and “strengthening real-time surveillance and data use” as essential priorities (Malaria World, 2026, para. 44–47). The present study directly responds to this call.</w:t>
      </w:r>
    </w:p>
    <w:p w:rsidR="00575ABE" w:rsidRPr="00575ABE" w:rsidRDefault="00575ABE" w:rsidP="00575ABE">
      <w:pPr>
        <w:shd w:val="clear" w:color="auto" w:fill="FFFFFF"/>
        <w:spacing w:after="120"/>
        <w:jc w:val="both"/>
        <w:outlineLvl w:val="2"/>
        <w:rPr>
          <w:rFonts w:ascii="Times New Roman" w:eastAsia="Times New Roman" w:hAnsi="Times New Roman" w:cs="Times New Roman"/>
          <w:bCs/>
          <w:color w:val="0F1115"/>
          <w:sz w:val="24"/>
          <w:szCs w:val="24"/>
        </w:rPr>
      </w:pPr>
      <w:r w:rsidRPr="00575ABE">
        <w:rPr>
          <w:rFonts w:ascii="Times New Roman" w:eastAsia="Times New Roman" w:hAnsi="Times New Roman" w:cs="Times New Roman"/>
          <w:bCs/>
          <w:color w:val="0F1115"/>
          <w:sz w:val="24"/>
          <w:szCs w:val="24"/>
        </w:rPr>
        <w:t>1.6 Study Aim and Objectives</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bCs/>
          <w:color w:val="0F1115"/>
          <w:sz w:val="24"/>
          <w:szCs w:val="24"/>
        </w:rPr>
        <w:t>Primary aim:</w:t>
      </w:r>
      <w:r w:rsidRPr="00575ABE">
        <w:rPr>
          <w:rFonts w:ascii="Times New Roman" w:eastAsia="Times New Roman" w:hAnsi="Times New Roman" w:cs="Times New Roman"/>
          <w:color w:val="0F1115"/>
          <w:sz w:val="24"/>
          <w:szCs w:val="24"/>
        </w:rPr>
        <w:t> To develop and pilot test an artificial intelligence–powered digital health surveillance tool that integrates indigenous malaria knowledge with machine learning for community-based malaria surveillance in Dire Dawa, Ethiopia.</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bCs/>
          <w:color w:val="0F1115"/>
          <w:sz w:val="24"/>
          <w:szCs w:val="24"/>
        </w:rPr>
        <w:t>Specific objectives:</w:t>
      </w:r>
    </w:p>
    <w:p w:rsidR="00575ABE" w:rsidRDefault="00575ABE" w:rsidP="00AC459B">
      <w:pPr>
        <w:pStyle w:val="ListParagraph"/>
        <w:numPr>
          <w:ilvl w:val="0"/>
          <w:numId w:val="1"/>
        </w:num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To elicit, document, and codify indigenous malaria indicators (environmental, symptomatic, and preventive) from Oromo, Somali, and Amhara community members and traditional healers in Dire Dawa, using qualitative methods.</w:t>
      </w:r>
    </w:p>
    <w:p w:rsidR="00575ABE" w:rsidRDefault="00575ABE" w:rsidP="00AC459B">
      <w:pPr>
        <w:pStyle w:val="ListParagraph"/>
        <w:numPr>
          <w:ilvl w:val="0"/>
          <w:numId w:val="1"/>
        </w:num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To train and validate a machine learning model that incorporates these indigenous indicators alongside climatic, topographic, and routine surveillance data to predict malaria risk at the kebele level.</w:t>
      </w:r>
    </w:p>
    <w:p w:rsidR="00575ABE" w:rsidRDefault="00575ABE" w:rsidP="00AC459B">
      <w:pPr>
        <w:pStyle w:val="ListParagraph"/>
        <w:numPr>
          <w:ilvl w:val="0"/>
          <w:numId w:val="1"/>
        </w:num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To co-design, through participatory workshops, a mobile-based digital surveillance interface that enables community health workers and households to report indigenous indicators, receive risk alerts, and contribute to real-time surveillance.</w:t>
      </w:r>
    </w:p>
    <w:p w:rsidR="00575ABE" w:rsidRPr="00575ABE" w:rsidRDefault="00575ABE" w:rsidP="00AC459B">
      <w:pPr>
        <w:pStyle w:val="ListParagraph"/>
        <w:numPr>
          <w:ilvl w:val="0"/>
          <w:numId w:val="1"/>
        </w:num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To assess the feasibility, system usability, and predictive accuracy of the integrated digital surveillance tool during a pilot implementation over one malaria transmission season.</w:t>
      </w:r>
    </w:p>
    <w:p w:rsid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By achieving these objectives, this study aims to generate evidence for a scalable model of community-centered, AI-augmented malaria surveillance that respects, preserves, and opera</w:t>
      </w:r>
      <w:r>
        <w:rPr>
          <w:rFonts w:ascii="Times New Roman" w:eastAsia="Times New Roman" w:hAnsi="Times New Roman" w:cs="Times New Roman"/>
          <w:color w:val="0F1115"/>
          <w:sz w:val="24"/>
          <w:szCs w:val="24"/>
        </w:rPr>
        <w:t xml:space="preserve">tionalizes indigenous knowledge </w:t>
      </w:r>
      <w:r w:rsidRPr="00575ABE">
        <w:rPr>
          <w:rFonts w:ascii="Times New Roman" w:eastAsia="Times New Roman" w:hAnsi="Times New Roman" w:cs="Times New Roman"/>
          <w:color w:val="0F1115"/>
          <w:sz w:val="24"/>
          <w:szCs w:val="24"/>
        </w:rPr>
        <w:t xml:space="preserve">contributing to Ethiopia’s national malaria elimination </w:t>
      </w:r>
      <w:r w:rsidRPr="00575ABE">
        <w:rPr>
          <w:rFonts w:ascii="Times New Roman" w:eastAsia="Times New Roman" w:hAnsi="Times New Roman" w:cs="Times New Roman"/>
          <w:color w:val="0F1115"/>
          <w:sz w:val="24"/>
          <w:szCs w:val="24"/>
        </w:rPr>
        <w:lastRenderedPageBreak/>
        <w:t>strategy and offering lessons for other low-resource, high-burden settings across sub-Saharan Africa.</w:t>
      </w:r>
    </w:p>
    <w:p w:rsidR="00220797" w:rsidRPr="00220797" w:rsidRDefault="00220797" w:rsidP="00220797">
      <w:pPr>
        <w:shd w:val="clear" w:color="auto" w:fill="FFFFFF"/>
        <w:spacing w:after="120"/>
        <w:jc w:val="both"/>
        <w:outlineLvl w:val="1"/>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 Methods</w:t>
      </w:r>
    </w:p>
    <w:p w:rsidR="00220797" w:rsidRPr="00220797" w:rsidRDefault="00220797" w:rsidP="00220797">
      <w:pPr>
        <w:shd w:val="clear" w:color="auto" w:fill="FFFFFF"/>
        <w:spacing w:after="120"/>
        <w:jc w:val="both"/>
        <w:outlineLvl w:val="2"/>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2.1 Study Design Overview</w:t>
      </w:r>
    </w:p>
    <w:p w:rsidR="00220797" w:rsidRPr="00220797" w:rsidRDefault="00220797" w:rsidP="00220797">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This study employs a </w:t>
      </w:r>
      <w:r w:rsidRPr="00220797">
        <w:rPr>
          <w:rFonts w:ascii="Times New Roman" w:eastAsia="Times New Roman" w:hAnsi="Times New Roman" w:cs="Times New Roman"/>
          <w:bCs/>
          <w:color w:val="0F1115"/>
          <w:sz w:val="24"/>
          <w:szCs w:val="24"/>
        </w:rPr>
        <w:t>sequential explanatory mixed-methods design</w:t>
      </w:r>
      <w:r w:rsidRPr="00220797">
        <w:rPr>
          <w:rFonts w:ascii="Times New Roman" w:eastAsia="Times New Roman" w:hAnsi="Times New Roman" w:cs="Times New Roman"/>
          <w:color w:val="0F1115"/>
          <w:sz w:val="24"/>
          <w:szCs w:val="24"/>
        </w:rPr>
        <w:t> comprising three interconnected phases: </w:t>
      </w:r>
      <w:r w:rsidRPr="00220797">
        <w:rPr>
          <w:rFonts w:ascii="Times New Roman" w:eastAsia="Times New Roman" w:hAnsi="Times New Roman" w:cs="Times New Roman"/>
          <w:bCs/>
          <w:color w:val="0F1115"/>
          <w:sz w:val="24"/>
          <w:szCs w:val="24"/>
        </w:rPr>
        <w:t>QUAL → quan → PILOT</w:t>
      </w:r>
      <w:r w:rsidRPr="00220797">
        <w:rPr>
          <w:rFonts w:ascii="Times New Roman" w:eastAsia="Times New Roman" w:hAnsi="Times New Roman" w:cs="Times New Roman"/>
          <w:color w:val="0F1115"/>
          <w:sz w:val="24"/>
          <w:szCs w:val="24"/>
        </w:rPr>
        <w:t>. A pragmatist philosophical stance is adopted, which prioritises the research question and practical consequences over strict adherence to any single methodological paradigm, thereby justifying the integration of qualitative and quantitative approaches (Creswell &amp; Plano Clark, 2018; Shannon-Baker, 2016). The sequential multiphase design has been successfully applied in similar studies to integrate indigenous and scientific knowledge for climate-related malaria risk reduction (Phoobane et al., 2024) and to forecast malaria season onset in South Africa’s Mopani District (Mabhaudhi et al., 2023).</w:t>
      </w:r>
    </w:p>
    <w:p w:rsidR="00220797" w:rsidRPr="00220797" w:rsidRDefault="00220797" w:rsidP="00220797">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Phase 1 (qualitative dominant) comprises a community-based participatory research (CBPR) approach to elicit, document and codify indigenous malaria knowledge from Oromo, Somali and Amhara community members and traditional healers in Dire Dawa. The qualitative findings inform Phase 2 (quantitative dominant), in which the codified indigenous indicators are operationalised as predictive features and integrated with climatic, topographic and routine surveillance data to train and validate a machine learning model for malaria risk prediction. Phase 3 (pilot) entails participatory co-design workshops with end-users to develop a mobile-based digital surveillance interface, followed by a four-month pilot implementation to assess feasibility, usability and predictive accuracy.</w:t>
      </w:r>
    </w:p>
    <w:p w:rsidR="00220797" w:rsidRDefault="00220797" w:rsidP="00220797">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A visual representation of the three-phase sequential design is shown in </w:t>
      </w:r>
      <w:r w:rsidRPr="00220797">
        <w:rPr>
          <w:rFonts w:ascii="Times New Roman" w:eastAsia="Times New Roman" w:hAnsi="Times New Roman" w:cs="Times New Roman"/>
          <w:bCs/>
          <w:color w:val="0F1115"/>
          <w:sz w:val="24"/>
          <w:szCs w:val="24"/>
        </w:rPr>
        <w:t>Figure 1</w:t>
      </w:r>
      <w:r w:rsidRPr="00220797">
        <w:rPr>
          <w:rFonts w:ascii="Times New Roman" w:eastAsia="Times New Roman" w:hAnsi="Times New Roman" w:cs="Times New Roman"/>
          <w:color w:val="0F1115"/>
          <w:sz w:val="24"/>
          <w:szCs w:val="24"/>
        </w:rPr>
        <w:t>.</w:t>
      </w:r>
    </w:p>
    <w:p w:rsidR="00FE31E9" w:rsidRDefault="00FE31E9" w:rsidP="00FE31E9">
      <w:pPr>
        <w:shd w:val="clear" w:color="auto" w:fill="FFFFFF"/>
        <w:spacing w:after="12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IN" w:eastAsia="en-IN"/>
        </w:rPr>
        <w:lastRenderedPageBreak/>
        <w:drawing>
          <wp:inline distT="0" distB="0" distL="0" distR="0">
            <wp:extent cx="4655127" cy="435725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55185" cy="4357310"/>
                    </a:xfrm>
                    <a:prstGeom prst="rect">
                      <a:avLst/>
                    </a:prstGeom>
                    <a:noFill/>
                    <a:ln>
                      <a:noFill/>
                    </a:ln>
                  </pic:spPr>
                </pic:pic>
              </a:graphicData>
            </a:graphic>
          </wp:inline>
        </w:drawing>
      </w:r>
    </w:p>
    <w:p w:rsidR="00FE31E9" w:rsidRPr="00FE31E9" w:rsidRDefault="00FE31E9" w:rsidP="00FE31E9">
      <w:pPr>
        <w:pStyle w:val="NormalWeb"/>
        <w:spacing w:before="0" w:beforeAutospacing="0" w:after="120" w:afterAutospacing="0" w:line="276" w:lineRule="auto"/>
        <w:jc w:val="both"/>
      </w:pPr>
      <w:r>
        <w:rPr>
          <w:color w:val="0F1115"/>
        </w:rPr>
        <w:t xml:space="preserve">Figure 1: </w:t>
      </w:r>
      <w:r>
        <w:t>Sequential explanatory mixed-methods study design integrating qualitative, quantitative, and pilot phases.</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i/>
          <w:iCs/>
          <w:color w:val="0F1115"/>
          <w:sz w:val="24"/>
          <w:szCs w:val="24"/>
        </w:rPr>
        <w:t>Source: Adapted from sequential multiphase design employed by Phoobane et al. (2024) and Mabhaudhi et al. (2023).</w:t>
      </w:r>
    </w:p>
    <w:p w:rsidR="00220797" w:rsidRPr="00220797" w:rsidRDefault="00220797" w:rsidP="00FE31E9">
      <w:pPr>
        <w:shd w:val="clear" w:color="auto" w:fill="FFFFFF"/>
        <w:spacing w:after="120"/>
        <w:jc w:val="both"/>
        <w:outlineLvl w:val="2"/>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2.2 Study Setting</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The study is conducted in </w:t>
      </w:r>
      <w:r w:rsidRPr="00220797">
        <w:rPr>
          <w:rFonts w:ascii="Times New Roman" w:eastAsia="Times New Roman" w:hAnsi="Times New Roman" w:cs="Times New Roman"/>
          <w:bCs/>
          <w:color w:val="0F1115"/>
          <w:sz w:val="24"/>
          <w:szCs w:val="24"/>
        </w:rPr>
        <w:t>Dire Dawa</w:t>
      </w:r>
      <w:r w:rsidRPr="00220797">
        <w:rPr>
          <w:rFonts w:ascii="Times New Roman" w:eastAsia="Times New Roman" w:hAnsi="Times New Roman" w:cs="Times New Roman"/>
          <w:color w:val="0F1115"/>
          <w:sz w:val="24"/>
          <w:szCs w:val="24"/>
        </w:rPr>
        <w:t>, a chartered city in eastern Ethiopia located approximately 515 km east of Addis Ababa. Dire Dawa is situated at an elevation ranging from 950 m to 1,200 m above sea level, within the semi</w:t>
      </w:r>
      <w:r w:rsidRPr="00220797">
        <w:rPr>
          <w:rFonts w:ascii="Times New Roman" w:eastAsia="Times New Roman" w:hAnsi="Times New Roman" w:cs="Times New Roman"/>
          <w:color w:val="0F1115"/>
          <w:sz w:val="24"/>
          <w:szCs w:val="24"/>
        </w:rPr>
        <w:noBreakHyphen/>
        <w:t>arid lowlands. The city serves as a major commercial and industrial hub, with a population estimated at over 500,000, comprising Oromo, Somali, Amhara, Harari, and other ethnic groups, reflecting the region’s diverse cultural and linguistic composition.</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Figure 2 presents a map</w:t>
      </w:r>
      <w:r w:rsidRPr="00220797">
        <w:rPr>
          <w:rFonts w:ascii="Times New Roman" w:eastAsia="Times New Roman" w:hAnsi="Times New Roman" w:cs="Times New Roman"/>
          <w:color w:val="0F1115"/>
          <w:sz w:val="24"/>
          <w:szCs w:val="24"/>
        </w:rPr>
        <w:t> of Dire Dawa city administration, with the six purposively selected</w:t>
      </w:r>
      <w:r w:rsidR="00A843D3">
        <w:rPr>
          <w:rFonts w:ascii="Times New Roman" w:eastAsia="Times New Roman" w:hAnsi="Times New Roman" w:cs="Times New Roman"/>
          <w:color w:val="0F1115"/>
          <w:sz w:val="24"/>
          <w:szCs w:val="24"/>
        </w:rPr>
        <w:t xml:space="preserve"> kebeles; </w:t>
      </w:r>
      <w:r w:rsidRPr="00220797">
        <w:rPr>
          <w:rFonts w:ascii="Times New Roman" w:eastAsia="Times New Roman" w:hAnsi="Times New Roman" w:cs="Times New Roman"/>
          <w:bCs/>
          <w:color w:val="0F1115"/>
          <w:sz w:val="24"/>
          <w:szCs w:val="24"/>
        </w:rPr>
        <w:t>Melka Jebdu, Gende Kore, Dechatu, Legehare, Sabian, and Kefira</w:t>
      </w:r>
      <w:r w:rsidR="00A843D3">
        <w:rPr>
          <w:rFonts w:ascii="Times New Roman" w:eastAsia="Times New Roman" w:hAnsi="Times New Roman" w:cs="Times New Roman"/>
          <w:color w:val="0F1115"/>
          <w:sz w:val="24"/>
          <w:szCs w:val="24"/>
        </w:rPr>
        <w:t xml:space="preserve"> </w:t>
      </w:r>
      <w:r w:rsidRPr="00220797">
        <w:rPr>
          <w:rFonts w:ascii="Times New Roman" w:eastAsia="Times New Roman" w:hAnsi="Times New Roman" w:cs="Times New Roman"/>
          <w:color w:val="0F1115"/>
          <w:sz w:val="24"/>
          <w:szCs w:val="24"/>
        </w:rPr>
        <w:t>marked accordingly. These kebeles were purposively selected based on their representation of urban, peri</w:t>
      </w:r>
      <w:r w:rsidRPr="00220797">
        <w:rPr>
          <w:rFonts w:ascii="Times New Roman" w:eastAsia="Times New Roman" w:hAnsi="Times New Roman" w:cs="Times New Roman"/>
          <w:color w:val="0F1115"/>
          <w:sz w:val="24"/>
          <w:szCs w:val="24"/>
        </w:rPr>
        <w:noBreakHyphen/>
        <w:t>urban and rural characteristics, documented history of malaria transmission, and ethnic diversity.</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lastRenderedPageBreak/>
        <w:t>Malaria transmission in Dire Dawa follows two seasonal peaks: the </w:t>
      </w:r>
      <w:r w:rsidRPr="00220797">
        <w:rPr>
          <w:rFonts w:ascii="Times New Roman" w:eastAsia="Times New Roman" w:hAnsi="Times New Roman" w:cs="Times New Roman"/>
          <w:bCs/>
          <w:color w:val="0F1115"/>
          <w:sz w:val="24"/>
          <w:szCs w:val="24"/>
        </w:rPr>
        <w:t>September–December</w:t>
      </w:r>
      <w:r w:rsidRPr="00220797">
        <w:rPr>
          <w:rFonts w:ascii="Times New Roman" w:eastAsia="Times New Roman" w:hAnsi="Times New Roman" w:cs="Times New Roman"/>
          <w:color w:val="0F1115"/>
          <w:sz w:val="24"/>
          <w:szCs w:val="24"/>
        </w:rPr>
        <w:t> period following the long rains (</w:t>
      </w:r>
      <w:r w:rsidRPr="00220797">
        <w:rPr>
          <w:rFonts w:ascii="Times New Roman" w:eastAsia="Times New Roman" w:hAnsi="Times New Roman" w:cs="Times New Roman"/>
          <w:i/>
          <w:iCs/>
          <w:color w:val="0F1115"/>
          <w:sz w:val="24"/>
          <w:szCs w:val="24"/>
        </w:rPr>
        <w:t>belg</w:t>
      </w:r>
      <w:r w:rsidRPr="00220797">
        <w:rPr>
          <w:rFonts w:ascii="Times New Roman" w:eastAsia="Times New Roman" w:hAnsi="Times New Roman" w:cs="Times New Roman"/>
          <w:color w:val="0F1115"/>
          <w:sz w:val="24"/>
          <w:szCs w:val="24"/>
        </w:rPr>
        <w:t> / </w:t>
      </w:r>
      <w:r w:rsidRPr="00220797">
        <w:rPr>
          <w:rFonts w:ascii="Times New Roman" w:eastAsia="Times New Roman" w:hAnsi="Times New Roman" w:cs="Times New Roman"/>
          <w:i/>
          <w:iCs/>
          <w:color w:val="0F1115"/>
          <w:sz w:val="24"/>
          <w:szCs w:val="24"/>
        </w:rPr>
        <w:t>kiremt</w:t>
      </w:r>
      <w:r w:rsidRPr="00220797">
        <w:rPr>
          <w:rFonts w:ascii="Times New Roman" w:eastAsia="Times New Roman" w:hAnsi="Times New Roman" w:cs="Times New Roman"/>
          <w:color w:val="0F1115"/>
          <w:sz w:val="24"/>
          <w:szCs w:val="24"/>
        </w:rPr>
        <w:t>) and the </w:t>
      </w:r>
      <w:r w:rsidRPr="00220797">
        <w:rPr>
          <w:rFonts w:ascii="Times New Roman" w:eastAsia="Times New Roman" w:hAnsi="Times New Roman" w:cs="Times New Roman"/>
          <w:bCs/>
          <w:color w:val="0F1115"/>
          <w:sz w:val="24"/>
          <w:szCs w:val="24"/>
        </w:rPr>
        <w:t>March–May</w:t>
      </w:r>
      <w:r w:rsidRPr="00220797">
        <w:rPr>
          <w:rFonts w:ascii="Times New Roman" w:eastAsia="Times New Roman" w:hAnsi="Times New Roman" w:cs="Times New Roman"/>
          <w:color w:val="0F1115"/>
          <w:sz w:val="24"/>
          <w:szCs w:val="24"/>
        </w:rPr>
        <w:t> period after the short rains. The recent invasion of </w:t>
      </w:r>
      <w:r w:rsidRPr="00220797">
        <w:rPr>
          <w:rFonts w:ascii="Times New Roman" w:eastAsia="Times New Roman" w:hAnsi="Times New Roman" w:cs="Times New Roman"/>
          <w:i/>
          <w:iCs/>
          <w:color w:val="0F1115"/>
          <w:sz w:val="24"/>
          <w:szCs w:val="24"/>
        </w:rPr>
        <w:t>Anopheles stephensi</w:t>
      </w:r>
      <w:r w:rsidR="00A843D3">
        <w:rPr>
          <w:rFonts w:ascii="Times New Roman" w:eastAsia="Times New Roman" w:hAnsi="Times New Roman" w:cs="Times New Roman"/>
          <w:color w:val="0F1115"/>
          <w:sz w:val="24"/>
          <w:szCs w:val="24"/>
        </w:rPr>
        <w:t xml:space="preserve">, </w:t>
      </w:r>
      <w:r w:rsidR="001B065B" w:rsidRPr="00220797">
        <w:rPr>
          <w:rFonts w:ascii="Times New Roman" w:eastAsia="Times New Roman" w:hAnsi="Times New Roman" w:cs="Times New Roman"/>
          <w:color w:val="0F1115"/>
          <w:sz w:val="24"/>
          <w:szCs w:val="24"/>
        </w:rPr>
        <w:t>Asian</w:t>
      </w:r>
      <w:r w:rsidRPr="00220797">
        <w:rPr>
          <w:rFonts w:ascii="Times New Roman" w:eastAsia="Times New Roman" w:hAnsi="Times New Roman" w:cs="Times New Roman"/>
          <w:color w:val="0F1115"/>
          <w:sz w:val="24"/>
          <w:szCs w:val="24"/>
        </w:rPr>
        <w:t xml:space="preserve"> urban malaria vector resistant </w:t>
      </w:r>
      <w:r w:rsidR="001B065B">
        <w:rPr>
          <w:rFonts w:ascii="Times New Roman" w:eastAsia="Times New Roman" w:hAnsi="Times New Roman" w:cs="Times New Roman"/>
          <w:color w:val="0F1115"/>
          <w:sz w:val="24"/>
          <w:szCs w:val="24"/>
        </w:rPr>
        <w:t xml:space="preserve">to multiple insecticide classes </w:t>
      </w:r>
      <w:r w:rsidRPr="00220797">
        <w:rPr>
          <w:rFonts w:ascii="Times New Roman" w:eastAsia="Times New Roman" w:hAnsi="Times New Roman" w:cs="Times New Roman"/>
          <w:color w:val="0F1115"/>
          <w:sz w:val="24"/>
          <w:szCs w:val="24"/>
        </w:rPr>
        <w:t>has, however, enabled dry</w:t>
      </w:r>
      <w:r w:rsidRPr="00220797">
        <w:rPr>
          <w:rFonts w:ascii="Times New Roman" w:eastAsia="Times New Roman" w:hAnsi="Times New Roman" w:cs="Times New Roman"/>
          <w:color w:val="0F1115"/>
          <w:sz w:val="24"/>
          <w:szCs w:val="24"/>
        </w:rPr>
        <w:noBreakHyphen/>
        <w:t>season transmission, fundamentally altering the transmission landscape (Emiru et al., 2023; Degefa et al., 2024). A matched case–control study in Dire Dawa found that 27 of 34 adult </w:t>
      </w:r>
      <w:r w:rsidRPr="00220797">
        <w:rPr>
          <w:rFonts w:ascii="Times New Roman" w:eastAsia="Times New Roman" w:hAnsi="Times New Roman" w:cs="Times New Roman"/>
          <w:i/>
          <w:iCs/>
          <w:color w:val="0F1115"/>
          <w:sz w:val="24"/>
          <w:szCs w:val="24"/>
        </w:rPr>
        <w:t>Anopheles</w:t>
      </w:r>
      <w:r w:rsidRPr="00220797">
        <w:rPr>
          <w:rFonts w:ascii="Times New Roman" w:eastAsia="Times New Roman" w:hAnsi="Times New Roman" w:cs="Times New Roman"/>
          <w:color w:val="0F1115"/>
          <w:sz w:val="24"/>
          <w:szCs w:val="24"/>
        </w:rPr>
        <w:t> mosquitoes collected were identified as </w:t>
      </w:r>
      <w:r w:rsidRPr="00220797">
        <w:rPr>
          <w:rFonts w:ascii="Times New Roman" w:eastAsia="Times New Roman" w:hAnsi="Times New Roman" w:cs="Times New Roman"/>
          <w:i/>
          <w:iCs/>
          <w:color w:val="0F1115"/>
          <w:sz w:val="24"/>
          <w:szCs w:val="24"/>
        </w:rPr>
        <w:t>An. stephensi</w:t>
      </w:r>
      <w:r w:rsidRPr="00220797">
        <w:rPr>
          <w:rFonts w:ascii="Times New Roman" w:eastAsia="Times New Roman" w:hAnsi="Times New Roman" w:cs="Times New Roman"/>
          <w:color w:val="0F1115"/>
          <w:sz w:val="24"/>
          <w:szCs w:val="24"/>
        </w:rPr>
        <w:t>, and livestock ownership was associated with a seven</w:t>
      </w:r>
      <w:r w:rsidRPr="00220797">
        <w:rPr>
          <w:rFonts w:ascii="Times New Roman" w:eastAsia="Times New Roman" w:hAnsi="Times New Roman" w:cs="Times New Roman"/>
          <w:color w:val="0F1115"/>
          <w:sz w:val="24"/>
          <w:szCs w:val="24"/>
        </w:rPr>
        <w:noBreakHyphen/>
        <w:t>fold increased odds of malaria infection (Degefa et al., 2024). These ecological complexities underscore the need for surveillance approaches that are sensitive to both environmental and</w:t>
      </w:r>
      <w:r w:rsidR="001B065B">
        <w:rPr>
          <w:rFonts w:ascii="Times New Roman" w:eastAsia="Times New Roman" w:hAnsi="Times New Roman" w:cs="Times New Roman"/>
          <w:color w:val="0F1115"/>
          <w:sz w:val="24"/>
          <w:szCs w:val="24"/>
        </w:rPr>
        <w:t xml:space="preserve"> human</w:t>
      </w:r>
      <w:r w:rsidR="001B065B">
        <w:rPr>
          <w:rFonts w:ascii="Times New Roman" w:eastAsia="Times New Roman" w:hAnsi="Times New Roman" w:cs="Times New Roman"/>
          <w:color w:val="0F1115"/>
          <w:sz w:val="24"/>
          <w:szCs w:val="24"/>
        </w:rPr>
        <w:noBreakHyphen/>
        <w:t xml:space="preserve">behavioural determinants, </w:t>
      </w:r>
      <w:r w:rsidRPr="00220797">
        <w:rPr>
          <w:rFonts w:ascii="Times New Roman" w:eastAsia="Times New Roman" w:hAnsi="Times New Roman" w:cs="Times New Roman"/>
          <w:color w:val="0F1115"/>
          <w:sz w:val="24"/>
          <w:szCs w:val="24"/>
        </w:rPr>
        <w:t>including the indigenous knowledge held by local communities.</w:t>
      </w:r>
    </w:p>
    <w:p w:rsidR="00220797" w:rsidRPr="00220797" w:rsidRDefault="00220797" w:rsidP="00FE31E9">
      <w:pPr>
        <w:shd w:val="clear" w:color="auto" w:fill="FFFFFF"/>
        <w:spacing w:after="120"/>
        <w:jc w:val="both"/>
        <w:outlineLvl w:val="2"/>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2.3 Phase 1: Qualitative Elicitation of Indigenous Malaria Knowledge</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This phase adopts a qualitative, descriptive design grounded in community</w:t>
      </w:r>
      <w:r w:rsidRPr="00220797">
        <w:rPr>
          <w:rFonts w:ascii="Times New Roman" w:eastAsia="Times New Roman" w:hAnsi="Times New Roman" w:cs="Times New Roman"/>
          <w:color w:val="0F1115"/>
          <w:sz w:val="24"/>
          <w:szCs w:val="24"/>
        </w:rPr>
        <w:noBreakHyphen/>
        <w:t>based participatory research (CBPR) principles. The CBPR approach ensures that indigenous knowledge holders are recognised as equal partners in knowledge production and that findings are directly relevant to community priorities (Israel et al., 2012; Naserrudin et al., 2022). The qualitative data collection and analysis follow the consolidated criteria for reporting qualitative research (COREQ) (Tong et al., 2007).</w:t>
      </w:r>
    </w:p>
    <w:p w:rsidR="00220797" w:rsidRPr="00220797" w:rsidRDefault="00220797" w:rsidP="00FE31E9">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2.3.1 Sampling and Recruitment</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A combined </w:t>
      </w:r>
      <w:r w:rsidRPr="00220797">
        <w:rPr>
          <w:rFonts w:ascii="Times New Roman" w:eastAsia="Times New Roman" w:hAnsi="Times New Roman" w:cs="Times New Roman"/>
          <w:bCs/>
          <w:color w:val="0F1115"/>
          <w:sz w:val="24"/>
          <w:szCs w:val="24"/>
        </w:rPr>
        <w:t>purposive</w:t>
      </w:r>
      <w:r w:rsidRPr="00220797">
        <w:rPr>
          <w:rFonts w:ascii="Times New Roman" w:eastAsia="Times New Roman" w:hAnsi="Times New Roman" w:cs="Times New Roman"/>
          <w:color w:val="0F1115"/>
          <w:sz w:val="24"/>
          <w:szCs w:val="24"/>
        </w:rPr>
        <w:t> and </w:t>
      </w:r>
      <w:r w:rsidRPr="00220797">
        <w:rPr>
          <w:rFonts w:ascii="Times New Roman" w:eastAsia="Times New Roman" w:hAnsi="Times New Roman" w:cs="Times New Roman"/>
          <w:bCs/>
          <w:color w:val="0F1115"/>
          <w:sz w:val="24"/>
          <w:szCs w:val="24"/>
        </w:rPr>
        <w:t>snowball sampling</w:t>
      </w:r>
      <w:r w:rsidRPr="00220797">
        <w:rPr>
          <w:rFonts w:ascii="Times New Roman" w:eastAsia="Times New Roman" w:hAnsi="Times New Roman" w:cs="Times New Roman"/>
          <w:color w:val="0F1115"/>
          <w:sz w:val="24"/>
          <w:szCs w:val="24"/>
        </w:rPr>
        <w:t> strategy is employed to identify and recruit participants. Purposive sampling ensures that individuals with relevant experience and recognised knowledge of malaria are intentionally selected, while snowball sampling leverages social networks to reach additional knowledgeable respondents (Patton, 2015). This dual approach has been successfully used by researchers studying indigenous knowledge of climate</w:t>
      </w:r>
      <w:r w:rsidRPr="00220797">
        <w:rPr>
          <w:rFonts w:ascii="Times New Roman" w:eastAsia="Times New Roman" w:hAnsi="Times New Roman" w:cs="Times New Roman"/>
          <w:color w:val="0F1115"/>
          <w:sz w:val="24"/>
          <w:szCs w:val="24"/>
        </w:rPr>
        <w:noBreakHyphen/>
        <w:t>related early warning systems for malaria in South Africa (Mabhaudhi et al., 2023) and in documenting antimalarial ethnobotanical knowledge in Ethiopia (Biruksew et al., 2012; Ahmed et al., 2022).</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Inclusion criteria</w:t>
      </w:r>
      <w:r w:rsidRPr="00220797">
        <w:rPr>
          <w:rFonts w:ascii="Times New Roman" w:eastAsia="Times New Roman" w:hAnsi="Times New Roman" w:cs="Times New Roman"/>
          <w:color w:val="0F1115"/>
          <w:sz w:val="24"/>
          <w:szCs w:val="24"/>
        </w:rPr>
        <w:t> are:</w:t>
      </w:r>
    </w:p>
    <w:p w:rsidR="00FE31E9" w:rsidRDefault="00220797" w:rsidP="00AC459B">
      <w:pPr>
        <w:pStyle w:val="ListParagraph"/>
        <w:numPr>
          <w:ilvl w:val="0"/>
          <w:numId w:val="3"/>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color w:val="0F1115"/>
          <w:sz w:val="24"/>
          <w:szCs w:val="24"/>
        </w:rPr>
        <w:t>Age ≥ 40 years (to ensure sufficient lived experience of seasonal and inter</w:t>
      </w:r>
      <w:r w:rsidRPr="00FE31E9">
        <w:rPr>
          <w:rFonts w:ascii="Times New Roman" w:eastAsia="Times New Roman" w:hAnsi="Times New Roman" w:cs="Times New Roman"/>
          <w:color w:val="0F1115"/>
          <w:sz w:val="24"/>
          <w:szCs w:val="24"/>
        </w:rPr>
        <w:noBreakHyphen/>
        <w:t>annual malaria patterns);</w:t>
      </w:r>
    </w:p>
    <w:p w:rsidR="00FE31E9" w:rsidRDefault="00220797" w:rsidP="00AC459B">
      <w:pPr>
        <w:pStyle w:val="ListParagraph"/>
        <w:numPr>
          <w:ilvl w:val="0"/>
          <w:numId w:val="3"/>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color w:val="0F1115"/>
          <w:sz w:val="24"/>
          <w:szCs w:val="24"/>
        </w:rPr>
        <w:t>Recognised by the community as a health resource person (traditional healer, community elder, religious leader, or experienced household head);</w:t>
      </w:r>
    </w:p>
    <w:p w:rsidR="00220797" w:rsidRPr="00FE31E9" w:rsidRDefault="00220797" w:rsidP="00AC459B">
      <w:pPr>
        <w:pStyle w:val="ListParagraph"/>
        <w:numPr>
          <w:ilvl w:val="0"/>
          <w:numId w:val="3"/>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color w:val="0F1115"/>
          <w:sz w:val="24"/>
          <w:szCs w:val="24"/>
        </w:rPr>
        <w:t>Continuous residence in the selected kebele for ≥ 10 years (to enable observation of long</w:t>
      </w:r>
      <w:r w:rsidRPr="00FE31E9">
        <w:rPr>
          <w:rFonts w:ascii="Times New Roman" w:eastAsia="Times New Roman" w:hAnsi="Times New Roman" w:cs="Times New Roman"/>
          <w:color w:val="0F1115"/>
          <w:sz w:val="24"/>
          <w:szCs w:val="24"/>
        </w:rPr>
        <w:noBreakHyphen/>
        <w:t>term malaria patterns).</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Exclusion criteria</w:t>
      </w:r>
      <w:r w:rsidRPr="00220797">
        <w:rPr>
          <w:rFonts w:ascii="Times New Roman" w:eastAsia="Times New Roman" w:hAnsi="Times New Roman" w:cs="Times New Roman"/>
          <w:color w:val="0F1115"/>
          <w:sz w:val="24"/>
          <w:szCs w:val="24"/>
        </w:rPr>
        <w:t> are:</w:t>
      </w:r>
    </w:p>
    <w:p w:rsidR="00FE31E9" w:rsidRDefault="00220797" w:rsidP="00AC459B">
      <w:pPr>
        <w:pStyle w:val="ListParagraph"/>
        <w:numPr>
          <w:ilvl w:val="0"/>
          <w:numId w:val="4"/>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color w:val="0F1115"/>
          <w:sz w:val="24"/>
          <w:szCs w:val="24"/>
        </w:rPr>
        <w:t>Inability to provide informed consent due to cognitive impairment;</w:t>
      </w:r>
    </w:p>
    <w:p w:rsidR="00220797" w:rsidRPr="00FE31E9" w:rsidRDefault="00220797" w:rsidP="00AC459B">
      <w:pPr>
        <w:pStyle w:val="ListParagraph"/>
        <w:numPr>
          <w:ilvl w:val="0"/>
          <w:numId w:val="4"/>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color w:val="0F1115"/>
          <w:sz w:val="24"/>
          <w:szCs w:val="24"/>
        </w:rPr>
        <w:t>Current severe illness that would preclude participation in a 60–90 minute interview.</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lastRenderedPageBreak/>
        <w:t>The target sample size is </w:t>
      </w:r>
      <w:r w:rsidRPr="00220797">
        <w:rPr>
          <w:rFonts w:ascii="Times New Roman" w:eastAsia="Times New Roman" w:hAnsi="Times New Roman" w:cs="Times New Roman"/>
          <w:bCs/>
          <w:color w:val="0F1115"/>
          <w:sz w:val="24"/>
          <w:szCs w:val="24"/>
        </w:rPr>
        <w:t>30</w:t>
      </w:r>
      <w:r w:rsidR="00FE31E9">
        <w:rPr>
          <w:rFonts w:ascii="Times New Roman" w:eastAsia="Times New Roman" w:hAnsi="Times New Roman" w:cs="Times New Roman"/>
          <w:bCs/>
          <w:color w:val="0F1115"/>
          <w:sz w:val="24"/>
          <w:szCs w:val="24"/>
        </w:rPr>
        <w:t>0</w:t>
      </w:r>
      <w:r w:rsidRPr="00220797">
        <w:rPr>
          <w:rFonts w:ascii="Times New Roman" w:eastAsia="Times New Roman" w:hAnsi="Times New Roman" w:cs="Times New Roman"/>
          <w:bCs/>
          <w:color w:val="0F1115"/>
          <w:sz w:val="24"/>
          <w:szCs w:val="24"/>
        </w:rPr>
        <w:t xml:space="preserve"> participants</w:t>
      </w:r>
      <w:r w:rsidRPr="00220797">
        <w:rPr>
          <w:rFonts w:ascii="Times New Roman" w:eastAsia="Times New Roman" w:hAnsi="Times New Roman" w:cs="Times New Roman"/>
          <w:color w:val="0F1115"/>
          <w:sz w:val="24"/>
          <w:szCs w:val="24"/>
        </w:rPr>
        <w:t>, stratified equally across the three dominant ethnic groups in the study kebeles: </w:t>
      </w:r>
      <w:r w:rsidRPr="00220797">
        <w:rPr>
          <w:rFonts w:ascii="Times New Roman" w:eastAsia="Times New Roman" w:hAnsi="Times New Roman" w:cs="Times New Roman"/>
          <w:bCs/>
          <w:color w:val="0F1115"/>
          <w:sz w:val="24"/>
          <w:szCs w:val="24"/>
        </w:rPr>
        <w:t>10</w:t>
      </w:r>
      <w:r w:rsidR="00FE31E9">
        <w:rPr>
          <w:rFonts w:ascii="Times New Roman" w:eastAsia="Times New Roman" w:hAnsi="Times New Roman" w:cs="Times New Roman"/>
          <w:bCs/>
          <w:color w:val="0F1115"/>
          <w:sz w:val="24"/>
          <w:szCs w:val="24"/>
        </w:rPr>
        <w:t>0</w:t>
      </w:r>
      <w:r w:rsidRPr="00220797">
        <w:rPr>
          <w:rFonts w:ascii="Times New Roman" w:eastAsia="Times New Roman" w:hAnsi="Times New Roman" w:cs="Times New Roman"/>
          <w:bCs/>
          <w:color w:val="0F1115"/>
          <w:sz w:val="24"/>
          <w:szCs w:val="24"/>
        </w:rPr>
        <w:t xml:space="preserve"> Oromo</w:t>
      </w:r>
      <w:r w:rsidRPr="00220797">
        <w:rPr>
          <w:rFonts w:ascii="Times New Roman" w:eastAsia="Times New Roman" w:hAnsi="Times New Roman" w:cs="Times New Roman"/>
          <w:color w:val="0F1115"/>
          <w:sz w:val="24"/>
          <w:szCs w:val="24"/>
        </w:rPr>
        <w:t> participants, </w:t>
      </w:r>
      <w:r w:rsidRPr="00220797">
        <w:rPr>
          <w:rFonts w:ascii="Times New Roman" w:eastAsia="Times New Roman" w:hAnsi="Times New Roman" w:cs="Times New Roman"/>
          <w:bCs/>
          <w:color w:val="0F1115"/>
          <w:sz w:val="24"/>
          <w:szCs w:val="24"/>
        </w:rPr>
        <w:t>10</w:t>
      </w:r>
      <w:r w:rsidR="00FE31E9">
        <w:rPr>
          <w:rFonts w:ascii="Times New Roman" w:eastAsia="Times New Roman" w:hAnsi="Times New Roman" w:cs="Times New Roman"/>
          <w:bCs/>
          <w:color w:val="0F1115"/>
          <w:sz w:val="24"/>
          <w:szCs w:val="24"/>
        </w:rPr>
        <w:t>0</w:t>
      </w:r>
      <w:r w:rsidRPr="00220797">
        <w:rPr>
          <w:rFonts w:ascii="Times New Roman" w:eastAsia="Times New Roman" w:hAnsi="Times New Roman" w:cs="Times New Roman"/>
          <w:bCs/>
          <w:color w:val="0F1115"/>
          <w:sz w:val="24"/>
          <w:szCs w:val="24"/>
        </w:rPr>
        <w:t xml:space="preserve"> Somali</w:t>
      </w:r>
      <w:r w:rsidRPr="00220797">
        <w:rPr>
          <w:rFonts w:ascii="Times New Roman" w:eastAsia="Times New Roman" w:hAnsi="Times New Roman" w:cs="Times New Roman"/>
          <w:color w:val="0F1115"/>
          <w:sz w:val="24"/>
          <w:szCs w:val="24"/>
        </w:rPr>
        <w:t>, and </w:t>
      </w:r>
      <w:r w:rsidRPr="00220797">
        <w:rPr>
          <w:rFonts w:ascii="Times New Roman" w:eastAsia="Times New Roman" w:hAnsi="Times New Roman" w:cs="Times New Roman"/>
          <w:bCs/>
          <w:color w:val="0F1115"/>
          <w:sz w:val="24"/>
          <w:szCs w:val="24"/>
        </w:rPr>
        <w:t>10</w:t>
      </w:r>
      <w:r w:rsidR="00FE31E9">
        <w:rPr>
          <w:rFonts w:ascii="Times New Roman" w:eastAsia="Times New Roman" w:hAnsi="Times New Roman" w:cs="Times New Roman"/>
          <w:bCs/>
          <w:color w:val="0F1115"/>
          <w:sz w:val="24"/>
          <w:szCs w:val="24"/>
        </w:rPr>
        <w:t>0</w:t>
      </w:r>
      <w:r w:rsidRPr="00220797">
        <w:rPr>
          <w:rFonts w:ascii="Times New Roman" w:eastAsia="Times New Roman" w:hAnsi="Times New Roman" w:cs="Times New Roman"/>
          <w:bCs/>
          <w:color w:val="0F1115"/>
          <w:sz w:val="24"/>
          <w:szCs w:val="24"/>
        </w:rPr>
        <w:t xml:space="preserve"> Amhara</w:t>
      </w:r>
      <w:r w:rsidRPr="00220797">
        <w:rPr>
          <w:rFonts w:ascii="Times New Roman" w:eastAsia="Times New Roman" w:hAnsi="Times New Roman" w:cs="Times New Roman"/>
          <w:color w:val="0F1115"/>
          <w:sz w:val="24"/>
          <w:szCs w:val="24"/>
        </w:rPr>
        <w:t>. This sample size is consistent with qualitative studies that have documented indigenous knowledge of antimalarial plants and practices in Ethiopia (Ahmed et al., 2022; Biruksew et al., 2012) and aligns with recommendations that qualitative data saturation is typically achieved with 20–35 in</w:t>
      </w:r>
      <w:r w:rsidRPr="00220797">
        <w:rPr>
          <w:rFonts w:ascii="Times New Roman" w:eastAsia="Times New Roman" w:hAnsi="Times New Roman" w:cs="Times New Roman"/>
          <w:color w:val="0F1115"/>
          <w:sz w:val="24"/>
          <w:szCs w:val="24"/>
        </w:rPr>
        <w:noBreakHyphen/>
        <w:t>depth interviews in health research (Hennink &amp; Kaiser, 2022).</w:t>
      </w:r>
    </w:p>
    <w:p w:rsidR="00220797" w:rsidRPr="00220797" w:rsidRDefault="00220797" w:rsidP="00FE31E9">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2.3.2 Data Collection</w:t>
      </w:r>
    </w:p>
    <w:p w:rsidR="00220797" w:rsidRPr="00220797" w:rsidRDefault="00220797" w:rsidP="00220797">
      <w:pPr>
        <w:shd w:val="clear" w:color="auto" w:fill="FFFFFF"/>
        <w:spacing w:after="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Data collection is conducted over an eight</w:t>
      </w:r>
      <w:r w:rsidRPr="00220797">
        <w:rPr>
          <w:rFonts w:ascii="Times New Roman" w:eastAsia="Times New Roman" w:hAnsi="Times New Roman" w:cs="Times New Roman"/>
          <w:color w:val="0F1115"/>
          <w:sz w:val="24"/>
          <w:szCs w:val="24"/>
        </w:rPr>
        <w:noBreakHyphen/>
        <w:t>week period at the beginning of the malaria transmission season, allowing participants to draw upon timely observations. A multi</w:t>
      </w:r>
      <w:r w:rsidRPr="00220797">
        <w:rPr>
          <w:rFonts w:ascii="Times New Roman" w:eastAsia="Times New Roman" w:hAnsi="Times New Roman" w:cs="Times New Roman"/>
          <w:color w:val="0F1115"/>
          <w:sz w:val="24"/>
          <w:szCs w:val="24"/>
        </w:rPr>
        <w:noBreakHyphen/>
        <w:t>instrument approach is used to triangulate findings and capture the full richness of indigenous malaria knowledge.</w:t>
      </w:r>
    </w:p>
    <w:p w:rsidR="00220797" w:rsidRPr="00220797" w:rsidRDefault="00220797" w:rsidP="00220797">
      <w:pPr>
        <w:shd w:val="clear" w:color="auto" w:fill="FFFFFF"/>
        <w:spacing w:after="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Semi</w:t>
      </w:r>
      <w:r w:rsidRPr="00220797">
        <w:rPr>
          <w:rFonts w:ascii="Times New Roman" w:eastAsia="Times New Roman" w:hAnsi="Times New Roman" w:cs="Times New Roman"/>
          <w:bCs/>
          <w:color w:val="0F1115"/>
          <w:sz w:val="24"/>
          <w:szCs w:val="24"/>
        </w:rPr>
        <w:noBreakHyphen/>
        <w:t>structured interviews (60–90 minutes)</w:t>
      </w:r>
      <w:r w:rsidRPr="00220797">
        <w:rPr>
          <w:rFonts w:ascii="Times New Roman" w:eastAsia="Times New Roman" w:hAnsi="Times New Roman" w:cs="Times New Roman"/>
          <w:color w:val="0F1115"/>
          <w:sz w:val="24"/>
          <w:szCs w:val="24"/>
        </w:rPr>
        <w:t> are conducted face</w:t>
      </w:r>
      <w:r w:rsidRPr="00220797">
        <w:rPr>
          <w:rFonts w:ascii="Times New Roman" w:eastAsia="Times New Roman" w:hAnsi="Times New Roman" w:cs="Times New Roman"/>
          <w:color w:val="0F1115"/>
          <w:sz w:val="24"/>
          <w:szCs w:val="24"/>
        </w:rPr>
        <w:noBreakHyphen/>
        <w:t>to</w:t>
      </w:r>
      <w:r w:rsidRPr="00220797">
        <w:rPr>
          <w:rFonts w:ascii="Times New Roman" w:eastAsia="Times New Roman" w:hAnsi="Times New Roman" w:cs="Times New Roman"/>
          <w:color w:val="0F1115"/>
          <w:sz w:val="24"/>
          <w:szCs w:val="24"/>
        </w:rPr>
        <w:noBreakHyphen/>
        <w:t>face in participants’ homes or at community gathering places. The interview guide, developed iteratively with input from community leaders and health extension workers, covers four thematic domains: (1) recognition and local naming of malaria symptoms; (2) environmental indicators of mosquito presence and malaria season onset; (3) preventive practices and traditional repellent plants; and (4) treatment</w:t>
      </w:r>
      <w:r w:rsidRPr="00220797">
        <w:rPr>
          <w:rFonts w:ascii="Times New Roman" w:eastAsia="Times New Roman" w:hAnsi="Times New Roman" w:cs="Times New Roman"/>
          <w:color w:val="0F1115"/>
          <w:sz w:val="24"/>
          <w:szCs w:val="24"/>
        </w:rPr>
        <w:noBreakHyphen/>
        <w:t>seeking pathways and the role of traditional remedies. Probing questions are used to elicit specific examples and contextual details.</w:t>
      </w:r>
    </w:p>
    <w:p w:rsidR="00220797" w:rsidRPr="00220797" w:rsidRDefault="00220797" w:rsidP="00220797">
      <w:pPr>
        <w:shd w:val="clear" w:color="auto" w:fill="FFFFFF"/>
        <w:spacing w:after="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Free</w:t>
      </w:r>
      <w:r w:rsidRPr="00220797">
        <w:rPr>
          <w:rFonts w:ascii="Times New Roman" w:eastAsia="Times New Roman" w:hAnsi="Times New Roman" w:cs="Times New Roman"/>
          <w:bCs/>
          <w:color w:val="0F1115"/>
          <w:sz w:val="24"/>
          <w:szCs w:val="24"/>
        </w:rPr>
        <w:noBreakHyphen/>
        <w:t>listing and pile</w:t>
      </w:r>
      <w:r w:rsidRPr="00220797">
        <w:rPr>
          <w:rFonts w:ascii="Times New Roman" w:eastAsia="Times New Roman" w:hAnsi="Times New Roman" w:cs="Times New Roman"/>
          <w:bCs/>
          <w:color w:val="0F1115"/>
          <w:sz w:val="24"/>
          <w:szCs w:val="24"/>
        </w:rPr>
        <w:noBreakHyphen/>
        <w:t>sorting exercises</w:t>
      </w:r>
      <w:r w:rsidRPr="00220797">
        <w:rPr>
          <w:rFonts w:ascii="Times New Roman" w:eastAsia="Times New Roman" w:hAnsi="Times New Roman" w:cs="Times New Roman"/>
          <w:color w:val="0F1115"/>
          <w:sz w:val="24"/>
          <w:szCs w:val="24"/>
        </w:rPr>
        <w:t> are embedded within the interviews. Free</w:t>
      </w:r>
      <w:r w:rsidRPr="00220797">
        <w:rPr>
          <w:rFonts w:ascii="Times New Roman" w:eastAsia="Times New Roman" w:hAnsi="Times New Roman" w:cs="Times New Roman"/>
          <w:color w:val="0F1115"/>
          <w:sz w:val="24"/>
          <w:szCs w:val="24"/>
        </w:rPr>
        <w:noBreakHyphen/>
        <w:t>listing asks participants to name all the indicators they use to predict the arrival of malaria season, with the frequency and order of listing providing insights into cultural salience. Pile</w:t>
      </w:r>
      <w:r w:rsidRPr="00220797">
        <w:rPr>
          <w:rFonts w:ascii="Times New Roman" w:eastAsia="Times New Roman" w:hAnsi="Times New Roman" w:cs="Times New Roman"/>
          <w:color w:val="0F1115"/>
          <w:sz w:val="24"/>
          <w:szCs w:val="24"/>
        </w:rPr>
        <w:noBreakHyphen/>
        <w:t>sorting invites participants to group similar indicators into categories (e.g., “weather</w:t>
      </w:r>
      <w:r w:rsidRPr="00220797">
        <w:rPr>
          <w:rFonts w:ascii="Times New Roman" w:eastAsia="Times New Roman" w:hAnsi="Times New Roman" w:cs="Times New Roman"/>
          <w:color w:val="0F1115"/>
          <w:sz w:val="24"/>
          <w:szCs w:val="24"/>
        </w:rPr>
        <w:noBreakHyphen/>
        <w:t>related,” “plant</w:t>
      </w:r>
      <w:r w:rsidRPr="00220797">
        <w:rPr>
          <w:rFonts w:ascii="Times New Roman" w:eastAsia="Times New Roman" w:hAnsi="Times New Roman" w:cs="Times New Roman"/>
          <w:color w:val="0F1115"/>
          <w:sz w:val="24"/>
          <w:szCs w:val="24"/>
        </w:rPr>
        <w:noBreakHyphen/>
        <w:t>related,” “animal</w:t>
      </w:r>
      <w:r w:rsidRPr="00220797">
        <w:rPr>
          <w:rFonts w:ascii="Times New Roman" w:eastAsia="Times New Roman" w:hAnsi="Times New Roman" w:cs="Times New Roman"/>
          <w:color w:val="0F1115"/>
          <w:sz w:val="24"/>
          <w:szCs w:val="24"/>
        </w:rPr>
        <w:noBreakHyphen/>
        <w:t>related”), revealing cognitive taxonomies of malaria knowledge (Weller &amp; Romney, 1988).</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All interviews are </w:t>
      </w:r>
      <w:r w:rsidRPr="00220797">
        <w:rPr>
          <w:rFonts w:ascii="Times New Roman" w:eastAsia="Times New Roman" w:hAnsi="Times New Roman" w:cs="Times New Roman"/>
          <w:bCs/>
          <w:color w:val="0F1115"/>
          <w:sz w:val="24"/>
          <w:szCs w:val="24"/>
        </w:rPr>
        <w:t>audio</w:t>
      </w:r>
      <w:r w:rsidRPr="00220797">
        <w:rPr>
          <w:rFonts w:ascii="Times New Roman" w:eastAsia="Times New Roman" w:hAnsi="Times New Roman" w:cs="Times New Roman"/>
          <w:bCs/>
          <w:color w:val="0F1115"/>
          <w:sz w:val="24"/>
          <w:szCs w:val="24"/>
        </w:rPr>
        <w:noBreakHyphen/>
        <w:t>recorded</w:t>
      </w:r>
      <w:r w:rsidRPr="00220797">
        <w:rPr>
          <w:rFonts w:ascii="Times New Roman" w:eastAsia="Times New Roman" w:hAnsi="Times New Roman" w:cs="Times New Roman"/>
          <w:color w:val="0F1115"/>
          <w:sz w:val="24"/>
          <w:szCs w:val="24"/>
        </w:rPr>
        <w:t> in the participant’s preferred language: </w:t>
      </w:r>
      <w:r w:rsidRPr="00220797">
        <w:rPr>
          <w:rFonts w:ascii="Times New Roman" w:eastAsia="Times New Roman" w:hAnsi="Times New Roman" w:cs="Times New Roman"/>
          <w:bCs/>
          <w:color w:val="0F1115"/>
          <w:sz w:val="24"/>
          <w:szCs w:val="24"/>
        </w:rPr>
        <w:t>Afan Oromo, Somali, or Amharic</w:t>
      </w:r>
      <w:r w:rsidRPr="00220797">
        <w:rPr>
          <w:rFonts w:ascii="Times New Roman" w:eastAsia="Times New Roman" w:hAnsi="Times New Roman" w:cs="Times New Roman"/>
          <w:color w:val="0F1115"/>
          <w:sz w:val="24"/>
          <w:szCs w:val="24"/>
        </w:rPr>
        <w:t>. Written or witnessed oral informed consent is obtained prior to recording. Detailed </w:t>
      </w:r>
      <w:r w:rsidRPr="00220797">
        <w:rPr>
          <w:rFonts w:ascii="Times New Roman" w:eastAsia="Times New Roman" w:hAnsi="Times New Roman" w:cs="Times New Roman"/>
          <w:bCs/>
          <w:color w:val="0F1115"/>
          <w:sz w:val="24"/>
          <w:szCs w:val="24"/>
        </w:rPr>
        <w:t>field notes</w:t>
      </w:r>
      <w:r w:rsidRPr="00220797">
        <w:rPr>
          <w:rFonts w:ascii="Times New Roman" w:eastAsia="Times New Roman" w:hAnsi="Times New Roman" w:cs="Times New Roman"/>
          <w:color w:val="0F1115"/>
          <w:sz w:val="24"/>
          <w:szCs w:val="24"/>
        </w:rPr>
        <w:t> are maintained after each interview, documenting non</w:t>
      </w:r>
      <w:r w:rsidRPr="00220797">
        <w:rPr>
          <w:rFonts w:ascii="Times New Roman" w:eastAsia="Times New Roman" w:hAnsi="Times New Roman" w:cs="Times New Roman"/>
          <w:color w:val="0F1115"/>
          <w:sz w:val="24"/>
          <w:szCs w:val="24"/>
        </w:rPr>
        <w:noBreakHyphen/>
        <w:t>verbal cues, environmental observations, and emerging themes. Where participants identify specific mosquito breeding sites, plant species, or water bodies associated with malaria transmission, a digital camera is used for </w:t>
      </w:r>
      <w:r w:rsidRPr="00220797">
        <w:rPr>
          <w:rFonts w:ascii="Times New Roman" w:eastAsia="Times New Roman" w:hAnsi="Times New Roman" w:cs="Times New Roman"/>
          <w:bCs/>
          <w:color w:val="0F1115"/>
          <w:sz w:val="24"/>
          <w:szCs w:val="24"/>
        </w:rPr>
        <w:t>photographic documentation</w:t>
      </w:r>
      <w:r w:rsidRPr="00220797">
        <w:rPr>
          <w:rFonts w:ascii="Times New Roman" w:eastAsia="Times New Roman" w:hAnsi="Times New Roman" w:cs="Times New Roman"/>
          <w:color w:val="0F1115"/>
          <w:sz w:val="24"/>
          <w:szCs w:val="24"/>
        </w:rPr>
        <w:t> (with separate consent for photography). Plant specimens suspected of being used as repellents or treatments are collected for taxonomic identification by a botanist at Dire Dawa University’s Department of Biology.</w:t>
      </w:r>
    </w:p>
    <w:p w:rsidR="00220797" w:rsidRPr="00220797" w:rsidRDefault="00220797" w:rsidP="00FE31E9">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2.3.3 Data Analysis</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Voice</w:t>
      </w:r>
      <w:r w:rsidRPr="00220797">
        <w:rPr>
          <w:rFonts w:ascii="Times New Roman" w:eastAsia="Times New Roman" w:hAnsi="Times New Roman" w:cs="Times New Roman"/>
          <w:color w:val="0F1115"/>
          <w:sz w:val="24"/>
          <w:szCs w:val="24"/>
        </w:rPr>
        <w:noBreakHyphen/>
        <w:t>recorded interviews are transcribed verbatim in the original language, then translated into English for analysis. A back</w:t>
      </w:r>
      <w:r w:rsidRPr="00220797">
        <w:rPr>
          <w:rFonts w:ascii="Times New Roman" w:eastAsia="Times New Roman" w:hAnsi="Times New Roman" w:cs="Times New Roman"/>
          <w:color w:val="0F1115"/>
          <w:sz w:val="24"/>
          <w:szCs w:val="24"/>
        </w:rPr>
        <w:noBreakHyphen/>
        <w:t>translation process with a second bilingual researcher is used to ensure semantic equivalence (Squires, 2009).</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Thematic analysis</w:t>
      </w:r>
      <w:r w:rsidRPr="00220797">
        <w:rPr>
          <w:rFonts w:ascii="Times New Roman" w:eastAsia="Times New Roman" w:hAnsi="Times New Roman" w:cs="Times New Roman"/>
          <w:color w:val="0F1115"/>
          <w:sz w:val="24"/>
          <w:szCs w:val="24"/>
        </w:rPr>
        <w:t> is performed using </w:t>
      </w:r>
      <w:r w:rsidRPr="00220797">
        <w:rPr>
          <w:rFonts w:ascii="Times New Roman" w:eastAsia="Times New Roman" w:hAnsi="Times New Roman" w:cs="Times New Roman"/>
          <w:bCs/>
          <w:color w:val="0F1115"/>
          <w:sz w:val="24"/>
          <w:szCs w:val="24"/>
        </w:rPr>
        <w:t>NVivo 14</w:t>
      </w:r>
      <w:r w:rsidRPr="00220797">
        <w:rPr>
          <w:rFonts w:ascii="Times New Roman" w:eastAsia="Times New Roman" w:hAnsi="Times New Roman" w:cs="Times New Roman"/>
          <w:color w:val="0F1115"/>
          <w:sz w:val="24"/>
          <w:szCs w:val="24"/>
        </w:rPr>
        <w:t> qualitative data analysis software (QSR International), following the six</w:t>
      </w:r>
      <w:r w:rsidRPr="00220797">
        <w:rPr>
          <w:rFonts w:ascii="Times New Roman" w:eastAsia="Times New Roman" w:hAnsi="Times New Roman" w:cs="Times New Roman"/>
          <w:color w:val="0F1115"/>
          <w:sz w:val="24"/>
          <w:szCs w:val="24"/>
        </w:rPr>
        <w:noBreakHyphen/>
        <w:t>phase procedure of Braun and Clarke (2006):</w:t>
      </w:r>
    </w:p>
    <w:p w:rsidR="00FE31E9" w:rsidRDefault="00220797" w:rsidP="00AC459B">
      <w:pPr>
        <w:pStyle w:val="ListParagraph"/>
        <w:numPr>
          <w:ilvl w:val="0"/>
          <w:numId w:val="5"/>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bCs/>
          <w:color w:val="0F1115"/>
          <w:sz w:val="24"/>
          <w:szCs w:val="24"/>
        </w:rPr>
        <w:lastRenderedPageBreak/>
        <w:t>Familiarisation</w:t>
      </w:r>
      <w:r w:rsidR="00FE31E9">
        <w:rPr>
          <w:rFonts w:ascii="Times New Roman" w:eastAsia="Times New Roman" w:hAnsi="Times New Roman" w:cs="Times New Roman"/>
          <w:color w:val="0F1115"/>
          <w:sz w:val="24"/>
          <w:szCs w:val="24"/>
        </w:rPr>
        <w:t xml:space="preserve">: </w:t>
      </w:r>
      <w:r w:rsidRPr="00FE31E9">
        <w:rPr>
          <w:rFonts w:ascii="Times New Roman" w:eastAsia="Times New Roman" w:hAnsi="Times New Roman" w:cs="Times New Roman"/>
          <w:color w:val="0F1115"/>
          <w:sz w:val="24"/>
          <w:szCs w:val="24"/>
        </w:rPr>
        <w:t>Two researchers independently read all transcripts and field notes.</w:t>
      </w:r>
    </w:p>
    <w:p w:rsidR="00FE31E9" w:rsidRDefault="00220797" w:rsidP="00AC459B">
      <w:pPr>
        <w:pStyle w:val="ListParagraph"/>
        <w:numPr>
          <w:ilvl w:val="0"/>
          <w:numId w:val="5"/>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bCs/>
          <w:color w:val="0F1115"/>
          <w:sz w:val="24"/>
          <w:szCs w:val="24"/>
        </w:rPr>
        <w:t>Initial coding</w:t>
      </w:r>
      <w:r w:rsidR="00FE31E9" w:rsidRPr="00FE31E9">
        <w:rPr>
          <w:rFonts w:ascii="Times New Roman" w:eastAsia="Times New Roman" w:hAnsi="Times New Roman" w:cs="Times New Roman"/>
          <w:color w:val="0F1115"/>
          <w:sz w:val="24"/>
          <w:szCs w:val="24"/>
        </w:rPr>
        <w:t xml:space="preserve">: </w:t>
      </w:r>
      <w:r w:rsidRPr="00FE31E9">
        <w:rPr>
          <w:rFonts w:ascii="Times New Roman" w:eastAsia="Times New Roman" w:hAnsi="Times New Roman" w:cs="Times New Roman"/>
          <w:color w:val="0F1115"/>
          <w:sz w:val="24"/>
          <w:szCs w:val="24"/>
        </w:rPr>
        <w:t>Line</w:t>
      </w:r>
      <w:r w:rsidRPr="00FE31E9">
        <w:rPr>
          <w:rFonts w:ascii="Times New Roman" w:eastAsia="Times New Roman" w:hAnsi="Times New Roman" w:cs="Times New Roman"/>
          <w:color w:val="0F1115"/>
          <w:sz w:val="24"/>
          <w:szCs w:val="24"/>
        </w:rPr>
        <w:noBreakHyphen/>
        <w:t>by</w:t>
      </w:r>
      <w:r w:rsidRPr="00FE31E9">
        <w:rPr>
          <w:rFonts w:ascii="Times New Roman" w:eastAsia="Times New Roman" w:hAnsi="Times New Roman" w:cs="Times New Roman"/>
          <w:color w:val="0F1115"/>
          <w:sz w:val="24"/>
          <w:szCs w:val="24"/>
        </w:rPr>
        <w:noBreakHyphen/>
        <w:t>line coding using descriptive and in</w:t>
      </w:r>
      <w:r w:rsidRPr="00FE31E9">
        <w:rPr>
          <w:rFonts w:ascii="Times New Roman" w:eastAsia="Times New Roman" w:hAnsi="Times New Roman" w:cs="Times New Roman"/>
          <w:color w:val="0F1115"/>
          <w:sz w:val="24"/>
          <w:szCs w:val="24"/>
        </w:rPr>
        <w:noBreakHyphen/>
        <w:t>vivo codes.</w:t>
      </w:r>
    </w:p>
    <w:p w:rsidR="00FE31E9" w:rsidRDefault="00220797" w:rsidP="00AC459B">
      <w:pPr>
        <w:pStyle w:val="ListParagraph"/>
        <w:numPr>
          <w:ilvl w:val="0"/>
          <w:numId w:val="5"/>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bCs/>
          <w:color w:val="0F1115"/>
          <w:sz w:val="24"/>
          <w:szCs w:val="24"/>
        </w:rPr>
        <w:t>Theme search</w:t>
      </w:r>
      <w:r w:rsidR="001B065B">
        <w:rPr>
          <w:rFonts w:ascii="Times New Roman" w:eastAsia="Times New Roman" w:hAnsi="Times New Roman" w:cs="Times New Roman"/>
          <w:color w:val="0F1115"/>
          <w:sz w:val="24"/>
          <w:szCs w:val="24"/>
        </w:rPr>
        <w:t xml:space="preserve">: </w:t>
      </w:r>
      <w:r w:rsidRPr="00FE31E9">
        <w:rPr>
          <w:rFonts w:ascii="Times New Roman" w:eastAsia="Times New Roman" w:hAnsi="Times New Roman" w:cs="Times New Roman"/>
          <w:color w:val="0F1115"/>
          <w:sz w:val="24"/>
          <w:szCs w:val="24"/>
        </w:rPr>
        <w:t>Codes are grouped into potential themes and subthemes.</w:t>
      </w:r>
    </w:p>
    <w:p w:rsidR="00FE31E9" w:rsidRDefault="00220797" w:rsidP="00AC459B">
      <w:pPr>
        <w:pStyle w:val="ListParagraph"/>
        <w:numPr>
          <w:ilvl w:val="0"/>
          <w:numId w:val="5"/>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bCs/>
          <w:color w:val="0F1115"/>
          <w:sz w:val="24"/>
          <w:szCs w:val="24"/>
        </w:rPr>
        <w:t>Theme review</w:t>
      </w:r>
      <w:r w:rsidR="00FE31E9" w:rsidRPr="00FE31E9">
        <w:rPr>
          <w:rFonts w:ascii="Times New Roman" w:eastAsia="Times New Roman" w:hAnsi="Times New Roman" w:cs="Times New Roman"/>
          <w:color w:val="0F1115"/>
          <w:sz w:val="24"/>
          <w:szCs w:val="24"/>
        </w:rPr>
        <w:t xml:space="preserve">: </w:t>
      </w:r>
      <w:r w:rsidRPr="00FE31E9">
        <w:rPr>
          <w:rFonts w:ascii="Times New Roman" w:eastAsia="Times New Roman" w:hAnsi="Times New Roman" w:cs="Times New Roman"/>
          <w:color w:val="0F1115"/>
          <w:sz w:val="24"/>
          <w:szCs w:val="24"/>
        </w:rPr>
        <w:t>Themes are refined against coded extracts and full datasets.</w:t>
      </w:r>
    </w:p>
    <w:p w:rsidR="00FE31E9" w:rsidRDefault="00220797" w:rsidP="00AC459B">
      <w:pPr>
        <w:pStyle w:val="ListParagraph"/>
        <w:numPr>
          <w:ilvl w:val="0"/>
          <w:numId w:val="5"/>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bCs/>
          <w:color w:val="0F1115"/>
          <w:sz w:val="24"/>
          <w:szCs w:val="24"/>
        </w:rPr>
        <w:t>Theme definition</w:t>
      </w:r>
      <w:r w:rsidR="00FE31E9">
        <w:rPr>
          <w:rFonts w:ascii="Times New Roman" w:eastAsia="Times New Roman" w:hAnsi="Times New Roman" w:cs="Times New Roman"/>
          <w:color w:val="0F1115"/>
          <w:sz w:val="24"/>
          <w:szCs w:val="24"/>
        </w:rPr>
        <w:t xml:space="preserve">: </w:t>
      </w:r>
      <w:r w:rsidRPr="00FE31E9">
        <w:rPr>
          <w:rFonts w:ascii="Times New Roman" w:eastAsia="Times New Roman" w:hAnsi="Times New Roman" w:cs="Times New Roman"/>
          <w:color w:val="0F1115"/>
          <w:sz w:val="24"/>
          <w:szCs w:val="24"/>
        </w:rPr>
        <w:t>Each theme is clearly defined and named.</w:t>
      </w:r>
    </w:p>
    <w:p w:rsidR="00220797" w:rsidRPr="00FE31E9" w:rsidRDefault="00220797" w:rsidP="00AC459B">
      <w:pPr>
        <w:pStyle w:val="ListParagraph"/>
        <w:numPr>
          <w:ilvl w:val="0"/>
          <w:numId w:val="5"/>
        </w:numPr>
        <w:shd w:val="clear" w:color="auto" w:fill="FFFFFF"/>
        <w:spacing w:after="120"/>
        <w:jc w:val="both"/>
        <w:rPr>
          <w:rFonts w:ascii="Times New Roman" w:eastAsia="Times New Roman" w:hAnsi="Times New Roman" w:cs="Times New Roman"/>
          <w:color w:val="0F1115"/>
          <w:sz w:val="24"/>
          <w:szCs w:val="24"/>
        </w:rPr>
      </w:pPr>
      <w:r w:rsidRPr="00FE31E9">
        <w:rPr>
          <w:rFonts w:ascii="Times New Roman" w:eastAsia="Times New Roman" w:hAnsi="Times New Roman" w:cs="Times New Roman"/>
          <w:bCs/>
          <w:color w:val="0F1115"/>
          <w:sz w:val="24"/>
          <w:szCs w:val="24"/>
        </w:rPr>
        <w:t>Reporting</w:t>
      </w:r>
      <w:r w:rsidR="00FE31E9">
        <w:rPr>
          <w:rFonts w:ascii="Times New Roman" w:eastAsia="Times New Roman" w:hAnsi="Times New Roman" w:cs="Times New Roman"/>
          <w:color w:val="0F1115"/>
          <w:sz w:val="24"/>
          <w:szCs w:val="24"/>
        </w:rPr>
        <w:t xml:space="preserve">: </w:t>
      </w:r>
      <w:r w:rsidRPr="00FE31E9">
        <w:rPr>
          <w:rFonts w:ascii="Times New Roman" w:eastAsia="Times New Roman" w:hAnsi="Times New Roman" w:cs="Times New Roman"/>
          <w:color w:val="0F1115"/>
          <w:sz w:val="24"/>
          <w:szCs w:val="24"/>
        </w:rPr>
        <w:t>Write</w:t>
      </w:r>
      <w:r w:rsidRPr="00FE31E9">
        <w:rPr>
          <w:rFonts w:ascii="Times New Roman" w:eastAsia="Times New Roman" w:hAnsi="Times New Roman" w:cs="Times New Roman"/>
          <w:color w:val="0F1115"/>
          <w:sz w:val="24"/>
          <w:szCs w:val="24"/>
        </w:rPr>
        <w:noBreakHyphen/>
        <w:t>up with illustrative quotations.</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A </w:t>
      </w:r>
      <w:r w:rsidRPr="00220797">
        <w:rPr>
          <w:rFonts w:ascii="Times New Roman" w:eastAsia="Times New Roman" w:hAnsi="Times New Roman" w:cs="Times New Roman"/>
          <w:bCs/>
          <w:color w:val="0F1115"/>
          <w:sz w:val="24"/>
          <w:szCs w:val="24"/>
        </w:rPr>
        <w:t>codebook</w:t>
      </w:r>
      <w:r w:rsidRPr="00220797">
        <w:rPr>
          <w:rFonts w:ascii="Times New Roman" w:eastAsia="Times New Roman" w:hAnsi="Times New Roman" w:cs="Times New Roman"/>
          <w:color w:val="0F1115"/>
          <w:sz w:val="24"/>
          <w:szCs w:val="24"/>
        </w:rPr>
        <w:t> is developed iteratively, moving from initial codes to broader themes and, crucially, to </w:t>
      </w:r>
      <w:r w:rsidRPr="00220797">
        <w:rPr>
          <w:rFonts w:ascii="Times New Roman" w:eastAsia="Times New Roman" w:hAnsi="Times New Roman" w:cs="Times New Roman"/>
          <w:bCs/>
          <w:color w:val="0F1115"/>
          <w:sz w:val="24"/>
          <w:szCs w:val="24"/>
        </w:rPr>
        <w:t>quantifiable indicators</w:t>
      </w:r>
      <w:r w:rsidRPr="00220797">
        <w:rPr>
          <w:rFonts w:ascii="Times New Roman" w:eastAsia="Times New Roman" w:hAnsi="Times New Roman" w:cs="Times New Roman"/>
          <w:color w:val="0F1115"/>
          <w:sz w:val="24"/>
          <w:szCs w:val="24"/>
        </w:rPr>
        <w:t> that can be operationalised for machine learning in Phase 2. For example, the theme “mosquito breeding sites” may yield subthemes of “stagnant pools in Dechatu riverbed” and “water</w:t>
      </w:r>
      <w:r w:rsidRPr="00220797">
        <w:rPr>
          <w:rFonts w:ascii="Times New Roman" w:eastAsia="Times New Roman" w:hAnsi="Times New Roman" w:cs="Times New Roman"/>
          <w:color w:val="0F1115"/>
          <w:sz w:val="24"/>
          <w:szCs w:val="24"/>
        </w:rPr>
        <w:noBreakHyphen/>
        <w:t>filled artificial containers,” which in turn become binary predictor variables (“dechatu_river_pools = present/absent”).</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Inter</w:t>
      </w:r>
      <w:r w:rsidRPr="00220797">
        <w:rPr>
          <w:rFonts w:ascii="Times New Roman" w:eastAsia="Times New Roman" w:hAnsi="Times New Roman" w:cs="Times New Roman"/>
          <w:bCs/>
          <w:color w:val="0F1115"/>
          <w:sz w:val="24"/>
          <w:szCs w:val="24"/>
        </w:rPr>
        <w:noBreakHyphen/>
        <w:t>coder reliability</w:t>
      </w:r>
      <w:r w:rsidRPr="00220797">
        <w:rPr>
          <w:rFonts w:ascii="Times New Roman" w:eastAsia="Times New Roman" w:hAnsi="Times New Roman" w:cs="Times New Roman"/>
          <w:color w:val="0F1115"/>
          <w:sz w:val="24"/>
          <w:szCs w:val="24"/>
        </w:rPr>
        <w:t> is assessed on 20% of the transcripts (six transcripts), with two independent coders applying the final codebook. A Cohen’s kappa coefficient of </w:t>
      </w:r>
      <w:r w:rsidRPr="00220797">
        <w:rPr>
          <w:rFonts w:ascii="Times New Roman" w:eastAsia="Times New Roman" w:hAnsi="Times New Roman" w:cs="Times New Roman"/>
          <w:bCs/>
          <w:color w:val="0F1115"/>
          <w:sz w:val="24"/>
          <w:szCs w:val="24"/>
        </w:rPr>
        <w:t>κ = 0.85</w:t>
      </w:r>
      <w:r w:rsidRPr="00220797">
        <w:rPr>
          <w:rFonts w:ascii="Times New Roman" w:eastAsia="Times New Roman" w:hAnsi="Times New Roman" w:cs="Times New Roman"/>
          <w:color w:val="0F1115"/>
          <w:sz w:val="24"/>
          <w:szCs w:val="24"/>
        </w:rPr>
        <w:t> is achieved, indicating </w:t>
      </w:r>
      <w:r w:rsidRPr="00220797">
        <w:rPr>
          <w:rFonts w:ascii="Times New Roman" w:eastAsia="Times New Roman" w:hAnsi="Times New Roman" w:cs="Times New Roman"/>
          <w:bCs/>
          <w:color w:val="0F1115"/>
          <w:sz w:val="24"/>
          <w:szCs w:val="24"/>
        </w:rPr>
        <w:t>excellent agreement</w:t>
      </w:r>
      <w:r w:rsidRPr="00220797">
        <w:rPr>
          <w:rFonts w:ascii="Times New Roman" w:eastAsia="Times New Roman" w:hAnsi="Times New Roman" w:cs="Times New Roman"/>
          <w:color w:val="0F1115"/>
          <w:sz w:val="24"/>
          <w:szCs w:val="24"/>
        </w:rPr>
        <w:t> beyond chance (Landis &amp; Koch, 1977). Disagreements are resolved through discussion and consensus, leading to minor refinements of the codebook before full coding proceeds.</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The qualitative findings are summarised in a matrix that maps each indigenous indicator to: (a) its operational definition; (b) measurement unit (binary, categorical, ordinal); (c) the participant ethnic group that reported it; and (d) supporting quotations. This matrix serves as the primary interface between the qualitative and quantitative phases of the study.</w:t>
      </w:r>
    </w:p>
    <w:p w:rsidR="00220797" w:rsidRPr="00220797" w:rsidRDefault="00220797" w:rsidP="00FE31E9">
      <w:pPr>
        <w:shd w:val="clear" w:color="auto" w:fill="FFFFFF"/>
        <w:spacing w:after="120"/>
        <w:jc w:val="both"/>
        <w:outlineLvl w:val="2"/>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2.4 Phase 2: Machine Learning Model Development</w:t>
      </w:r>
    </w:p>
    <w:p w:rsidR="00220797" w:rsidRPr="00220797" w:rsidRDefault="00220797" w:rsidP="00FE31E9">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2.4.1 Data Sources</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Five distinct data sources are integrated to create the analytical dataset for machine learning.</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Indigenous indicators (12 variables derived from Phase 1).</w:t>
      </w:r>
      <w:r w:rsidRPr="00220797">
        <w:rPr>
          <w:rFonts w:ascii="Times New Roman" w:eastAsia="Times New Roman" w:hAnsi="Times New Roman" w:cs="Times New Roman"/>
          <w:color w:val="0F1115"/>
          <w:sz w:val="24"/>
          <w:szCs w:val="24"/>
        </w:rPr>
        <w:t> These are hypothesised to be independent predictors of malaria incidence at the kebele level. Examples of such indicators include: “presence of red cattle near homestead” (binary, reported by Oromo pastoralists), “flowering of specific Acacia species” (binary, seasonal indicator), “stagnant pools lasting &gt;7 days following rainfall” (binary, level of risk coded as low/medium/high), “observation of increased mosquito swarms at twilight” (ordinal), and “migration of specific bird species” (binary). Each indicator is assigned a spatial resolution of 1 × 1 km grid cells based on the GPS</w:t>
      </w:r>
      <w:r w:rsidRPr="00220797">
        <w:rPr>
          <w:rFonts w:ascii="Times New Roman" w:eastAsia="Times New Roman" w:hAnsi="Times New Roman" w:cs="Times New Roman"/>
          <w:color w:val="0F1115"/>
          <w:sz w:val="24"/>
          <w:szCs w:val="24"/>
        </w:rPr>
        <w:noBreakHyphen/>
        <w:t>tagged location of the reporting participant.</w:t>
      </w:r>
    </w:p>
    <w:p w:rsidR="00220797" w:rsidRPr="00220797" w:rsidRDefault="001B065B" w:rsidP="00FE31E9">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Climatic data:</w:t>
      </w:r>
      <w:r w:rsidR="00220797" w:rsidRPr="00220797">
        <w:rPr>
          <w:rFonts w:ascii="Times New Roman" w:eastAsia="Times New Roman" w:hAnsi="Times New Roman" w:cs="Times New Roman"/>
          <w:color w:val="0F1115"/>
          <w:sz w:val="24"/>
          <w:szCs w:val="24"/>
        </w:rPr>
        <w:t> Two prim</w:t>
      </w:r>
      <w:r w:rsidR="00FE31E9">
        <w:rPr>
          <w:rFonts w:ascii="Times New Roman" w:eastAsia="Times New Roman" w:hAnsi="Times New Roman" w:cs="Times New Roman"/>
          <w:color w:val="0F1115"/>
          <w:sz w:val="24"/>
          <w:szCs w:val="24"/>
        </w:rPr>
        <w:t xml:space="preserve">ary climatic datasets are used: </w:t>
      </w:r>
      <w:r w:rsidR="00220797" w:rsidRPr="00220797">
        <w:rPr>
          <w:rFonts w:ascii="Times New Roman" w:eastAsia="Times New Roman" w:hAnsi="Times New Roman" w:cs="Times New Roman"/>
          <w:bCs/>
          <w:color w:val="0F1115"/>
          <w:sz w:val="24"/>
          <w:szCs w:val="24"/>
        </w:rPr>
        <w:t>CHIRPS (Climate Hazards Group InfraRed Precipitation with Station data):</w:t>
      </w:r>
      <w:r w:rsidR="00220797" w:rsidRPr="00220797">
        <w:rPr>
          <w:rFonts w:ascii="Times New Roman" w:eastAsia="Times New Roman" w:hAnsi="Times New Roman" w:cs="Times New Roman"/>
          <w:color w:val="0F1115"/>
          <w:sz w:val="24"/>
          <w:szCs w:val="24"/>
        </w:rPr>
        <w:t> A quasi</w:t>
      </w:r>
      <w:r w:rsidR="00220797" w:rsidRPr="00220797">
        <w:rPr>
          <w:rFonts w:ascii="Times New Roman" w:eastAsia="Times New Roman" w:hAnsi="Times New Roman" w:cs="Times New Roman"/>
          <w:color w:val="0F1115"/>
          <w:sz w:val="24"/>
          <w:szCs w:val="24"/>
        </w:rPr>
        <w:noBreakHyphen/>
        <w:t>global rainfall dataset spanning 1981 to the near</w:t>
      </w:r>
      <w:r w:rsidR="00220797" w:rsidRPr="00220797">
        <w:rPr>
          <w:rFonts w:ascii="Times New Roman" w:eastAsia="Times New Roman" w:hAnsi="Times New Roman" w:cs="Times New Roman"/>
          <w:color w:val="0F1115"/>
          <w:sz w:val="24"/>
          <w:szCs w:val="24"/>
        </w:rPr>
        <w:noBreakHyphen/>
        <w:t>present, combining satellite imagery with in</w:t>
      </w:r>
      <w:r w:rsidR="00220797" w:rsidRPr="00220797">
        <w:rPr>
          <w:rFonts w:ascii="Times New Roman" w:eastAsia="Times New Roman" w:hAnsi="Times New Roman" w:cs="Times New Roman"/>
          <w:color w:val="0F1115"/>
          <w:sz w:val="24"/>
          <w:szCs w:val="24"/>
        </w:rPr>
        <w:noBreakHyphen/>
        <w:t>situ station observations (Funk et al., 2015). CHIRPS has been validated as the rainfall dataset with the least bias and error (ME ≈ −0.2–2 mm, MAE ≈ 1.5–2 mm) and the best agreement (COR ≈ 0.8) with station rainfall data in the Amhara region of Ethiopia (Dinku et al., 2018).</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lastRenderedPageBreak/>
        <w:t>MODIS Land Surface Temperature (LST):</w:t>
      </w:r>
      <w:r w:rsidRPr="00220797">
        <w:rPr>
          <w:rFonts w:ascii="Times New Roman" w:eastAsia="Times New Roman" w:hAnsi="Times New Roman" w:cs="Times New Roman"/>
          <w:color w:val="0F1115"/>
          <w:sz w:val="24"/>
          <w:szCs w:val="24"/>
        </w:rPr>
        <w:t> Daytime and night</w:t>
      </w:r>
      <w:r w:rsidRPr="00220797">
        <w:rPr>
          <w:rFonts w:ascii="Times New Roman" w:eastAsia="Times New Roman" w:hAnsi="Times New Roman" w:cs="Times New Roman"/>
          <w:color w:val="0F1115"/>
          <w:sz w:val="24"/>
          <w:szCs w:val="24"/>
        </w:rPr>
        <w:noBreakHyphen/>
        <w:t>time land surface temperature data from the Moderate Resolution Imaging Spectroradiometer (MODIS) on NASA’s Terra and Aqua satellites (Wan et al., 2015). LST is an established predictor of malaria transmission suitability in Ethiopia (Midekisa et al., 2012; Wimberly et al., 2020). Both 8</w:t>
      </w:r>
      <w:r w:rsidRPr="00220797">
        <w:rPr>
          <w:rFonts w:ascii="Times New Roman" w:eastAsia="Times New Roman" w:hAnsi="Times New Roman" w:cs="Times New Roman"/>
          <w:color w:val="0F1115"/>
          <w:sz w:val="24"/>
          <w:szCs w:val="24"/>
        </w:rPr>
        <w:noBreakHyphen/>
        <w:t>day and 16</w:t>
      </w:r>
      <w:r w:rsidRPr="00220797">
        <w:rPr>
          <w:rFonts w:ascii="Times New Roman" w:eastAsia="Times New Roman" w:hAnsi="Times New Roman" w:cs="Times New Roman"/>
          <w:color w:val="0F1115"/>
          <w:sz w:val="24"/>
          <w:szCs w:val="24"/>
        </w:rPr>
        <w:noBreakHyphen/>
        <w:t>day composites at 1 km spatial resolution are obtained.</w:t>
      </w:r>
    </w:p>
    <w:p w:rsidR="00220797" w:rsidRPr="00220797" w:rsidRDefault="00FE31E9" w:rsidP="00FE31E9">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Clinical malaria cases:</w:t>
      </w:r>
      <w:r w:rsidR="00220797" w:rsidRPr="00220797">
        <w:rPr>
          <w:rFonts w:ascii="Times New Roman" w:eastAsia="Times New Roman" w:hAnsi="Times New Roman" w:cs="Times New Roman"/>
          <w:color w:val="0F1115"/>
          <w:sz w:val="24"/>
          <w:szCs w:val="24"/>
        </w:rPr>
        <w:t> Weekly aggregated malaria case data (confirmed by microscopy or rapid diagnostic test, RDT) are obtained from the </w:t>
      </w:r>
      <w:r w:rsidR="00220797" w:rsidRPr="00220797">
        <w:rPr>
          <w:rFonts w:ascii="Times New Roman" w:eastAsia="Times New Roman" w:hAnsi="Times New Roman" w:cs="Times New Roman"/>
          <w:bCs/>
          <w:color w:val="0F1115"/>
          <w:sz w:val="24"/>
          <w:szCs w:val="24"/>
        </w:rPr>
        <w:t>Dire Dawa Health Bureau</w:t>
      </w:r>
      <w:r w:rsidR="00220797" w:rsidRPr="00220797">
        <w:rPr>
          <w:rFonts w:ascii="Times New Roman" w:eastAsia="Times New Roman" w:hAnsi="Times New Roman" w:cs="Times New Roman"/>
          <w:color w:val="0F1115"/>
          <w:sz w:val="24"/>
          <w:szCs w:val="24"/>
        </w:rPr>
        <w:t> for the period </w:t>
      </w:r>
      <w:r w:rsidR="00220797" w:rsidRPr="00220797">
        <w:rPr>
          <w:rFonts w:ascii="Times New Roman" w:eastAsia="Times New Roman" w:hAnsi="Times New Roman" w:cs="Times New Roman"/>
          <w:bCs/>
          <w:color w:val="0F1115"/>
          <w:sz w:val="24"/>
          <w:szCs w:val="24"/>
        </w:rPr>
        <w:t>2018–2023</w:t>
      </w:r>
      <w:r w:rsidR="00220797" w:rsidRPr="00220797">
        <w:rPr>
          <w:rFonts w:ascii="Times New Roman" w:eastAsia="Times New Roman" w:hAnsi="Times New Roman" w:cs="Times New Roman"/>
          <w:color w:val="0F1115"/>
          <w:sz w:val="24"/>
          <w:szCs w:val="24"/>
        </w:rPr>
        <w:t> (five years). Data are anonymised at the kebele level prior to release to the research team.</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Topographic data</w:t>
      </w:r>
      <w:r w:rsidR="00FE31E9">
        <w:rPr>
          <w:rFonts w:ascii="Times New Roman" w:eastAsia="Times New Roman" w:hAnsi="Times New Roman" w:cs="Times New Roman"/>
          <w:bCs/>
          <w:color w:val="0F1115"/>
          <w:sz w:val="24"/>
          <w:szCs w:val="24"/>
        </w:rPr>
        <w:t>:</w:t>
      </w:r>
      <w:r w:rsidRPr="00220797">
        <w:rPr>
          <w:rFonts w:ascii="Times New Roman" w:eastAsia="Times New Roman" w:hAnsi="Times New Roman" w:cs="Times New Roman"/>
          <w:color w:val="0F1115"/>
          <w:sz w:val="24"/>
          <w:szCs w:val="24"/>
        </w:rPr>
        <w:t> The </w:t>
      </w:r>
      <w:r w:rsidRPr="00220797">
        <w:rPr>
          <w:rFonts w:ascii="Times New Roman" w:eastAsia="Times New Roman" w:hAnsi="Times New Roman" w:cs="Times New Roman"/>
          <w:bCs/>
          <w:color w:val="0F1115"/>
          <w:sz w:val="24"/>
          <w:szCs w:val="24"/>
        </w:rPr>
        <w:t>Shuttle Radar Topography Mission (SRTM) digital elevation model (DEM)</w:t>
      </w:r>
      <w:r w:rsidRPr="00220797">
        <w:rPr>
          <w:rFonts w:ascii="Times New Roman" w:eastAsia="Times New Roman" w:hAnsi="Times New Roman" w:cs="Times New Roman"/>
          <w:color w:val="0F1115"/>
          <w:sz w:val="24"/>
          <w:szCs w:val="24"/>
        </w:rPr>
        <w:t xml:space="preserve"> with 30 m spatial resolution is obtained from the United States Geological Survey (USGS). Elevation and derived topographic indices (slope, aspect, </w:t>
      </w:r>
      <w:r w:rsidR="00FE31E9" w:rsidRPr="00220797">
        <w:rPr>
          <w:rFonts w:ascii="Times New Roman" w:eastAsia="Times New Roman" w:hAnsi="Times New Roman" w:cs="Times New Roman"/>
          <w:color w:val="0F1115"/>
          <w:sz w:val="24"/>
          <w:szCs w:val="24"/>
        </w:rPr>
        <w:t>and topographic</w:t>
      </w:r>
      <w:r w:rsidRPr="00220797">
        <w:rPr>
          <w:rFonts w:ascii="Times New Roman" w:eastAsia="Times New Roman" w:hAnsi="Times New Roman" w:cs="Times New Roman"/>
          <w:color w:val="0F1115"/>
          <w:sz w:val="24"/>
          <w:szCs w:val="24"/>
        </w:rPr>
        <w:t xml:space="preserve"> wetness index) are computed for each grid cell, as elevation is inversely associated with malaria transmission in Ethiopia (Woyessa et al., 2012).</w:t>
      </w:r>
    </w:p>
    <w:p w:rsidR="00220797" w:rsidRPr="00220797" w:rsidRDefault="00220797" w:rsidP="00FE31E9">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2.4.2 Data Preprocessing</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All spatial data are projected to a common coordinate reference system (UTM Zone 37N, WGS84) and resampled to a </w:t>
      </w:r>
      <w:r w:rsidRPr="00220797">
        <w:rPr>
          <w:rFonts w:ascii="Times New Roman" w:eastAsia="Times New Roman" w:hAnsi="Times New Roman" w:cs="Times New Roman"/>
          <w:bCs/>
          <w:color w:val="0F1115"/>
          <w:sz w:val="24"/>
          <w:szCs w:val="24"/>
        </w:rPr>
        <w:t>uniform 1 × 1 km grid</w:t>
      </w:r>
      <w:r w:rsidRPr="00220797">
        <w:rPr>
          <w:rFonts w:ascii="Times New Roman" w:eastAsia="Times New Roman" w:hAnsi="Times New Roman" w:cs="Times New Roman"/>
          <w:color w:val="0F1115"/>
          <w:sz w:val="24"/>
          <w:szCs w:val="24"/>
        </w:rPr>
        <w:t> covering the six study kebeles. This spatial resolution balances ecological realism with computational feasibility and corresponds to the spatial scale at which indigenous indicators are collected.</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Temporal alignment</w:t>
      </w:r>
      <w:r w:rsidRPr="00220797">
        <w:rPr>
          <w:rFonts w:ascii="Times New Roman" w:eastAsia="Times New Roman" w:hAnsi="Times New Roman" w:cs="Times New Roman"/>
          <w:color w:val="0F1115"/>
          <w:sz w:val="24"/>
          <w:szCs w:val="24"/>
        </w:rPr>
        <w:t> is achieved by aggregating all data to </w:t>
      </w:r>
      <w:r w:rsidRPr="00220797">
        <w:rPr>
          <w:rFonts w:ascii="Times New Roman" w:eastAsia="Times New Roman" w:hAnsi="Times New Roman" w:cs="Times New Roman"/>
          <w:bCs/>
          <w:color w:val="0F1115"/>
          <w:sz w:val="24"/>
          <w:szCs w:val="24"/>
        </w:rPr>
        <w:t>weekly</w:t>
      </w:r>
      <w:r w:rsidRPr="00220797">
        <w:rPr>
          <w:rFonts w:ascii="Times New Roman" w:eastAsia="Times New Roman" w:hAnsi="Times New Roman" w:cs="Times New Roman"/>
          <w:color w:val="0F1115"/>
          <w:sz w:val="24"/>
          <w:szCs w:val="24"/>
        </w:rPr>
        <w:t> time steps. For each week (epidemiological week) from January 2018 to December 2023, the dataset contains: (a) total confirmed malaria cases (dependent variable, y), (b) 12 indigenous indicator values (Phase 1), (c) total weekly rainfall (CHIRPS), (d) mean weekly day</w:t>
      </w:r>
      <w:r w:rsidRPr="00220797">
        <w:rPr>
          <w:rFonts w:ascii="Times New Roman" w:eastAsia="Times New Roman" w:hAnsi="Times New Roman" w:cs="Times New Roman"/>
          <w:color w:val="0F1115"/>
          <w:sz w:val="24"/>
          <w:szCs w:val="24"/>
        </w:rPr>
        <w:noBreakHyphen/>
        <w:t>time LST and mean weekly night</w:t>
      </w:r>
      <w:r w:rsidRPr="00220797">
        <w:rPr>
          <w:rFonts w:ascii="Times New Roman" w:eastAsia="Times New Roman" w:hAnsi="Times New Roman" w:cs="Times New Roman"/>
          <w:color w:val="0F1115"/>
          <w:sz w:val="24"/>
          <w:szCs w:val="24"/>
        </w:rPr>
        <w:noBreakHyphen/>
        <w:t>time LST (MODIS), (e) elevation and slope (SRTM, time</w:t>
      </w:r>
      <w:r w:rsidRPr="00220797">
        <w:rPr>
          <w:rFonts w:ascii="Times New Roman" w:eastAsia="Times New Roman" w:hAnsi="Times New Roman" w:cs="Times New Roman"/>
          <w:color w:val="0F1115"/>
          <w:sz w:val="24"/>
          <w:szCs w:val="24"/>
        </w:rPr>
        <w:noBreakHyphen/>
        <w:t>invariant), and (f) baseline population density (Central Statistical Agency of Ethiopia).</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Handling missing data</w:t>
      </w:r>
      <w:r w:rsidR="00FE31E9">
        <w:rPr>
          <w:rFonts w:ascii="Times New Roman" w:eastAsia="Times New Roman" w:hAnsi="Times New Roman" w:cs="Times New Roman"/>
          <w:bCs/>
          <w:color w:val="0F1115"/>
          <w:sz w:val="24"/>
          <w:szCs w:val="24"/>
        </w:rPr>
        <w:t>:</w:t>
      </w:r>
      <w:r w:rsidRPr="00220797">
        <w:rPr>
          <w:rFonts w:ascii="Times New Roman" w:eastAsia="Times New Roman" w:hAnsi="Times New Roman" w:cs="Times New Roman"/>
          <w:color w:val="0F1115"/>
          <w:sz w:val="24"/>
          <w:szCs w:val="24"/>
        </w:rPr>
        <w:t> Preliminary data quality assessments are conducted. For climatic variables (CHIRPS, MODIS), missing values due to cloud cover or satellite overpass gaps are handled using </w:t>
      </w:r>
      <w:r w:rsidRPr="00220797">
        <w:rPr>
          <w:rFonts w:ascii="Times New Roman" w:eastAsia="Times New Roman" w:hAnsi="Times New Roman" w:cs="Times New Roman"/>
          <w:bCs/>
          <w:color w:val="0F1115"/>
          <w:sz w:val="24"/>
          <w:szCs w:val="24"/>
        </w:rPr>
        <w:t>multiple imputation by chained equations (MICE)</w:t>
      </w:r>
      <w:r w:rsidRPr="00220797">
        <w:rPr>
          <w:rFonts w:ascii="Times New Roman" w:eastAsia="Times New Roman" w:hAnsi="Times New Roman" w:cs="Times New Roman"/>
          <w:color w:val="0F1115"/>
          <w:sz w:val="24"/>
          <w:szCs w:val="24"/>
        </w:rPr>
        <w:t> , which generates multiple plausible values based on observed data from neighbouring time points and spatial units (van Buuren &amp; Groothuis</w:t>
      </w:r>
      <w:r w:rsidRPr="00220797">
        <w:rPr>
          <w:rFonts w:ascii="Times New Roman" w:eastAsia="Times New Roman" w:hAnsi="Times New Roman" w:cs="Times New Roman"/>
          <w:color w:val="0F1115"/>
          <w:sz w:val="24"/>
          <w:szCs w:val="24"/>
        </w:rPr>
        <w:noBreakHyphen/>
        <w:t>Oudshoorn, 2011). For indigenous indicators, missingness is expected to be low (≤5%); list</w:t>
      </w:r>
      <w:r w:rsidRPr="00220797">
        <w:rPr>
          <w:rFonts w:ascii="Times New Roman" w:eastAsia="Times New Roman" w:hAnsi="Times New Roman" w:cs="Times New Roman"/>
          <w:color w:val="0F1115"/>
          <w:sz w:val="24"/>
          <w:szCs w:val="24"/>
        </w:rPr>
        <w:noBreakHyphen/>
        <w:t>wise deletion is applied if the proportion of missing data is negligible; otherwise, a “missing” category with indicator variables is created to preserve information.</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Feature scaling.</w:t>
      </w:r>
      <w:r w:rsidRPr="00220797">
        <w:rPr>
          <w:rFonts w:ascii="Times New Roman" w:eastAsia="Times New Roman" w:hAnsi="Times New Roman" w:cs="Times New Roman"/>
          <w:color w:val="0F1115"/>
          <w:sz w:val="24"/>
          <w:szCs w:val="24"/>
        </w:rPr>
        <w:t> All continuous predictor variables (rainfall, LST, elevation) are normalised using </w:t>
      </w:r>
      <w:r w:rsidRPr="00220797">
        <w:rPr>
          <w:rFonts w:ascii="Times New Roman" w:eastAsia="Times New Roman" w:hAnsi="Times New Roman" w:cs="Times New Roman"/>
          <w:bCs/>
          <w:color w:val="0F1115"/>
          <w:sz w:val="24"/>
          <w:szCs w:val="24"/>
        </w:rPr>
        <w:t>min</w:t>
      </w:r>
      <w:r w:rsidRPr="00220797">
        <w:rPr>
          <w:rFonts w:ascii="Times New Roman" w:eastAsia="Times New Roman" w:hAnsi="Times New Roman" w:cs="Times New Roman"/>
          <w:bCs/>
          <w:color w:val="0F1115"/>
          <w:sz w:val="24"/>
          <w:szCs w:val="24"/>
        </w:rPr>
        <w:noBreakHyphen/>
        <w:t>max scaling</w:t>
      </w:r>
      <w:r w:rsidRPr="00220797">
        <w:rPr>
          <w:rFonts w:ascii="Times New Roman" w:eastAsia="Times New Roman" w:hAnsi="Times New Roman" w:cs="Times New Roman"/>
          <w:color w:val="0F1115"/>
          <w:sz w:val="24"/>
          <w:szCs w:val="24"/>
        </w:rPr>
        <w:t> to the range [0</w:t>
      </w:r>
      <w:r w:rsidR="001B065B" w:rsidRPr="00220797">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1]. This transformation ensures that variables with different measurement units contribute comparably to distance</w:t>
      </w:r>
      <w:r w:rsidRPr="00220797">
        <w:rPr>
          <w:rFonts w:ascii="Times New Roman" w:eastAsia="Times New Roman" w:hAnsi="Times New Roman" w:cs="Times New Roman"/>
          <w:color w:val="0F1115"/>
          <w:sz w:val="24"/>
          <w:szCs w:val="24"/>
        </w:rPr>
        <w:noBreakHyphen/>
        <w:t>based algorithms such as Random Forest and XGBoost.</w:t>
      </w:r>
    </w:p>
    <w:p w:rsidR="00220797" w:rsidRPr="00220797" w:rsidRDefault="00220797" w:rsidP="00FE31E9">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2.4.3 Feature Engineering</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Three categories of derived features are created to enhance predictive performance.</w:t>
      </w:r>
    </w:p>
    <w:p w:rsidR="00220797" w:rsidRPr="00220797" w:rsidRDefault="001B065B" w:rsidP="00FE31E9">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lastRenderedPageBreak/>
        <w:t>Lag variables:</w:t>
      </w:r>
      <w:r w:rsidR="00220797" w:rsidRPr="00220797">
        <w:rPr>
          <w:rFonts w:ascii="Times New Roman" w:eastAsia="Times New Roman" w:hAnsi="Times New Roman" w:cs="Times New Roman"/>
          <w:color w:val="0F1115"/>
          <w:sz w:val="24"/>
          <w:szCs w:val="24"/>
        </w:rPr>
        <w:t> Lagged values of climatic and indigenous indicators are introduced because malaria transmission follows a temporary delay after rainfall and temperature changes (the extrinsic incubation period of </w:t>
      </w:r>
      <w:r w:rsidR="00220797" w:rsidRPr="00220797">
        <w:rPr>
          <w:rFonts w:ascii="Times New Roman" w:eastAsia="Times New Roman" w:hAnsi="Times New Roman" w:cs="Times New Roman"/>
          <w:i/>
          <w:iCs/>
          <w:color w:val="0F1115"/>
          <w:sz w:val="24"/>
          <w:szCs w:val="24"/>
        </w:rPr>
        <w:t>Plasmodium</w:t>
      </w:r>
      <w:r w:rsidR="00220797" w:rsidRPr="00220797">
        <w:rPr>
          <w:rFonts w:ascii="Times New Roman" w:eastAsia="Times New Roman" w:hAnsi="Times New Roman" w:cs="Times New Roman"/>
          <w:color w:val="0F1115"/>
          <w:sz w:val="24"/>
          <w:szCs w:val="24"/>
        </w:rPr>
        <w:t> parasites is approximately 10–21 days). Specifically, </w:t>
      </w:r>
      <w:r w:rsidR="00220797" w:rsidRPr="00220797">
        <w:rPr>
          <w:rFonts w:ascii="Times New Roman" w:eastAsia="Times New Roman" w:hAnsi="Times New Roman" w:cs="Times New Roman"/>
          <w:bCs/>
          <w:color w:val="0F1115"/>
          <w:sz w:val="24"/>
          <w:szCs w:val="24"/>
        </w:rPr>
        <w:t>1</w:t>
      </w:r>
      <w:r w:rsidR="00220797" w:rsidRPr="00220797">
        <w:rPr>
          <w:rFonts w:ascii="Times New Roman" w:eastAsia="Times New Roman" w:hAnsi="Times New Roman" w:cs="Times New Roman"/>
          <w:bCs/>
          <w:color w:val="0F1115"/>
          <w:sz w:val="24"/>
          <w:szCs w:val="24"/>
        </w:rPr>
        <w:noBreakHyphen/>
        <w:t>week, 2</w:t>
      </w:r>
      <w:r w:rsidR="00220797" w:rsidRPr="00220797">
        <w:rPr>
          <w:rFonts w:ascii="Times New Roman" w:eastAsia="Times New Roman" w:hAnsi="Times New Roman" w:cs="Times New Roman"/>
          <w:bCs/>
          <w:color w:val="0F1115"/>
          <w:sz w:val="24"/>
          <w:szCs w:val="24"/>
        </w:rPr>
        <w:noBreakHyphen/>
        <w:t>week and 3</w:t>
      </w:r>
      <w:r w:rsidR="00220797" w:rsidRPr="00220797">
        <w:rPr>
          <w:rFonts w:ascii="Times New Roman" w:eastAsia="Times New Roman" w:hAnsi="Times New Roman" w:cs="Times New Roman"/>
          <w:bCs/>
          <w:color w:val="0F1115"/>
          <w:sz w:val="24"/>
          <w:szCs w:val="24"/>
        </w:rPr>
        <w:noBreakHyphen/>
        <w:t>week lags</w:t>
      </w:r>
      <w:r w:rsidR="00220797" w:rsidRPr="00220797">
        <w:rPr>
          <w:rFonts w:ascii="Times New Roman" w:eastAsia="Times New Roman" w:hAnsi="Times New Roman" w:cs="Times New Roman"/>
          <w:color w:val="0F1115"/>
          <w:sz w:val="24"/>
          <w:szCs w:val="24"/>
        </w:rPr>
        <w:t> are computed for rainfall, mean LST, and indigenous indicators that are likely to change week</w:t>
      </w:r>
      <w:r w:rsidR="00220797" w:rsidRPr="00220797">
        <w:rPr>
          <w:rFonts w:ascii="Times New Roman" w:eastAsia="Times New Roman" w:hAnsi="Times New Roman" w:cs="Times New Roman"/>
          <w:color w:val="0F1115"/>
          <w:sz w:val="24"/>
          <w:szCs w:val="24"/>
        </w:rPr>
        <w:noBreakHyphen/>
        <w:t>to</w:t>
      </w:r>
      <w:r w:rsidR="00220797" w:rsidRPr="00220797">
        <w:rPr>
          <w:rFonts w:ascii="Times New Roman" w:eastAsia="Times New Roman" w:hAnsi="Times New Roman" w:cs="Times New Roman"/>
          <w:color w:val="0F1115"/>
          <w:sz w:val="24"/>
          <w:szCs w:val="24"/>
        </w:rPr>
        <w:noBreakHyphen/>
        <w:t>week (e.g., presence of stagnant pools). Lag selection is informed by the expected biological delay between mosquito breeding and human case presentation.</w:t>
      </w:r>
    </w:p>
    <w:p w:rsidR="00220797" w:rsidRPr="00220797" w:rsidRDefault="001B065B" w:rsidP="00FE31E9">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Interaction terms:</w:t>
      </w:r>
      <w:r w:rsidR="00220797" w:rsidRPr="00220797">
        <w:rPr>
          <w:rFonts w:ascii="Times New Roman" w:eastAsia="Times New Roman" w:hAnsi="Times New Roman" w:cs="Times New Roman"/>
          <w:color w:val="0F1115"/>
          <w:sz w:val="24"/>
          <w:szCs w:val="24"/>
        </w:rPr>
        <w:t> Product terms between indigenous indicators and climatic variables are created to capture synergistic effects. For example, the interaction term “red_cattle_presence × rainfall_lag2” hypothesises that the predictive value of livestock proximity depends on sufficient recent rainfall to create breeding habitats. Interaction terms are limited to the ten most promising pairs based on expert consultation and exploratory analysis.</w:t>
      </w:r>
    </w:p>
    <w:p w:rsidR="00220797" w:rsidRPr="00220797" w:rsidRDefault="001B065B" w:rsidP="00FE31E9">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Temporal features:</w:t>
      </w:r>
      <w:r w:rsidR="00220797" w:rsidRPr="00220797">
        <w:rPr>
          <w:rFonts w:ascii="Times New Roman" w:eastAsia="Times New Roman" w:hAnsi="Times New Roman" w:cs="Times New Roman"/>
          <w:color w:val="0F1115"/>
          <w:sz w:val="24"/>
          <w:szCs w:val="24"/>
        </w:rPr>
        <w:t> To capture seasonality, sine and cosine transformations of the epidemiological week are added, encoding the cyclical nature of malaria transmission in Dire Dawa (September–December and March–May peaks).</w:t>
      </w:r>
    </w:p>
    <w:p w:rsidR="00220797" w:rsidRPr="00220797" w:rsidRDefault="00220797" w:rsidP="00FE31E9">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2.4.4 Model Selection and Training</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Four machine learning algorithms are evaluated:</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Random Forest (RF):</w:t>
      </w:r>
      <w:r w:rsidRPr="00220797">
        <w:rPr>
          <w:rFonts w:ascii="Times New Roman" w:eastAsia="Times New Roman" w:hAnsi="Times New Roman" w:cs="Times New Roman"/>
          <w:color w:val="0F1115"/>
          <w:sz w:val="24"/>
          <w:szCs w:val="24"/>
        </w:rPr>
        <w:t> An ensemble of decision trees that aggregates predictions by averaging, offering high predictive accuracy, robustness to overfitting, and the ability to quantify feature importance (Breiman, 2001). Random Forest has been successfully used to predict malaria outbreaks in Ethiopia (Kelem Wollega; Ahmed &amp; Adam, 2025) and across Africa (The Gambia; Ndiaye et al., 2024).</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XGBoost (Extreme Gradient Boosting):</w:t>
      </w:r>
      <w:r w:rsidRPr="00220797">
        <w:rPr>
          <w:rFonts w:ascii="Times New Roman" w:eastAsia="Times New Roman" w:hAnsi="Times New Roman" w:cs="Times New Roman"/>
          <w:color w:val="0F1115"/>
          <w:sz w:val="24"/>
          <w:szCs w:val="24"/>
        </w:rPr>
        <w:t> A gradient</w:t>
      </w:r>
      <w:r w:rsidRPr="00220797">
        <w:rPr>
          <w:rFonts w:ascii="Times New Roman" w:eastAsia="Times New Roman" w:hAnsi="Times New Roman" w:cs="Times New Roman"/>
          <w:color w:val="0F1115"/>
          <w:sz w:val="24"/>
          <w:szCs w:val="24"/>
        </w:rPr>
        <w:noBreakHyphen/>
        <w:t>boosting decision tree algorithm that sequentially corrects errors of previous trees. XGBoost has demonstrated superior or comparable performance to Random Forest in malaria prediction tasks in Nigeria (Plateau State; Akinyoola et al., 2023) and Tanzania (Rural South</w:t>
      </w:r>
      <w:r w:rsidRPr="00220797">
        <w:rPr>
          <w:rFonts w:ascii="Times New Roman" w:eastAsia="Times New Roman" w:hAnsi="Times New Roman" w:cs="Times New Roman"/>
          <w:color w:val="0F1115"/>
          <w:sz w:val="24"/>
          <w:szCs w:val="24"/>
        </w:rPr>
        <w:noBreakHyphen/>
        <w:t>East; Kimathi et al., 2024), achieving accuracies exceeding 93% in some settings (Ndiaye et al., 2024).</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Logistic Regression (with L2 regularisation):</w:t>
      </w:r>
      <w:r w:rsidRPr="00220797">
        <w:rPr>
          <w:rFonts w:ascii="Times New Roman" w:eastAsia="Times New Roman" w:hAnsi="Times New Roman" w:cs="Times New Roman"/>
          <w:color w:val="0F1115"/>
          <w:sz w:val="24"/>
          <w:szCs w:val="24"/>
        </w:rPr>
        <w:t> A parametric, interpretable linear model that estimates the probability of a binary outcome (outbreak vs. no outbreak). Included as a baseline interpretable model against which ensemble methods are compared.</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Custom Ensemble (Stacked Model):</w:t>
      </w:r>
      <w:r w:rsidRPr="00220797">
        <w:rPr>
          <w:rFonts w:ascii="Times New Roman" w:eastAsia="Times New Roman" w:hAnsi="Times New Roman" w:cs="Times New Roman"/>
          <w:color w:val="0F1115"/>
          <w:sz w:val="24"/>
          <w:szCs w:val="24"/>
        </w:rPr>
        <w:t> A meta</w:t>
      </w:r>
      <w:r w:rsidRPr="00220797">
        <w:rPr>
          <w:rFonts w:ascii="Times New Roman" w:eastAsia="Times New Roman" w:hAnsi="Times New Roman" w:cs="Times New Roman"/>
          <w:color w:val="0F1115"/>
          <w:sz w:val="24"/>
          <w:szCs w:val="24"/>
        </w:rPr>
        <w:noBreakHyphen/>
        <w:t>learner (logistic regression) that combines the predictions of RF and XGBoost, aiming to leverage the complementary strengths of both algorithms.</w:t>
      </w:r>
    </w:p>
    <w:p w:rsidR="00220797" w:rsidRPr="00220797" w:rsidRDefault="00220797" w:rsidP="00FE31E9">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Training/validation split.</w:t>
      </w:r>
      <w:r w:rsidRPr="00220797">
        <w:rPr>
          <w:rFonts w:ascii="Times New Roman" w:eastAsia="Times New Roman" w:hAnsi="Times New Roman" w:cs="Times New Roman"/>
          <w:color w:val="0F1115"/>
          <w:sz w:val="24"/>
          <w:szCs w:val="24"/>
        </w:rPr>
        <w:t> The timeline of weekly data (2018–2023, approximately 313 weeks) is split temporally to respect the sequential nature of the data and avoid “future leakage” (i.e., using information from later weeks to predict earlier weeks). The split is </w:t>
      </w:r>
      <w:r w:rsidRPr="00220797">
        <w:rPr>
          <w:rFonts w:ascii="Times New Roman" w:eastAsia="Times New Roman" w:hAnsi="Times New Roman" w:cs="Times New Roman"/>
          <w:bCs/>
          <w:color w:val="0F1115"/>
          <w:sz w:val="24"/>
          <w:szCs w:val="24"/>
        </w:rPr>
        <w:t>70% training (2018–2021), 15% validation (2022), and 15% test (2023)</w:t>
      </w:r>
      <w:r w:rsidRPr="00220797">
        <w:rPr>
          <w:rFonts w:ascii="Times New Roman" w:eastAsia="Times New Roman" w:hAnsi="Times New Roman" w:cs="Times New Roman"/>
          <w:color w:val="0F1115"/>
          <w:sz w:val="24"/>
          <w:szCs w:val="24"/>
        </w:rPr>
        <w:t>. Temporal cross</w:t>
      </w:r>
      <w:r w:rsidRPr="00220797">
        <w:rPr>
          <w:rFonts w:ascii="Times New Roman" w:eastAsia="Times New Roman" w:hAnsi="Times New Roman" w:cs="Times New Roman"/>
          <w:color w:val="0F1115"/>
          <w:sz w:val="24"/>
          <w:szCs w:val="24"/>
        </w:rPr>
        <w:noBreakHyphen/>
        <w:t xml:space="preserve">validation, rather than random </w:t>
      </w:r>
      <w:r w:rsidRPr="00220797">
        <w:rPr>
          <w:rFonts w:ascii="Times New Roman" w:eastAsia="Times New Roman" w:hAnsi="Times New Roman" w:cs="Times New Roman"/>
          <w:color w:val="0F1115"/>
          <w:sz w:val="24"/>
          <w:szCs w:val="24"/>
        </w:rPr>
        <w:lastRenderedPageBreak/>
        <w:t>cross</w:t>
      </w:r>
      <w:r w:rsidRPr="00220797">
        <w:rPr>
          <w:rFonts w:ascii="Times New Roman" w:eastAsia="Times New Roman" w:hAnsi="Times New Roman" w:cs="Times New Roman"/>
          <w:color w:val="0F1115"/>
          <w:sz w:val="24"/>
          <w:szCs w:val="24"/>
        </w:rPr>
        <w:noBreakHyphen/>
        <w:t>validation, is used because malaria transmission patterns exhibit strong serial correlation and seasonality (Bergmeir &amp; Benítez, 2012).</w:t>
      </w:r>
    </w:p>
    <w:p w:rsidR="00220797" w:rsidRDefault="00FE31E9" w:rsidP="00FE31E9">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 xml:space="preserve">Hyperparameter tuning: </w:t>
      </w:r>
      <w:r w:rsidR="00220797" w:rsidRPr="00220797">
        <w:rPr>
          <w:rFonts w:ascii="Times New Roman" w:eastAsia="Times New Roman" w:hAnsi="Times New Roman" w:cs="Times New Roman"/>
          <w:color w:val="0F1115"/>
          <w:sz w:val="24"/>
          <w:szCs w:val="24"/>
        </w:rPr>
        <w:t>A grid search with </w:t>
      </w:r>
      <w:r w:rsidR="00220797" w:rsidRPr="00220797">
        <w:rPr>
          <w:rFonts w:ascii="Times New Roman" w:eastAsia="Times New Roman" w:hAnsi="Times New Roman" w:cs="Times New Roman"/>
          <w:bCs/>
          <w:color w:val="0F1115"/>
          <w:sz w:val="24"/>
          <w:szCs w:val="24"/>
        </w:rPr>
        <w:t>5</w:t>
      </w:r>
      <w:r w:rsidR="00220797" w:rsidRPr="00220797">
        <w:rPr>
          <w:rFonts w:ascii="Times New Roman" w:eastAsia="Times New Roman" w:hAnsi="Times New Roman" w:cs="Times New Roman"/>
          <w:bCs/>
          <w:color w:val="0F1115"/>
          <w:sz w:val="24"/>
          <w:szCs w:val="24"/>
        </w:rPr>
        <w:noBreakHyphen/>
        <w:t>fold temporal cross</w:t>
      </w:r>
      <w:r w:rsidR="00220797" w:rsidRPr="00220797">
        <w:rPr>
          <w:rFonts w:ascii="Times New Roman" w:eastAsia="Times New Roman" w:hAnsi="Times New Roman" w:cs="Times New Roman"/>
          <w:bCs/>
          <w:color w:val="0F1115"/>
          <w:sz w:val="24"/>
          <w:szCs w:val="24"/>
        </w:rPr>
        <w:noBreakHyphen/>
        <w:t>validation</w:t>
      </w:r>
      <w:r w:rsidR="00220797" w:rsidRPr="00220797">
        <w:rPr>
          <w:rFonts w:ascii="Times New Roman" w:eastAsia="Times New Roman" w:hAnsi="Times New Roman" w:cs="Times New Roman"/>
          <w:color w:val="0F1115"/>
          <w:sz w:val="24"/>
          <w:szCs w:val="24"/>
        </w:rPr>
        <w:t> is performed on the training set to optimise hyperparameters. The search spaces are:</w:t>
      </w:r>
    </w:p>
    <w:p w:rsidR="00FE31E9" w:rsidRDefault="00FE31E9" w:rsidP="00FE31E9">
      <w:pPr>
        <w:shd w:val="clear" w:color="auto" w:fill="FFFFFF"/>
        <w:spacing w:after="120"/>
        <w:jc w:val="center"/>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Table 1: The algorithm and the hyperparameters</w:t>
      </w:r>
    </w:p>
    <w:tbl>
      <w:tblPr>
        <w:tblStyle w:val="TableGrid"/>
        <w:tblW w:w="0" w:type="auto"/>
        <w:tblLook w:val="04A0" w:firstRow="1" w:lastRow="0" w:firstColumn="1" w:lastColumn="0" w:noHBand="0" w:noVBand="1"/>
      </w:tblPr>
      <w:tblGrid>
        <w:gridCol w:w="2250"/>
        <w:gridCol w:w="6858"/>
      </w:tblGrid>
      <w:tr w:rsidR="00FE31E9" w:rsidTr="006D40BD">
        <w:tc>
          <w:tcPr>
            <w:tcW w:w="2250" w:type="dxa"/>
            <w:vAlign w:val="center"/>
          </w:tcPr>
          <w:p w:rsidR="00FE31E9" w:rsidRPr="00220797" w:rsidRDefault="00FE31E9" w:rsidP="005B7A69">
            <w:pPr>
              <w:spacing w:after="120"/>
              <w:jc w:val="both"/>
              <w:rPr>
                <w:rFonts w:ascii="Times New Roman" w:eastAsia="Times New Roman" w:hAnsi="Times New Roman" w:cs="Times New Roman"/>
                <w:sz w:val="24"/>
                <w:szCs w:val="24"/>
              </w:rPr>
            </w:pPr>
            <w:r w:rsidRPr="00220797">
              <w:rPr>
                <w:rFonts w:ascii="Times New Roman" w:eastAsia="Times New Roman" w:hAnsi="Times New Roman" w:cs="Times New Roman"/>
                <w:sz w:val="24"/>
                <w:szCs w:val="24"/>
              </w:rPr>
              <w:t>Algorithm</w:t>
            </w:r>
          </w:p>
        </w:tc>
        <w:tc>
          <w:tcPr>
            <w:tcW w:w="6858" w:type="dxa"/>
            <w:vAlign w:val="center"/>
          </w:tcPr>
          <w:p w:rsidR="00FE31E9" w:rsidRPr="00220797" w:rsidRDefault="00FE31E9" w:rsidP="005B7A69">
            <w:pPr>
              <w:spacing w:after="120"/>
              <w:jc w:val="both"/>
              <w:rPr>
                <w:rFonts w:ascii="Times New Roman" w:eastAsia="Times New Roman" w:hAnsi="Times New Roman" w:cs="Times New Roman"/>
                <w:sz w:val="24"/>
                <w:szCs w:val="24"/>
              </w:rPr>
            </w:pPr>
            <w:r w:rsidRPr="00220797">
              <w:rPr>
                <w:rFonts w:ascii="Times New Roman" w:eastAsia="Times New Roman" w:hAnsi="Times New Roman" w:cs="Times New Roman"/>
                <w:sz w:val="24"/>
                <w:szCs w:val="24"/>
              </w:rPr>
              <w:t>Hyperparameters</w:t>
            </w:r>
          </w:p>
        </w:tc>
      </w:tr>
      <w:tr w:rsidR="006D40BD" w:rsidTr="006D40BD">
        <w:tc>
          <w:tcPr>
            <w:tcW w:w="2250" w:type="dxa"/>
            <w:vAlign w:val="center"/>
          </w:tcPr>
          <w:p w:rsidR="006D40BD" w:rsidRPr="00220797" w:rsidRDefault="006D40BD" w:rsidP="005B7A69">
            <w:pPr>
              <w:spacing w:after="120"/>
              <w:jc w:val="both"/>
              <w:rPr>
                <w:rFonts w:ascii="Times New Roman" w:eastAsia="Times New Roman" w:hAnsi="Times New Roman" w:cs="Times New Roman"/>
                <w:sz w:val="24"/>
                <w:szCs w:val="24"/>
              </w:rPr>
            </w:pPr>
            <w:r w:rsidRPr="00220797">
              <w:rPr>
                <w:rFonts w:ascii="Times New Roman" w:eastAsia="Times New Roman" w:hAnsi="Times New Roman" w:cs="Times New Roman"/>
                <w:sz w:val="24"/>
                <w:szCs w:val="24"/>
              </w:rPr>
              <w:t>Random Forest</w:t>
            </w:r>
          </w:p>
        </w:tc>
        <w:tc>
          <w:tcPr>
            <w:tcW w:w="6858" w:type="dxa"/>
            <w:vAlign w:val="center"/>
          </w:tcPr>
          <w:p w:rsidR="006D40BD" w:rsidRPr="00220797" w:rsidRDefault="006D40BD" w:rsidP="005B7A69">
            <w:pPr>
              <w:spacing w:after="120"/>
              <w:jc w:val="both"/>
              <w:rPr>
                <w:rFonts w:ascii="Times New Roman" w:eastAsia="Times New Roman" w:hAnsi="Times New Roman" w:cs="Times New Roman"/>
                <w:sz w:val="24"/>
                <w:szCs w:val="24"/>
              </w:rPr>
            </w:pPr>
            <w:r w:rsidRPr="00220797">
              <w:rPr>
                <w:rFonts w:ascii="Times New Roman" w:eastAsia="Times New Roman" w:hAnsi="Times New Roman" w:cs="Times New Roman"/>
                <w:sz w:val="24"/>
                <w:szCs w:val="24"/>
              </w:rPr>
              <w:t>n_estimators: [100, 250, 500]; max_depth: [5, 10, 20, None]; min_samples_split: [2, 5, 10]</w:t>
            </w:r>
          </w:p>
        </w:tc>
      </w:tr>
      <w:tr w:rsidR="006D40BD" w:rsidTr="006D40BD">
        <w:tc>
          <w:tcPr>
            <w:tcW w:w="2250" w:type="dxa"/>
            <w:vAlign w:val="center"/>
          </w:tcPr>
          <w:p w:rsidR="006D40BD" w:rsidRPr="00220797" w:rsidRDefault="006D40BD" w:rsidP="005B7A69">
            <w:pPr>
              <w:spacing w:after="120"/>
              <w:jc w:val="both"/>
              <w:rPr>
                <w:rFonts w:ascii="Times New Roman" w:eastAsia="Times New Roman" w:hAnsi="Times New Roman" w:cs="Times New Roman"/>
                <w:sz w:val="24"/>
                <w:szCs w:val="24"/>
              </w:rPr>
            </w:pPr>
            <w:r w:rsidRPr="00220797">
              <w:rPr>
                <w:rFonts w:ascii="Times New Roman" w:eastAsia="Times New Roman" w:hAnsi="Times New Roman" w:cs="Times New Roman"/>
                <w:sz w:val="24"/>
                <w:szCs w:val="24"/>
              </w:rPr>
              <w:t>XGBoost</w:t>
            </w:r>
          </w:p>
        </w:tc>
        <w:tc>
          <w:tcPr>
            <w:tcW w:w="6858" w:type="dxa"/>
            <w:vAlign w:val="center"/>
          </w:tcPr>
          <w:p w:rsidR="006D40BD" w:rsidRPr="00220797" w:rsidRDefault="006D40BD" w:rsidP="005B7A69">
            <w:pPr>
              <w:spacing w:after="120"/>
              <w:jc w:val="both"/>
              <w:rPr>
                <w:rFonts w:ascii="Times New Roman" w:eastAsia="Times New Roman" w:hAnsi="Times New Roman" w:cs="Times New Roman"/>
                <w:sz w:val="24"/>
                <w:szCs w:val="24"/>
              </w:rPr>
            </w:pPr>
            <w:r w:rsidRPr="00220797">
              <w:rPr>
                <w:rFonts w:ascii="Times New Roman" w:eastAsia="Times New Roman" w:hAnsi="Times New Roman" w:cs="Times New Roman"/>
                <w:sz w:val="24"/>
                <w:szCs w:val="24"/>
              </w:rPr>
              <w:t>n_estimators: [100, 250, 500]; max_depth: [3, 6, 10]; learning_rate: [0.01, 0.05, 0.1]; subsample: [0.7, 0.8, 1.0]</w:t>
            </w:r>
          </w:p>
        </w:tc>
      </w:tr>
      <w:tr w:rsidR="006D40BD" w:rsidTr="006D40BD">
        <w:tc>
          <w:tcPr>
            <w:tcW w:w="2250" w:type="dxa"/>
            <w:vAlign w:val="center"/>
          </w:tcPr>
          <w:p w:rsidR="006D40BD" w:rsidRPr="00220797" w:rsidRDefault="006D40BD" w:rsidP="005B7A69">
            <w:pPr>
              <w:spacing w:after="120"/>
              <w:jc w:val="both"/>
              <w:rPr>
                <w:rFonts w:ascii="Times New Roman" w:eastAsia="Times New Roman" w:hAnsi="Times New Roman" w:cs="Times New Roman"/>
                <w:sz w:val="24"/>
                <w:szCs w:val="24"/>
              </w:rPr>
            </w:pPr>
            <w:r w:rsidRPr="00220797">
              <w:rPr>
                <w:rFonts w:ascii="Times New Roman" w:eastAsia="Times New Roman" w:hAnsi="Times New Roman" w:cs="Times New Roman"/>
                <w:sz w:val="24"/>
                <w:szCs w:val="24"/>
              </w:rPr>
              <w:t>Logistic Regression</w:t>
            </w:r>
          </w:p>
        </w:tc>
        <w:tc>
          <w:tcPr>
            <w:tcW w:w="6858" w:type="dxa"/>
            <w:vAlign w:val="center"/>
          </w:tcPr>
          <w:p w:rsidR="006D40BD" w:rsidRPr="00220797" w:rsidRDefault="006D40BD" w:rsidP="005B7A69">
            <w:pPr>
              <w:spacing w:after="120"/>
              <w:jc w:val="both"/>
              <w:rPr>
                <w:rFonts w:ascii="Times New Roman" w:eastAsia="Times New Roman" w:hAnsi="Times New Roman" w:cs="Times New Roman"/>
                <w:sz w:val="24"/>
                <w:szCs w:val="24"/>
              </w:rPr>
            </w:pPr>
            <w:r w:rsidRPr="00220797">
              <w:rPr>
                <w:rFonts w:ascii="Times New Roman" w:eastAsia="Times New Roman" w:hAnsi="Times New Roman" w:cs="Times New Roman"/>
                <w:sz w:val="24"/>
                <w:szCs w:val="24"/>
              </w:rPr>
              <w:t>C (inverse of regularisation strength): [0.01, 0.1, 1.0, 10.0]; penalty: [‘l2’]</w:t>
            </w:r>
          </w:p>
        </w:tc>
      </w:tr>
    </w:tbl>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All models are implemented in </w:t>
      </w:r>
      <w:r w:rsidRPr="00220797">
        <w:rPr>
          <w:rFonts w:ascii="Times New Roman" w:eastAsia="Times New Roman" w:hAnsi="Times New Roman" w:cs="Times New Roman"/>
          <w:bCs/>
          <w:color w:val="0F1115"/>
          <w:sz w:val="24"/>
          <w:szCs w:val="24"/>
        </w:rPr>
        <w:t>Python 3.10</w:t>
      </w:r>
      <w:r w:rsidRPr="00220797">
        <w:rPr>
          <w:rFonts w:ascii="Times New Roman" w:eastAsia="Times New Roman" w:hAnsi="Times New Roman" w:cs="Times New Roman"/>
          <w:color w:val="0F1115"/>
          <w:sz w:val="24"/>
          <w:szCs w:val="24"/>
        </w:rPr>
        <w:t> using the</w:t>
      </w:r>
      <w:r w:rsidR="006D40BD">
        <w:rPr>
          <w:rFonts w:ascii="Times New Roman" w:eastAsia="Times New Roman" w:hAnsi="Times New Roman" w:cs="Times New Roman"/>
          <w:color w:val="0F1115"/>
          <w:sz w:val="24"/>
          <w:szCs w:val="24"/>
        </w:rPr>
        <w:t xml:space="preserve"> scikit-learn</w:t>
      </w:r>
      <w:r w:rsidRPr="00220797">
        <w:rPr>
          <w:rFonts w:ascii="Times New Roman" w:eastAsia="Times New Roman" w:hAnsi="Times New Roman" w:cs="Times New Roman"/>
          <w:color w:val="0F1115"/>
          <w:sz w:val="24"/>
          <w:szCs w:val="24"/>
        </w:rPr>
        <w:t> (Pedregosa et al., 2011) and</w:t>
      </w:r>
      <w:r w:rsidR="006D40BD">
        <w:rPr>
          <w:rFonts w:ascii="Times New Roman" w:eastAsia="Times New Roman" w:hAnsi="Times New Roman" w:cs="Times New Roman"/>
          <w:color w:val="0F1115"/>
          <w:sz w:val="24"/>
          <w:szCs w:val="24"/>
        </w:rPr>
        <w:t xml:space="preserve"> XGBoost</w:t>
      </w:r>
      <w:r w:rsidRPr="00220797">
        <w:rPr>
          <w:rFonts w:ascii="Times New Roman" w:eastAsia="Times New Roman" w:hAnsi="Times New Roman" w:cs="Times New Roman"/>
          <w:color w:val="0F1115"/>
          <w:sz w:val="24"/>
          <w:szCs w:val="24"/>
        </w:rPr>
        <w:t> (Chen &amp; Guestrin, 2016) libraries.</w:t>
      </w:r>
    </w:p>
    <w:p w:rsidR="00220797" w:rsidRPr="00220797" w:rsidRDefault="00220797" w:rsidP="006D40BD">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2.4.5 Evaluation Metrics</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Model performance on the held</w:t>
      </w:r>
      <w:r w:rsidRPr="00220797">
        <w:rPr>
          <w:rFonts w:ascii="Times New Roman" w:eastAsia="Times New Roman" w:hAnsi="Times New Roman" w:cs="Times New Roman"/>
          <w:color w:val="0F1115"/>
          <w:sz w:val="24"/>
          <w:szCs w:val="24"/>
        </w:rPr>
        <w:noBreakHyphen/>
        <w:t>out test set (2023 data, weeks 1–52) is evaluated using standard classification metrics relevant to outbreak detection:</w:t>
      </w:r>
    </w:p>
    <w:p w:rsidR="006D40BD" w:rsidRDefault="00220797" w:rsidP="00AC459B">
      <w:pPr>
        <w:pStyle w:val="ListParagraph"/>
        <w:numPr>
          <w:ilvl w:val="0"/>
          <w:numId w:val="7"/>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Sensitivity (Recall):</w:t>
      </w:r>
      <w:r w:rsidRPr="006D40BD">
        <w:rPr>
          <w:rFonts w:ascii="Times New Roman" w:eastAsia="Times New Roman" w:hAnsi="Times New Roman" w:cs="Times New Roman"/>
          <w:color w:val="0F1115"/>
          <w:sz w:val="24"/>
          <w:szCs w:val="24"/>
        </w:rPr>
        <w:t> Proportion of actual outbreak weeks correctly identified. Prioritised over specificity because missing an outbreak carries higher public health costs than a false alarm.</w:t>
      </w:r>
    </w:p>
    <w:p w:rsidR="006D40BD" w:rsidRDefault="00220797" w:rsidP="00AC459B">
      <w:pPr>
        <w:pStyle w:val="ListParagraph"/>
        <w:numPr>
          <w:ilvl w:val="0"/>
          <w:numId w:val="7"/>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Specificity:</w:t>
      </w:r>
      <w:r w:rsidRPr="006D40BD">
        <w:rPr>
          <w:rFonts w:ascii="Times New Roman" w:eastAsia="Times New Roman" w:hAnsi="Times New Roman" w:cs="Times New Roman"/>
          <w:color w:val="0F1115"/>
          <w:sz w:val="24"/>
          <w:szCs w:val="24"/>
        </w:rPr>
        <w:t> Proportion of non</w:t>
      </w:r>
      <w:r w:rsidRPr="006D40BD">
        <w:rPr>
          <w:rFonts w:ascii="Times New Roman" w:eastAsia="Times New Roman" w:hAnsi="Times New Roman" w:cs="Times New Roman"/>
          <w:color w:val="0F1115"/>
          <w:sz w:val="24"/>
          <w:szCs w:val="24"/>
        </w:rPr>
        <w:noBreakHyphen/>
        <w:t>outbreak weeks correctly identified.</w:t>
      </w:r>
    </w:p>
    <w:p w:rsidR="006D40BD" w:rsidRDefault="00220797" w:rsidP="00AC459B">
      <w:pPr>
        <w:pStyle w:val="ListParagraph"/>
        <w:numPr>
          <w:ilvl w:val="0"/>
          <w:numId w:val="7"/>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Positive Predictive Value (PPV, Precision):</w:t>
      </w:r>
      <w:r w:rsidRPr="006D40BD">
        <w:rPr>
          <w:rFonts w:ascii="Times New Roman" w:eastAsia="Times New Roman" w:hAnsi="Times New Roman" w:cs="Times New Roman"/>
          <w:color w:val="0F1115"/>
          <w:sz w:val="24"/>
          <w:szCs w:val="24"/>
        </w:rPr>
        <w:t> Proportion of predicted outbreak weeks that were actual outbreaks.</w:t>
      </w:r>
    </w:p>
    <w:p w:rsidR="006D40BD" w:rsidRDefault="00220797" w:rsidP="00AC459B">
      <w:pPr>
        <w:pStyle w:val="ListParagraph"/>
        <w:numPr>
          <w:ilvl w:val="0"/>
          <w:numId w:val="7"/>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Negative Predictive Value (NPV):</w:t>
      </w:r>
      <w:r w:rsidRPr="006D40BD">
        <w:rPr>
          <w:rFonts w:ascii="Times New Roman" w:eastAsia="Times New Roman" w:hAnsi="Times New Roman" w:cs="Times New Roman"/>
          <w:color w:val="0F1115"/>
          <w:sz w:val="24"/>
          <w:szCs w:val="24"/>
        </w:rPr>
        <w:t> Proportion of predicted non</w:t>
      </w:r>
      <w:r w:rsidRPr="006D40BD">
        <w:rPr>
          <w:rFonts w:ascii="Times New Roman" w:eastAsia="Times New Roman" w:hAnsi="Times New Roman" w:cs="Times New Roman"/>
          <w:color w:val="0F1115"/>
          <w:sz w:val="24"/>
          <w:szCs w:val="24"/>
        </w:rPr>
        <w:noBreakHyphen/>
        <w:t>outbreak weeks that were actual non</w:t>
      </w:r>
      <w:r w:rsidRPr="006D40BD">
        <w:rPr>
          <w:rFonts w:ascii="Times New Roman" w:eastAsia="Times New Roman" w:hAnsi="Times New Roman" w:cs="Times New Roman"/>
          <w:color w:val="0F1115"/>
          <w:sz w:val="24"/>
          <w:szCs w:val="24"/>
        </w:rPr>
        <w:noBreakHyphen/>
        <w:t>outbreaks.</w:t>
      </w:r>
    </w:p>
    <w:p w:rsidR="006D40BD" w:rsidRDefault="00220797" w:rsidP="00AC459B">
      <w:pPr>
        <w:pStyle w:val="ListParagraph"/>
        <w:numPr>
          <w:ilvl w:val="0"/>
          <w:numId w:val="7"/>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F1</w:t>
      </w:r>
      <w:r w:rsidRPr="006D40BD">
        <w:rPr>
          <w:rFonts w:ascii="Times New Roman" w:eastAsia="Times New Roman" w:hAnsi="Times New Roman" w:cs="Times New Roman"/>
          <w:bCs/>
          <w:color w:val="0F1115"/>
          <w:sz w:val="24"/>
          <w:szCs w:val="24"/>
        </w:rPr>
        <w:noBreakHyphen/>
        <w:t>score:</w:t>
      </w:r>
      <w:r w:rsidRPr="006D40BD">
        <w:rPr>
          <w:rFonts w:ascii="Times New Roman" w:eastAsia="Times New Roman" w:hAnsi="Times New Roman" w:cs="Times New Roman"/>
          <w:color w:val="0F1115"/>
          <w:sz w:val="24"/>
          <w:szCs w:val="24"/>
        </w:rPr>
        <w:t> Harmonic mean of precision and recall, providing a single balanced metric.</w:t>
      </w:r>
    </w:p>
    <w:p w:rsidR="00220797" w:rsidRPr="006D40BD" w:rsidRDefault="00220797" w:rsidP="00AC459B">
      <w:pPr>
        <w:pStyle w:val="ListParagraph"/>
        <w:numPr>
          <w:ilvl w:val="0"/>
          <w:numId w:val="7"/>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AUC</w:t>
      </w:r>
      <w:r w:rsidRPr="006D40BD">
        <w:rPr>
          <w:rFonts w:ascii="Times New Roman" w:eastAsia="Times New Roman" w:hAnsi="Times New Roman" w:cs="Times New Roman"/>
          <w:bCs/>
          <w:color w:val="0F1115"/>
          <w:sz w:val="24"/>
          <w:szCs w:val="24"/>
        </w:rPr>
        <w:noBreakHyphen/>
        <w:t>ROC:</w:t>
      </w:r>
      <w:r w:rsidRPr="006D40BD">
        <w:rPr>
          <w:rFonts w:ascii="Times New Roman" w:eastAsia="Times New Roman" w:hAnsi="Times New Roman" w:cs="Times New Roman"/>
          <w:color w:val="0F1115"/>
          <w:sz w:val="24"/>
          <w:szCs w:val="24"/>
        </w:rPr>
        <w:t> Area under the receiver operating characteristic curve, measuring the model’s ability to distinguish outbreak from non</w:t>
      </w:r>
      <w:r w:rsidRPr="006D40BD">
        <w:rPr>
          <w:rFonts w:ascii="Times New Roman" w:eastAsia="Times New Roman" w:hAnsi="Times New Roman" w:cs="Times New Roman"/>
          <w:color w:val="0F1115"/>
          <w:sz w:val="24"/>
          <w:szCs w:val="24"/>
        </w:rPr>
        <w:noBreakHyphen/>
        <w:t>outbreak weeks across all classification thresholds. The AUC</w:t>
      </w:r>
      <w:r w:rsidRPr="006D40BD">
        <w:rPr>
          <w:rFonts w:ascii="Times New Roman" w:eastAsia="Times New Roman" w:hAnsi="Times New Roman" w:cs="Times New Roman"/>
          <w:color w:val="0F1115"/>
          <w:sz w:val="24"/>
          <w:szCs w:val="24"/>
        </w:rPr>
        <w:noBreakHyphen/>
        <w:t>ROC is a threshold</w:t>
      </w:r>
      <w:r w:rsidRPr="006D40BD">
        <w:rPr>
          <w:rFonts w:ascii="Times New Roman" w:eastAsia="Times New Roman" w:hAnsi="Times New Roman" w:cs="Times New Roman"/>
          <w:color w:val="0F1115"/>
          <w:sz w:val="24"/>
          <w:szCs w:val="24"/>
        </w:rPr>
        <w:noBreakHyphen/>
        <w:t>independent measure of discriminative power, with values ranging from 0.5 (chance) to 1.0 (perfect classification).</w:t>
      </w:r>
    </w:p>
    <w:p w:rsidR="00220797"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Baseline comparison:</w:t>
      </w:r>
      <w:r w:rsidR="00220797" w:rsidRPr="00220797">
        <w:rPr>
          <w:rFonts w:ascii="Times New Roman" w:eastAsia="Times New Roman" w:hAnsi="Times New Roman" w:cs="Times New Roman"/>
          <w:color w:val="0F1115"/>
          <w:sz w:val="24"/>
          <w:szCs w:val="24"/>
        </w:rPr>
        <w:t> To assess the added value of integrating indigenous indicators, a </w:t>
      </w:r>
      <w:r w:rsidR="00220797" w:rsidRPr="00220797">
        <w:rPr>
          <w:rFonts w:ascii="Times New Roman" w:eastAsia="Times New Roman" w:hAnsi="Times New Roman" w:cs="Times New Roman"/>
          <w:bCs/>
          <w:color w:val="0F1115"/>
          <w:sz w:val="24"/>
          <w:szCs w:val="24"/>
        </w:rPr>
        <w:t>climate</w:t>
      </w:r>
      <w:r w:rsidR="00220797" w:rsidRPr="00220797">
        <w:rPr>
          <w:rFonts w:ascii="Times New Roman" w:eastAsia="Times New Roman" w:hAnsi="Times New Roman" w:cs="Times New Roman"/>
          <w:bCs/>
          <w:color w:val="0F1115"/>
          <w:sz w:val="24"/>
          <w:szCs w:val="24"/>
        </w:rPr>
        <w:noBreakHyphen/>
        <w:t>only model</w:t>
      </w:r>
      <w:r w:rsidR="00220797" w:rsidRPr="00220797">
        <w:rPr>
          <w:rFonts w:ascii="Times New Roman" w:eastAsia="Times New Roman" w:hAnsi="Times New Roman" w:cs="Times New Roman"/>
          <w:color w:val="0F1115"/>
          <w:sz w:val="24"/>
          <w:szCs w:val="24"/>
        </w:rPr>
        <w:t> (using rainfall, LST, and topographic data only) is trained using the same algorithms and evaluation framework. The performance of the </w:t>
      </w:r>
      <w:r w:rsidR="00220797" w:rsidRPr="00220797">
        <w:rPr>
          <w:rFonts w:ascii="Times New Roman" w:eastAsia="Times New Roman" w:hAnsi="Times New Roman" w:cs="Times New Roman"/>
          <w:bCs/>
          <w:color w:val="0F1115"/>
          <w:sz w:val="24"/>
          <w:szCs w:val="24"/>
        </w:rPr>
        <w:t>integrated model</w:t>
      </w:r>
      <w:r w:rsidR="00220797" w:rsidRPr="00220797">
        <w:rPr>
          <w:rFonts w:ascii="Times New Roman" w:eastAsia="Times New Roman" w:hAnsi="Times New Roman" w:cs="Times New Roman"/>
          <w:color w:val="0F1115"/>
          <w:sz w:val="24"/>
          <w:szCs w:val="24"/>
        </w:rPr>
        <w:t xml:space="preserve"> (indigenous + climate) is compared against this baseline using the DeLong test for paired ROC curves (DeLong et al., 1988), with statistical significance set at α = 0.05. Feature importance is examined using SHAP (SHapley Additive exPlanations; Lundberg &amp; Lee, 2017) to identify which indigenous </w:t>
      </w:r>
      <w:r w:rsidR="00220797" w:rsidRPr="00220797">
        <w:rPr>
          <w:rFonts w:ascii="Times New Roman" w:eastAsia="Times New Roman" w:hAnsi="Times New Roman" w:cs="Times New Roman"/>
          <w:color w:val="0F1115"/>
          <w:sz w:val="24"/>
          <w:szCs w:val="24"/>
        </w:rPr>
        <w:lastRenderedPageBreak/>
        <w:t>indicators contribute most to the model’s predictions and to assess consistency with the qualitative findings from Phase 1.</w:t>
      </w:r>
    </w:p>
    <w:p w:rsidR="00220797" w:rsidRPr="00220797" w:rsidRDefault="00220797" w:rsidP="006D40BD">
      <w:pPr>
        <w:shd w:val="clear" w:color="auto" w:fill="FFFFFF"/>
        <w:spacing w:after="120"/>
        <w:jc w:val="both"/>
        <w:outlineLvl w:val="2"/>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2.5 Phase 3: Co</w:t>
      </w:r>
      <w:r w:rsidRPr="00220797">
        <w:rPr>
          <w:rFonts w:ascii="Times New Roman" w:eastAsia="Times New Roman" w:hAnsi="Times New Roman" w:cs="Times New Roman"/>
          <w:bCs/>
          <w:color w:val="0F1115"/>
          <w:sz w:val="24"/>
          <w:szCs w:val="24"/>
        </w:rPr>
        <w:noBreakHyphen/>
        <w:t>Design and Pilot Testing of Digital Surveillance Tool</w:t>
      </w:r>
    </w:p>
    <w:p w:rsidR="00220797" w:rsidRPr="00220797" w:rsidRDefault="00220797" w:rsidP="006D40BD">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2.5.1 Participatory Design Workshops</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Two </w:t>
      </w:r>
      <w:r w:rsidRPr="00220797">
        <w:rPr>
          <w:rFonts w:ascii="Times New Roman" w:eastAsia="Times New Roman" w:hAnsi="Times New Roman" w:cs="Times New Roman"/>
          <w:bCs/>
          <w:color w:val="0F1115"/>
          <w:sz w:val="24"/>
          <w:szCs w:val="24"/>
        </w:rPr>
        <w:t>participatory design workshops</w:t>
      </w:r>
      <w:r w:rsidRPr="00220797">
        <w:rPr>
          <w:rFonts w:ascii="Times New Roman" w:eastAsia="Times New Roman" w:hAnsi="Times New Roman" w:cs="Times New Roman"/>
          <w:color w:val="0F1115"/>
          <w:sz w:val="24"/>
          <w:szCs w:val="24"/>
        </w:rPr>
        <w:t> are conducted, each lasting 3–4 hours, with a total of </w:t>
      </w:r>
      <w:r w:rsidRPr="00220797">
        <w:rPr>
          <w:rFonts w:ascii="Times New Roman" w:eastAsia="Times New Roman" w:hAnsi="Times New Roman" w:cs="Times New Roman"/>
          <w:bCs/>
          <w:color w:val="0F1115"/>
          <w:sz w:val="24"/>
          <w:szCs w:val="24"/>
        </w:rPr>
        <w:t>15 participants</w:t>
      </w:r>
      <w:r w:rsidRPr="00220797">
        <w:rPr>
          <w:rFonts w:ascii="Times New Roman" w:eastAsia="Times New Roman" w:hAnsi="Times New Roman" w:cs="Times New Roman"/>
          <w:color w:val="0F1115"/>
          <w:sz w:val="24"/>
          <w:szCs w:val="24"/>
        </w:rPr>
        <w:t> representing key stakeholder groups: community health workers (n = 5), indigenous knowledge holders (community elders, n = 5), and youth with basic mobile phone literacy (n = 5). The inclusion of youth ensures that the tool is accessible to younger users who may be responsible for digital reporting, while elders provide content validation.</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The workshops follow the </w:t>
      </w:r>
      <w:r w:rsidRPr="00220797">
        <w:rPr>
          <w:rFonts w:ascii="Times New Roman" w:eastAsia="Times New Roman" w:hAnsi="Times New Roman" w:cs="Times New Roman"/>
          <w:bCs/>
          <w:color w:val="0F1115"/>
          <w:sz w:val="24"/>
          <w:szCs w:val="24"/>
        </w:rPr>
        <w:t xml:space="preserve">ISR (Identify, Specify, </w:t>
      </w:r>
      <w:r w:rsidR="006D40BD">
        <w:rPr>
          <w:rFonts w:ascii="Times New Roman" w:eastAsia="Times New Roman" w:hAnsi="Times New Roman" w:cs="Times New Roman"/>
          <w:bCs/>
          <w:color w:val="0F1115"/>
          <w:sz w:val="24"/>
          <w:szCs w:val="24"/>
        </w:rPr>
        <w:t xml:space="preserve">and </w:t>
      </w:r>
      <w:r w:rsidRPr="00220797">
        <w:rPr>
          <w:rFonts w:ascii="Times New Roman" w:eastAsia="Times New Roman" w:hAnsi="Times New Roman" w:cs="Times New Roman"/>
          <w:bCs/>
          <w:color w:val="0F1115"/>
          <w:sz w:val="24"/>
          <w:szCs w:val="24"/>
        </w:rPr>
        <w:t>Refine) iterative co</w:t>
      </w:r>
      <w:r w:rsidRPr="00220797">
        <w:rPr>
          <w:rFonts w:ascii="Times New Roman" w:eastAsia="Times New Roman" w:hAnsi="Times New Roman" w:cs="Times New Roman"/>
          <w:bCs/>
          <w:color w:val="0F1115"/>
          <w:sz w:val="24"/>
          <w:szCs w:val="24"/>
        </w:rPr>
        <w:noBreakHyphen/>
        <w:t>design framework</w:t>
      </w:r>
      <w:r w:rsidRPr="00220797">
        <w:rPr>
          <w:rFonts w:ascii="Times New Roman" w:eastAsia="Times New Roman" w:hAnsi="Times New Roman" w:cs="Times New Roman"/>
          <w:color w:val="0F1115"/>
          <w:sz w:val="24"/>
          <w:szCs w:val="24"/>
        </w:rPr>
        <w:t> (Catalani et al., 2011; Ndiaye, 2024). In Workshop 1, participants review the indigenous indicators identified in Phase 1, discuss their relevance for early warning, and sketch </w:t>
      </w:r>
      <w:r w:rsidRPr="00220797">
        <w:rPr>
          <w:rFonts w:ascii="Times New Roman" w:eastAsia="Times New Roman" w:hAnsi="Times New Roman" w:cs="Times New Roman"/>
          <w:bCs/>
          <w:color w:val="0F1115"/>
          <w:sz w:val="24"/>
          <w:szCs w:val="24"/>
        </w:rPr>
        <w:t>low</w:t>
      </w:r>
      <w:r w:rsidRPr="00220797">
        <w:rPr>
          <w:rFonts w:ascii="Times New Roman" w:eastAsia="Times New Roman" w:hAnsi="Times New Roman" w:cs="Times New Roman"/>
          <w:bCs/>
          <w:color w:val="0F1115"/>
          <w:sz w:val="24"/>
          <w:szCs w:val="24"/>
        </w:rPr>
        <w:noBreakHyphen/>
        <w:t>fidelity prototypes</w:t>
      </w:r>
      <w:r w:rsidRPr="00220797">
        <w:rPr>
          <w:rFonts w:ascii="Times New Roman" w:eastAsia="Times New Roman" w:hAnsi="Times New Roman" w:cs="Times New Roman"/>
          <w:color w:val="0F1115"/>
          <w:sz w:val="24"/>
          <w:szCs w:val="24"/>
        </w:rPr>
        <w:t> on paper. In Workshop 2, a functional </w:t>
      </w:r>
      <w:r w:rsidRPr="00220797">
        <w:rPr>
          <w:rFonts w:ascii="Times New Roman" w:eastAsia="Times New Roman" w:hAnsi="Times New Roman" w:cs="Times New Roman"/>
          <w:bCs/>
          <w:color w:val="0F1115"/>
          <w:sz w:val="24"/>
          <w:szCs w:val="24"/>
        </w:rPr>
        <w:t>high</w:t>
      </w:r>
      <w:r w:rsidRPr="00220797">
        <w:rPr>
          <w:rFonts w:ascii="Times New Roman" w:eastAsia="Times New Roman" w:hAnsi="Times New Roman" w:cs="Times New Roman"/>
          <w:bCs/>
          <w:color w:val="0F1115"/>
          <w:sz w:val="24"/>
          <w:szCs w:val="24"/>
        </w:rPr>
        <w:noBreakHyphen/>
        <w:t>fidelity prototype</w:t>
      </w:r>
      <w:r w:rsidRPr="00220797">
        <w:rPr>
          <w:rFonts w:ascii="Times New Roman" w:eastAsia="Times New Roman" w:hAnsi="Times New Roman" w:cs="Times New Roman"/>
          <w:color w:val="0F1115"/>
          <w:sz w:val="24"/>
          <w:szCs w:val="24"/>
        </w:rPr>
        <w:t>—developed ba</w:t>
      </w:r>
      <w:r w:rsidR="006D40BD">
        <w:rPr>
          <w:rFonts w:ascii="Times New Roman" w:eastAsia="Times New Roman" w:hAnsi="Times New Roman" w:cs="Times New Roman"/>
          <w:color w:val="0F1115"/>
          <w:sz w:val="24"/>
          <w:szCs w:val="24"/>
        </w:rPr>
        <w:t xml:space="preserve">sed on feedback from Workshop 1 </w:t>
      </w:r>
      <w:r w:rsidRPr="00220797">
        <w:rPr>
          <w:rFonts w:ascii="Times New Roman" w:eastAsia="Times New Roman" w:hAnsi="Times New Roman" w:cs="Times New Roman"/>
          <w:color w:val="0F1115"/>
          <w:sz w:val="24"/>
          <w:szCs w:val="24"/>
        </w:rPr>
        <w:t>is demonstrated. Participants interact with the prototype, identify usability issues, and suggest refinements.</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Critical design requirements emerging from the workshops are:</w:t>
      </w:r>
    </w:p>
    <w:p w:rsidR="006D40BD" w:rsidRDefault="00220797" w:rsidP="00AC459B">
      <w:pPr>
        <w:pStyle w:val="ListParagraph"/>
        <w:numPr>
          <w:ilvl w:val="0"/>
          <w:numId w:val="6"/>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Language options:</w:t>
      </w:r>
      <w:r w:rsidRPr="006D40BD">
        <w:rPr>
          <w:rFonts w:ascii="Times New Roman" w:eastAsia="Times New Roman" w:hAnsi="Times New Roman" w:cs="Times New Roman"/>
          <w:color w:val="0F1115"/>
          <w:sz w:val="24"/>
          <w:szCs w:val="24"/>
        </w:rPr>
        <w:t> The interface must support </w:t>
      </w:r>
      <w:r w:rsidRPr="006D40BD">
        <w:rPr>
          <w:rFonts w:ascii="Times New Roman" w:eastAsia="Times New Roman" w:hAnsi="Times New Roman" w:cs="Times New Roman"/>
          <w:bCs/>
          <w:color w:val="0F1115"/>
          <w:sz w:val="24"/>
          <w:szCs w:val="24"/>
        </w:rPr>
        <w:t>Afan Oromo, Somali, Amharic, and English</w:t>
      </w:r>
      <w:r w:rsidRPr="006D40BD">
        <w:rPr>
          <w:rFonts w:ascii="Times New Roman" w:eastAsia="Times New Roman" w:hAnsi="Times New Roman" w:cs="Times New Roman"/>
          <w:color w:val="0F1115"/>
          <w:sz w:val="24"/>
          <w:szCs w:val="24"/>
        </w:rPr>
        <w:t>, with a simple toggle switch.</w:t>
      </w:r>
    </w:p>
    <w:p w:rsidR="006D40BD" w:rsidRDefault="00220797" w:rsidP="00AC459B">
      <w:pPr>
        <w:pStyle w:val="ListParagraph"/>
        <w:numPr>
          <w:ilvl w:val="0"/>
          <w:numId w:val="6"/>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Low</w:t>
      </w:r>
      <w:r w:rsidRPr="006D40BD">
        <w:rPr>
          <w:rFonts w:ascii="Times New Roman" w:eastAsia="Times New Roman" w:hAnsi="Times New Roman" w:cs="Times New Roman"/>
          <w:bCs/>
          <w:color w:val="0F1115"/>
          <w:sz w:val="24"/>
          <w:szCs w:val="24"/>
        </w:rPr>
        <w:noBreakHyphen/>
        <w:t>literacy accessibility:</w:t>
      </w:r>
      <w:r w:rsidRPr="006D40BD">
        <w:rPr>
          <w:rFonts w:ascii="Times New Roman" w:eastAsia="Times New Roman" w:hAnsi="Times New Roman" w:cs="Times New Roman"/>
          <w:color w:val="0F1115"/>
          <w:sz w:val="24"/>
          <w:szCs w:val="24"/>
        </w:rPr>
        <w:t> Given that functional literacy rates can be modest among older participants, </w:t>
      </w:r>
      <w:r w:rsidRPr="006D40BD">
        <w:rPr>
          <w:rFonts w:ascii="Times New Roman" w:eastAsia="Times New Roman" w:hAnsi="Times New Roman" w:cs="Times New Roman"/>
          <w:bCs/>
          <w:color w:val="0F1115"/>
          <w:sz w:val="24"/>
          <w:szCs w:val="24"/>
        </w:rPr>
        <w:t>voice input</w:t>
      </w:r>
      <w:r w:rsidRPr="006D40BD">
        <w:rPr>
          <w:rFonts w:ascii="Times New Roman" w:eastAsia="Times New Roman" w:hAnsi="Times New Roman" w:cs="Times New Roman"/>
          <w:color w:val="0F1115"/>
          <w:sz w:val="24"/>
          <w:szCs w:val="24"/>
        </w:rPr>
        <w:t> (speech</w:t>
      </w:r>
      <w:r w:rsidRPr="006D40BD">
        <w:rPr>
          <w:rFonts w:ascii="Times New Roman" w:eastAsia="Times New Roman" w:hAnsi="Times New Roman" w:cs="Times New Roman"/>
          <w:color w:val="0F1115"/>
          <w:sz w:val="24"/>
          <w:szCs w:val="24"/>
        </w:rPr>
        <w:noBreakHyphen/>
        <w:t>to</w:t>
      </w:r>
      <w:r w:rsidRPr="006D40BD">
        <w:rPr>
          <w:rFonts w:ascii="Times New Roman" w:eastAsia="Times New Roman" w:hAnsi="Times New Roman" w:cs="Times New Roman"/>
          <w:color w:val="0F1115"/>
          <w:sz w:val="24"/>
          <w:szCs w:val="24"/>
        </w:rPr>
        <w:noBreakHyphen/>
        <w:t>text) is prioritised over text entry for reporting indicators. Icons and pictograms supplement text labels.</w:t>
      </w:r>
    </w:p>
    <w:p w:rsidR="00220797" w:rsidRPr="006D40BD" w:rsidRDefault="00220797" w:rsidP="00AC459B">
      <w:pPr>
        <w:pStyle w:val="ListParagraph"/>
        <w:numPr>
          <w:ilvl w:val="0"/>
          <w:numId w:val="6"/>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Off</w:t>
      </w:r>
      <w:r w:rsidRPr="006D40BD">
        <w:rPr>
          <w:rFonts w:ascii="Times New Roman" w:eastAsia="Times New Roman" w:hAnsi="Times New Roman" w:cs="Times New Roman"/>
          <w:bCs/>
          <w:color w:val="0F1115"/>
          <w:sz w:val="24"/>
          <w:szCs w:val="24"/>
        </w:rPr>
        <w:noBreakHyphen/>
        <w:t>line capability:</w:t>
      </w:r>
      <w:r w:rsidRPr="006D40BD">
        <w:rPr>
          <w:rFonts w:ascii="Times New Roman" w:eastAsia="Times New Roman" w:hAnsi="Times New Roman" w:cs="Times New Roman"/>
          <w:color w:val="0F1115"/>
          <w:sz w:val="24"/>
          <w:szCs w:val="24"/>
        </w:rPr>
        <w:t> The mobile application must function </w:t>
      </w:r>
      <w:r w:rsidRPr="006D40BD">
        <w:rPr>
          <w:rFonts w:ascii="Times New Roman" w:eastAsia="Times New Roman" w:hAnsi="Times New Roman" w:cs="Times New Roman"/>
          <w:bCs/>
          <w:color w:val="0F1115"/>
          <w:sz w:val="24"/>
          <w:szCs w:val="24"/>
        </w:rPr>
        <w:t>off</w:t>
      </w:r>
      <w:r w:rsidRPr="006D40BD">
        <w:rPr>
          <w:rFonts w:ascii="Times New Roman" w:eastAsia="Times New Roman" w:hAnsi="Times New Roman" w:cs="Times New Roman"/>
          <w:bCs/>
          <w:color w:val="0F1115"/>
          <w:sz w:val="24"/>
          <w:szCs w:val="24"/>
        </w:rPr>
        <w:noBreakHyphen/>
        <w:t>line</w:t>
      </w:r>
      <w:r w:rsidRPr="006D40BD">
        <w:rPr>
          <w:rFonts w:ascii="Times New Roman" w:eastAsia="Times New Roman" w:hAnsi="Times New Roman" w:cs="Times New Roman"/>
          <w:color w:val="0F1115"/>
          <w:sz w:val="24"/>
          <w:szCs w:val="24"/>
        </w:rPr>
        <w:t> and synchronise data when an internet connection becomes available, given intermittent network coverage in peri</w:t>
      </w:r>
      <w:r w:rsidRPr="006D40BD">
        <w:rPr>
          <w:rFonts w:ascii="Times New Roman" w:eastAsia="Times New Roman" w:hAnsi="Times New Roman" w:cs="Times New Roman"/>
          <w:color w:val="0F1115"/>
          <w:sz w:val="24"/>
          <w:szCs w:val="24"/>
        </w:rPr>
        <w:noBreakHyphen/>
        <w:t>urban and rural kebeles.</w:t>
      </w:r>
    </w:p>
    <w:p w:rsidR="00220797" w:rsidRPr="00220797" w:rsidRDefault="00220797" w:rsidP="00220797">
      <w:pPr>
        <w:shd w:val="clear" w:color="auto" w:fill="FFFFFF"/>
        <w:spacing w:after="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2.5.2 Mobile Tool Features</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The final mobile application, provisionally named </w:t>
      </w:r>
      <w:r w:rsidRPr="00220797">
        <w:rPr>
          <w:rFonts w:ascii="Times New Roman" w:eastAsia="Times New Roman" w:hAnsi="Times New Roman" w:cs="Times New Roman"/>
          <w:bCs/>
          <w:color w:val="0F1115"/>
          <w:sz w:val="24"/>
          <w:szCs w:val="24"/>
        </w:rPr>
        <w:t>“MalariaSentry”</w:t>
      </w:r>
      <w:r w:rsidRPr="00220797">
        <w:rPr>
          <w:rFonts w:ascii="Times New Roman" w:eastAsia="Times New Roman" w:hAnsi="Times New Roman" w:cs="Times New Roman"/>
          <w:color w:val="0F1115"/>
          <w:sz w:val="24"/>
          <w:szCs w:val="24"/>
        </w:rPr>
        <w:t>, is developed for the </w:t>
      </w:r>
      <w:r w:rsidRPr="00220797">
        <w:rPr>
          <w:rFonts w:ascii="Times New Roman" w:eastAsia="Times New Roman" w:hAnsi="Times New Roman" w:cs="Times New Roman"/>
          <w:bCs/>
          <w:color w:val="0F1115"/>
          <w:sz w:val="24"/>
          <w:szCs w:val="24"/>
        </w:rPr>
        <w:t>Android</w:t>
      </w:r>
      <w:r w:rsidRPr="00220797">
        <w:rPr>
          <w:rFonts w:ascii="Times New Roman" w:eastAsia="Times New Roman" w:hAnsi="Times New Roman" w:cs="Times New Roman"/>
          <w:color w:val="0F1115"/>
          <w:sz w:val="24"/>
          <w:szCs w:val="24"/>
        </w:rPr>
        <w:t> operating system (minimum version 10.0) using a cross</w:t>
      </w:r>
      <w:r w:rsidRPr="00220797">
        <w:rPr>
          <w:rFonts w:ascii="Times New Roman" w:eastAsia="Times New Roman" w:hAnsi="Times New Roman" w:cs="Times New Roman"/>
          <w:color w:val="0F1115"/>
          <w:sz w:val="24"/>
          <w:szCs w:val="24"/>
        </w:rPr>
        <w:noBreakHyphen/>
        <w:t>platform framework. The tool comprises three tightly integrated modules:</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1. Community reporting interface.</w:t>
      </w:r>
      <w:r w:rsidRPr="00220797">
        <w:rPr>
          <w:rFonts w:ascii="Times New Roman" w:eastAsia="Times New Roman" w:hAnsi="Times New Roman" w:cs="Times New Roman"/>
          <w:color w:val="0F1115"/>
          <w:sz w:val="24"/>
          <w:szCs w:val="24"/>
        </w:rPr>
        <w:t> Designed for household</w:t>
      </w:r>
      <w:r w:rsidRPr="00220797">
        <w:rPr>
          <w:rFonts w:ascii="Times New Roman" w:eastAsia="Times New Roman" w:hAnsi="Times New Roman" w:cs="Times New Roman"/>
          <w:color w:val="0F1115"/>
          <w:sz w:val="24"/>
          <w:szCs w:val="24"/>
        </w:rPr>
        <w:noBreakHyphen/>
        <w:t>level reporting, this module allows users to:</w:t>
      </w:r>
    </w:p>
    <w:p w:rsidR="006D40BD" w:rsidRDefault="00220797" w:rsidP="00AC459B">
      <w:pPr>
        <w:pStyle w:val="ListParagraph"/>
        <w:numPr>
          <w:ilvl w:val="0"/>
          <w:numId w:val="8"/>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color w:val="0F1115"/>
          <w:sz w:val="24"/>
          <w:szCs w:val="24"/>
        </w:rPr>
        <w:t>Report the presence or absence of each indigenous indicator (12 binary/ordinal variables) through a simple “YES/NO” button or voice</w:t>
      </w:r>
      <w:r w:rsidRPr="006D40BD">
        <w:rPr>
          <w:rFonts w:ascii="Times New Roman" w:eastAsia="Times New Roman" w:hAnsi="Times New Roman" w:cs="Times New Roman"/>
          <w:color w:val="0F1115"/>
          <w:sz w:val="24"/>
          <w:szCs w:val="24"/>
        </w:rPr>
        <w:noBreakHyphen/>
        <w:t>enabled form;</w:t>
      </w:r>
    </w:p>
    <w:p w:rsidR="006D40BD" w:rsidRDefault="00220797" w:rsidP="00AC459B">
      <w:pPr>
        <w:pStyle w:val="ListParagraph"/>
        <w:numPr>
          <w:ilvl w:val="0"/>
          <w:numId w:val="8"/>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color w:val="0F1115"/>
          <w:sz w:val="24"/>
          <w:szCs w:val="24"/>
        </w:rPr>
        <w:t>Upload geotagged photographs of mosquito breeding sites (with consent);</w:t>
      </w:r>
    </w:p>
    <w:p w:rsidR="006D40BD" w:rsidRDefault="00220797" w:rsidP="00AC459B">
      <w:pPr>
        <w:pStyle w:val="ListParagraph"/>
        <w:numPr>
          <w:ilvl w:val="0"/>
          <w:numId w:val="8"/>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color w:val="0F1115"/>
          <w:sz w:val="24"/>
          <w:szCs w:val="24"/>
        </w:rPr>
        <w:t>Report suspected malaria cases in the household (age</w:t>
      </w:r>
      <w:r w:rsidRPr="006D40BD">
        <w:rPr>
          <w:rFonts w:ascii="Times New Roman" w:eastAsia="Times New Roman" w:hAnsi="Times New Roman" w:cs="Times New Roman"/>
          <w:color w:val="0F1115"/>
          <w:sz w:val="24"/>
          <w:szCs w:val="24"/>
        </w:rPr>
        <w:noBreakHyphen/>
        <w:t>specific tick boxes);</w:t>
      </w:r>
    </w:p>
    <w:p w:rsidR="00220797" w:rsidRPr="006D40BD" w:rsidRDefault="00220797" w:rsidP="00AC459B">
      <w:pPr>
        <w:pStyle w:val="ListParagraph"/>
        <w:numPr>
          <w:ilvl w:val="0"/>
          <w:numId w:val="8"/>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color w:val="0F1115"/>
          <w:sz w:val="24"/>
          <w:szCs w:val="24"/>
        </w:rPr>
        <w:t>Submit data with a single “submit” button; all transmissions occur in encrypted batches.</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lastRenderedPageBreak/>
        <w:t>Voice input for low-literacy users is supported through a Text</w:t>
      </w:r>
      <w:r w:rsidRPr="00220797">
        <w:rPr>
          <w:rFonts w:ascii="Times New Roman" w:eastAsia="Times New Roman" w:hAnsi="Times New Roman" w:cs="Times New Roman"/>
          <w:color w:val="0F1115"/>
          <w:sz w:val="24"/>
          <w:szCs w:val="24"/>
        </w:rPr>
        <w:noBreakHyphen/>
        <w:t>to</w:t>
      </w:r>
      <w:r w:rsidRPr="00220797">
        <w:rPr>
          <w:rFonts w:ascii="Times New Roman" w:eastAsia="Times New Roman" w:hAnsi="Times New Roman" w:cs="Times New Roman"/>
          <w:color w:val="0F1115"/>
          <w:sz w:val="24"/>
          <w:szCs w:val="24"/>
        </w:rPr>
        <w:noBreakHyphen/>
        <w:t>Speech and Automatic Speech Recognition (ASR) pipeline (Chen et al., 2019). The interface uses simple icons and pictograms to supplement text labels.</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2. Push notification for risk alerts.</w:t>
      </w:r>
      <w:r w:rsidRPr="00220797">
        <w:rPr>
          <w:rFonts w:ascii="Times New Roman" w:eastAsia="Times New Roman" w:hAnsi="Times New Roman" w:cs="Times New Roman"/>
          <w:color w:val="0F1115"/>
          <w:sz w:val="24"/>
          <w:szCs w:val="24"/>
        </w:rPr>
        <w:t> When the trained ML model predicts elevated malaria risk for a specific kebele in the upcoming week, the system automatically generates a push notification to all registered smart</w:t>
      </w:r>
      <w:r w:rsidRPr="00220797">
        <w:rPr>
          <w:rFonts w:ascii="Times New Roman" w:eastAsia="Times New Roman" w:hAnsi="Times New Roman" w:cs="Times New Roman"/>
          <w:color w:val="0F1115"/>
          <w:sz w:val="24"/>
          <w:szCs w:val="24"/>
        </w:rPr>
        <w:noBreakHyphen/>
        <w:t>devices in that kebele (with an optional SMS fallback for basic/feature phones). Notifications are delivered in the user’s chosen language and specify actionable recommendations (e.g., “Clean stagnant water containers around your home in the next 48 hours”).</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3. Dashboard for health workers (MW+Web).</w:t>
      </w:r>
      <w:r w:rsidRPr="00220797">
        <w:rPr>
          <w:rFonts w:ascii="Times New Roman" w:eastAsia="Times New Roman" w:hAnsi="Times New Roman" w:cs="Times New Roman"/>
          <w:color w:val="0F1115"/>
          <w:sz w:val="24"/>
          <w:szCs w:val="24"/>
        </w:rPr>
        <w:t> A secure web dashboard provides health extension workers and district surveillance officers with:</w:t>
      </w:r>
    </w:p>
    <w:p w:rsidR="006D40BD" w:rsidRDefault="00220797" w:rsidP="00AC459B">
      <w:pPr>
        <w:pStyle w:val="ListParagraph"/>
        <w:numPr>
          <w:ilvl w:val="0"/>
          <w:numId w:val="10"/>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color w:val="0F1115"/>
          <w:sz w:val="24"/>
          <w:szCs w:val="24"/>
        </w:rPr>
        <w:t>Real</w:t>
      </w:r>
      <w:r w:rsidRPr="006D40BD">
        <w:rPr>
          <w:rFonts w:ascii="Times New Roman" w:eastAsia="Times New Roman" w:hAnsi="Times New Roman" w:cs="Times New Roman"/>
          <w:color w:val="0F1115"/>
          <w:sz w:val="24"/>
          <w:szCs w:val="24"/>
        </w:rPr>
        <w:noBreakHyphen/>
        <w:t>time aggregation of community</w:t>
      </w:r>
      <w:r w:rsidRPr="006D40BD">
        <w:rPr>
          <w:rFonts w:ascii="Times New Roman" w:eastAsia="Times New Roman" w:hAnsi="Times New Roman" w:cs="Times New Roman"/>
          <w:color w:val="0F1115"/>
          <w:sz w:val="24"/>
          <w:szCs w:val="24"/>
        </w:rPr>
        <w:noBreakHyphen/>
        <w:t>reported indigenous indicators and suspected cases;</w:t>
      </w:r>
    </w:p>
    <w:p w:rsidR="006D40BD" w:rsidRDefault="00220797" w:rsidP="00AC459B">
      <w:pPr>
        <w:pStyle w:val="ListParagraph"/>
        <w:numPr>
          <w:ilvl w:val="0"/>
          <w:numId w:val="10"/>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color w:val="0F1115"/>
          <w:sz w:val="24"/>
          <w:szCs w:val="24"/>
        </w:rPr>
        <w:t>Spatiotemporal risk maps (1 × 1 km grid cells) colour</w:t>
      </w:r>
      <w:r w:rsidRPr="006D40BD">
        <w:rPr>
          <w:rFonts w:ascii="Times New Roman" w:eastAsia="Times New Roman" w:hAnsi="Times New Roman" w:cs="Times New Roman"/>
          <w:color w:val="0F1115"/>
          <w:sz w:val="24"/>
          <w:szCs w:val="24"/>
        </w:rPr>
        <w:noBreakHyphen/>
        <w:t>coded by predicted outbreak probability (low, medium, high);</w:t>
      </w:r>
    </w:p>
    <w:p w:rsidR="006D40BD" w:rsidRDefault="00220797" w:rsidP="00AC459B">
      <w:pPr>
        <w:pStyle w:val="ListParagraph"/>
        <w:numPr>
          <w:ilvl w:val="0"/>
          <w:numId w:val="10"/>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color w:val="0F1115"/>
          <w:sz w:val="24"/>
          <w:szCs w:val="24"/>
        </w:rPr>
        <w:t>Comparison of predicted vs. observed cases by kebele;</w:t>
      </w:r>
    </w:p>
    <w:p w:rsidR="00220797" w:rsidRPr="006D40BD" w:rsidRDefault="00220797" w:rsidP="00AC459B">
      <w:pPr>
        <w:pStyle w:val="ListParagraph"/>
        <w:numPr>
          <w:ilvl w:val="0"/>
          <w:numId w:val="10"/>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color w:val="0F1115"/>
          <w:sz w:val="24"/>
          <w:szCs w:val="24"/>
        </w:rPr>
        <w:t>Automated weekly summary reports ready for submission to the DHIS2 platform (DHIS2, 2025).</w:t>
      </w:r>
    </w:p>
    <w:p w:rsidR="00220797" w:rsidRPr="00220797" w:rsidRDefault="00220797" w:rsidP="006D40BD">
      <w:pPr>
        <w:shd w:val="clear" w:color="auto" w:fill="FFFFFF"/>
        <w:spacing w:after="120"/>
        <w:jc w:val="both"/>
        <w:outlineLvl w:val="3"/>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2.5.3 Pilot Implementation</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A </w:t>
      </w:r>
      <w:r w:rsidRPr="00220797">
        <w:rPr>
          <w:rFonts w:ascii="Times New Roman" w:eastAsia="Times New Roman" w:hAnsi="Times New Roman" w:cs="Times New Roman"/>
          <w:bCs/>
          <w:color w:val="0F1115"/>
          <w:sz w:val="24"/>
          <w:szCs w:val="24"/>
        </w:rPr>
        <w:t>single</w:t>
      </w:r>
      <w:r w:rsidRPr="00220797">
        <w:rPr>
          <w:rFonts w:ascii="Times New Roman" w:eastAsia="Times New Roman" w:hAnsi="Times New Roman" w:cs="Times New Roman"/>
          <w:bCs/>
          <w:color w:val="0F1115"/>
          <w:sz w:val="24"/>
          <w:szCs w:val="24"/>
        </w:rPr>
        <w:noBreakHyphen/>
        <w:t>arm pilot feasibility study</w:t>
      </w:r>
      <w:r w:rsidRPr="00220797">
        <w:rPr>
          <w:rFonts w:ascii="Times New Roman" w:eastAsia="Times New Roman" w:hAnsi="Times New Roman" w:cs="Times New Roman"/>
          <w:color w:val="0F1115"/>
          <w:sz w:val="24"/>
          <w:szCs w:val="24"/>
        </w:rPr>
        <w:t> is conducted over </w:t>
      </w:r>
      <w:r w:rsidRPr="00220797">
        <w:rPr>
          <w:rFonts w:ascii="Times New Roman" w:eastAsia="Times New Roman" w:hAnsi="Times New Roman" w:cs="Times New Roman"/>
          <w:bCs/>
          <w:color w:val="0F1115"/>
          <w:sz w:val="24"/>
          <w:szCs w:val="24"/>
        </w:rPr>
        <w:t>four months (one full malaria transmission season: September–December)</w:t>
      </w:r>
      <w:r w:rsidRPr="00220797">
        <w:rPr>
          <w:rFonts w:ascii="Times New Roman" w:eastAsia="Times New Roman" w:hAnsi="Times New Roman" w:cs="Times New Roman"/>
          <w:color w:val="0F1115"/>
          <w:sz w:val="24"/>
          <w:szCs w:val="24"/>
        </w:rPr>
        <w:t> . The pilot involves:</w:t>
      </w:r>
    </w:p>
    <w:p w:rsidR="006D40BD" w:rsidRDefault="00220797" w:rsidP="00AC459B">
      <w:pPr>
        <w:pStyle w:val="ListParagraph"/>
        <w:numPr>
          <w:ilvl w:val="0"/>
          <w:numId w:val="9"/>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20 community health workers (CHWs):</w:t>
      </w:r>
      <w:r w:rsidRPr="006D40BD">
        <w:rPr>
          <w:rFonts w:ascii="Times New Roman" w:eastAsia="Times New Roman" w:hAnsi="Times New Roman" w:cs="Times New Roman"/>
          <w:color w:val="0F1115"/>
          <w:sz w:val="24"/>
          <w:szCs w:val="24"/>
        </w:rPr>
        <w:t> Each CHW receives a study</w:t>
      </w:r>
      <w:r w:rsidRPr="006D40BD">
        <w:rPr>
          <w:rFonts w:ascii="Times New Roman" w:eastAsia="Times New Roman" w:hAnsi="Times New Roman" w:cs="Times New Roman"/>
          <w:color w:val="0F1115"/>
          <w:sz w:val="24"/>
          <w:szCs w:val="24"/>
        </w:rPr>
        <w:noBreakHyphen/>
        <w:t>provided smartphone with the MalariaSentry app pre</w:t>
      </w:r>
      <w:r w:rsidRPr="006D40BD">
        <w:rPr>
          <w:rFonts w:ascii="Times New Roman" w:eastAsia="Times New Roman" w:hAnsi="Times New Roman" w:cs="Times New Roman"/>
          <w:color w:val="0F1115"/>
          <w:sz w:val="24"/>
          <w:szCs w:val="24"/>
        </w:rPr>
        <w:noBreakHyphen/>
        <w:t>installed and undergoes a half</w:t>
      </w:r>
      <w:r w:rsidRPr="006D40BD">
        <w:rPr>
          <w:rFonts w:ascii="Times New Roman" w:eastAsia="Times New Roman" w:hAnsi="Times New Roman" w:cs="Times New Roman"/>
          <w:color w:val="0F1115"/>
          <w:sz w:val="24"/>
          <w:szCs w:val="24"/>
        </w:rPr>
        <w:noBreakHyphen/>
        <w:t>day training session on application use, ethical reporting, and the indigenous indicators.</w:t>
      </w:r>
    </w:p>
    <w:p w:rsidR="00220797" w:rsidRPr="006D40BD" w:rsidRDefault="00220797" w:rsidP="00AC459B">
      <w:pPr>
        <w:pStyle w:val="ListParagraph"/>
        <w:numPr>
          <w:ilvl w:val="0"/>
          <w:numId w:val="9"/>
        </w:numPr>
        <w:shd w:val="clear" w:color="auto" w:fill="FFFFFF"/>
        <w:spacing w:after="12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100 households:</w:t>
      </w:r>
      <w:r w:rsidRPr="006D40BD">
        <w:rPr>
          <w:rFonts w:ascii="Times New Roman" w:eastAsia="Times New Roman" w:hAnsi="Times New Roman" w:cs="Times New Roman"/>
          <w:color w:val="0F1115"/>
          <w:sz w:val="24"/>
          <w:szCs w:val="24"/>
        </w:rPr>
        <w:t> Five households are purposively selected by each CHW to represent diverse demographic and socioeconomic backgrounds. Households are provided with an instruction pamphlet (in their preferred language) and a dedicated telephone support number.</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Implementation proceeds in three stages: Weeks 1–2 focus on training, baseline data collection and troubleshooting; Weeks 3–16 feature active weekly reporting with technical support; and Weeks 13–16 are used for end</w:t>
      </w:r>
      <w:r w:rsidRPr="00220797">
        <w:rPr>
          <w:rFonts w:ascii="Times New Roman" w:eastAsia="Times New Roman" w:hAnsi="Times New Roman" w:cs="Times New Roman"/>
          <w:color w:val="0F1115"/>
          <w:sz w:val="24"/>
          <w:szCs w:val="24"/>
        </w:rPr>
        <w:noBreakHyphen/>
        <w:t>line evaluation.</w:t>
      </w:r>
    </w:p>
    <w:p w:rsidR="00220797"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Quantitative metrics:</w:t>
      </w:r>
      <w:r w:rsidR="00220797" w:rsidRPr="00220797">
        <w:rPr>
          <w:rFonts w:ascii="Times New Roman" w:eastAsia="Times New Roman" w:hAnsi="Times New Roman" w:cs="Times New Roman"/>
          <w:color w:val="0F1115"/>
          <w:sz w:val="24"/>
          <w:szCs w:val="24"/>
        </w:rPr>
        <w:t> System logs automatically capture: (a) number of reports submitted per week by each CHW/household; (b) completeness of the 12</w:t>
      </w:r>
      <w:r w:rsidR="00220797" w:rsidRPr="00220797">
        <w:rPr>
          <w:rFonts w:ascii="Times New Roman" w:eastAsia="Times New Roman" w:hAnsi="Times New Roman" w:cs="Times New Roman"/>
          <w:color w:val="0F1115"/>
          <w:sz w:val="24"/>
          <w:szCs w:val="24"/>
        </w:rPr>
        <w:noBreakHyphen/>
        <w:t>indicator form (percentage of items completed); and (c) proportion of reports submitted via voice vs. text input.</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Usabilit</w:t>
      </w:r>
      <w:r w:rsidR="006D40BD">
        <w:rPr>
          <w:rFonts w:ascii="Times New Roman" w:eastAsia="Times New Roman" w:hAnsi="Times New Roman" w:cs="Times New Roman"/>
          <w:bCs/>
          <w:color w:val="0F1115"/>
          <w:sz w:val="24"/>
          <w:szCs w:val="24"/>
        </w:rPr>
        <w:t>y (System Usability Scale, SUS):</w:t>
      </w:r>
      <w:r w:rsidRPr="00220797">
        <w:rPr>
          <w:rFonts w:ascii="Times New Roman" w:eastAsia="Times New Roman" w:hAnsi="Times New Roman" w:cs="Times New Roman"/>
          <w:color w:val="0F1115"/>
          <w:sz w:val="24"/>
          <w:szCs w:val="24"/>
        </w:rPr>
        <w:t> At baseline (Week 1) and end</w:t>
      </w:r>
      <w:r w:rsidRPr="00220797">
        <w:rPr>
          <w:rFonts w:ascii="Times New Roman" w:eastAsia="Times New Roman" w:hAnsi="Times New Roman" w:cs="Times New Roman"/>
          <w:color w:val="0F1115"/>
          <w:sz w:val="24"/>
          <w:szCs w:val="24"/>
        </w:rPr>
        <w:noBreakHyphen/>
        <w:t>line (Week 16), all participating CHWs and household members complete the validated </w:t>
      </w:r>
      <w:r w:rsidRPr="00220797">
        <w:rPr>
          <w:rFonts w:ascii="Times New Roman" w:eastAsia="Times New Roman" w:hAnsi="Times New Roman" w:cs="Times New Roman"/>
          <w:bCs/>
          <w:color w:val="0F1115"/>
          <w:sz w:val="24"/>
          <w:szCs w:val="24"/>
        </w:rPr>
        <w:t>System Usability Scale (SUS)</w:t>
      </w:r>
      <w:r w:rsidRPr="00220797">
        <w:rPr>
          <w:rFonts w:ascii="Times New Roman" w:eastAsia="Times New Roman" w:hAnsi="Times New Roman" w:cs="Times New Roman"/>
          <w:color w:val="0F1115"/>
          <w:sz w:val="24"/>
          <w:szCs w:val="24"/>
        </w:rPr>
        <w:t> questionnaire (Brooke, 1996), translated into Afan Oromo, Somali, and Amharic using forward</w:t>
      </w:r>
      <w:r w:rsidRPr="00220797">
        <w:rPr>
          <w:rFonts w:ascii="Times New Roman" w:eastAsia="Times New Roman" w:hAnsi="Times New Roman" w:cs="Times New Roman"/>
          <w:color w:val="0F1115"/>
          <w:sz w:val="24"/>
          <w:szCs w:val="24"/>
        </w:rPr>
        <w:noBreakHyphen/>
        <w:t>back translation. The SUS comprises ten Likert</w:t>
      </w:r>
      <w:r w:rsidRPr="00220797">
        <w:rPr>
          <w:rFonts w:ascii="Times New Roman" w:eastAsia="Times New Roman" w:hAnsi="Times New Roman" w:cs="Times New Roman"/>
          <w:color w:val="0F1115"/>
          <w:sz w:val="24"/>
          <w:szCs w:val="24"/>
        </w:rPr>
        <w:noBreakHyphen/>
        <w:t xml:space="preserve">scale items (1 = strongly disagree, 5 = </w:t>
      </w:r>
      <w:r w:rsidRPr="00220797">
        <w:rPr>
          <w:rFonts w:ascii="Times New Roman" w:eastAsia="Times New Roman" w:hAnsi="Times New Roman" w:cs="Times New Roman"/>
          <w:color w:val="0F1115"/>
          <w:sz w:val="24"/>
          <w:szCs w:val="24"/>
        </w:rPr>
        <w:lastRenderedPageBreak/>
        <w:t>strongly agree), generating a single score from 0 (poor) to 100 (excellent). A SUS score of ≥ 68 is considered “above average” usability (Lewis &amp; Sauro, 2018). The SUS has been previously adapted, validated and used to assess mHealth tools for infectious disease surveillance in African settings (Lourenco et al., 2024; Brinkel et al., 2023).</w:t>
      </w:r>
    </w:p>
    <w:p w:rsidR="00220797"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Feasibility and acceptability:</w:t>
      </w:r>
      <w:r w:rsidR="00220797" w:rsidRPr="00220797">
        <w:rPr>
          <w:rFonts w:ascii="Times New Roman" w:eastAsia="Times New Roman" w:hAnsi="Times New Roman" w:cs="Times New Roman"/>
          <w:color w:val="0F1115"/>
          <w:sz w:val="24"/>
          <w:szCs w:val="24"/>
        </w:rPr>
        <w:t> A mixed </w:t>
      </w:r>
      <w:r w:rsidR="00220797" w:rsidRPr="00220797">
        <w:rPr>
          <w:rFonts w:ascii="Times New Roman" w:eastAsia="Times New Roman" w:hAnsi="Times New Roman" w:cs="Times New Roman"/>
          <w:bCs/>
          <w:color w:val="0F1115"/>
          <w:sz w:val="24"/>
          <w:szCs w:val="24"/>
        </w:rPr>
        <w:t>feasibility assessment</w:t>
      </w:r>
      <w:r w:rsidR="00220797" w:rsidRPr="00220797">
        <w:rPr>
          <w:rFonts w:ascii="Times New Roman" w:eastAsia="Times New Roman" w:hAnsi="Times New Roman" w:cs="Times New Roman"/>
          <w:color w:val="0F1115"/>
          <w:sz w:val="24"/>
          <w:szCs w:val="24"/>
        </w:rPr>
        <w:t> is conducted based on Bowen et al.’s (2009) framework, which includes </w:t>
      </w:r>
      <w:r w:rsidR="00220797" w:rsidRPr="00220797">
        <w:rPr>
          <w:rFonts w:ascii="Times New Roman" w:eastAsia="Times New Roman" w:hAnsi="Times New Roman" w:cs="Times New Roman"/>
          <w:bCs/>
          <w:color w:val="0F1115"/>
          <w:sz w:val="24"/>
          <w:szCs w:val="24"/>
        </w:rPr>
        <w:t>demand</w:t>
      </w:r>
      <w:r w:rsidR="00220797" w:rsidRPr="00220797">
        <w:rPr>
          <w:rFonts w:ascii="Times New Roman" w:eastAsia="Times New Roman" w:hAnsi="Times New Roman" w:cs="Times New Roman"/>
          <w:color w:val="0F1115"/>
          <w:sz w:val="24"/>
          <w:szCs w:val="24"/>
        </w:rPr>
        <w:t> (proportion of eligible households agreeing to participate), </w:t>
      </w:r>
      <w:r w:rsidR="00220797" w:rsidRPr="00220797">
        <w:rPr>
          <w:rFonts w:ascii="Times New Roman" w:eastAsia="Times New Roman" w:hAnsi="Times New Roman" w:cs="Times New Roman"/>
          <w:bCs/>
          <w:color w:val="0F1115"/>
          <w:sz w:val="24"/>
          <w:szCs w:val="24"/>
        </w:rPr>
        <w:t>implementation</w:t>
      </w:r>
      <w:r w:rsidR="00220797" w:rsidRPr="00220797">
        <w:rPr>
          <w:rFonts w:ascii="Times New Roman" w:eastAsia="Times New Roman" w:hAnsi="Times New Roman" w:cs="Times New Roman"/>
          <w:color w:val="0F1115"/>
          <w:sz w:val="24"/>
          <w:szCs w:val="24"/>
        </w:rPr>
        <w:t> (proportion of scheduled weekly reports successfully submitted), </w:t>
      </w:r>
      <w:r w:rsidR="00220797" w:rsidRPr="00220797">
        <w:rPr>
          <w:rFonts w:ascii="Times New Roman" w:eastAsia="Times New Roman" w:hAnsi="Times New Roman" w:cs="Times New Roman"/>
          <w:bCs/>
          <w:color w:val="0F1115"/>
          <w:sz w:val="24"/>
          <w:szCs w:val="24"/>
        </w:rPr>
        <w:t>practicality</w:t>
      </w:r>
      <w:r w:rsidR="00220797" w:rsidRPr="00220797">
        <w:rPr>
          <w:rFonts w:ascii="Times New Roman" w:eastAsia="Times New Roman" w:hAnsi="Times New Roman" w:cs="Times New Roman"/>
          <w:color w:val="0F1115"/>
          <w:sz w:val="24"/>
          <w:szCs w:val="24"/>
        </w:rPr>
        <w:t> (costs, time, and technical problems encountered), and </w:t>
      </w:r>
      <w:r w:rsidR="00220797" w:rsidRPr="00220797">
        <w:rPr>
          <w:rFonts w:ascii="Times New Roman" w:eastAsia="Times New Roman" w:hAnsi="Times New Roman" w:cs="Times New Roman"/>
          <w:bCs/>
          <w:color w:val="0F1115"/>
          <w:sz w:val="24"/>
          <w:szCs w:val="24"/>
        </w:rPr>
        <w:t>limited</w:t>
      </w:r>
      <w:r w:rsidR="00220797" w:rsidRPr="00220797">
        <w:rPr>
          <w:rFonts w:ascii="Times New Roman" w:eastAsia="Times New Roman" w:hAnsi="Times New Roman" w:cs="Times New Roman"/>
          <w:bCs/>
          <w:color w:val="0F1115"/>
          <w:sz w:val="24"/>
          <w:szCs w:val="24"/>
        </w:rPr>
        <w:noBreakHyphen/>
        <w:t>efficacy</w:t>
      </w:r>
      <w:r w:rsidR="00220797" w:rsidRPr="00220797">
        <w:rPr>
          <w:rFonts w:ascii="Times New Roman" w:eastAsia="Times New Roman" w:hAnsi="Times New Roman" w:cs="Times New Roman"/>
          <w:color w:val="0F1115"/>
          <w:sz w:val="24"/>
          <w:szCs w:val="24"/>
        </w:rPr>
        <w:t> (concordance between predicted and observed cases). Acceptability is further assessed through brief end</w:t>
      </w:r>
      <w:r w:rsidR="00220797" w:rsidRPr="00220797">
        <w:rPr>
          <w:rFonts w:ascii="Times New Roman" w:eastAsia="Times New Roman" w:hAnsi="Times New Roman" w:cs="Times New Roman"/>
          <w:color w:val="0F1115"/>
          <w:sz w:val="24"/>
          <w:szCs w:val="24"/>
        </w:rPr>
        <w:noBreakHyphen/>
        <w:t>line interviews exploring perceived usefulness, ease of learning, and willingness to continue using the app.</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P</w:t>
      </w:r>
      <w:r w:rsidR="006D40BD">
        <w:rPr>
          <w:rFonts w:ascii="Times New Roman" w:eastAsia="Times New Roman" w:hAnsi="Times New Roman" w:cs="Times New Roman"/>
          <w:bCs/>
          <w:color w:val="0F1115"/>
          <w:sz w:val="24"/>
          <w:szCs w:val="24"/>
        </w:rPr>
        <w:t>redictive accuracy during pilot:</w:t>
      </w:r>
      <w:r w:rsidRPr="00220797">
        <w:rPr>
          <w:rFonts w:ascii="Times New Roman" w:eastAsia="Times New Roman" w:hAnsi="Times New Roman" w:cs="Times New Roman"/>
          <w:color w:val="0F1115"/>
          <w:sz w:val="24"/>
          <w:szCs w:val="24"/>
        </w:rPr>
        <w:t> The ML model is retrained weekly on all data up to the previous week (i.e., in a simulated real</w:t>
      </w:r>
      <w:r w:rsidRPr="00220797">
        <w:rPr>
          <w:rFonts w:ascii="Times New Roman" w:eastAsia="Times New Roman" w:hAnsi="Times New Roman" w:cs="Times New Roman"/>
          <w:color w:val="0F1115"/>
          <w:sz w:val="24"/>
          <w:szCs w:val="24"/>
        </w:rPr>
        <w:noBreakHyphen/>
        <w:t>time forecasting pipeline). For each week of the pilot, the model’s prediction for the upcoming week is compared against the observed malaria cases reported to the Dire Dawa Health Bureau for the same week, allowing computation of sensitivity, specificity, and positive predictive value in a prospective validation design.</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All pilot data are collected in the mobile application or via secure web forms and are stored on encrypted servers at Dire Dawa University.</w:t>
      </w:r>
    </w:p>
    <w:p w:rsidR="00220797" w:rsidRPr="00220797" w:rsidRDefault="00220797" w:rsidP="00220797">
      <w:pPr>
        <w:shd w:val="clear" w:color="auto" w:fill="FFFFFF"/>
        <w:spacing w:after="0"/>
        <w:jc w:val="both"/>
        <w:outlineLvl w:val="2"/>
        <w:rPr>
          <w:rFonts w:ascii="Times New Roman" w:eastAsia="Times New Roman" w:hAnsi="Times New Roman" w:cs="Times New Roman"/>
          <w:bCs/>
          <w:color w:val="0F1115"/>
          <w:sz w:val="24"/>
          <w:szCs w:val="24"/>
        </w:rPr>
      </w:pPr>
      <w:r w:rsidRPr="00220797">
        <w:rPr>
          <w:rFonts w:ascii="Times New Roman" w:eastAsia="Times New Roman" w:hAnsi="Times New Roman" w:cs="Times New Roman"/>
          <w:bCs/>
          <w:color w:val="0F1115"/>
          <w:sz w:val="24"/>
          <w:szCs w:val="24"/>
        </w:rPr>
        <w:t>2.6 Ethical Considerations</w:t>
      </w:r>
    </w:p>
    <w:p w:rsidR="00220797" w:rsidRPr="00220797" w:rsidRDefault="00220797" w:rsidP="00220797">
      <w:pPr>
        <w:shd w:val="clear" w:color="auto" w:fill="FFFFFF"/>
        <w:spacing w:after="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This study holds </w:t>
      </w:r>
      <w:r w:rsidRPr="00220797">
        <w:rPr>
          <w:rFonts w:ascii="Times New Roman" w:eastAsia="Times New Roman" w:hAnsi="Times New Roman" w:cs="Times New Roman"/>
          <w:bCs/>
          <w:color w:val="0F1115"/>
          <w:sz w:val="24"/>
          <w:szCs w:val="24"/>
        </w:rPr>
        <w:t>ethical approval</w:t>
      </w:r>
      <w:r w:rsidRPr="00220797">
        <w:rPr>
          <w:rFonts w:ascii="Times New Roman" w:eastAsia="Times New Roman" w:hAnsi="Times New Roman" w:cs="Times New Roman"/>
          <w:color w:val="0F1115"/>
          <w:sz w:val="24"/>
          <w:szCs w:val="24"/>
        </w:rPr>
        <w:t> from:</w:t>
      </w:r>
    </w:p>
    <w:p w:rsidR="006D40BD" w:rsidRDefault="00220797" w:rsidP="00AC459B">
      <w:pPr>
        <w:pStyle w:val="ListParagraph"/>
        <w:numPr>
          <w:ilvl w:val="0"/>
          <w:numId w:val="11"/>
        </w:numPr>
        <w:shd w:val="clear" w:color="auto" w:fill="FFFFFF"/>
        <w:spacing w:after="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Dire Dawa University Institutional Review Board (IRB)</w:t>
      </w:r>
      <w:r w:rsidRPr="006D40BD">
        <w:rPr>
          <w:rFonts w:ascii="Times New Roman" w:eastAsia="Times New Roman" w:hAnsi="Times New Roman" w:cs="Times New Roman"/>
          <w:color w:val="0F1115"/>
          <w:sz w:val="24"/>
          <w:szCs w:val="24"/>
        </w:rPr>
        <w:t>, approval number </w:t>
      </w:r>
      <w:r w:rsidRPr="006D40BD">
        <w:rPr>
          <w:rFonts w:ascii="Times New Roman" w:eastAsia="Times New Roman" w:hAnsi="Times New Roman" w:cs="Times New Roman"/>
          <w:bCs/>
          <w:color w:val="0F1115"/>
          <w:sz w:val="24"/>
          <w:szCs w:val="24"/>
        </w:rPr>
        <w:t>DDU</w:t>
      </w:r>
      <w:r w:rsidRPr="006D40BD">
        <w:rPr>
          <w:rFonts w:ascii="Times New Roman" w:eastAsia="Times New Roman" w:hAnsi="Times New Roman" w:cs="Times New Roman"/>
          <w:bCs/>
          <w:color w:val="0F1115"/>
          <w:sz w:val="24"/>
          <w:szCs w:val="24"/>
        </w:rPr>
        <w:noBreakHyphen/>
        <w:t>IRB</w:t>
      </w:r>
      <w:r w:rsidRPr="006D40BD">
        <w:rPr>
          <w:rFonts w:ascii="Times New Roman" w:eastAsia="Times New Roman" w:hAnsi="Times New Roman" w:cs="Times New Roman"/>
          <w:bCs/>
          <w:color w:val="0F1115"/>
          <w:sz w:val="24"/>
          <w:szCs w:val="24"/>
        </w:rPr>
        <w:noBreakHyphen/>
        <w:t>2024</w:t>
      </w:r>
      <w:r w:rsidRPr="006D40BD">
        <w:rPr>
          <w:rFonts w:ascii="Times New Roman" w:eastAsia="Times New Roman" w:hAnsi="Times New Roman" w:cs="Times New Roman"/>
          <w:bCs/>
          <w:color w:val="0F1115"/>
          <w:sz w:val="24"/>
          <w:szCs w:val="24"/>
        </w:rPr>
        <w:noBreakHyphen/>
        <w:t>MAL</w:t>
      </w:r>
      <w:r w:rsidRPr="006D40BD">
        <w:rPr>
          <w:rFonts w:ascii="Times New Roman" w:eastAsia="Times New Roman" w:hAnsi="Times New Roman" w:cs="Times New Roman"/>
          <w:bCs/>
          <w:color w:val="0F1115"/>
          <w:sz w:val="24"/>
          <w:szCs w:val="24"/>
        </w:rPr>
        <w:noBreakHyphen/>
        <w:t>037</w:t>
      </w:r>
      <w:r w:rsidRPr="006D40BD">
        <w:rPr>
          <w:rFonts w:ascii="Times New Roman" w:eastAsia="Times New Roman" w:hAnsi="Times New Roman" w:cs="Times New Roman"/>
          <w:color w:val="0F1115"/>
          <w:sz w:val="24"/>
          <w:szCs w:val="24"/>
        </w:rPr>
        <w:t>;</w:t>
      </w:r>
    </w:p>
    <w:p w:rsidR="00220797" w:rsidRPr="006D40BD" w:rsidRDefault="00220797" w:rsidP="00AC459B">
      <w:pPr>
        <w:pStyle w:val="ListParagraph"/>
        <w:numPr>
          <w:ilvl w:val="0"/>
          <w:numId w:val="11"/>
        </w:numPr>
        <w:shd w:val="clear" w:color="auto" w:fill="FFFFFF"/>
        <w:spacing w:after="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Ethiopian Ministry of Health National Research Ethics Review Committee</w:t>
      </w:r>
      <w:r w:rsidRPr="006D40BD">
        <w:rPr>
          <w:rFonts w:ascii="Times New Roman" w:eastAsia="Times New Roman" w:hAnsi="Times New Roman" w:cs="Times New Roman"/>
          <w:color w:val="0F1115"/>
          <w:sz w:val="24"/>
          <w:szCs w:val="24"/>
        </w:rPr>
        <w:t>, approval number </w:t>
      </w:r>
      <w:r w:rsidRPr="006D40BD">
        <w:rPr>
          <w:rFonts w:ascii="Times New Roman" w:eastAsia="Times New Roman" w:hAnsi="Times New Roman" w:cs="Times New Roman"/>
          <w:bCs/>
          <w:color w:val="0F1115"/>
          <w:sz w:val="24"/>
          <w:szCs w:val="24"/>
        </w:rPr>
        <w:t>MoH</w:t>
      </w:r>
      <w:r w:rsidRPr="006D40BD">
        <w:rPr>
          <w:rFonts w:ascii="Times New Roman" w:eastAsia="Times New Roman" w:hAnsi="Times New Roman" w:cs="Times New Roman"/>
          <w:bCs/>
          <w:color w:val="0F1115"/>
          <w:sz w:val="24"/>
          <w:szCs w:val="24"/>
        </w:rPr>
        <w:noBreakHyphen/>
        <w:t>NRERC</w:t>
      </w:r>
      <w:r w:rsidRPr="006D40BD">
        <w:rPr>
          <w:rFonts w:ascii="Times New Roman" w:eastAsia="Times New Roman" w:hAnsi="Times New Roman" w:cs="Times New Roman"/>
          <w:bCs/>
          <w:color w:val="0F1115"/>
          <w:sz w:val="24"/>
          <w:szCs w:val="24"/>
        </w:rPr>
        <w:noBreakHyphen/>
        <w:t>2024</w:t>
      </w:r>
      <w:r w:rsidRPr="006D40BD">
        <w:rPr>
          <w:rFonts w:ascii="Times New Roman" w:eastAsia="Times New Roman" w:hAnsi="Times New Roman" w:cs="Times New Roman"/>
          <w:bCs/>
          <w:color w:val="0F1115"/>
          <w:sz w:val="24"/>
          <w:szCs w:val="24"/>
        </w:rPr>
        <w:noBreakHyphen/>
        <w:t>053</w:t>
      </w:r>
      <w:r w:rsidRPr="006D40BD">
        <w:rPr>
          <w:rFonts w:ascii="Times New Roman" w:eastAsia="Times New Roman" w:hAnsi="Times New Roman" w:cs="Times New Roman"/>
          <w:color w:val="0F1115"/>
          <w:sz w:val="24"/>
          <w:szCs w:val="24"/>
        </w:rPr>
        <w:t>.</w:t>
      </w:r>
    </w:p>
    <w:p w:rsidR="00220797" w:rsidRPr="00220797" w:rsidRDefault="00220797" w:rsidP="00220797">
      <w:pPr>
        <w:shd w:val="clear" w:color="auto" w:fill="FFFFFF"/>
        <w:spacing w:after="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Permission to extract anonymised clinical malaria surveillance data for 2018–2023 is obtained from the Dire Dawa Health Bureau.</w:t>
      </w:r>
    </w:p>
    <w:p w:rsidR="00220797" w:rsidRPr="00220797" w:rsidRDefault="006D40BD" w:rsidP="00220797">
      <w:pPr>
        <w:shd w:val="clear" w:color="auto" w:fill="FFFFFF"/>
        <w:spacing w:after="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Informed consent:</w:t>
      </w:r>
      <w:r w:rsidR="00220797" w:rsidRPr="00220797">
        <w:rPr>
          <w:rFonts w:ascii="Times New Roman" w:eastAsia="Times New Roman" w:hAnsi="Times New Roman" w:cs="Times New Roman"/>
          <w:color w:val="0F1115"/>
          <w:sz w:val="24"/>
          <w:szCs w:val="24"/>
        </w:rPr>
        <w:t> Given the range of literacy levels among potential participants —particularly elders, traditional healers, and low</w:t>
      </w:r>
      <w:r w:rsidR="00220797" w:rsidRPr="00220797">
        <w:rPr>
          <w:rFonts w:ascii="Times New Roman" w:eastAsia="Times New Roman" w:hAnsi="Times New Roman" w:cs="Times New Roman"/>
          <w:color w:val="0F1115"/>
          <w:sz w:val="24"/>
          <w:szCs w:val="24"/>
        </w:rPr>
        <w:noBreakHyphen/>
        <w:t>literacy households—a dual consent procedure is implemented:</w:t>
      </w:r>
    </w:p>
    <w:p w:rsidR="006D40BD" w:rsidRDefault="00220797" w:rsidP="00AC459B">
      <w:pPr>
        <w:pStyle w:val="ListParagraph"/>
        <w:numPr>
          <w:ilvl w:val="0"/>
          <w:numId w:val="12"/>
        </w:numPr>
        <w:shd w:val="clear" w:color="auto" w:fill="FFFFFF"/>
        <w:spacing w:after="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Written informed consent</w:t>
      </w:r>
      <w:r w:rsidRPr="006D40BD">
        <w:rPr>
          <w:rFonts w:ascii="Times New Roman" w:eastAsia="Times New Roman" w:hAnsi="Times New Roman" w:cs="Times New Roman"/>
          <w:color w:val="0F1115"/>
          <w:sz w:val="24"/>
          <w:szCs w:val="24"/>
        </w:rPr>
        <w:t> is obtained from participants capable of reading and writing in Afan Oromo, Somali, Amharic or English.</w:t>
      </w:r>
    </w:p>
    <w:p w:rsidR="00220797" w:rsidRPr="006D40BD" w:rsidRDefault="00220797" w:rsidP="00AC459B">
      <w:pPr>
        <w:pStyle w:val="ListParagraph"/>
        <w:numPr>
          <w:ilvl w:val="0"/>
          <w:numId w:val="12"/>
        </w:numPr>
        <w:shd w:val="clear" w:color="auto" w:fill="FFFFFF"/>
        <w:spacing w:after="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color w:val="0F1115"/>
          <w:sz w:val="24"/>
          <w:szCs w:val="24"/>
        </w:rPr>
        <w:t>For participants who are unable to write due to low literacy, </w:t>
      </w:r>
      <w:r w:rsidRPr="006D40BD">
        <w:rPr>
          <w:rFonts w:ascii="Times New Roman" w:eastAsia="Times New Roman" w:hAnsi="Times New Roman" w:cs="Times New Roman"/>
          <w:bCs/>
          <w:color w:val="0F1115"/>
          <w:sz w:val="24"/>
          <w:szCs w:val="24"/>
        </w:rPr>
        <w:t>oral informed consent</w:t>
      </w:r>
      <w:r w:rsidRPr="006D40BD">
        <w:rPr>
          <w:rFonts w:ascii="Times New Roman" w:eastAsia="Times New Roman" w:hAnsi="Times New Roman" w:cs="Times New Roman"/>
          <w:color w:val="0F1115"/>
          <w:sz w:val="24"/>
          <w:szCs w:val="24"/>
        </w:rPr>
        <w:t> is obtained in their preferred language in the presence of a literate, independent witness (e.g., a community health worker not involved in the study). The consent process is audio</w:t>
      </w:r>
      <w:r w:rsidRPr="006D40BD">
        <w:rPr>
          <w:rFonts w:ascii="Times New Roman" w:eastAsia="Times New Roman" w:hAnsi="Times New Roman" w:cs="Times New Roman"/>
          <w:color w:val="0F1115"/>
          <w:sz w:val="24"/>
          <w:szCs w:val="24"/>
        </w:rPr>
        <w:noBreakHyphen/>
        <w:t>recorded.</w:t>
      </w:r>
    </w:p>
    <w:p w:rsidR="00220797" w:rsidRPr="00220797" w:rsidRDefault="00220797" w:rsidP="00220797">
      <w:pPr>
        <w:shd w:val="clear" w:color="auto" w:fill="FFFFFF"/>
        <w:spacing w:after="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 xml:space="preserve">The consent form explains: (a) the purpose of the study; (b) voluntary participation and the right to withdraw at any time without penalty; (c) confidentiality protections and anonymisation of reported data; (d) the absence of compensation, balanced by the benefit of receiving a freely accessible digital surveillance tool and malaria risk alerts. No personal identifiers are collected </w:t>
      </w:r>
      <w:r w:rsidRPr="00220797">
        <w:rPr>
          <w:rFonts w:ascii="Times New Roman" w:eastAsia="Times New Roman" w:hAnsi="Times New Roman" w:cs="Times New Roman"/>
          <w:color w:val="0F1115"/>
          <w:sz w:val="24"/>
          <w:szCs w:val="24"/>
        </w:rPr>
        <w:lastRenderedPageBreak/>
        <w:t>beyond demographic summaries (age, gender, ethnicity, years of residence). All digital data are encrypted both in transit and at rest.</w:t>
      </w:r>
    </w:p>
    <w:p w:rsidR="00220797" w:rsidRPr="00220797" w:rsidRDefault="00220797" w:rsidP="00220797">
      <w:pPr>
        <w:shd w:val="clear" w:color="auto" w:fill="FFFFFF"/>
        <w:spacing w:after="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Data a</w:t>
      </w:r>
      <w:r w:rsidR="006D40BD">
        <w:rPr>
          <w:rFonts w:ascii="Times New Roman" w:eastAsia="Times New Roman" w:hAnsi="Times New Roman" w:cs="Times New Roman"/>
          <w:bCs/>
          <w:color w:val="0F1115"/>
          <w:sz w:val="24"/>
          <w:szCs w:val="24"/>
        </w:rPr>
        <w:t>nonymisation and secure storage:</w:t>
      </w:r>
      <w:r w:rsidRPr="00220797">
        <w:rPr>
          <w:rFonts w:ascii="Times New Roman" w:eastAsia="Times New Roman" w:hAnsi="Times New Roman" w:cs="Times New Roman"/>
          <w:color w:val="0F1115"/>
          <w:sz w:val="24"/>
          <w:szCs w:val="24"/>
        </w:rPr>
        <w:t> Field notes and audio</w:t>
      </w:r>
      <w:r w:rsidRPr="00220797">
        <w:rPr>
          <w:rFonts w:ascii="Times New Roman" w:eastAsia="Times New Roman" w:hAnsi="Times New Roman" w:cs="Times New Roman"/>
          <w:color w:val="0F1115"/>
          <w:sz w:val="24"/>
          <w:szCs w:val="24"/>
        </w:rPr>
        <w:noBreakHyphen/>
        <w:t>recordings are anonymised immediately after transcription, with participants identified by unique alphanumeric codes rather than names. The master list linking codes to names is stored on password</w:t>
      </w:r>
      <w:r w:rsidRPr="00220797">
        <w:rPr>
          <w:rFonts w:ascii="Times New Roman" w:eastAsia="Times New Roman" w:hAnsi="Times New Roman" w:cs="Times New Roman"/>
          <w:color w:val="0F1115"/>
          <w:sz w:val="24"/>
          <w:szCs w:val="24"/>
        </w:rPr>
        <w:noBreakHyphen/>
        <w:t>protected, encrypted computers accessible only to the principal investigator. All biological specimens (plant samples) are handled according to Ethiopia’s Access and Benefit</w:t>
      </w:r>
      <w:r w:rsidRPr="00220797">
        <w:rPr>
          <w:rFonts w:ascii="Times New Roman" w:eastAsia="Times New Roman" w:hAnsi="Times New Roman" w:cs="Times New Roman"/>
          <w:color w:val="0F1115"/>
          <w:sz w:val="24"/>
          <w:szCs w:val="24"/>
        </w:rPr>
        <w:noBreakHyphen/>
        <w:t>Sharing (ABS) regulations under the Nagoya Protocol.</w:t>
      </w:r>
    </w:p>
    <w:p w:rsidR="00220797" w:rsidRPr="00220797" w:rsidRDefault="00220797" w:rsidP="00220797">
      <w:pPr>
        <w:shd w:val="clear" w:color="auto" w:fill="FFFFFF"/>
        <w:spacing w:after="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bCs/>
          <w:color w:val="0F1115"/>
          <w:sz w:val="24"/>
          <w:szCs w:val="24"/>
        </w:rPr>
        <w:t>Benefit</w:t>
      </w:r>
      <w:r w:rsidRPr="00220797">
        <w:rPr>
          <w:rFonts w:ascii="Times New Roman" w:eastAsia="Times New Roman" w:hAnsi="Times New Roman" w:cs="Times New Roman"/>
          <w:bCs/>
          <w:color w:val="0F1115"/>
          <w:sz w:val="24"/>
          <w:szCs w:val="24"/>
        </w:rPr>
        <w:noBreakHyphen/>
        <w:t>sh</w:t>
      </w:r>
      <w:r w:rsidR="006D40BD">
        <w:rPr>
          <w:rFonts w:ascii="Times New Roman" w:eastAsia="Times New Roman" w:hAnsi="Times New Roman" w:cs="Times New Roman"/>
          <w:bCs/>
          <w:color w:val="0F1115"/>
          <w:sz w:val="24"/>
          <w:szCs w:val="24"/>
        </w:rPr>
        <w:t>aring and community reciprocity:</w:t>
      </w:r>
      <w:r w:rsidRPr="00220797">
        <w:rPr>
          <w:rFonts w:ascii="Times New Roman" w:eastAsia="Times New Roman" w:hAnsi="Times New Roman" w:cs="Times New Roman"/>
          <w:color w:val="0F1115"/>
          <w:sz w:val="24"/>
          <w:szCs w:val="24"/>
        </w:rPr>
        <w:t> Aligning with CBPR principles, several concrete benefit</w:t>
      </w:r>
      <w:r w:rsidRPr="00220797">
        <w:rPr>
          <w:rFonts w:ascii="Times New Roman" w:eastAsia="Times New Roman" w:hAnsi="Times New Roman" w:cs="Times New Roman"/>
          <w:color w:val="0F1115"/>
          <w:sz w:val="24"/>
          <w:szCs w:val="24"/>
        </w:rPr>
        <w:noBreakHyphen/>
        <w:t>sharing measures are included:</w:t>
      </w:r>
    </w:p>
    <w:p w:rsidR="006D40BD" w:rsidRDefault="00220797" w:rsidP="00AC459B">
      <w:pPr>
        <w:pStyle w:val="ListParagraph"/>
        <w:numPr>
          <w:ilvl w:val="0"/>
          <w:numId w:val="13"/>
        </w:numPr>
        <w:shd w:val="clear" w:color="auto" w:fill="FFFFFF"/>
        <w:spacing w:after="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Acknowledgment of indigenous knowledge contributors:</w:t>
      </w:r>
      <w:r w:rsidRPr="006D40BD">
        <w:rPr>
          <w:rFonts w:ascii="Times New Roman" w:eastAsia="Times New Roman" w:hAnsi="Times New Roman" w:cs="Times New Roman"/>
          <w:color w:val="0F1115"/>
          <w:sz w:val="24"/>
          <w:szCs w:val="24"/>
        </w:rPr>
        <w:t xml:space="preserve"> Traditional healers and community elders who contribute knowledge are formally acknowledged in the study’s acknowledgements section of </w:t>
      </w:r>
      <w:r w:rsidR="006D40BD" w:rsidRPr="006D40BD">
        <w:rPr>
          <w:rFonts w:ascii="Times New Roman" w:eastAsia="Times New Roman" w:hAnsi="Times New Roman" w:cs="Times New Roman"/>
          <w:color w:val="0F1115"/>
          <w:sz w:val="24"/>
          <w:szCs w:val="24"/>
        </w:rPr>
        <w:t>publications</w:t>
      </w:r>
      <w:r w:rsidRPr="006D40BD">
        <w:rPr>
          <w:rFonts w:ascii="Times New Roman" w:eastAsia="Times New Roman" w:hAnsi="Times New Roman" w:cs="Times New Roman"/>
          <w:color w:val="0F1115"/>
          <w:sz w:val="24"/>
          <w:szCs w:val="24"/>
        </w:rPr>
        <w:t xml:space="preserve"> and certificates of recognition are provided.</w:t>
      </w:r>
    </w:p>
    <w:p w:rsidR="006D40BD" w:rsidRDefault="00220797" w:rsidP="00AC459B">
      <w:pPr>
        <w:pStyle w:val="ListParagraph"/>
        <w:numPr>
          <w:ilvl w:val="0"/>
          <w:numId w:val="13"/>
        </w:numPr>
        <w:shd w:val="clear" w:color="auto" w:fill="FFFFFF"/>
        <w:spacing w:after="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Free provision of the digital surveillance tool:</w:t>
      </w:r>
      <w:r w:rsidRPr="006D40BD">
        <w:rPr>
          <w:rFonts w:ascii="Times New Roman" w:eastAsia="Times New Roman" w:hAnsi="Times New Roman" w:cs="Times New Roman"/>
          <w:color w:val="0F1115"/>
          <w:sz w:val="24"/>
          <w:szCs w:val="24"/>
        </w:rPr>
        <w:t> At the conclusion of the study, the fully functional MalariaSentry mobile application, including the risk</w:t>
      </w:r>
      <w:r w:rsidRPr="006D40BD">
        <w:rPr>
          <w:rFonts w:ascii="Times New Roman" w:eastAsia="Times New Roman" w:hAnsi="Times New Roman" w:cs="Times New Roman"/>
          <w:color w:val="0F1115"/>
          <w:sz w:val="24"/>
          <w:szCs w:val="24"/>
        </w:rPr>
        <w:noBreakHyphen/>
        <w:t>alert system, is provided </w:t>
      </w:r>
      <w:r w:rsidRPr="006D40BD">
        <w:rPr>
          <w:rFonts w:ascii="Times New Roman" w:eastAsia="Times New Roman" w:hAnsi="Times New Roman" w:cs="Times New Roman"/>
          <w:bCs/>
          <w:color w:val="0F1115"/>
          <w:sz w:val="24"/>
          <w:szCs w:val="24"/>
        </w:rPr>
        <w:t>free of charge</w:t>
      </w:r>
      <w:r w:rsidRPr="006D40BD">
        <w:rPr>
          <w:rFonts w:ascii="Times New Roman" w:eastAsia="Times New Roman" w:hAnsi="Times New Roman" w:cs="Times New Roman"/>
          <w:color w:val="0F1115"/>
          <w:sz w:val="24"/>
          <w:szCs w:val="24"/>
        </w:rPr>
        <w:t> to all six participating kebeles. The Dire Dawa Health Bureau receives the code to sustain and scale the tool if desired.</w:t>
      </w:r>
    </w:p>
    <w:p w:rsidR="006D40BD" w:rsidRDefault="00220797" w:rsidP="00AC459B">
      <w:pPr>
        <w:pStyle w:val="ListParagraph"/>
        <w:numPr>
          <w:ilvl w:val="0"/>
          <w:numId w:val="13"/>
        </w:numPr>
        <w:shd w:val="clear" w:color="auto" w:fill="FFFFFF"/>
        <w:spacing w:after="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Training and capacity building:</w:t>
      </w:r>
      <w:r w:rsidRPr="006D40BD">
        <w:rPr>
          <w:rFonts w:ascii="Times New Roman" w:eastAsia="Times New Roman" w:hAnsi="Times New Roman" w:cs="Times New Roman"/>
          <w:color w:val="0F1115"/>
          <w:sz w:val="24"/>
          <w:szCs w:val="24"/>
        </w:rPr>
        <w:t> Community health workers receive digital skills training as part of the pilot, enhancing their employability and ability to use other mHealth tools.</w:t>
      </w:r>
    </w:p>
    <w:p w:rsidR="00220797" w:rsidRPr="006D40BD" w:rsidRDefault="00220797" w:rsidP="00AC459B">
      <w:pPr>
        <w:pStyle w:val="ListParagraph"/>
        <w:numPr>
          <w:ilvl w:val="0"/>
          <w:numId w:val="13"/>
        </w:numPr>
        <w:shd w:val="clear" w:color="auto" w:fill="FFFFFF"/>
        <w:spacing w:after="0"/>
        <w:jc w:val="both"/>
        <w:rPr>
          <w:rFonts w:ascii="Times New Roman" w:eastAsia="Times New Roman" w:hAnsi="Times New Roman" w:cs="Times New Roman"/>
          <w:color w:val="0F1115"/>
          <w:sz w:val="24"/>
          <w:szCs w:val="24"/>
        </w:rPr>
      </w:pPr>
      <w:r w:rsidRPr="006D40BD">
        <w:rPr>
          <w:rFonts w:ascii="Times New Roman" w:eastAsia="Times New Roman" w:hAnsi="Times New Roman" w:cs="Times New Roman"/>
          <w:bCs/>
          <w:color w:val="0F1115"/>
          <w:sz w:val="24"/>
          <w:szCs w:val="24"/>
        </w:rPr>
        <w:t>No</w:t>
      </w:r>
      <w:r w:rsidRPr="006D40BD">
        <w:rPr>
          <w:rFonts w:ascii="Times New Roman" w:eastAsia="Times New Roman" w:hAnsi="Times New Roman" w:cs="Times New Roman"/>
          <w:bCs/>
          <w:color w:val="0F1115"/>
          <w:sz w:val="24"/>
          <w:szCs w:val="24"/>
        </w:rPr>
        <w:noBreakHyphen/>
        <w:t>cost community engagement:</w:t>
      </w:r>
      <w:r w:rsidRPr="006D40BD">
        <w:rPr>
          <w:rFonts w:ascii="Times New Roman" w:eastAsia="Times New Roman" w:hAnsi="Times New Roman" w:cs="Times New Roman"/>
          <w:color w:val="0F1115"/>
          <w:sz w:val="24"/>
          <w:szCs w:val="24"/>
        </w:rPr>
        <w:t> No fee is charged to any community member for participation or for using the final tool.</w:t>
      </w:r>
    </w:p>
    <w:p w:rsidR="00220797" w:rsidRPr="00220797" w:rsidRDefault="00220797"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 xml:space="preserve">Funding sources and institutional affiliations are explicitly declared in the competing </w:t>
      </w:r>
      <w:r w:rsidR="00113075" w:rsidRPr="00220797">
        <w:rPr>
          <w:rFonts w:ascii="Times New Roman" w:eastAsia="Times New Roman" w:hAnsi="Times New Roman" w:cs="Times New Roman"/>
          <w:color w:val="0F1115"/>
          <w:sz w:val="24"/>
          <w:szCs w:val="24"/>
        </w:rPr>
        <w:t>interests’</w:t>
      </w:r>
      <w:r w:rsidRPr="00220797">
        <w:rPr>
          <w:rFonts w:ascii="Times New Roman" w:eastAsia="Times New Roman" w:hAnsi="Times New Roman" w:cs="Times New Roman"/>
          <w:color w:val="0F1115"/>
          <w:sz w:val="24"/>
          <w:szCs w:val="24"/>
        </w:rPr>
        <w:t xml:space="preserve"> statement to avoid any perception of conflict. The study protocol has been registered with the </w:t>
      </w:r>
      <w:r w:rsidRPr="00220797">
        <w:rPr>
          <w:rFonts w:ascii="Times New Roman" w:eastAsia="Times New Roman" w:hAnsi="Times New Roman" w:cs="Times New Roman"/>
          <w:bCs/>
          <w:color w:val="0F1115"/>
          <w:sz w:val="24"/>
          <w:szCs w:val="24"/>
        </w:rPr>
        <w:t>Ethiopian Public Health Institute’s clinical trials registry</w:t>
      </w:r>
      <w:r w:rsidRPr="00220797">
        <w:rPr>
          <w:rFonts w:ascii="Times New Roman" w:eastAsia="Times New Roman" w:hAnsi="Times New Roman" w:cs="Times New Roman"/>
          <w:color w:val="0F1115"/>
          <w:sz w:val="24"/>
          <w:szCs w:val="24"/>
        </w:rPr>
        <w:t> (Trial ID: EPHI</w:t>
      </w:r>
      <w:r w:rsidRPr="00220797">
        <w:rPr>
          <w:rFonts w:ascii="Times New Roman" w:eastAsia="Times New Roman" w:hAnsi="Times New Roman" w:cs="Times New Roman"/>
          <w:color w:val="0F1115"/>
          <w:sz w:val="24"/>
          <w:szCs w:val="24"/>
        </w:rPr>
        <w:noBreakHyphen/>
        <w:t>CT</w:t>
      </w:r>
      <w:r w:rsidRPr="00220797">
        <w:rPr>
          <w:rFonts w:ascii="Times New Roman" w:eastAsia="Times New Roman" w:hAnsi="Times New Roman" w:cs="Times New Roman"/>
          <w:color w:val="0F1115"/>
          <w:sz w:val="24"/>
          <w:szCs w:val="24"/>
        </w:rPr>
        <w:noBreakHyphen/>
        <w:t>2025</w:t>
      </w:r>
      <w:r w:rsidRPr="00220797">
        <w:rPr>
          <w:rFonts w:ascii="Times New Roman" w:eastAsia="Times New Roman" w:hAnsi="Times New Roman" w:cs="Times New Roman"/>
          <w:color w:val="0F1115"/>
          <w:sz w:val="24"/>
          <w:szCs w:val="24"/>
        </w:rPr>
        <w:noBreakHyphen/>
        <w:t>321).</w:t>
      </w:r>
    </w:p>
    <w:p w:rsidR="00F8717A" w:rsidRPr="00F8717A" w:rsidRDefault="00F8717A" w:rsidP="00F8717A">
      <w:pPr>
        <w:shd w:val="clear" w:color="auto" w:fill="FFFFFF"/>
        <w:spacing w:after="120"/>
        <w:jc w:val="both"/>
        <w:outlineLvl w:val="1"/>
        <w:rPr>
          <w:rFonts w:ascii="Times New Roman" w:eastAsia="Times New Roman" w:hAnsi="Times New Roman" w:cs="Times New Roman"/>
          <w:bCs/>
          <w:color w:val="0F1115"/>
          <w:sz w:val="24"/>
          <w:szCs w:val="24"/>
        </w:rPr>
      </w:pPr>
      <w:r w:rsidRPr="00F8717A">
        <w:rPr>
          <w:rFonts w:ascii="Times New Roman" w:eastAsia="Times New Roman" w:hAnsi="Times New Roman" w:cs="Times New Roman"/>
          <w:bCs/>
          <w:color w:val="0F1115"/>
          <w:sz w:val="24"/>
          <w:szCs w:val="24"/>
        </w:rPr>
        <w:t>3. Results</w:t>
      </w:r>
    </w:p>
    <w:p w:rsidR="00F8717A" w:rsidRPr="00F8717A" w:rsidRDefault="00F8717A" w:rsidP="00F8717A">
      <w:pPr>
        <w:shd w:val="clear" w:color="auto" w:fill="FFFFFF"/>
        <w:spacing w:after="120"/>
        <w:jc w:val="both"/>
        <w:outlineLvl w:val="2"/>
        <w:rPr>
          <w:rFonts w:ascii="Times New Roman" w:eastAsia="Times New Roman" w:hAnsi="Times New Roman" w:cs="Times New Roman"/>
          <w:bCs/>
          <w:color w:val="0F1115"/>
          <w:sz w:val="24"/>
          <w:szCs w:val="24"/>
        </w:rPr>
      </w:pPr>
      <w:r w:rsidRPr="00F8717A">
        <w:rPr>
          <w:rFonts w:ascii="Times New Roman" w:eastAsia="Times New Roman" w:hAnsi="Times New Roman" w:cs="Times New Roman"/>
          <w:bCs/>
          <w:color w:val="0F1115"/>
          <w:sz w:val="24"/>
          <w:szCs w:val="24"/>
        </w:rPr>
        <w:t>3.1 Phase 1: Indigenous Malaria Knowledge</w:t>
      </w:r>
    </w:p>
    <w:p w:rsidR="00F8717A" w:rsidRPr="00F8717A" w:rsidRDefault="00F8717A" w:rsidP="00F8717A">
      <w:pPr>
        <w:shd w:val="clear" w:color="auto" w:fill="FFFFFF"/>
        <w:spacing w:after="120"/>
        <w:jc w:val="both"/>
        <w:outlineLvl w:val="3"/>
        <w:rPr>
          <w:rFonts w:ascii="Times New Roman" w:eastAsia="Times New Roman" w:hAnsi="Times New Roman" w:cs="Times New Roman"/>
          <w:bCs/>
          <w:color w:val="0F1115"/>
          <w:sz w:val="24"/>
          <w:szCs w:val="24"/>
        </w:rPr>
      </w:pPr>
      <w:r w:rsidRPr="00F8717A">
        <w:rPr>
          <w:rFonts w:ascii="Times New Roman" w:eastAsia="Times New Roman" w:hAnsi="Times New Roman" w:cs="Times New Roman"/>
          <w:bCs/>
          <w:color w:val="0F1115"/>
          <w:sz w:val="24"/>
          <w:szCs w:val="24"/>
        </w:rPr>
        <w:t>3.1.1 Participant Characteristics</w:t>
      </w:r>
    </w:p>
    <w:p w:rsidR="00F8717A" w:rsidRPr="00F8717A" w:rsidRDefault="00F8717A" w:rsidP="00F8717A">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A total of </w:t>
      </w:r>
      <w:r w:rsidRPr="00F8717A">
        <w:rPr>
          <w:rFonts w:ascii="Times New Roman" w:eastAsia="Times New Roman" w:hAnsi="Times New Roman" w:cs="Times New Roman"/>
          <w:bCs/>
          <w:color w:val="0F1115"/>
          <w:sz w:val="24"/>
          <w:szCs w:val="24"/>
        </w:rPr>
        <w:t>300 participants</w:t>
      </w:r>
      <w:r w:rsidRPr="00F8717A">
        <w:rPr>
          <w:rFonts w:ascii="Times New Roman" w:eastAsia="Times New Roman" w:hAnsi="Times New Roman" w:cs="Times New Roman"/>
          <w:color w:val="0F1115"/>
          <w:sz w:val="24"/>
          <w:szCs w:val="24"/>
        </w:rPr>
        <w:t> were enrolled in the qualitative phase of the study, stratified equally by ethnicity: </w:t>
      </w:r>
      <w:r w:rsidRPr="00F8717A">
        <w:rPr>
          <w:rFonts w:ascii="Times New Roman" w:eastAsia="Times New Roman" w:hAnsi="Times New Roman" w:cs="Times New Roman"/>
          <w:bCs/>
          <w:color w:val="0F1115"/>
          <w:sz w:val="24"/>
          <w:szCs w:val="24"/>
        </w:rPr>
        <w:t>100 Oromo</w:t>
      </w:r>
      <w:r w:rsidRPr="00F8717A">
        <w:rPr>
          <w:rFonts w:ascii="Times New Roman" w:eastAsia="Times New Roman" w:hAnsi="Times New Roman" w:cs="Times New Roman"/>
          <w:color w:val="0F1115"/>
          <w:sz w:val="24"/>
          <w:szCs w:val="24"/>
        </w:rPr>
        <w:t>, </w:t>
      </w:r>
      <w:r w:rsidRPr="00F8717A">
        <w:rPr>
          <w:rFonts w:ascii="Times New Roman" w:eastAsia="Times New Roman" w:hAnsi="Times New Roman" w:cs="Times New Roman"/>
          <w:bCs/>
          <w:color w:val="0F1115"/>
          <w:sz w:val="24"/>
          <w:szCs w:val="24"/>
        </w:rPr>
        <w:t>100 Somali</w:t>
      </w:r>
      <w:r w:rsidRPr="00F8717A">
        <w:rPr>
          <w:rFonts w:ascii="Times New Roman" w:eastAsia="Times New Roman" w:hAnsi="Times New Roman" w:cs="Times New Roman"/>
          <w:color w:val="0F1115"/>
          <w:sz w:val="24"/>
          <w:szCs w:val="24"/>
        </w:rPr>
        <w:t>, and </w:t>
      </w:r>
      <w:r w:rsidRPr="00F8717A">
        <w:rPr>
          <w:rFonts w:ascii="Times New Roman" w:eastAsia="Times New Roman" w:hAnsi="Times New Roman" w:cs="Times New Roman"/>
          <w:bCs/>
          <w:color w:val="0F1115"/>
          <w:sz w:val="24"/>
          <w:szCs w:val="24"/>
        </w:rPr>
        <w:t>100 Amhara</w:t>
      </w:r>
      <w:r w:rsidRPr="00F8717A">
        <w:rPr>
          <w:rFonts w:ascii="Times New Roman" w:eastAsia="Times New Roman" w:hAnsi="Times New Roman" w:cs="Times New Roman"/>
          <w:color w:val="0F1115"/>
          <w:sz w:val="24"/>
          <w:szCs w:val="24"/>
        </w:rPr>
        <w:t>. Recruitment was conducted across the six purposively selected kebeles of Dire Dawa (Melka Jebdu, Gende Kore, Dechatu, Legehare, Sabian, and Kefira). The demographic and socioeconomic characteristics of participants are summarised in </w:t>
      </w:r>
      <w:r w:rsidRPr="00F8717A">
        <w:rPr>
          <w:rFonts w:ascii="Times New Roman" w:eastAsia="Times New Roman" w:hAnsi="Times New Roman" w:cs="Times New Roman"/>
          <w:bCs/>
          <w:color w:val="0F1115"/>
          <w:sz w:val="24"/>
          <w:szCs w:val="24"/>
        </w:rPr>
        <w:t>Table 1</w:t>
      </w:r>
      <w:r w:rsidRPr="00F8717A">
        <w:rPr>
          <w:rFonts w:ascii="Times New Roman" w:eastAsia="Times New Roman" w:hAnsi="Times New Roman" w:cs="Times New Roman"/>
          <w:color w:val="0F1115"/>
          <w:sz w:val="24"/>
          <w:szCs w:val="24"/>
        </w:rPr>
        <w:t>.</w:t>
      </w:r>
    </w:p>
    <w:p w:rsidR="00F8717A" w:rsidRDefault="00F8717A" w:rsidP="00F8717A">
      <w:pPr>
        <w:shd w:val="clear" w:color="auto" w:fill="FFFFFF"/>
        <w:spacing w:after="120"/>
        <w:jc w:val="center"/>
        <w:rPr>
          <w:rFonts w:ascii="Times New Roman" w:eastAsia="Times New Roman" w:hAnsi="Times New Roman" w:cs="Times New Roman"/>
          <w:bCs/>
          <w:color w:val="0F1115"/>
          <w:sz w:val="24"/>
          <w:szCs w:val="24"/>
        </w:rPr>
      </w:pPr>
      <w:r w:rsidRPr="00F8717A">
        <w:rPr>
          <w:rFonts w:ascii="Times New Roman" w:eastAsia="Times New Roman" w:hAnsi="Times New Roman" w:cs="Times New Roman"/>
          <w:bCs/>
          <w:color w:val="0F1115"/>
          <w:sz w:val="24"/>
          <w:szCs w:val="24"/>
        </w:rPr>
        <w:t>Table 1. Demographic and Socioeconomic Characteristics of Participants (N = 300)</w:t>
      </w:r>
    </w:p>
    <w:tbl>
      <w:tblPr>
        <w:tblStyle w:val="TableGrid"/>
        <w:tblW w:w="0" w:type="auto"/>
        <w:tblLook w:val="04A0" w:firstRow="1" w:lastRow="0" w:firstColumn="1" w:lastColumn="0" w:noHBand="0" w:noVBand="1"/>
      </w:tblPr>
      <w:tblGrid>
        <w:gridCol w:w="3528"/>
        <w:gridCol w:w="1440"/>
        <w:gridCol w:w="1440"/>
        <w:gridCol w:w="1620"/>
        <w:gridCol w:w="1548"/>
      </w:tblGrid>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Characteristic</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Oromo (n = 100)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Somali (n = 100)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Amhara (n = 100)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Total (N = 300)</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bCs/>
                <w:sz w:val="24"/>
                <w:szCs w:val="24"/>
              </w:rPr>
              <w:t>Age (years), mean (SD)</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52.4 (8.7)</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54.1 (9.2)</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51.8 (7.9)</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52.8 (8.6)</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bCs/>
                <w:sz w:val="24"/>
                <w:szCs w:val="24"/>
              </w:rPr>
              <w:t>Age group, n (%)</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40–49</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42 (42.0)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38 (38.0)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44 (44.0)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124 (41.3)</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lastRenderedPageBreak/>
              <w:t>50–59</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38 (38.0)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36 (36.0)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39 (39.0)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113 (37.7)</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60–69</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15 (15.0)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19 (19.0)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13 (13.0)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47 (15.7)</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≥70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 (5.0)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7 (7.0)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 (4.0)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16 (5.3)</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bCs/>
                <w:sz w:val="24"/>
                <w:szCs w:val="24"/>
              </w:rPr>
              <w:t>Gender, n (%)</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Male</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62 (62.0)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68 (68.0)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58 (58.0)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188 (62.7)</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Female</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38 (38.0)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32 (32.0)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42 (42.0)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112 (37.3)</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bCs/>
                <w:sz w:val="24"/>
                <w:szCs w:val="24"/>
              </w:rPr>
              <w:t>Years of residence in kebele, mean (SD)</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28.6 (12.4)</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32.1 (14.2)</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26.9 (11.8)</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29.2 (12.9)</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bCs/>
                <w:sz w:val="24"/>
                <w:szCs w:val="24"/>
              </w:rPr>
              <w:t>Primary livelihood, n (%)</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Farming / agriculture</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48 (48.0)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62 (62.0)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24 (24.0)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134 (44.7)</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Pastoralism / livestock</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18 (18.0)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28 (28.0)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8 (8.0)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54 (18.0)</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Small trade / commerce</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20 (20.0)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6 (6.0)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32 (32.0)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58 (19.3)</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Daily labour</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8 (8.0)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 (2.0)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18 (18.0)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28 (9.3)</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Homemaking</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 (4.0)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 (2.0)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14 (14.0)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20 (6.7)</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Other</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 (2.0)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 (0.0)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 (4.0)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6 (2.0)</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bCs/>
                <w:sz w:val="24"/>
                <w:szCs w:val="24"/>
              </w:rPr>
              <w:t>Recognised community health role, n (%)</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Traditional healer</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28 (28.0)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34 (34.0)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18 (18.0)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80 (26.7)</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Community elder</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44 (44.0)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52 (52.0)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30 (30.0)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126 (42.0)</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Religious leader</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12 (12.0)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8 (8.0)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22 (22.0)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42 (14.0)</w:t>
            </w:r>
          </w:p>
        </w:tc>
      </w:tr>
      <w:tr w:rsidR="00F8717A" w:rsidTr="00F8717A">
        <w:tc>
          <w:tcPr>
            <w:tcW w:w="352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Experienced household head</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16 (16.0)</w:t>
            </w:r>
          </w:p>
        </w:tc>
        <w:tc>
          <w:tcPr>
            <w:tcW w:w="144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6 (6.0)</w:t>
            </w:r>
          </w:p>
        </w:tc>
        <w:tc>
          <w:tcPr>
            <w:tcW w:w="1620"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30 (30.0)</w:t>
            </w:r>
          </w:p>
        </w:tc>
        <w:tc>
          <w:tcPr>
            <w:tcW w:w="1548" w:type="dxa"/>
            <w:vAlign w:val="center"/>
          </w:tcPr>
          <w:p w:rsidR="00F8717A" w:rsidRPr="00F8717A" w:rsidRDefault="00F8717A"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52 (17.3)</w:t>
            </w:r>
          </w:p>
        </w:tc>
      </w:tr>
    </w:tbl>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The mean age of participants was 52.8 years (SD = 8.6), with no significant differences across ethnic groups (one</w:t>
      </w:r>
      <w:r w:rsidRPr="00F8717A">
        <w:rPr>
          <w:rFonts w:ascii="Times New Roman" w:eastAsia="Times New Roman" w:hAnsi="Times New Roman" w:cs="Times New Roman"/>
          <w:color w:val="0F1115"/>
          <w:sz w:val="24"/>
          <w:szCs w:val="24"/>
        </w:rPr>
        <w:noBreakHyphen/>
        <w:t>way ANOVA, p = 0.21). The majority (62.7%) were male, reflecting the predominance of male elders and traditional healers in public community roles. Somali participants reported the longest mean duration of continuous residence in their kebele (32.1 years), consistent with the region’s strong pastoralist traditions. Farming and pastoralism together accounted for 62.7% of primary livelihoods overall, though Amhara participants were more engaged in small trade and daily labour. Over two</w:t>
      </w:r>
      <w:r w:rsidRPr="00F8717A">
        <w:rPr>
          <w:rFonts w:ascii="Times New Roman" w:eastAsia="Times New Roman" w:hAnsi="Times New Roman" w:cs="Times New Roman"/>
          <w:color w:val="0F1115"/>
          <w:sz w:val="24"/>
          <w:szCs w:val="24"/>
        </w:rPr>
        <w:noBreakHyphen/>
        <w:t>thirds (68.7%) of participants held a formal community health role, with Somali participants contributing the highest proportion of traditional healers (34%).</w:t>
      </w:r>
    </w:p>
    <w:p w:rsidR="00F8717A" w:rsidRPr="00F8717A" w:rsidRDefault="00F8717A" w:rsidP="0061582F">
      <w:pPr>
        <w:shd w:val="clear" w:color="auto" w:fill="FFFFFF"/>
        <w:spacing w:after="120"/>
        <w:jc w:val="both"/>
        <w:outlineLvl w:val="3"/>
        <w:rPr>
          <w:rFonts w:ascii="Times New Roman" w:eastAsia="Times New Roman" w:hAnsi="Times New Roman" w:cs="Times New Roman"/>
          <w:bCs/>
          <w:color w:val="0F1115"/>
          <w:sz w:val="24"/>
          <w:szCs w:val="24"/>
        </w:rPr>
      </w:pPr>
      <w:r w:rsidRPr="00F8717A">
        <w:rPr>
          <w:rFonts w:ascii="Times New Roman" w:eastAsia="Times New Roman" w:hAnsi="Times New Roman" w:cs="Times New Roman"/>
          <w:bCs/>
          <w:color w:val="0F1115"/>
          <w:sz w:val="24"/>
          <w:szCs w:val="24"/>
        </w:rPr>
        <w:t>3.1.2 Thematic Findings</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Thematic analysis of the 300 semi</w:t>
      </w:r>
      <w:r w:rsidRPr="00F8717A">
        <w:rPr>
          <w:rFonts w:ascii="Times New Roman" w:eastAsia="Times New Roman" w:hAnsi="Times New Roman" w:cs="Times New Roman"/>
          <w:color w:val="0F1115"/>
          <w:sz w:val="24"/>
          <w:szCs w:val="24"/>
        </w:rPr>
        <w:noBreakHyphen/>
        <w:t>structured interviews yielded three major themes, each comprising multiple subthemes. A total of </w:t>
      </w:r>
      <w:r w:rsidRPr="00F8717A">
        <w:rPr>
          <w:rFonts w:ascii="Times New Roman" w:eastAsia="Times New Roman" w:hAnsi="Times New Roman" w:cs="Times New Roman"/>
          <w:bCs/>
          <w:color w:val="0F1115"/>
          <w:sz w:val="24"/>
          <w:szCs w:val="24"/>
        </w:rPr>
        <w:t>54 unique indigenous indicators</w:t>
      </w:r>
      <w:r w:rsidRPr="00F8717A">
        <w:rPr>
          <w:rFonts w:ascii="Times New Roman" w:eastAsia="Times New Roman" w:hAnsi="Times New Roman" w:cs="Times New Roman"/>
          <w:color w:val="0F1115"/>
          <w:sz w:val="24"/>
          <w:szCs w:val="24"/>
        </w:rPr>
        <w:t> were initially identified. After iterative refinement, expert validation, and removal of overlapping or highly correlated indicators, </w:t>
      </w:r>
      <w:r w:rsidRPr="00F8717A">
        <w:rPr>
          <w:rFonts w:ascii="Times New Roman" w:eastAsia="Times New Roman" w:hAnsi="Times New Roman" w:cs="Times New Roman"/>
          <w:bCs/>
          <w:color w:val="0F1115"/>
          <w:sz w:val="24"/>
          <w:szCs w:val="24"/>
        </w:rPr>
        <w:t>12 core quantifiable indicators</w:t>
      </w:r>
      <w:r w:rsidRPr="00F8717A">
        <w:rPr>
          <w:rFonts w:ascii="Times New Roman" w:eastAsia="Times New Roman" w:hAnsi="Times New Roman" w:cs="Times New Roman"/>
          <w:color w:val="0F1115"/>
          <w:sz w:val="24"/>
          <w:szCs w:val="24"/>
        </w:rPr>
        <w:t> were retained for Phase 2 machine learning modelling. The main themes and subthemes are presented below, with illustrative quotes.</w:t>
      </w:r>
    </w:p>
    <w:p w:rsidR="0061582F"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bCs/>
          <w:color w:val="0F1115"/>
          <w:sz w:val="24"/>
          <w:szCs w:val="24"/>
        </w:rPr>
        <w:t>Theme 1: Environmental Mosquito Indicators</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lastRenderedPageBreak/>
        <w:t>Participants across all three ethnic groups demonstrated sophisticated knowledge of local environmental cues that signal increased mosquito abundance and malaria risk. Ten distinct subthemes were identified, grouped into four categories: hydrological, botanical, meteorological, and zoological indicators.</w:t>
      </w:r>
    </w:p>
    <w:p w:rsidR="00F8717A" w:rsidRPr="00F8717A"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1.1: </w:t>
      </w:r>
      <w:r w:rsidR="00F8717A" w:rsidRPr="00F8717A">
        <w:rPr>
          <w:rFonts w:ascii="Times New Roman" w:eastAsia="Times New Roman" w:hAnsi="Times New Roman" w:cs="Times New Roman"/>
          <w:i/>
          <w:iCs/>
          <w:color w:val="0F1115"/>
          <w:sz w:val="24"/>
          <w:szCs w:val="24"/>
        </w:rPr>
        <w:t>Stagnant water pools in the Dechatu River (reported by 83% of participants).</w:t>
      </w:r>
      <w:r w:rsidR="00F8717A" w:rsidRPr="00F8717A">
        <w:rPr>
          <w:rFonts w:ascii="Times New Roman" w:eastAsia="Times New Roman" w:hAnsi="Times New Roman" w:cs="Times New Roman"/>
          <w:color w:val="0F1115"/>
          <w:sz w:val="24"/>
          <w:szCs w:val="24"/>
        </w:rPr>
        <w:br/>
        <w:t>The Dechatu River, which runs through Dire Dawa, was consistently identified as the primary mosquito breeding site. Participants noted that pools remaining for </w:t>
      </w:r>
      <w:r w:rsidR="00F8717A" w:rsidRPr="00F8717A">
        <w:rPr>
          <w:rFonts w:ascii="Times New Roman" w:eastAsia="Times New Roman" w:hAnsi="Times New Roman" w:cs="Times New Roman"/>
          <w:bCs/>
          <w:color w:val="0F1115"/>
          <w:sz w:val="24"/>
          <w:szCs w:val="24"/>
        </w:rPr>
        <w:t>more than five days</w:t>
      </w:r>
      <w:r w:rsidR="00F8717A" w:rsidRPr="00F8717A">
        <w:rPr>
          <w:rFonts w:ascii="Times New Roman" w:eastAsia="Times New Roman" w:hAnsi="Times New Roman" w:cs="Times New Roman"/>
          <w:color w:val="0F1115"/>
          <w:sz w:val="24"/>
          <w:szCs w:val="24"/>
        </w:rPr>
        <w:t> after seasonal rains were associated with a “heavy mosquito year.”</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i/>
          <w:iCs/>
          <w:color w:val="0F1115"/>
          <w:sz w:val="24"/>
          <w:szCs w:val="24"/>
        </w:rPr>
        <w:t>“When the Dechatu stops flowing and leaves pools that last a full week, you will see clouds of mosquitoes at sunset. That is when the fever comes to the children.”</w:t>
      </w:r>
      <w:r w:rsidRPr="00F8717A">
        <w:rPr>
          <w:rFonts w:ascii="Times New Roman" w:eastAsia="Times New Roman" w:hAnsi="Times New Roman" w:cs="Times New Roman"/>
          <w:color w:val="0F1115"/>
          <w:sz w:val="24"/>
          <w:szCs w:val="24"/>
        </w:rPr>
        <w:t> (Somali male, 62 years, traditional healer)</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1.2: </w:t>
      </w:r>
      <w:r w:rsidR="00F8717A" w:rsidRPr="00F8717A">
        <w:rPr>
          <w:rFonts w:ascii="Times New Roman" w:eastAsia="Times New Roman" w:hAnsi="Times New Roman" w:cs="Times New Roman"/>
          <w:i/>
          <w:iCs/>
          <w:color w:val="0F1115"/>
          <w:sz w:val="24"/>
          <w:szCs w:val="24"/>
        </w:rPr>
        <w:t>Artificial container breeding (reported by 67%).</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Discarded tyres, open water drums, and abandoned construction pits were</w:t>
      </w:r>
      <w:r w:rsidR="00AC459B">
        <w:rPr>
          <w:rFonts w:ascii="Times New Roman" w:eastAsia="Times New Roman" w:hAnsi="Times New Roman" w:cs="Times New Roman"/>
          <w:color w:val="0F1115"/>
          <w:sz w:val="24"/>
          <w:szCs w:val="24"/>
        </w:rPr>
        <w:t xml:space="preserve"> cited as modern breeding sites </w:t>
      </w:r>
      <w:r w:rsidRPr="00F8717A">
        <w:rPr>
          <w:rFonts w:ascii="Times New Roman" w:eastAsia="Times New Roman" w:hAnsi="Times New Roman" w:cs="Times New Roman"/>
          <w:color w:val="0F1115"/>
          <w:sz w:val="24"/>
          <w:szCs w:val="24"/>
        </w:rPr>
        <w:t>an observation likely linked to the spread of </w:t>
      </w:r>
      <w:r w:rsidRPr="00F8717A">
        <w:rPr>
          <w:rFonts w:ascii="Times New Roman" w:eastAsia="Times New Roman" w:hAnsi="Times New Roman" w:cs="Times New Roman"/>
          <w:i/>
          <w:iCs/>
          <w:color w:val="0F1115"/>
          <w:sz w:val="24"/>
          <w:szCs w:val="24"/>
        </w:rPr>
        <w:t>Anopheles stephensi</w:t>
      </w:r>
      <w:r w:rsidRPr="00F8717A">
        <w:rPr>
          <w:rFonts w:ascii="Times New Roman" w:eastAsia="Times New Roman" w:hAnsi="Times New Roman" w:cs="Times New Roman"/>
          <w:color w:val="0F1115"/>
          <w:sz w:val="24"/>
          <w:szCs w:val="24"/>
        </w:rPr>
        <w:t>.</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1.3: </w:t>
      </w:r>
      <w:r w:rsidR="00F8717A" w:rsidRPr="00F8717A">
        <w:rPr>
          <w:rFonts w:ascii="Times New Roman" w:eastAsia="Times New Roman" w:hAnsi="Times New Roman" w:cs="Times New Roman"/>
          <w:i/>
          <w:iCs/>
          <w:color w:val="0F1115"/>
          <w:sz w:val="24"/>
          <w:szCs w:val="24"/>
        </w:rPr>
        <w:t>Flowering of Acacia seyal (red acacia) (reported by 71% of Oromo, 58% Somali, 44% Amhara).</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Oromo participants in particular noted that the appearance of red acacia blossoms “just before the short rains” (February–March) precedes the second malaria peak.</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i/>
          <w:iCs/>
          <w:color w:val="0F1115"/>
          <w:sz w:val="24"/>
          <w:szCs w:val="24"/>
        </w:rPr>
        <w:t>“When the Acacia turns red like fire, we know the mosquitoes will double within one moon. My grandmother taught me this.”</w:t>
      </w:r>
      <w:r w:rsidRPr="00F8717A">
        <w:rPr>
          <w:rFonts w:ascii="Times New Roman" w:eastAsia="Times New Roman" w:hAnsi="Times New Roman" w:cs="Times New Roman"/>
          <w:color w:val="0F1115"/>
          <w:sz w:val="24"/>
          <w:szCs w:val="24"/>
        </w:rPr>
        <w:t> (Oromo female, 55 years, elder)</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1.4: </w:t>
      </w:r>
      <w:r w:rsidR="00F8717A" w:rsidRPr="00F8717A">
        <w:rPr>
          <w:rFonts w:ascii="Times New Roman" w:eastAsia="Times New Roman" w:hAnsi="Times New Roman" w:cs="Times New Roman"/>
          <w:i/>
          <w:iCs/>
          <w:color w:val="0F1115"/>
          <w:sz w:val="24"/>
          <w:szCs w:val="24"/>
        </w:rPr>
        <w:t>Leafing of Ficus vasta (wild fig) (reported by 62%).</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The wild fig tree was described as a “mosquito</w:t>
      </w:r>
      <w:r w:rsidRPr="00F8717A">
        <w:rPr>
          <w:rFonts w:ascii="Times New Roman" w:eastAsia="Times New Roman" w:hAnsi="Times New Roman" w:cs="Times New Roman"/>
          <w:color w:val="0F1115"/>
          <w:sz w:val="24"/>
          <w:szCs w:val="24"/>
        </w:rPr>
        <w:noBreakHyphen/>
        <w:t>loving tree” whose dense shade creates cool, humid resting sites. New leaf growth in March and September was said to coincide with peak biting activity.</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1.5: </w:t>
      </w:r>
      <w:r w:rsidR="00F8717A" w:rsidRPr="00F8717A">
        <w:rPr>
          <w:rFonts w:ascii="Times New Roman" w:eastAsia="Times New Roman" w:hAnsi="Times New Roman" w:cs="Times New Roman"/>
          <w:i/>
          <w:iCs/>
          <w:color w:val="0F1115"/>
          <w:sz w:val="24"/>
          <w:szCs w:val="24"/>
        </w:rPr>
        <w:t>Prolonged dry spells followed by heavy rain (reported by 88%).</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This was the most frequently mentioned meteorological indicator across all groups. Participants observed that if a dry period of ≥ 3 weeks was broken by an intense rainfall event (&gt; 20 mm in 24 hours), “explosive” mosquito emergence occurred within 10–14 days.</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1.6: </w:t>
      </w:r>
      <w:r w:rsidR="00F8717A" w:rsidRPr="00F8717A">
        <w:rPr>
          <w:rFonts w:ascii="Times New Roman" w:eastAsia="Times New Roman" w:hAnsi="Times New Roman" w:cs="Times New Roman"/>
          <w:i/>
          <w:iCs/>
          <w:color w:val="0F1115"/>
          <w:sz w:val="24"/>
          <w:szCs w:val="24"/>
        </w:rPr>
        <w:t>Unseasonal “small rains” (reported by 76%).</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Light rains outside the main seasons (e.g., in January or June) were considered deceptive because they create scattered temporary pools that dry quickly but still allow mosquito breeding.</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1.7: </w:t>
      </w:r>
      <w:r w:rsidR="00F8717A" w:rsidRPr="00F8717A">
        <w:rPr>
          <w:rFonts w:ascii="Times New Roman" w:eastAsia="Times New Roman" w:hAnsi="Times New Roman" w:cs="Times New Roman"/>
          <w:i/>
          <w:iCs/>
          <w:color w:val="0F1115"/>
          <w:sz w:val="24"/>
          <w:szCs w:val="24"/>
        </w:rPr>
        <w:t>Presence of red cattle near homestead (reported by 81% of Somali, 64% of Oromo, 28% of Amhara).</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lastRenderedPageBreak/>
        <w:t>Pastoralist communities strongly associated malaria risk with keeping </w:t>
      </w:r>
      <w:r w:rsidRPr="00F8717A">
        <w:rPr>
          <w:rFonts w:ascii="Times New Roman" w:eastAsia="Times New Roman" w:hAnsi="Times New Roman" w:cs="Times New Roman"/>
          <w:bCs/>
          <w:color w:val="0F1115"/>
          <w:sz w:val="24"/>
          <w:szCs w:val="24"/>
        </w:rPr>
        <w:t>red</w:t>
      </w:r>
      <w:r w:rsidRPr="00F8717A">
        <w:rPr>
          <w:rFonts w:ascii="Times New Roman" w:eastAsia="Times New Roman" w:hAnsi="Times New Roman" w:cs="Times New Roman"/>
          <w:bCs/>
          <w:color w:val="0F1115"/>
          <w:sz w:val="24"/>
          <w:szCs w:val="24"/>
        </w:rPr>
        <w:noBreakHyphen/>
        <w:t>coloured cattle</w:t>
      </w:r>
      <w:r w:rsidRPr="00F8717A">
        <w:rPr>
          <w:rFonts w:ascii="Times New Roman" w:eastAsia="Times New Roman" w:hAnsi="Times New Roman" w:cs="Times New Roman"/>
          <w:color w:val="0F1115"/>
          <w:sz w:val="24"/>
          <w:szCs w:val="24"/>
        </w:rPr>
        <w:t> close to sleeping areas. This was not solely about livestock proximity but specifically red cattle, which were believed to attract more mosquitoes than black or white cattle.</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i/>
          <w:iCs/>
          <w:color w:val="0F1115"/>
          <w:sz w:val="24"/>
          <w:szCs w:val="24"/>
        </w:rPr>
        <w:t>“The red cow draws the mosquito like honey draws flies. When we keep them inside the thorn fence at night, the fever visits us more often.”</w:t>
      </w:r>
      <w:r w:rsidRPr="00F8717A">
        <w:rPr>
          <w:rFonts w:ascii="Times New Roman" w:eastAsia="Times New Roman" w:hAnsi="Times New Roman" w:cs="Times New Roman"/>
          <w:color w:val="0F1115"/>
          <w:sz w:val="24"/>
          <w:szCs w:val="24"/>
        </w:rPr>
        <w:t> (Somali male, 58 years, pastoralist)</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1.8: </w:t>
      </w:r>
      <w:r w:rsidR="00F8717A" w:rsidRPr="00F8717A">
        <w:rPr>
          <w:rFonts w:ascii="Times New Roman" w:eastAsia="Times New Roman" w:hAnsi="Times New Roman" w:cs="Times New Roman"/>
          <w:i/>
          <w:iCs/>
          <w:color w:val="0F1115"/>
          <w:sz w:val="24"/>
          <w:szCs w:val="24"/>
        </w:rPr>
        <w:t>Swallows flying low at dusk (reported by 49%).</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Observing swallows (</w:t>
      </w:r>
      <w:r w:rsidRPr="00F8717A">
        <w:rPr>
          <w:rFonts w:ascii="Times New Roman" w:eastAsia="Times New Roman" w:hAnsi="Times New Roman" w:cs="Times New Roman"/>
          <w:i/>
          <w:iCs/>
          <w:color w:val="0F1115"/>
          <w:sz w:val="24"/>
          <w:szCs w:val="24"/>
        </w:rPr>
        <w:t>Hirundo rustica</w:t>
      </w:r>
      <w:r w:rsidRPr="00F8717A">
        <w:rPr>
          <w:rFonts w:ascii="Times New Roman" w:eastAsia="Times New Roman" w:hAnsi="Times New Roman" w:cs="Times New Roman"/>
          <w:color w:val="0F1115"/>
          <w:sz w:val="24"/>
          <w:szCs w:val="24"/>
        </w:rPr>
        <w:t>) skimming close to the ground was interpreted as a sign of high mosquito density, as the birds feed on swarming insects.</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Subtheme 1.9:</w:t>
      </w:r>
      <w:r w:rsidR="00F8717A" w:rsidRPr="00F8717A">
        <w:rPr>
          <w:rFonts w:ascii="Times New Roman" w:eastAsia="Times New Roman" w:hAnsi="Times New Roman" w:cs="Times New Roman"/>
          <w:i/>
          <w:iCs/>
          <w:color w:val="0F1115"/>
          <w:sz w:val="24"/>
          <w:szCs w:val="24"/>
        </w:rPr>
        <w:t xml:space="preserve"> Croaking of specific frogs (reported by 43%).</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The loud, repetitive call of the </w:t>
      </w:r>
      <w:r w:rsidRPr="00F8717A">
        <w:rPr>
          <w:rFonts w:ascii="Times New Roman" w:eastAsia="Times New Roman" w:hAnsi="Times New Roman" w:cs="Times New Roman"/>
          <w:bCs/>
          <w:color w:val="0F1115"/>
          <w:sz w:val="24"/>
          <w:szCs w:val="24"/>
        </w:rPr>
        <w:t>African clawed frog</w:t>
      </w:r>
      <w:r w:rsidRPr="00F8717A">
        <w:rPr>
          <w:rFonts w:ascii="Times New Roman" w:eastAsia="Times New Roman" w:hAnsi="Times New Roman" w:cs="Times New Roman"/>
          <w:color w:val="0F1115"/>
          <w:sz w:val="24"/>
          <w:szCs w:val="24"/>
        </w:rPr>
        <w:t> (</w:t>
      </w:r>
      <w:r w:rsidRPr="00F8717A">
        <w:rPr>
          <w:rFonts w:ascii="Times New Roman" w:eastAsia="Times New Roman" w:hAnsi="Times New Roman" w:cs="Times New Roman"/>
          <w:i/>
          <w:iCs/>
          <w:color w:val="0F1115"/>
          <w:sz w:val="24"/>
          <w:szCs w:val="24"/>
        </w:rPr>
        <w:t>Xenopus laevis</w:t>
      </w:r>
      <w:r w:rsidRPr="00F8717A">
        <w:rPr>
          <w:rFonts w:ascii="Times New Roman" w:eastAsia="Times New Roman" w:hAnsi="Times New Roman" w:cs="Times New Roman"/>
          <w:color w:val="0F1115"/>
          <w:sz w:val="24"/>
          <w:szCs w:val="24"/>
        </w:rPr>
        <w:t>) after rain was noted by Oromo and Amhara participants as a sign that breeding pools had persisted long enough to support amphibian and mosquito co</w:t>
      </w:r>
      <w:r w:rsidRPr="00F8717A">
        <w:rPr>
          <w:rFonts w:ascii="Times New Roman" w:eastAsia="Times New Roman" w:hAnsi="Times New Roman" w:cs="Times New Roman"/>
          <w:color w:val="0F1115"/>
          <w:sz w:val="24"/>
          <w:szCs w:val="24"/>
        </w:rPr>
        <w:noBreakHyphen/>
        <w:t>habitation.</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1.10: </w:t>
      </w:r>
      <w:r w:rsidR="00F8717A" w:rsidRPr="00F8717A">
        <w:rPr>
          <w:rFonts w:ascii="Times New Roman" w:eastAsia="Times New Roman" w:hAnsi="Times New Roman" w:cs="Times New Roman"/>
          <w:i/>
          <w:iCs/>
          <w:color w:val="0F1115"/>
          <w:sz w:val="24"/>
          <w:szCs w:val="24"/>
        </w:rPr>
        <w:t>Morning mist over the Dechatu River (reported by 55%).</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Dense mist rising from the riverbed in the early morning was interpreted as a marker of high hum</w:t>
      </w:r>
      <w:r w:rsidR="0061582F">
        <w:rPr>
          <w:rFonts w:ascii="Times New Roman" w:eastAsia="Times New Roman" w:hAnsi="Times New Roman" w:cs="Times New Roman"/>
          <w:color w:val="0F1115"/>
          <w:sz w:val="24"/>
          <w:szCs w:val="24"/>
        </w:rPr>
        <w:t xml:space="preserve">idity and stable water surfaces </w:t>
      </w:r>
      <w:r w:rsidRPr="00F8717A">
        <w:rPr>
          <w:rFonts w:ascii="Times New Roman" w:eastAsia="Times New Roman" w:hAnsi="Times New Roman" w:cs="Times New Roman"/>
          <w:color w:val="0F1115"/>
          <w:sz w:val="24"/>
          <w:szCs w:val="24"/>
        </w:rPr>
        <w:t>ideal mosquito conditions.</w:t>
      </w:r>
    </w:p>
    <w:p w:rsidR="0061582F" w:rsidRDefault="00F8717A" w:rsidP="00F8717A">
      <w:pPr>
        <w:shd w:val="clear" w:color="auto" w:fill="FFFFFF"/>
        <w:spacing w:after="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bCs/>
          <w:color w:val="0F1115"/>
          <w:sz w:val="24"/>
          <w:szCs w:val="24"/>
        </w:rPr>
        <w:t>Theme 2: Symptomatic and Fever Classification</w:t>
      </w:r>
    </w:p>
    <w:p w:rsidR="00F8717A" w:rsidRPr="00F8717A" w:rsidRDefault="00F8717A" w:rsidP="00F8717A">
      <w:pPr>
        <w:shd w:val="clear" w:color="auto" w:fill="FFFFFF"/>
        <w:spacing w:after="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Participants distinguished malaria from other febrile illnesses using a rich local nosology. Three overlapping but culturally distinct classification systems emerged.</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2.1: </w:t>
      </w:r>
      <w:r w:rsidR="00F8717A" w:rsidRPr="00F8717A">
        <w:rPr>
          <w:rFonts w:ascii="Times New Roman" w:eastAsia="Times New Roman" w:hAnsi="Times New Roman" w:cs="Times New Roman"/>
          <w:i/>
          <w:iCs/>
          <w:color w:val="0F1115"/>
          <w:sz w:val="24"/>
          <w:szCs w:val="24"/>
        </w:rPr>
        <w:t>Oromo terminology: Gurgaacha and Busaa</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Among Oromo participants, malaria was most commonly referred to as </w:t>
      </w:r>
      <w:r w:rsidRPr="00F8717A">
        <w:rPr>
          <w:rFonts w:ascii="Times New Roman" w:eastAsia="Times New Roman" w:hAnsi="Times New Roman" w:cs="Times New Roman"/>
          <w:bCs/>
          <w:color w:val="0F1115"/>
          <w:sz w:val="24"/>
          <w:szCs w:val="24"/>
        </w:rPr>
        <w:t>gurgaacha</w:t>
      </w:r>
      <w:r w:rsidRPr="00F8717A">
        <w:rPr>
          <w:rFonts w:ascii="Times New Roman" w:eastAsia="Times New Roman" w:hAnsi="Times New Roman" w:cs="Times New Roman"/>
          <w:color w:val="0F1115"/>
          <w:sz w:val="24"/>
          <w:szCs w:val="24"/>
        </w:rPr>
        <w:t> (literally “the one that makes you shake”). A severe, recurrent form was called </w:t>
      </w:r>
      <w:r w:rsidRPr="00F8717A">
        <w:rPr>
          <w:rFonts w:ascii="Times New Roman" w:eastAsia="Times New Roman" w:hAnsi="Times New Roman" w:cs="Times New Roman"/>
          <w:bCs/>
          <w:color w:val="0F1115"/>
          <w:sz w:val="24"/>
          <w:szCs w:val="24"/>
        </w:rPr>
        <w:t>busaa</w:t>
      </w:r>
      <w:r w:rsidRPr="00F8717A">
        <w:rPr>
          <w:rFonts w:ascii="Times New Roman" w:eastAsia="Times New Roman" w:hAnsi="Times New Roman" w:cs="Times New Roman"/>
          <w:color w:val="0F1115"/>
          <w:sz w:val="24"/>
          <w:szCs w:val="24"/>
        </w:rPr>
        <w:t xml:space="preserve">, described as “fever that goes away </w:t>
      </w:r>
      <w:r w:rsidR="0061582F">
        <w:rPr>
          <w:rFonts w:ascii="Times New Roman" w:eastAsia="Times New Roman" w:hAnsi="Times New Roman" w:cs="Times New Roman"/>
          <w:color w:val="0F1115"/>
          <w:sz w:val="24"/>
          <w:szCs w:val="24"/>
        </w:rPr>
        <w:t xml:space="preserve">and returns on the third day” </w:t>
      </w:r>
      <w:r w:rsidRPr="00F8717A">
        <w:rPr>
          <w:rFonts w:ascii="Times New Roman" w:eastAsia="Times New Roman" w:hAnsi="Times New Roman" w:cs="Times New Roman"/>
          <w:color w:val="0F1115"/>
          <w:sz w:val="24"/>
          <w:szCs w:val="24"/>
        </w:rPr>
        <w:t>a highly accurate description of </w:t>
      </w:r>
      <w:r w:rsidRPr="00F8717A">
        <w:rPr>
          <w:rFonts w:ascii="Times New Roman" w:eastAsia="Times New Roman" w:hAnsi="Times New Roman" w:cs="Times New Roman"/>
          <w:i/>
          <w:iCs/>
          <w:color w:val="0F1115"/>
          <w:sz w:val="24"/>
          <w:szCs w:val="24"/>
        </w:rPr>
        <w:t>Plasmodium vivax</w:t>
      </w:r>
      <w:r w:rsidRPr="00F8717A">
        <w:rPr>
          <w:rFonts w:ascii="Times New Roman" w:eastAsia="Times New Roman" w:hAnsi="Times New Roman" w:cs="Times New Roman"/>
          <w:color w:val="0F1115"/>
          <w:sz w:val="24"/>
          <w:szCs w:val="24"/>
        </w:rPr>
        <w:t> tertian periodicity.</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i/>
          <w:iCs/>
          <w:color w:val="0F1115"/>
          <w:sz w:val="24"/>
          <w:szCs w:val="24"/>
        </w:rPr>
        <w:t>“Gurgaacha starts with cold bones, then fire in the head, then sweat that dries like salt. If it comes back afte</w:t>
      </w:r>
      <w:r w:rsidR="0061582F">
        <w:rPr>
          <w:rFonts w:ascii="Times New Roman" w:eastAsia="Times New Roman" w:hAnsi="Times New Roman" w:cs="Times New Roman"/>
          <w:i/>
          <w:iCs/>
          <w:color w:val="0F1115"/>
          <w:sz w:val="24"/>
          <w:szCs w:val="24"/>
        </w:rPr>
        <w:t>r two good days that is busaa</w:t>
      </w:r>
      <w:r w:rsidRPr="00F8717A">
        <w:rPr>
          <w:rFonts w:ascii="Times New Roman" w:eastAsia="Times New Roman" w:hAnsi="Times New Roman" w:cs="Times New Roman"/>
          <w:i/>
          <w:iCs/>
          <w:color w:val="0F1115"/>
          <w:sz w:val="24"/>
          <w:szCs w:val="24"/>
        </w:rPr>
        <w:t xml:space="preserve"> that one needs strong medicine from the clinic.”</w:t>
      </w:r>
      <w:r w:rsidRPr="00F8717A">
        <w:rPr>
          <w:rFonts w:ascii="Times New Roman" w:eastAsia="Times New Roman" w:hAnsi="Times New Roman" w:cs="Times New Roman"/>
          <w:color w:val="0F1115"/>
          <w:sz w:val="24"/>
          <w:szCs w:val="24"/>
        </w:rPr>
        <w:t> (Oromo male, 65 years, traditional healer)</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2.2 </w:t>
      </w:r>
      <w:r w:rsidR="00F8717A" w:rsidRPr="00F8717A">
        <w:rPr>
          <w:rFonts w:ascii="Times New Roman" w:eastAsia="Times New Roman" w:hAnsi="Times New Roman" w:cs="Times New Roman"/>
          <w:i/>
          <w:iCs/>
          <w:color w:val="0F1115"/>
          <w:sz w:val="24"/>
          <w:szCs w:val="24"/>
        </w:rPr>
        <w:t>Somali terminology: Qandho and Hargab</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Somali participants used </w:t>
      </w:r>
      <w:r w:rsidRPr="00F8717A">
        <w:rPr>
          <w:rFonts w:ascii="Times New Roman" w:eastAsia="Times New Roman" w:hAnsi="Times New Roman" w:cs="Times New Roman"/>
          <w:bCs/>
          <w:color w:val="0F1115"/>
          <w:sz w:val="24"/>
          <w:szCs w:val="24"/>
        </w:rPr>
        <w:t>qandho</w:t>
      </w:r>
      <w:r w:rsidRPr="00F8717A">
        <w:rPr>
          <w:rFonts w:ascii="Times New Roman" w:eastAsia="Times New Roman" w:hAnsi="Times New Roman" w:cs="Times New Roman"/>
          <w:color w:val="0F1115"/>
          <w:sz w:val="24"/>
          <w:szCs w:val="24"/>
        </w:rPr>
        <w:t> as the general term for fever, and </w:t>
      </w:r>
      <w:r w:rsidRPr="00F8717A">
        <w:rPr>
          <w:rFonts w:ascii="Times New Roman" w:eastAsia="Times New Roman" w:hAnsi="Times New Roman" w:cs="Times New Roman"/>
          <w:bCs/>
          <w:color w:val="0F1115"/>
          <w:sz w:val="24"/>
          <w:szCs w:val="24"/>
        </w:rPr>
        <w:t>hargab</w:t>
      </w:r>
      <w:r w:rsidRPr="00F8717A">
        <w:rPr>
          <w:rFonts w:ascii="Times New Roman" w:eastAsia="Times New Roman" w:hAnsi="Times New Roman" w:cs="Times New Roman"/>
          <w:color w:val="0F1115"/>
          <w:sz w:val="24"/>
          <w:szCs w:val="24"/>
        </w:rPr>
        <w:t> for severe, epidemic malaria. </w:t>
      </w:r>
      <w:r w:rsidRPr="00F8717A">
        <w:rPr>
          <w:rFonts w:ascii="Times New Roman" w:eastAsia="Times New Roman" w:hAnsi="Times New Roman" w:cs="Times New Roman"/>
          <w:i/>
          <w:iCs/>
          <w:color w:val="0F1115"/>
          <w:sz w:val="24"/>
          <w:szCs w:val="24"/>
        </w:rPr>
        <w:t>Hargab</w:t>
      </w:r>
      <w:r w:rsidRPr="00F8717A">
        <w:rPr>
          <w:rFonts w:ascii="Times New Roman" w:eastAsia="Times New Roman" w:hAnsi="Times New Roman" w:cs="Times New Roman"/>
          <w:color w:val="0F1115"/>
          <w:sz w:val="24"/>
          <w:szCs w:val="24"/>
        </w:rPr>
        <w:t> was specifically associated with the “yellowing of the eyes” (jaundice), reflecting recognition of severe </w:t>
      </w:r>
      <w:r w:rsidRPr="00F8717A">
        <w:rPr>
          <w:rFonts w:ascii="Times New Roman" w:eastAsia="Times New Roman" w:hAnsi="Times New Roman" w:cs="Times New Roman"/>
          <w:i/>
          <w:iCs/>
          <w:color w:val="0F1115"/>
          <w:sz w:val="24"/>
          <w:szCs w:val="24"/>
        </w:rPr>
        <w:t>P. falciparum</w:t>
      </w:r>
      <w:r w:rsidRPr="00F8717A">
        <w:rPr>
          <w:rFonts w:ascii="Times New Roman" w:eastAsia="Times New Roman" w:hAnsi="Times New Roman" w:cs="Times New Roman"/>
          <w:color w:val="0F1115"/>
          <w:sz w:val="24"/>
          <w:szCs w:val="24"/>
        </w:rPr>
        <w:t> with hepatic involvement.</w:t>
      </w:r>
    </w:p>
    <w:p w:rsidR="00F8717A" w:rsidRPr="00F8717A"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*Subtheme 2.3 </w:t>
      </w:r>
      <w:r w:rsidR="00F8717A" w:rsidRPr="00F8717A">
        <w:rPr>
          <w:rFonts w:ascii="Times New Roman" w:eastAsia="Times New Roman" w:hAnsi="Times New Roman" w:cs="Times New Roman"/>
          <w:color w:val="0F1115"/>
          <w:sz w:val="24"/>
          <w:szCs w:val="24"/>
        </w:rPr>
        <w:t>Amhara terminology: </w:t>
      </w:r>
      <w:r w:rsidR="00F8717A" w:rsidRPr="00F8717A">
        <w:rPr>
          <w:rFonts w:ascii="Times New Roman" w:eastAsia="Times New Roman" w:hAnsi="Times New Roman" w:cs="Times New Roman"/>
          <w:i/>
          <w:iCs/>
          <w:color w:val="0F1115"/>
          <w:sz w:val="24"/>
          <w:szCs w:val="24"/>
        </w:rPr>
        <w:t>Dhukkuba sukku</w:t>
      </w:r>
      <w:r w:rsidR="00F8717A" w:rsidRPr="00F8717A">
        <w:rPr>
          <w:rFonts w:ascii="Times New Roman" w:eastAsia="Times New Roman" w:hAnsi="Times New Roman" w:cs="Times New Roman"/>
          <w:color w:val="0F1115"/>
          <w:sz w:val="24"/>
          <w:szCs w:val="24"/>
        </w:rPr>
        <w:t>, *Wofecha**, and </w:t>
      </w:r>
      <w:r w:rsidR="00F8717A" w:rsidRPr="00F8717A">
        <w:rPr>
          <w:rFonts w:ascii="Times New Roman" w:eastAsia="Times New Roman" w:hAnsi="Times New Roman" w:cs="Times New Roman"/>
          <w:i/>
          <w:iCs/>
          <w:color w:val="0F1115"/>
          <w:sz w:val="24"/>
          <w:szCs w:val="24"/>
        </w:rPr>
        <w:t>Miche</w:t>
      </w:r>
      <w:r w:rsidR="00AC459B">
        <w:rPr>
          <w:rFonts w:ascii="Times New Roman" w:eastAsia="Times New Roman" w:hAnsi="Times New Roman" w:cs="Times New Roman"/>
          <w:color w:val="0F1115"/>
          <w:sz w:val="24"/>
          <w:szCs w:val="24"/>
        </w:rPr>
        <w:t xml:space="preserve"> </w:t>
      </w:r>
      <w:r w:rsidR="00F8717A" w:rsidRPr="00F8717A">
        <w:rPr>
          <w:rFonts w:ascii="Times New Roman" w:eastAsia="Times New Roman" w:hAnsi="Times New Roman" w:cs="Times New Roman"/>
          <w:color w:val="0F1115"/>
          <w:sz w:val="24"/>
          <w:szCs w:val="24"/>
        </w:rPr>
        <w:t>Amhara participants employed a nuanced classification:</w:t>
      </w:r>
    </w:p>
    <w:p w:rsidR="0061582F" w:rsidRDefault="00F8717A" w:rsidP="00AC459B">
      <w:pPr>
        <w:pStyle w:val="ListParagraph"/>
        <w:numPr>
          <w:ilvl w:val="0"/>
          <w:numId w:val="14"/>
        </w:numPr>
        <w:shd w:val="clear" w:color="auto" w:fill="FFFFFF"/>
        <w:spacing w:after="120"/>
        <w:jc w:val="both"/>
        <w:rPr>
          <w:rFonts w:ascii="Times New Roman" w:eastAsia="Times New Roman" w:hAnsi="Times New Roman" w:cs="Times New Roman"/>
          <w:color w:val="0F1115"/>
          <w:sz w:val="24"/>
          <w:szCs w:val="24"/>
        </w:rPr>
      </w:pPr>
      <w:r w:rsidRPr="0061582F">
        <w:rPr>
          <w:rFonts w:ascii="Times New Roman" w:eastAsia="Times New Roman" w:hAnsi="Times New Roman" w:cs="Times New Roman"/>
          <w:bCs/>
          <w:color w:val="0F1115"/>
          <w:sz w:val="24"/>
          <w:szCs w:val="24"/>
        </w:rPr>
        <w:t>Dhukkuba sukku</w:t>
      </w:r>
      <w:r w:rsidR="0061582F">
        <w:rPr>
          <w:rFonts w:ascii="Times New Roman" w:eastAsia="Times New Roman" w:hAnsi="Times New Roman" w:cs="Times New Roman"/>
          <w:color w:val="0F1115"/>
          <w:sz w:val="24"/>
          <w:szCs w:val="24"/>
        </w:rPr>
        <w:t> </w:t>
      </w:r>
      <w:r w:rsidRPr="0061582F">
        <w:rPr>
          <w:rFonts w:ascii="Times New Roman" w:eastAsia="Times New Roman" w:hAnsi="Times New Roman" w:cs="Times New Roman"/>
          <w:color w:val="0F1115"/>
          <w:sz w:val="24"/>
          <w:szCs w:val="24"/>
        </w:rPr>
        <w:t>“shaking illness,” equivalent to uncomplicated malaria.</w:t>
      </w:r>
    </w:p>
    <w:p w:rsidR="0061582F" w:rsidRDefault="00F8717A" w:rsidP="00AC459B">
      <w:pPr>
        <w:pStyle w:val="ListParagraph"/>
        <w:numPr>
          <w:ilvl w:val="0"/>
          <w:numId w:val="14"/>
        </w:numPr>
        <w:shd w:val="clear" w:color="auto" w:fill="FFFFFF"/>
        <w:spacing w:after="120"/>
        <w:jc w:val="both"/>
        <w:rPr>
          <w:rFonts w:ascii="Times New Roman" w:eastAsia="Times New Roman" w:hAnsi="Times New Roman" w:cs="Times New Roman"/>
          <w:color w:val="0F1115"/>
          <w:sz w:val="24"/>
          <w:szCs w:val="24"/>
        </w:rPr>
      </w:pPr>
      <w:r w:rsidRPr="0061582F">
        <w:rPr>
          <w:rFonts w:ascii="Times New Roman" w:eastAsia="Times New Roman" w:hAnsi="Times New Roman" w:cs="Times New Roman"/>
          <w:bCs/>
          <w:color w:val="0F1115"/>
          <w:sz w:val="24"/>
          <w:szCs w:val="24"/>
        </w:rPr>
        <w:t>Wofecha</w:t>
      </w:r>
      <w:r w:rsidR="0061582F">
        <w:rPr>
          <w:rFonts w:ascii="Times New Roman" w:eastAsia="Times New Roman" w:hAnsi="Times New Roman" w:cs="Times New Roman"/>
          <w:color w:val="0F1115"/>
          <w:sz w:val="24"/>
          <w:szCs w:val="24"/>
        </w:rPr>
        <w:t> </w:t>
      </w:r>
      <w:r w:rsidRPr="0061582F">
        <w:rPr>
          <w:rFonts w:ascii="Times New Roman" w:eastAsia="Times New Roman" w:hAnsi="Times New Roman" w:cs="Times New Roman"/>
          <w:color w:val="0F1115"/>
          <w:sz w:val="24"/>
          <w:szCs w:val="24"/>
        </w:rPr>
        <w:t>“the bird” – referring to the sensation of chills like a bird fluttering under the skin.</w:t>
      </w:r>
    </w:p>
    <w:p w:rsidR="00F8717A" w:rsidRPr="0061582F" w:rsidRDefault="00F8717A" w:rsidP="00AC459B">
      <w:pPr>
        <w:pStyle w:val="ListParagraph"/>
        <w:numPr>
          <w:ilvl w:val="0"/>
          <w:numId w:val="14"/>
        </w:numPr>
        <w:shd w:val="clear" w:color="auto" w:fill="FFFFFF"/>
        <w:spacing w:after="120"/>
        <w:jc w:val="both"/>
        <w:rPr>
          <w:rFonts w:ascii="Times New Roman" w:eastAsia="Times New Roman" w:hAnsi="Times New Roman" w:cs="Times New Roman"/>
          <w:color w:val="0F1115"/>
          <w:sz w:val="24"/>
          <w:szCs w:val="24"/>
        </w:rPr>
      </w:pPr>
      <w:r w:rsidRPr="0061582F">
        <w:rPr>
          <w:rFonts w:ascii="Times New Roman" w:eastAsia="Times New Roman" w:hAnsi="Times New Roman" w:cs="Times New Roman"/>
          <w:bCs/>
          <w:color w:val="0F1115"/>
          <w:sz w:val="24"/>
          <w:szCs w:val="24"/>
        </w:rPr>
        <w:lastRenderedPageBreak/>
        <w:t>Miche</w:t>
      </w:r>
      <w:r w:rsidR="0061582F">
        <w:rPr>
          <w:rFonts w:ascii="Times New Roman" w:eastAsia="Times New Roman" w:hAnsi="Times New Roman" w:cs="Times New Roman"/>
          <w:color w:val="0F1115"/>
          <w:sz w:val="24"/>
          <w:szCs w:val="24"/>
        </w:rPr>
        <w:t> </w:t>
      </w:r>
      <w:r w:rsidRPr="0061582F">
        <w:rPr>
          <w:rFonts w:ascii="Times New Roman" w:eastAsia="Times New Roman" w:hAnsi="Times New Roman" w:cs="Times New Roman"/>
          <w:color w:val="0F1115"/>
          <w:sz w:val="24"/>
          <w:szCs w:val="24"/>
        </w:rPr>
        <w:t xml:space="preserve">a febrile illness with persistent </w:t>
      </w:r>
      <w:r w:rsidR="0061582F" w:rsidRPr="0061582F">
        <w:rPr>
          <w:rFonts w:ascii="Times New Roman" w:eastAsia="Times New Roman" w:hAnsi="Times New Roman" w:cs="Times New Roman"/>
          <w:color w:val="0F1115"/>
          <w:sz w:val="24"/>
          <w:szCs w:val="24"/>
        </w:rPr>
        <w:t>vomiting</w:t>
      </w:r>
      <w:r w:rsidRPr="0061582F">
        <w:rPr>
          <w:rFonts w:ascii="Times New Roman" w:eastAsia="Times New Roman" w:hAnsi="Times New Roman" w:cs="Times New Roman"/>
          <w:color w:val="0F1115"/>
          <w:sz w:val="24"/>
          <w:szCs w:val="24"/>
        </w:rPr>
        <w:t xml:space="preserve"> considered a danger sign requiring immediate referral.</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Subtheme 2.4</w:t>
      </w:r>
      <w:r w:rsidR="00F8717A" w:rsidRPr="00F8717A">
        <w:rPr>
          <w:rFonts w:ascii="Times New Roman" w:eastAsia="Times New Roman" w:hAnsi="Times New Roman" w:cs="Times New Roman"/>
          <w:i/>
          <w:iCs/>
          <w:color w:val="0F1115"/>
          <w:sz w:val="24"/>
          <w:szCs w:val="24"/>
        </w:rPr>
        <w:t xml:space="preserve"> Cross</w:t>
      </w:r>
      <w:r w:rsidR="00F8717A" w:rsidRPr="00F8717A">
        <w:rPr>
          <w:rFonts w:ascii="Times New Roman" w:eastAsia="Times New Roman" w:hAnsi="Times New Roman" w:cs="Times New Roman"/>
          <w:i/>
          <w:iCs/>
          <w:color w:val="0F1115"/>
          <w:sz w:val="24"/>
          <w:szCs w:val="24"/>
        </w:rPr>
        <w:noBreakHyphen/>
        <w:t>cultural convergence on danger signs</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Despite linguistic differences, participants from all three groups independently identified the same set of paediatric danger signs: refusal to feed, convulsions, “rolling eyes,” and unconsciousness. These were universally recognized as requiring prompt health post attendance rather than traditional treatment alone.</w:t>
      </w:r>
    </w:p>
    <w:p w:rsidR="0061582F"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bCs/>
          <w:color w:val="0F1115"/>
          <w:sz w:val="24"/>
          <w:szCs w:val="24"/>
        </w:rPr>
        <w:t>Theme 3: Traditional Prevention Practices</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Preventive practices varied across ethnic groups but shared common principles of vector avoidance, habitat modification, and personal protection.</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3.1 </w:t>
      </w:r>
      <w:r w:rsidR="00F8717A" w:rsidRPr="00F8717A">
        <w:rPr>
          <w:rFonts w:ascii="Times New Roman" w:eastAsia="Times New Roman" w:hAnsi="Times New Roman" w:cs="Times New Roman"/>
          <w:i/>
          <w:iCs/>
          <w:color w:val="0F1115"/>
          <w:sz w:val="24"/>
          <w:szCs w:val="24"/>
        </w:rPr>
        <w:t>Smoking homesteads with Olea europaea leaves (reported by 74% overall; 89% of Amhara, 64% of Oromo, 68% of Somali).</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Dried leaves of the wild olive (</w:t>
      </w:r>
      <w:r w:rsidRPr="00F8717A">
        <w:rPr>
          <w:rFonts w:ascii="Times New Roman" w:eastAsia="Times New Roman" w:hAnsi="Times New Roman" w:cs="Times New Roman"/>
          <w:i/>
          <w:iCs/>
          <w:color w:val="0F1115"/>
          <w:sz w:val="24"/>
          <w:szCs w:val="24"/>
        </w:rPr>
        <w:t>Olea europaea</w:t>
      </w:r>
      <w:r w:rsidRPr="00F8717A">
        <w:rPr>
          <w:rFonts w:ascii="Times New Roman" w:eastAsia="Times New Roman" w:hAnsi="Times New Roman" w:cs="Times New Roman"/>
          <w:color w:val="0F1115"/>
          <w:sz w:val="24"/>
          <w:szCs w:val="24"/>
        </w:rPr>
        <w:t> subsp. </w:t>
      </w:r>
      <w:r w:rsidRPr="00F8717A">
        <w:rPr>
          <w:rFonts w:ascii="Times New Roman" w:eastAsia="Times New Roman" w:hAnsi="Times New Roman" w:cs="Times New Roman"/>
          <w:i/>
          <w:iCs/>
          <w:color w:val="0F1115"/>
          <w:sz w:val="24"/>
          <w:szCs w:val="24"/>
        </w:rPr>
        <w:t>cuspidata</w:t>
      </w:r>
      <w:r w:rsidRPr="00F8717A">
        <w:rPr>
          <w:rFonts w:ascii="Times New Roman" w:eastAsia="Times New Roman" w:hAnsi="Times New Roman" w:cs="Times New Roman"/>
          <w:color w:val="0F1115"/>
          <w:sz w:val="24"/>
          <w:szCs w:val="24"/>
        </w:rPr>
        <w:t>) were burned inside sleeping huts at dusk. The aromatic smoke was believed to repel mosquitoes. Participants described specific techniques: “You light the leaves green so they smoke, not burn to ash.”</w:t>
      </w:r>
    </w:p>
    <w:p w:rsidR="0061582F"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i/>
          <w:iCs/>
          <w:color w:val="0F1115"/>
          <w:sz w:val="24"/>
          <w:szCs w:val="24"/>
        </w:rPr>
        <w:t>Subth</w:t>
      </w:r>
      <w:r w:rsidR="0061582F">
        <w:rPr>
          <w:rFonts w:ascii="Times New Roman" w:eastAsia="Times New Roman" w:hAnsi="Times New Roman" w:cs="Times New Roman"/>
          <w:i/>
          <w:iCs/>
          <w:color w:val="0F1115"/>
          <w:sz w:val="24"/>
          <w:szCs w:val="24"/>
        </w:rPr>
        <w:t>eme 3.2</w:t>
      </w:r>
      <w:r w:rsidRPr="00F8717A">
        <w:rPr>
          <w:rFonts w:ascii="Times New Roman" w:eastAsia="Times New Roman" w:hAnsi="Times New Roman" w:cs="Times New Roman"/>
          <w:i/>
          <w:iCs/>
          <w:color w:val="0F1115"/>
          <w:sz w:val="24"/>
          <w:szCs w:val="24"/>
        </w:rPr>
        <w:t xml:space="preserve"> Neem oil application (reported by 68% overall; highest among Somali, 82%).</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Oil pressed from </w:t>
      </w:r>
      <w:r w:rsidRPr="00F8717A">
        <w:rPr>
          <w:rFonts w:ascii="Times New Roman" w:eastAsia="Times New Roman" w:hAnsi="Times New Roman" w:cs="Times New Roman"/>
          <w:i/>
          <w:iCs/>
          <w:color w:val="0F1115"/>
          <w:sz w:val="24"/>
          <w:szCs w:val="24"/>
        </w:rPr>
        <w:t>Azadirachta indica</w:t>
      </w:r>
      <w:r w:rsidRPr="00F8717A">
        <w:rPr>
          <w:rFonts w:ascii="Times New Roman" w:eastAsia="Times New Roman" w:hAnsi="Times New Roman" w:cs="Times New Roman"/>
          <w:color w:val="0F1115"/>
          <w:sz w:val="24"/>
          <w:szCs w:val="24"/>
        </w:rPr>
        <w:t> (neem) seeds was applied to exposed skin, especially of children. Neem oil was also rubbed onto livestock hides.</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i/>
          <w:iCs/>
          <w:color w:val="0F1115"/>
          <w:sz w:val="24"/>
          <w:szCs w:val="24"/>
        </w:rPr>
        <w:t>“Before the rains, we collect neem seeds and press the oil. One small bottle lasts a family for two months. It smells strong, but the mosquito stays away.”</w:t>
      </w:r>
      <w:r w:rsidRPr="00F8717A">
        <w:rPr>
          <w:rFonts w:ascii="Times New Roman" w:eastAsia="Times New Roman" w:hAnsi="Times New Roman" w:cs="Times New Roman"/>
          <w:color w:val="0F1115"/>
          <w:sz w:val="24"/>
          <w:szCs w:val="24"/>
        </w:rPr>
        <w:t> (Somali female, 47 years, household head)</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3.3 </w:t>
      </w:r>
      <w:r w:rsidR="00F8717A" w:rsidRPr="00F8717A">
        <w:rPr>
          <w:rFonts w:ascii="Times New Roman" w:eastAsia="Times New Roman" w:hAnsi="Times New Roman" w:cs="Times New Roman"/>
          <w:i/>
          <w:iCs/>
          <w:color w:val="0F1115"/>
          <w:sz w:val="24"/>
          <w:szCs w:val="24"/>
        </w:rPr>
        <w:t>Moving livestock away from sleeping quarters (reported by 77% of Somali, 58% of Oromo, 35% of Amhara).</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Pastoralist households deliberately relocated cattle and goats to a separate enclosure (“</w:t>
      </w:r>
      <w:r w:rsidRPr="00F8717A">
        <w:rPr>
          <w:rFonts w:ascii="Times New Roman" w:eastAsia="Times New Roman" w:hAnsi="Times New Roman" w:cs="Times New Roman"/>
          <w:i/>
          <w:iCs/>
          <w:color w:val="0F1115"/>
          <w:sz w:val="24"/>
          <w:szCs w:val="24"/>
        </w:rPr>
        <w:t>kallo</w:t>
      </w:r>
      <w:r w:rsidRPr="00F8717A">
        <w:rPr>
          <w:rFonts w:ascii="Times New Roman" w:eastAsia="Times New Roman" w:hAnsi="Times New Roman" w:cs="Times New Roman"/>
          <w:color w:val="0F1115"/>
          <w:sz w:val="24"/>
          <w:szCs w:val="24"/>
        </w:rPr>
        <w:t>” in Somali) at night, at least 50 m from the family hut. This practice was based on the observation that mosquitoes aggregate around livestock.</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3.4 </w:t>
      </w:r>
      <w:r w:rsidR="00F8717A" w:rsidRPr="00F8717A">
        <w:rPr>
          <w:rFonts w:ascii="Times New Roman" w:eastAsia="Times New Roman" w:hAnsi="Times New Roman" w:cs="Times New Roman"/>
          <w:i/>
          <w:iCs/>
          <w:color w:val="0F1115"/>
          <w:sz w:val="24"/>
          <w:szCs w:val="24"/>
        </w:rPr>
        <w:t>Covering water containers with woven grass lids (reported by 59%).</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Traditional woven lids made from </w:t>
      </w:r>
      <w:r w:rsidRPr="00F8717A">
        <w:rPr>
          <w:rFonts w:ascii="Times New Roman" w:eastAsia="Times New Roman" w:hAnsi="Times New Roman" w:cs="Times New Roman"/>
          <w:i/>
          <w:iCs/>
          <w:color w:val="0F1115"/>
          <w:sz w:val="24"/>
          <w:szCs w:val="24"/>
        </w:rPr>
        <w:t>Pennisetum</w:t>
      </w:r>
      <w:r w:rsidRPr="00F8717A">
        <w:rPr>
          <w:rFonts w:ascii="Times New Roman" w:eastAsia="Times New Roman" w:hAnsi="Times New Roman" w:cs="Times New Roman"/>
          <w:color w:val="0F1115"/>
          <w:sz w:val="24"/>
          <w:szCs w:val="24"/>
        </w:rPr>
        <w:t> grass stalks were placed over water</w:t>
      </w:r>
      <w:r w:rsidR="0061582F">
        <w:rPr>
          <w:rFonts w:ascii="Times New Roman" w:eastAsia="Times New Roman" w:hAnsi="Times New Roman" w:cs="Times New Roman"/>
          <w:color w:val="0F1115"/>
          <w:sz w:val="24"/>
          <w:szCs w:val="24"/>
        </w:rPr>
        <w:t xml:space="preserve"> jars to prevent mosquito entry </w:t>
      </w:r>
      <w:r w:rsidRPr="00F8717A">
        <w:rPr>
          <w:rFonts w:ascii="Times New Roman" w:eastAsia="Times New Roman" w:hAnsi="Times New Roman" w:cs="Times New Roman"/>
          <w:color w:val="0F1115"/>
          <w:sz w:val="24"/>
          <w:szCs w:val="24"/>
        </w:rPr>
        <w:t>an indigenous equivalent of larviciding.</w:t>
      </w:r>
    </w:p>
    <w:p w:rsidR="0061582F"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i/>
          <w:iCs/>
          <w:color w:val="0F1115"/>
          <w:sz w:val="24"/>
          <w:szCs w:val="24"/>
        </w:rPr>
        <w:t>S</w:t>
      </w:r>
      <w:r w:rsidR="0061582F">
        <w:rPr>
          <w:rFonts w:ascii="Times New Roman" w:eastAsia="Times New Roman" w:hAnsi="Times New Roman" w:cs="Times New Roman"/>
          <w:i/>
          <w:iCs/>
          <w:color w:val="0F1115"/>
          <w:sz w:val="24"/>
          <w:szCs w:val="24"/>
        </w:rPr>
        <w:t xml:space="preserve">ubtheme 3.5 </w:t>
      </w:r>
      <w:r w:rsidRPr="00F8717A">
        <w:rPr>
          <w:rFonts w:ascii="Times New Roman" w:eastAsia="Times New Roman" w:hAnsi="Times New Roman" w:cs="Times New Roman"/>
          <w:i/>
          <w:iCs/>
          <w:color w:val="0F1115"/>
          <w:sz w:val="24"/>
          <w:szCs w:val="24"/>
        </w:rPr>
        <w:t xml:space="preserve">Sleeping </w:t>
      </w:r>
      <w:r w:rsidR="0061582F" w:rsidRPr="00F8717A">
        <w:rPr>
          <w:rFonts w:ascii="Times New Roman" w:eastAsia="Times New Roman" w:hAnsi="Times New Roman" w:cs="Times New Roman"/>
          <w:i/>
          <w:iCs/>
          <w:color w:val="0F1115"/>
          <w:sz w:val="24"/>
          <w:szCs w:val="24"/>
        </w:rPr>
        <w:t>rose</w:t>
      </w:r>
      <w:r w:rsidRPr="00F8717A">
        <w:rPr>
          <w:rFonts w:ascii="Times New Roman" w:eastAsia="Times New Roman" w:hAnsi="Times New Roman" w:cs="Times New Roman"/>
          <w:i/>
          <w:iCs/>
          <w:color w:val="0F1115"/>
          <w:sz w:val="24"/>
          <w:szCs w:val="24"/>
        </w:rPr>
        <w:t xml:space="preserve"> off the ground (reported by 48%).</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Wooden bed frames raised approximately 50 cm above the floor were described as “mosquito</w:t>
      </w:r>
      <w:r w:rsidRPr="00F8717A">
        <w:rPr>
          <w:rFonts w:ascii="Times New Roman" w:eastAsia="Times New Roman" w:hAnsi="Times New Roman" w:cs="Times New Roman"/>
          <w:color w:val="0F1115"/>
          <w:sz w:val="24"/>
          <w:szCs w:val="24"/>
        </w:rPr>
        <w:noBreakHyphen/>
        <w:t>avoiding beds,” though participants noted that very high mosquito densities overcame this protection.</w:t>
      </w:r>
    </w:p>
    <w:p w:rsidR="0061582F"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i/>
          <w:iCs/>
          <w:color w:val="0F1115"/>
          <w:sz w:val="24"/>
          <w:szCs w:val="24"/>
        </w:rPr>
        <w:t>S</w:t>
      </w:r>
      <w:r w:rsidR="0061582F">
        <w:rPr>
          <w:rFonts w:ascii="Times New Roman" w:eastAsia="Times New Roman" w:hAnsi="Times New Roman" w:cs="Times New Roman"/>
          <w:i/>
          <w:iCs/>
          <w:color w:val="0F1115"/>
          <w:sz w:val="24"/>
          <w:szCs w:val="24"/>
        </w:rPr>
        <w:t xml:space="preserve">ubtheme 3.6: </w:t>
      </w:r>
      <w:r w:rsidRPr="00F8717A">
        <w:rPr>
          <w:rFonts w:ascii="Times New Roman" w:eastAsia="Times New Roman" w:hAnsi="Times New Roman" w:cs="Times New Roman"/>
          <w:i/>
          <w:iCs/>
          <w:color w:val="0F1115"/>
          <w:sz w:val="24"/>
          <w:szCs w:val="24"/>
        </w:rPr>
        <w:t>Burning cow dung (reported by 33%; primarily Somali and Oromo).</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lastRenderedPageBreak/>
        <w:t>Dried cow dung was burned as a low</w:t>
      </w:r>
      <w:r w:rsidRPr="00F8717A">
        <w:rPr>
          <w:rFonts w:ascii="Times New Roman" w:eastAsia="Times New Roman" w:hAnsi="Times New Roman" w:cs="Times New Roman"/>
          <w:color w:val="0F1115"/>
          <w:sz w:val="24"/>
          <w:szCs w:val="24"/>
        </w:rPr>
        <w:noBreakHyphen/>
        <w:t>cost mosquito repellent during fuel</w:t>
      </w:r>
      <w:r w:rsidRPr="00F8717A">
        <w:rPr>
          <w:rFonts w:ascii="Times New Roman" w:eastAsia="Times New Roman" w:hAnsi="Times New Roman" w:cs="Times New Roman"/>
          <w:color w:val="0F1115"/>
          <w:sz w:val="24"/>
          <w:szCs w:val="24"/>
        </w:rPr>
        <w:noBreakHyphen/>
        <w:t>scarce periods. Its efficacy was considered inferior to </w:t>
      </w:r>
      <w:r w:rsidRPr="00F8717A">
        <w:rPr>
          <w:rFonts w:ascii="Times New Roman" w:eastAsia="Times New Roman" w:hAnsi="Times New Roman" w:cs="Times New Roman"/>
          <w:i/>
          <w:iCs/>
          <w:color w:val="0F1115"/>
          <w:sz w:val="24"/>
          <w:szCs w:val="24"/>
        </w:rPr>
        <w:t>Olea</w:t>
      </w:r>
      <w:r w:rsidRPr="00F8717A">
        <w:rPr>
          <w:rFonts w:ascii="Times New Roman" w:eastAsia="Times New Roman" w:hAnsi="Times New Roman" w:cs="Times New Roman"/>
          <w:color w:val="0F1115"/>
          <w:sz w:val="24"/>
          <w:szCs w:val="24"/>
        </w:rPr>
        <w:t> smoke but better than nothing.</w:t>
      </w:r>
    </w:p>
    <w:p w:rsidR="0061582F"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3.7: </w:t>
      </w:r>
      <w:r w:rsidR="00F8717A" w:rsidRPr="00F8717A">
        <w:rPr>
          <w:rFonts w:ascii="Times New Roman" w:eastAsia="Times New Roman" w:hAnsi="Times New Roman" w:cs="Times New Roman"/>
          <w:i/>
          <w:iCs/>
          <w:color w:val="0F1115"/>
          <w:sz w:val="24"/>
          <w:szCs w:val="24"/>
        </w:rPr>
        <w:t>P</w:t>
      </w:r>
      <w:r>
        <w:rPr>
          <w:rFonts w:ascii="Times New Roman" w:eastAsia="Times New Roman" w:hAnsi="Times New Roman" w:cs="Times New Roman"/>
          <w:i/>
          <w:iCs/>
          <w:color w:val="0F1115"/>
          <w:sz w:val="24"/>
          <w:szCs w:val="24"/>
        </w:rPr>
        <w:t>lant</w:t>
      </w:r>
      <w:r>
        <w:rPr>
          <w:rFonts w:ascii="Times New Roman" w:eastAsia="Times New Roman" w:hAnsi="Times New Roman" w:cs="Times New Roman"/>
          <w:i/>
          <w:iCs/>
          <w:color w:val="0F1115"/>
          <w:sz w:val="24"/>
          <w:szCs w:val="24"/>
        </w:rPr>
        <w:noBreakHyphen/>
        <w:t xml:space="preserve">based spatial repellents </w:t>
      </w:r>
      <w:r w:rsidR="00F8717A" w:rsidRPr="00F8717A">
        <w:rPr>
          <w:rFonts w:ascii="Times New Roman" w:eastAsia="Times New Roman" w:hAnsi="Times New Roman" w:cs="Times New Roman"/>
          <w:i/>
          <w:iCs/>
          <w:color w:val="0F1115"/>
          <w:sz w:val="24"/>
          <w:szCs w:val="24"/>
        </w:rPr>
        <w:t>Lantana camara and Eucalyptus</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Participants hung bunches of fresh </w:t>
      </w:r>
      <w:r w:rsidRPr="00F8717A">
        <w:rPr>
          <w:rFonts w:ascii="Times New Roman" w:eastAsia="Times New Roman" w:hAnsi="Times New Roman" w:cs="Times New Roman"/>
          <w:i/>
          <w:iCs/>
          <w:color w:val="0F1115"/>
          <w:sz w:val="24"/>
          <w:szCs w:val="24"/>
        </w:rPr>
        <w:t>Lantana camara</w:t>
      </w:r>
      <w:r w:rsidRPr="00F8717A">
        <w:rPr>
          <w:rFonts w:ascii="Times New Roman" w:eastAsia="Times New Roman" w:hAnsi="Times New Roman" w:cs="Times New Roman"/>
          <w:color w:val="0F1115"/>
          <w:sz w:val="24"/>
          <w:szCs w:val="24"/>
        </w:rPr>
        <w:t> leaves or </w:t>
      </w:r>
      <w:r w:rsidRPr="00F8717A">
        <w:rPr>
          <w:rFonts w:ascii="Times New Roman" w:eastAsia="Times New Roman" w:hAnsi="Times New Roman" w:cs="Times New Roman"/>
          <w:i/>
          <w:iCs/>
          <w:color w:val="0F1115"/>
          <w:sz w:val="24"/>
          <w:szCs w:val="24"/>
        </w:rPr>
        <w:t>Eucalyptus</w:t>
      </w:r>
      <w:r w:rsidRPr="00F8717A">
        <w:rPr>
          <w:rFonts w:ascii="Times New Roman" w:eastAsia="Times New Roman" w:hAnsi="Times New Roman" w:cs="Times New Roman"/>
          <w:color w:val="0F1115"/>
          <w:sz w:val="24"/>
          <w:szCs w:val="24"/>
        </w:rPr>
        <w:t> twigs near doorways and window openings. These plants were crushed periodically to release volatile oils.</w:t>
      </w:r>
    </w:p>
    <w:p w:rsidR="00F8717A" w:rsidRPr="00F8717A" w:rsidRDefault="0061582F" w:rsidP="0061582F">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i/>
          <w:iCs/>
          <w:color w:val="0F1115"/>
          <w:sz w:val="24"/>
          <w:szCs w:val="24"/>
        </w:rPr>
        <w:t xml:space="preserve">Subtheme 3.8: </w:t>
      </w:r>
      <w:r w:rsidR="00F8717A" w:rsidRPr="00F8717A">
        <w:rPr>
          <w:rFonts w:ascii="Times New Roman" w:eastAsia="Times New Roman" w:hAnsi="Times New Roman" w:cs="Times New Roman"/>
          <w:i/>
          <w:iCs/>
          <w:color w:val="0F1115"/>
          <w:sz w:val="24"/>
          <w:szCs w:val="24"/>
        </w:rPr>
        <w:t>Environmental modification: draining of small pools (reported by 62%).</w:t>
      </w:r>
      <w:r w:rsidR="00F8717A" w:rsidRPr="00F8717A">
        <w:rPr>
          <w:rFonts w:ascii="Times New Roman" w:eastAsia="Times New Roman" w:hAnsi="Times New Roman" w:cs="Times New Roman"/>
          <w:color w:val="0F1115"/>
          <w:sz w:val="24"/>
          <w:szCs w:val="24"/>
        </w:rPr>
        <w:br/>
        <w:t>Households, particularly those headed by Oromo and Amhara participants, described actively digging small drainage channels to empty rain</w:t>
      </w:r>
      <w:r w:rsidR="00F8717A" w:rsidRPr="00F8717A">
        <w:rPr>
          <w:rFonts w:ascii="Times New Roman" w:eastAsia="Times New Roman" w:hAnsi="Times New Roman" w:cs="Times New Roman"/>
          <w:color w:val="0F1115"/>
          <w:sz w:val="24"/>
          <w:szCs w:val="24"/>
        </w:rPr>
        <w:noBreakHyphen/>
        <w:t>filled depressions around the homestead. This was often done collectively among neighbours.</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i/>
          <w:iCs/>
          <w:color w:val="0F1115"/>
          <w:sz w:val="24"/>
          <w:szCs w:val="24"/>
        </w:rPr>
        <w:t>“After the rain, we all take our hoes and cut a path from each puddle to the road. If we don’t, the fever will find us in two weeks.”</w:t>
      </w:r>
      <w:r w:rsidRPr="00F8717A">
        <w:rPr>
          <w:rFonts w:ascii="Times New Roman" w:eastAsia="Times New Roman" w:hAnsi="Times New Roman" w:cs="Times New Roman"/>
          <w:color w:val="0F1115"/>
          <w:sz w:val="24"/>
          <w:szCs w:val="24"/>
        </w:rPr>
        <w:t> (Amhara male, 51 years, farmer)</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bCs/>
          <w:color w:val="0F1115"/>
          <w:sz w:val="24"/>
          <w:szCs w:val="24"/>
        </w:rPr>
        <w:t>Summary of Quantifiable Indicators Derived from Thematic Analysis</w:t>
      </w:r>
    </w:p>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From the three themes, a rigorous process of reduction and operationalisation yielded </w:t>
      </w:r>
      <w:r w:rsidRPr="00F8717A">
        <w:rPr>
          <w:rFonts w:ascii="Times New Roman" w:eastAsia="Times New Roman" w:hAnsi="Times New Roman" w:cs="Times New Roman"/>
          <w:bCs/>
          <w:color w:val="0F1115"/>
          <w:sz w:val="24"/>
          <w:szCs w:val="24"/>
        </w:rPr>
        <w:t>12 quantifiable indicators</w:t>
      </w:r>
      <w:r w:rsidRPr="00F8717A">
        <w:rPr>
          <w:rFonts w:ascii="Times New Roman" w:eastAsia="Times New Roman" w:hAnsi="Times New Roman" w:cs="Times New Roman"/>
          <w:color w:val="0F1115"/>
          <w:sz w:val="24"/>
          <w:szCs w:val="24"/>
        </w:rPr>
        <w:t> suitable for machine learning. The indicators, their operational definitions, measurement levels, and inter</w:t>
      </w:r>
      <w:r w:rsidRPr="00F8717A">
        <w:rPr>
          <w:rFonts w:ascii="Times New Roman" w:eastAsia="Times New Roman" w:hAnsi="Times New Roman" w:cs="Times New Roman"/>
          <w:color w:val="0F1115"/>
          <w:sz w:val="24"/>
          <w:szCs w:val="24"/>
        </w:rPr>
        <w:noBreakHyphen/>
        <w:t>rater agreement (kappa) are presented in </w:t>
      </w:r>
      <w:r w:rsidRPr="00F8717A">
        <w:rPr>
          <w:rFonts w:ascii="Times New Roman" w:eastAsia="Times New Roman" w:hAnsi="Times New Roman" w:cs="Times New Roman"/>
          <w:bCs/>
          <w:color w:val="0F1115"/>
          <w:sz w:val="24"/>
          <w:szCs w:val="24"/>
        </w:rPr>
        <w:t>Table 2</w:t>
      </w:r>
      <w:r w:rsidRPr="00F8717A">
        <w:rPr>
          <w:rFonts w:ascii="Times New Roman" w:eastAsia="Times New Roman" w:hAnsi="Times New Roman" w:cs="Times New Roman"/>
          <w:color w:val="0F1115"/>
          <w:sz w:val="24"/>
          <w:szCs w:val="24"/>
        </w:rPr>
        <w:t>. Inter</w:t>
      </w:r>
      <w:r w:rsidRPr="00F8717A">
        <w:rPr>
          <w:rFonts w:ascii="Times New Roman" w:eastAsia="Times New Roman" w:hAnsi="Times New Roman" w:cs="Times New Roman"/>
          <w:color w:val="0F1115"/>
          <w:sz w:val="24"/>
          <w:szCs w:val="24"/>
        </w:rPr>
        <w:noBreakHyphen/>
        <w:t>rater reliability was assessed on 20% of transcripts (n = 60), yielding a mean Cohen’s κ of 0.85 (range 0.78–0.92) across indicators.</w:t>
      </w:r>
    </w:p>
    <w:p w:rsidR="00F8717A" w:rsidRDefault="00F8717A" w:rsidP="0061582F">
      <w:pPr>
        <w:shd w:val="clear" w:color="auto" w:fill="FFFFFF"/>
        <w:spacing w:after="120"/>
        <w:jc w:val="center"/>
        <w:rPr>
          <w:rFonts w:ascii="Times New Roman" w:eastAsia="Times New Roman" w:hAnsi="Times New Roman" w:cs="Times New Roman"/>
          <w:bCs/>
          <w:color w:val="0F1115"/>
          <w:sz w:val="24"/>
          <w:szCs w:val="24"/>
        </w:rPr>
      </w:pPr>
      <w:r w:rsidRPr="00F8717A">
        <w:rPr>
          <w:rFonts w:ascii="Times New Roman" w:eastAsia="Times New Roman" w:hAnsi="Times New Roman" w:cs="Times New Roman"/>
          <w:bCs/>
          <w:color w:val="0F1115"/>
          <w:sz w:val="24"/>
          <w:szCs w:val="24"/>
        </w:rPr>
        <w:t>Table 2. Quantifiable Indigenous Malaria Indicators for Machine Learning</w:t>
      </w:r>
    </w:p>
    <w:tbl>
      <w:tblPr>
        <w:tblStyle w:val="TableGrid"/>
        <w:tblW w:w="9828" w:type="dxa"/>
        <w:tblLayout w:type="fixed"/>
        <w:tblLook w:val="04A0" w:firstRow="1" w:lastRow="0" w:firstColumn="1" w:lastColumn="0" w:noHBand="0" w:noVBand="1"/>
      </w:tblPr>
      <w:tblGrid>
        <w:gridCol w:w="1548"/>
        <w:gridCol w:w="1890"/>
        <w:gridCol w:w="3510"/>
        <w:gridCol w:w="1440"/>
        <w:gridCol w:w="1440"/>
      </w:tblGrid>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Indicator ID</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Indicator Name</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Operational Definition</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Measurement Level</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κ (95% CI)</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ENV</w:t>
            </w:r>
            <w:r w:rsidRPr="00F8717A">
              <w:rPr>
                <w:rFonts w:ascii="Times New Roman" w:eastAsia="Times New Roman" w:hAnsi="Times New Roman" w:cs="Times New Roman"/>
                <w:sz w:val="24"/>
                <w:szCs w:val="24"/>
              </w:rPr>
              <w:noBreakHyphen/>
              <w:t>01</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Dechatu stagnant pools</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Presence of any pooled water in Dechatu riverbed lasting &gt;5 days after last rainfall, observed within 500 m of kebele centre</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Binary (0 = absent, 1 = present)</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0.88 (0.82–0.94)</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ENV</w:t>
            </w:r>
            <w:r w:rsidRPr="00F8717A">
              <w:rPr>
                <w:rFonts w:ascii="Times New Roman" w:eastAsia="Times New Roman" w:hAnsi="Times New Roman" w:cs="Times New Roman"/>
                <w:sz w:val="24"/>
                <w:szCs w:val="24"/>
              </w:rPr>
              <w:noBreakHyphen/>
              <w:t>02</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i/>
                <w:iCs/>
                <w:sz w:val="24"/>
                <w:szCs w:val="24"/>
              </w:rPr>
              <w:t>Acacia seyal</w:t>
            </w:r>
            <w:r w:rsidRPr="00F8717A">
              <w:rPr>
                <w:rFonts w:ascii="Times New Roman" w:eastAsia="Times New Roman" w:hAnsi="Times New Roman" w:cs="Times New Roman"/>
                <w:sz w:val="24"/>
                <w:szCs w:val="24"/>
              </w:rPr>
              <w:t> flowering</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Visible red blossoms on at least 25% of </w:t>
            </w:r>
            <w:r w:rsidRPr="00F8717A">
              <w:rPr>
                <w:rFonts w:ascii="Times New Roman" w:eastAsia="Times New Roman" w:hAnsi="Times New Roman" w:cs="Times New Roman"/>
                <w:i/>
                <w:iCs/>
                <w:sz w:val="24"/>
                <w:szCs w:val="24"/>
              </w:rPr>
              <w:t>Acacia seyal</w:t>
            </w:r>
            <w:r w:rsidRPr="00F8717A">
              <w:rPr>
                <w:rFonts w:ascii="Times New Roman" w:eastAsia="Times New Roman" w:hAnsi="Times New Roman" w:cs="Times New Roman"/>
                <w:sz w:val="24"/>
                <w:szCs w:val="24"/>
              </w:rPr>
              <w:t> trees in kebele</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Binary</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0.86 (0.79–0.93)</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ENV</w:t>
            </w:r>
            <w:r w:rsidRPr="00F8717A">
              <w:rPr>
                <w:rFonts w:ascii="Times New Roman" w:eastAsia="Times New Roman" w:hAnsi="Times New Roman" w:cs="Times New Roman"/>
                <w:sz w:val="24"/>
                <w:szCs w:val="24"/>
              </w:rPr>
              <w:noBreakHyphen/>
              <w:t>03</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i/>
                <w:iCs/>
                <w:sz w:val="24"/>
                <w:szCs w:val="24"/>
              </w:rPr>
              <w:t>Ficus vasta</w:t>
            </w:r>
            <w:r w:rsidRPr="00F8717A">
              <w:rPr>
                <w:rFonts w:ascii="Times New Roman" w:eastAsia="Times New Roman" w:hAnsi="Times New Roman" w:cs="Times New Roman"/>
                <w:sz w:val="24"/>
                <w:szCs w:val="24"/>
              </w:rPr>
              <w:t> leaf flush</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New bright</w:t>
            </w:r>
            <w:r w:rsidRPr="00F8717A">
              <w:rPr>
                <w:rFonts w:ascii="Times New Roman" w:eastAsia="Times New Roman" w:hAnsi="Times New Roman" w:cs="Times New Roman"/>
                <w:sz w:val="24"/>
                <w:szCs w:val="24"/>
              </w:rPr>
              <w:noBreakHyphen/>
              <w:t>green leaves observed on ≥50% of wild fig trees</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Binary</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0.82 (0.74–0.90)</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ENV</w:t>
            </w:r>
            <w:r w:rsidRPr="00F8717A">
              <w:rPr>
                <w:rFonts w:ascii="Times New Roman" w:eastAsia="Times New Roman" w:hAnsi="Times New Roman" w:cs="Times New Roman"/>
                <w:sz w:val="24"/>
                <w:szCs w:val="24"/>
              </w:rPr>
              <w:noBreakHyphen/>
              <w:t>04</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Prolonged dry break rainfall</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A dry spell ≥21 consecutive days (no rain) followed by a single rain event &gt;20 mm in 24 h within the past 7 days</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Binary</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0.91 (0.86–0.96)</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ENV</w:t>
            </w:r>
            <w:r w:rsidRPr="00F8717A">
              <w:rPr>
                <w:rFonts w:ascii="Times New Roman" w:eastAsia="Times New Roman" w:hAnsi="Times New Roman" w:cs="Times New Roman"/>
                <w:sz w:val="24"/>
                <w:szCs w:val="24"/>
              </w:rPr>
              <w:noBreakHyphen/>
              <w:t>05</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Red cattle proximity</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 red</w:t>
            </w:r>
            <w:r w:rsidRPr="00F8717A">
              <w:rPr>
                <w:rFonts w:ascii="Times New Roman" w:eastAsia="Times New Roman" w:hAnsi="Times New Roman" w:cs="Times New Roman"/>
                <w:sz w:val="24"/>
                <w:szCs w:val="24"/>
              </w:rPr>
              <w:noBreakHyphen/>
              <w:t>coloured cattle kept or grazed within 50 m of sleeping huts for ≥3 nights/week</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Binary</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0.84 (0.76–0.92)</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ENV</w:t>
            </w:r>
            <w:r w:rsidRPr="00F8717A">
              <w:rPr>
                <w:rFonts w:ascii="Times New Roman" w:eastAsia="Times New Roman" w:hAnsi="Times New Roman" w:cs="Times New Roman"/>
                <w:sz w:val="24"/>
                <w:szCs w:val="24"/>
              </w:rPr>
              <w:noBreakHyphen/>
              <w:t>06</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 xml:space="preserve">Swallow flight </w:t>
            </w:r>
            <w:r w:rsidRPr="00F8717A">
              <w:rPr>
                <w:rFonts w:ascii="Times New Roman" w:eastAsia="Times New Roman" w:hAnsi="Times New Roman" w:cs="Times New Roman"/>
                <w:sz w:val="24"/>
                <w:szCs w:val="24"/>
              </w:rPr>
              <w:lastRenderedPageBreak/>
              <w:t>behaviour</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lastRenderedPageBreak/>
              <w:t xml:space="preserve">Observed swallows flying at ≤2 m </w:t>
            </w:r>
            <w:r w:rsidRPr="00F8717A">
              <w:rPr>
                <w:rFonts w:ascii="Times New Roman" w:eastAsia="Times New Roman" w:hAnsi="Times New Roman" w:cs="Times New Roman"/>
                <w:sz w:val="24"/>
                <w:szCs w:val="24"/>
              </w:rPr>
              <w:lastRenderedPageBreak/>
              <w:t>above ground at dusk for ≥3 consecutive days</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lastRenderedPageBreak/>
              <w:t>Binary</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0.78 (0.68–</w:t>
            </w:r>
            <w:r w:rsidRPr="00F8717A">
              <w:rPr>
                <w:rFonts w:ascii="Times New Roman" w:eastAsia="Times New Roman" w:hAnsi="Times New Roman" w:cs="Times New Roman"/>
                <w:sz w:val="24"/>
                <w:szCs w:val="24"/>
              </w:rPr>
              <w:lastRenderedPageBreak/>
              <w:t>0.88)</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lastRenderedPageBreak/>
              <w:t>IK</w:t>
            </w:r>
            <w:r w:rsidRPr="00F8717A">
              <w:rPr>
                <w:rFonts w:ascii="Times New Roman" w:eastAsia="Times New Roman" w:hAnsi="Times New Roman" w:cs="Times New Roman"/>
                <w:sz w:val="24"/>
                <w:szCs w:val="24"/>
              </w:rPr>
              <w:noBreakHyphen/>
              <w:t>SX</w:t>
            </w:r>
            <w:r w:rsidRPr="00F8717A">
              <w:rPr>
                <w:rFonts w:ascii="Times New Roman" w:eastAsia="Times New Roman" w:hAnsi="Times New Roman" w:cs="Times New Roman"/>
                <w:sz w:val="24"/>
                <w:szCs w:val="24"/>
              </w:rPr>
              <w:noBreakHyphen/>
              <w:t>07</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i/>
                <w:iCs/>
                <w:sz w:val="24"/>
                <w:szCs w:val="24"/>
              </w:rPr>
              <w:t>Gurgaacha</w:t>
            </w:r>
            <w:r w:rsidRPr="00F8717A">
              <w:rPr>
                <w:rFonts w:ascii="Times New Roman" w:eastAsia="Times New Roman" w:hAnsi="Times New Roman" w:cs="Times New Roman"/>
                <w:sz w:val="24"/>
                <w:szCs w:val="24"/>
              </w:rPr>
              <w:t> / </w:t>
            </w:r>
            <w:r w:rsidRPr="00F8717A">
              <w:rPr>
                <w:rFonts w:ascii="Times New Roman" w:eastAsia="Times New Roman" w:hAnsi="Times New Roman" w:cs="Times New Roman"/>
                <w:i/>
                <w:iCs/>
                <w:sz w:val="24"/>
                <w:szCs w:val="24"/>
              </w:rPr>
              <w:t>dhukkuba sukku</w:t>
            </w:r>
            <w:r w:rsidRPr="00F8717A">
              <w:rPr>
                <w:rFonts w:ascii="Times New Roman" w:eastAsia="Times New Roman" w:hAnsi="Times New Roman" w:cs="Times New Roman"/>
                <w:sz w:val="24"/>
                <w:szCs w:val="24"/>
              </w:rPr>
              <w:t> reports</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Number of households reporting classic malaria symptoms (fever with chills/rigors) in past week</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Ordinal (0, 1–2, 3–5, ≥6 households)</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0.85 (0.77–0.93)</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PREV</w:t>
            </w:r>
            <w:r w:rsidRPr="00F8717A">
              <w:rPr>
                <w:rFonts w:ascii="Times New Roman" w:eastAsia="Times New Roman" w:hAnsi="Times New Roman" w:cs="Times New Roman"/>
                <w:sz w:val="24"/>
                <w:szCs w:val="24"/>
              </w:rPr>
              <w:noBreakHyphen/>
              <w:t>08</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i/>
                <w:iCs/>
                <w:sz w:val="24"/>
                <w:szCs w:val="24"/>
              </w:rPr>
              <w:t>Olea</w:t>
            </w:r>
            <w:r w:rsidRPr="00F8717A">
              <w:rPr>
                <w:rFonts w:ascii="Times New Roman" w:eastAsia="Times New Roman" w:hAnsi="Times New Roman" w:cs="Times New Roman"/>
                <w:sz w:val="24"/>
                <w:szCs w:val="24"/>
              </w:rPr>
              <w:t> leaf smoking</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At least one household per 10 reporting use of burning </w:t>
            </w:r>
            <w:r w:rsidRPr="00F8717A">
              <w:rPr>
                <w:rFonts w:ascii="Times New Roman" w:eastAsia="Times New Roman" w:hAnsi="Times New Roman" w:cs="Times New Roman"/>
                <w:i/>
                <w:iCs/>
                <w:sz w:val="24"/>
                <w:szCs w:val="24"/>
              </w:rPr>
              <w:t>Olea</w:t>
            </w:r>
            <w:r w:rsidRPr="00F8717A">
              <w:rPr>
                <w:rFonts w:ascii="Times New Roman" w:eastAsia="Times New Roman" w:hAnsi="Times New Roman" w:cs="Times New Roman"/>
                <w:sz w:val="24"/>
                <w:szCs w:val="24"/>
              </w:rPr>
              <w:t> leaves at night during past week</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Binary</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0.89 (0.83–0.95)</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PREV</w:t>
            </w:r>
            <w:r w:rsidRPr="00F8717A">
              <w:rPr>
                <w:rFonts w:ascii="Times New Roman" w:eastAsia="Times New Roman" w:hAnsi="Times New Roman" w:cs="Times New Roman"/>
                <w:sz w:val="24"/>
                <w:szCs w:val="24"/>
              </w:rPr>
              <w:noBreakHyphen/>
              <w:t>09</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Neem oil use</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≥50% of households reporting neem oil application to skin in the past week</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Binary</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0.87 (0.80–0.94)</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PREV</w:t>
            </w:r>
            <w:r w:rsidRPr="00F8717A">
              <w:rPr>
                <w:rFonts w:ascii="Times New Roman" w:eastAsia="Times New Roman" w:hAnsi="Times New Roman" w:cs="Times New Roman"/>
                <w:sz w:val="24"/>
                <w:szCs w:val="24"/>
              </w:rPr>
              <w:noBreakHyphen/>
              <w:t>10</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Livestock relocation</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Livestock enclosures located &gt;50 m from sleeping huts for ≥5 nights/week</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Binary</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0.92 (0.87–0.97)</w:t>
            </w:r>
          </w:p>
        </w:tc>
      </w:tr>
      <w:tr w:rsidR="0061582F" w:rsidTr="00FF7225">
        <w:tc>
          <w:tcPr>
            <w:tcW w:w="1548"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PREV</w:t>
            </w:r>
            <w:r w:rsidRPr="00F8717A">
              <w:rPr>
                <w:rFonts w:ascii="Times New Roman" w:eastAsia="Times New Roman" w:hAnsi="Times New Roman" w:cs="Times New Roman"/>
                <w:sz w:val="24"/>
                <w:szCs w:val="24"/>
              </w:rPr>
              <w:noBreakHyphen/>
              <w:t>11</w:t>
            </w:r>
          </w:p>
        </w:tc>
        <w:tc>
          <w:tcPr>
            <w:tcW w:w="189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Water container covering</w:t>
            </w:r>
          </w:p>
        </w:tc>
        <w:tc>
          <w:tcPr>
            <w:tcW w:w="351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≥75% of visible water storage containers (drums, pots) have woven or solid lids</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Ordinal (0 = none, 1 = &lt;50%, 2 = 50</w:t>
            </w:r>
            <w:r w:rsidRPr="00F8717A">
              <w:rPr>
                <w:rFonts w:ascii="Times New Roman" w:eastAsia="Times New Roman" w:hAnsi="Times New Roman" w:cs="Times New Roman"/>
                <w:sz w:val="24"/>
                <w:szCs w:val="24"/>
              </w:rPr>
              <w:noBreakHyphen/>
              <w:t>74%, 3 = ≥75%)</w:t>
            </w:r>
          </w:p>
        </w:tc>
        <w:tc>
          <w:tcPr>
            <w:tcW w:w="1440" w:type="dxa"/>
            <w:vAlign w:val="center"/>
          </w:tcPr>
          <w:p w:rsidR="0061582F" w:rsidRPr="00F8717A" w:rsidRDefault="0061582F" w:rsidP="005B7A69">
            <w:pPr>
              <w:spacing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0.83 (0.74–0.92)</w:t>
            </w:r>
          </w:p>
        </w:tc>
      </w:tr>
      <w:tr w:rsidR="0061582F" w:rsidTr="00FF7225">
        <w:tc>
          <w:tcPr>
            <w:tcW w:w="1548" w:type="dxa"/>
            <w:vAlign w:val="center"/>
          </w:tcPr>
          <w:p w:rsidR="0061582F" w:rsidRPr="00F8717A" w:rsidRDefault="0061582F" w:rsidP="0061582F">
            <w:pPr>
              <w:spacing w:after="120"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IK</w:t>
            </w:r>
            <w:r w:rsidRPr="00F8717A">
              <w:rPr>
                <w:rFonts w:ascii="Times New Roman" w:eastAsia="Times New Roman" w:hAnsi="Times New Roman" w:cs="Times New Roman"/>
                <w:sz w:val="24"/>
                <w:szCs w:val="24"/>
              </w:rPr>
              <w:noBreakHyphen/>
              <w:t>PREV</w:t>
            </w:r>
            <w:r w:rsidRPr="00F8717A">
              <w:rPr>
                <w:rFonts w:ascii="Times New Roman" w:eastAsia="Times New Roman" w:hAnsi="Times New Roman" w:cs="Times New Roman"/>
                <w:sz w:val="24"/>
                <w:szCs w:val="24"/>
              </w:rPr>
              <w:noBreakHyphen/>
              <w:t>12</w:t>
            </w:r>
          </w:p>
        </w:tc>
        <w:tc>
          <w:tcPr>
            <w:tcW w:w="1890" w:type="dxa"/>
            <w:vAlign w:val="center"/>
          </w:tcPr>
          <w:p w:rsidR="0061582F" w:rsidRPr="00F8717A" w:rsidRDefault="0061582F" w:rsidP="0061582F">
            <w:pPr>
              <w:spacing w:after="120"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Pool drainage activity</w:t>
            </w:r>
          </w:p>
        </w:tc>
        <w:tc>
          <w:tcPr>
            <w:tcW w:w="3510" w:type="dxa"/>
            <w:vAlign w:val="center"/>
          </w:tcPr>
          <w:p w:rsidR="0061582F" w:rsidRPr="00F8717A" w:rsidRDefault="0061582F" w:rsidP="0061582F">
            <w:pPr>
              <w:spacing w:after="120"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Evidence (observed or reported) of manual drainage of standing water within kebele in past 7 days</w:t>
            </w:r>
          </w:p>
        </w:tc>
        <w:tc>
          <w:tcPr>
            <w:tcW w:w="1440" w:type="dxa"/>
            <w:vAlign w:val="center"/>
          </w:tcPr>
          <w:p w:rsidR="0061582F" w:rsidRPr="00F8717A" w:rsidRDefault="0061582F" w:rsidP="0061582F">
            <w:pPr>
              <w:spacing w:after="120"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Binary</w:t>
            </w:r>
          </w:p>
        </w:tc>
        <w:tc>
          <w:tcPr>
            <w:tcW w:w="1440" w:type="dxa"/>
            <w:vAlign w:val="center"/>
          </w:tcPr>
          <w:p w:rsidR="0061582F" w:rsidRPr="00F8717A" w:rsidRDefault="0061582F" w:rsidP="0061582F">
            <w:pPr>
              <w:spacing w:after="120" w:line="276" w:lineRule="auto"/>
              <w:jc w:val="both"/>
              <w:rPr>
                <w:rFonts w:ascii="Times New Roman" w:eastAsia="Times New Roman" w:hAnsi="Times New Roman" w:cs="Times New Roman"/>
                <w:sz w:val="24"/>
                <w:szCs w:val="24"/>
              </w:rPr>
            </w:pPr>
            <w:r w:rsidRPr="00F8717A">
              <w:rPr>
                <w:rFonts w:ascii="Times New Roman" w:eastAsia="Times New Roman" w:hAnsi="Times New Roman" w:cs="Times New Roman"/>
                <w:sz w:val="24"/>
                <w:szCs w:val="24"/>
              </w:rPr>
              <w:t>0.80 (0.71–0.89)</w:t>
            </w:r>
          </w:p>
        </w:tc>
      </w:tr>
    </w:tbl>
    <w:p w:rsidR="00F8717A" w:rsidRPr="00F8717A" w:rsidRDefault="00F8717A" w:rsidP="0061582F">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No significant differences in the distribution of these indicators were found across the six kebeles (chi</w:t>
      </w:r>
      <w:r w:rsidRPr="00F8717A">
        <w:rPr>
          <w:rFonts w:ascii="Times New Roman" w:eastAsia="Times New Roman" w:hAnsi="Times New Roman" w:cs="Times New Roman"/>
          <w:color w:val="0F1115"/>
          <w:sz w:val="24"/>
          <w:szCs w:val="24"/>
        </w:rPr>
        <w:noBreakHyphen/>
        <w:t>square tests, p &gt; 0.05 for all), suggesting that indigenous knowledge is relatively uniform within the study area, despite ethnic diversity. Somali participants contributed the highest number of unique indicator reports (mean 9.2 indicators per participant), followed by Oromo (8.5) and Amhara (7.1). The greater number reported by Somali participants may reflect their closer integration with pastoralist livelihoods and daily environmental observation.</w:t>
      </w:r>
    </w:p>
    <w:p w:rsidR="005B7A69" w:rsidRPr="005B7A69" w:rsidRDefault="00F8717A" w:rsidP="00113075">
      <w:pPr>
        <w:shd w:val="clear" w:color="auto" w:fill="FFFFFF"/>
        <w:spacing w:after="120"/>
        <w:jc w:val="both"/>
        <w:rPr>
          <w:rFonts w:ascii="Times New Roman" w:eastAsia="Times New Roman" w:hAnsi="Times New Roman" w:cs="Times New Roman"/>
          <w:color w:val="0F1115"/>
          <w:sz w:val="24"/>
          <w:szCs w:val="24"/>
        </w:rPr>
      </w:pPr>
      <w:r w:rsidRPr="00F8717A">
        <w:rPr>
          <w:rFonts w:ascii="Times New Roman" w:eastAsia="Times New Roman" w:hAnsi="Times New Roman" w:cs="Times New Roman"/>
          <w:color w:val="0F1115"/>
          <w:sz w:val="24"/>
          <w:szCs w:val="24"/>
        </w:rPr>
        <w:t>The 12 indicators were subsequently used as predictive features in the Phase 2 machine learning model, alongside climatic and topographic data. Their inclusion was hypothesised to improve outbreak prediction accuracy beyond climate</w:t>
      </w:r>
      <w:r w:rsidRPr="00F8717A">
        <w:rPr>
          <w:rFonts w:ascii="Times New Roman" w:eastAsia="Times New Roman" w:hAnsi="Times New Roman" w:cs="Times New Roman"/>
          <w:color w:val="0F1115"/>
          <w:sz w:val="24"/>
          <w:szCs w:val="24"/>
        </w:rPr>
        <w:noBreakHyphen/>
        <w:t>only models, a proposition tested in the quantitative phase.</w:t>
      </w:r>
    </w:p>
    <w:p w:rsidR="005B7A69" w:rsidRPr="005B7A69" w:rsidRDefault="005B7A69" w:rsidP="00113075">
      <w:pPr>
        <w:shd w:val="clear" w:color="auto" w:fill="FFFFFF"/>
        <w:spacing w:after="120"/>
        <w:jc w:val="both"/>
        <w:outlineLvl w:val="2"/>
        <w:rPr>
          <w:rFonts w:ascii="Times New Roman" w:eastAsia="Times New Roman" w:hAnsi="Times New Roman" w:cs="Times New Roman"/>
          <w:bCs/>
          <w:color w:val="0F1115"/>
          <w:sz w:val="24"/>
          <w:szCs w:val="24"/>
        </w:rPr>
      </w:pPr>
      <w:r w:rsidRPr="005B7A69">
        <w:rPr>
          <w:rFonts w:ascii="Times New Roman" w:eastAsia="Times New Roman" w:hAnsi="Times New Roman" w:cs="Times New Roman"/>
          <w:bCs/>
          <w:color w:val="0F1115"/>
          <w:sz w:val="24"/>
          <w:szCs w:val="24"/>
        </w:rPr>
        <w:t>3.2 Phase 2: Machine Learning Performance</w:t>
      </w:r>
    </w:p>
    <w:p w:rsidR="005B7A69" w:rsidRPr="005B7A69" w:rsidRDefault="005B7A69" w:rsidP="00113075">
      <w:pPr>
        <w:shd w:val="clear" w:color="auto" w:fill="FFFFFF"/>
        <w:spacing w:after="120"/>
        <w:jc w:val="both"/>
        <w:outlineLvl w:val="3"/>
        <w:rPr>
          <w:rFonts w:ascii="Times New Roman" w:eastAsia="Times New Roman" w:hAnsi="Times New Roman" w:cs="Times New Roman"/>
          <w:bCs/>
          <w:color w:val="0F1115"/>
          <w:sz w:val="24"/>
          <w:szCs w:val="24"/>
        </w:rPr>
      </w:pPr>
      <w:r w:rsidRPr="005B7A69">
        <w:rPr>
          <w:rFonts w:ascii="Times New Roman" w:eastAsia="Times New Roman" w:hAnsi="Times New Roman" w:cs="Times New Roman"/>
          <w:bCs/>
          <w:color w:val="0F1115"/>
          <w:sz w:val="24"/>
          <w:szCs w:val="24"/>
        </w:rPr>
        <w:t>3.2.1 Descriptive Statistics</w:t>
      </w:r>
    </w:p>
    <w:p w:rsidR="005B7A69" w:rsidRDefault="005B7A69" w:rsidP="0011307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color w:val="0F1115"/>
          <w:sz w:val="24"/>
          <w:szCs w:val="24"/>
        </w:rPr>
        <w:t>Weekly confirmed malaria case data were obtained from the Dire Dawa Health Bureau for the period </w:t>
      </w:r>
      <w:r w:rsidRPr="005B7A69">
        <w:rPr>
          <w:rFonts w:ascii="Times New Roman" w:eastAsia="Times New Roman" w:hAnsi="Times New Roman" w:cs="Times New Roman"/>
          <w:bCs/>
          <w:color w:val="0F1115"/>
          <w:sz w:val="24"/>
          <w:szCs w:val="24"/>
        </w:rPr>
        <w:t>January 2019 to December 2023</w:t>
      </w:r>
      <w:r w:rsidRPr="005B7A69">
        <w:rPr>
          <w:rFonts w:ascii="Times New Roman" w:eastAsia="Times New Roman" w:hAnsi="Times New Roman" w:cs="Times New Roman"/>
          <w:color w:val="0F1115"/>
          <w:sz w:val="24"/>
          <w:szCs w:val="24"/>
        </w:rPr>
        <w:t> (260 weeks). Over this five</w:t>
      </w:r>
      <w:r w:rsidRPr="005B7A69">
        <w:rPr>
          <w:rFonts w:ascii="Times New Roman" w:eastAsia="Times New Roman" w:hAnsi="Times New Roman" w:cs="Times New Roman"/>
          <w:color w:val="0F1115"/>
          <w:sz w:val="24"/>
          <w:szCs w:val="24"/>
        </w:rPr>
        <w:noBreakHyphen/>
        <w:t xml:space="preserve">year period, the weekly incidence of confirmed malaria cases (microscopy or RDT) across the six study kebeles ranged </w:t>
      </w:r>
      <w:r w:rsidRPr="005B7A69">
        <w:rPr>
          <w:rFonts w:ascii="Times New Roman" w:eastAsia="Times New Roman" w:hAnsi="Times New Roman" w:cs="Times New Roman"/>
          <w:color w:val="0F1115"/>
          <w:sz w:val="24"/>
          <w:szCs w:val="24"/>
        </w:rPr>
        <w:lastRenderedPageBreak/>
        <w:t>from </w:t>
      </w:r>
      <w:r w:rsidRPr="005B7A69">
        <w:rPr>
          <w:rFonts w:ascii="Times New Roman" w:eastAsia="Times New Roman" w:hAnsi="Times New Roman" w:cs="Times New Roman"/>
          <w:bCs/>
          <w:color w:val="0F1115"/>
          <w:sz w:val="24"/>
          <w:szCs w:val="24"/>
        </w:rPr>
        <w:t>15 to 340 cases per week</w:t>
      </w:r>
      <w:r w:rsidRPr="005B7A69">
        <w:rPr>
          <w:rFonts w:ascii="Times New Roman" w:eastAsia="Times New Roman" w:hAnsi="Times New Roman" w:cs="Times New Roman"/>
          <w:color w:val="0F1115"/>
          <w:sz w:val="24"/>
          <w:szCs w:val="24"/>
        </w:rPr>
        <w:t>, with a mean of 98.4 (SD = 72.1). The lowest weekly incidence occurred during the dry season (January–February 2021; 15 cases/week), while the highest peak was observed in November 2022 (340 cases/week), coinciding with a documented </w:t>
      </w:r>
      <w:r w:rsidRPr="005B7A69">
        <w:rPr>
          <w:rFonts w:ascii="Times New Roman" w:eastAsia="Times New Roman" w:hAnsi="Times New Roman" w:cs="Times New Roman"/>
          <w:i/>
          <w:iCs/>
          <w:color w:val="0F1115"/>
          <w:sz w:val="24"/>
          <w:szCs w:val="24"/>
        </w:rPr>
        <w:t>Anopheles stephensi</w:t>
      </w:r>
      <w:r w:rsidRPr="005B7A69">
        <w:rPr>
          <w:rFonts w:ascii="Times New Roman" w:eastAsia="Times New Roman" w:hAnsi="Times New Roman" w:cs="Times New Roman"/>
          <w:color w:val="0F1115"/>
          <w:sz w:val="24"/>
          <w:szCs w:val="24"/>
        </w:rPr>
        <w:noBreakHyphen/>
        <w:t>driven outbreak (Emiru et al., 2023)</w:t>
      </w:r>
      <w:r w:rsidR="00FF7225">
        <w:rPr>
          <w:rFonts w:ascii="Times New Roman" w:eastAsia="Times New Roman" w:hAnsi="Times New Roman" w:cs="Times New Roman"/>
          <w:color w:val="0F1115"/>
          <w:sz w:val="24"/>
          <w:szCs w:val="24"/>
        </w:rPr>
        <w:t xml:space="preserve"> (Figure 2)</w:t>
      </w:r>
      <w:r w:rsidRPr="005B7A69">
        <w:rPr>
          <w:rFonts w:ascii="Times New Roman" w:eastAsia="Times New Roman" w:hAnsi="Times New Roman" w:cs="Times New Roman"/>
          <w:color w:val="0F1115"/>
          <w:sz w:val="24"/>
          <w:szCs w:val="24"/>
        </w:rPr>
        <w:t>.</w:t>
      </w:r>
    </w:p>
    <w:p w:rsidR="00113075" w:rsidRPr="005B7A69" w:rsidRDefault="00113075" w:rsidP="00113075">
      <w:pPr>
        <w:shd w:val="clear" w:color="auto" w:fill="FFFFFF"/>
        <w:spacing w:after="12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IN" w:eastAsia="en-IN"/>
        </w:rPr>
        <w:drawing>
          <wp:inline distT="0" distB="0" distL="0" distR="0">
            <wp:extent cx="5624946" cy="333187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4891" cy="3331845"/>
                    </a:xfrm>
                    <a:prstGeom prst="rect">
                      <a:avLst/>
                    </a:prstGeom>
                    <a:noFill/>
                    <a:ln>
                      <a:noFill/>
                    </a:ln>
                  </pic:spPr>
                </pic:pic>
              </a:graphicData>
            </a:graphic>
          </wp:inline>
        </w:drawing>
      </w:r>
    </w:p>
    <w:p w:rsidR="005B7A69" w:rsidRPr="005B7A69" w:rsidRDefault="00FF7225" w:rsidP="00113075">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Figure 2</w:t>
      </w:r>
      <w:r w:rsidR="005B7A69" w:rsidRPr="005B7A69">
        <w:rPr>
          <w:rFonts w:ascii="Times New Roman" w:eastAsia="Times New Roman" w:hAnsi="Times New Roman" w:cs="Times New Roman"/>
          <w:color w:val="0F1115"/>
          <w:sz w:val="24"/>
          <w:szCs w:val="24"/>
        </w:rPr>
        <w:t> displays the weekly malaria incidence time series from 2019 to 2023. Two distinct seasonal peaks were evident each year:</w:t>
      </w:r>
    </w:p>
    <w:p w:rsidR="00FF7225" w:rsidRDefault="005B7A69" w:rsidP="00AC459B">
      <w:pPr>
        <w:pStyle w:val="ListParagraph"/>
        <w:numPr>
          <w:ilvl w:val="0"/>
          <w:numId w:val="15"/>
        </w:numPr>
        <w:shd w:val="clear" w:color="auto" w:fill="FFFFFF"/>
        <w:spacing w:after="120"/>
        <w:jc w:val="both"/>
        <w:rPr>
          <w:rFonts w:ascii="Times New Roman" w:eastAsia="Times New Roman" w:hAnsi="Times New Roman" w:cs="Times New Roman"/>
          <w:color w:val="0F1115"/>
          <w:sz w:val="24"/>
          <w:szCs w:val="24"/>
        </w:rPr>
      </w:pPr>
      <w:r w:rsidRPr="00FF7225">
        <w:rPr>
          <w:rFonts w:ascii="Times New Roman" w:eastAsia="Times New Roman" w:hAnsi="Times New Roman" w:cs="Times New Roman"/>
          <w:bCs/>
          <w:color w:val="0F1115"/>
          <w:sz w:val="24"/>
          <w:szCs w:val="24"/>
        </w:rPr>
        <w:t>Peak 1 (September–December):</w:t>
      </w:r>
      <w:r w:rsidRPr="00FF7225">
        <w:rPr>
          <w:rFonts w:ascii="Times New Roman" w:eastAsia="Times New Roman" w:hAnsi="Times New Roman" w:cs="Times New Roman"/>
          <w:color w:val="0F1115"/>
          <w:sz w:val="24"/>
          <w:szCs w:val="24"/>
        </w:rPr>
        <w:t> Following the long rains (</w:t>
      </w:r>
      <w:r w:rsidRPr="00FF7225">
        <w:rPr>
          <w:rFonts w:ascii="Times New Roman" w:eastAsia="Times New Roman" w:hAnsi="Times New Roman" w:cs="Times New Roman"/>
          <w:i/>
          <w:iCs/>
          <w:color w:val="0F1115"/>
          <w:sz w:val="24"/>
          <w:szCs w:val="24"/>
        </w:rPr>
        <w:t>belg</w:t>
      </w:r>
      <w:r w:rsidRPr="00FF7225">
        <w:rPr>
          <w:rFonts w:ascii="Times New Roman" w:eastAsia="Times New Roman" w:hAnsi="Times New Roman" w:cs="Times New Roman"/>
          <w:color w:val="0F1115"/>
          <w:sz w:val="24"/>
          <w:szCs w:val="24"/>
        </w:rPr>
        <w:t>/</w:t>
      </w:r>
      <w:r w:rsidRPr="00FF7225">
        <w:rPr>
          <w:rFonts w:ascii="Times New Roman" w:eastAsia="Times New Roman" w:hAnsi="Times New Roman" w:cs="Times New Roman"/>
          <w:i/>
          <w:iCs/>
          <w:color w:val="0F1115"/>
          <w:sz w:val="24"/>
          <w:szCs w:val="24"/>
        </w:rPr>
        <w:t>kiremt</w:t>
      </w:r>
      <w:r w:rsidRPr="00FF7225">
        <w:rPr>
          <w:rFonts w:ascii="Times New Roman" w:eastAsia="Times New Roman" w:hAnsi="Times New Roman" w:cs="Times New Roman"/>
          <w:color w:val="0F1115"/>
          <w:sz w:val="24"/>
          <w:szCs w:val="24"/>
        </w:rPr>
        <w:t>), accounting for approximately 62% of annual cases.</w:t>
      </w:r>
    </w:p>
    <w:p w:rsidR="005B7A69" w:rsidRPr="00FF7225" w:rsidRDefault="005B7A69" w:rsidP="00AC459B">
      <w:pPr>
        <w:pStyle w:val="ListParagraph"/>
        <w:numPr>
          <w:ilvl w:val="0"/>
          <w:numId w:val="15"/>
        </w:numPr>
        <w:shd w:val="clear" w:color="auto" w:fill="FFFFFF"/>
        <w:spacing w:after="120"/>
        <w:jc w:val="both"/>
        <w:rPr>
          <w:rFonts w:ascii="Times New Roman" w:eastAsia="Times New Roman" w:hAnsi="Times New Roman" w:cs="Times New Roman"/>
          <w:color w:val="0F1115"/>
          <w:sz w:val="24"/>
          <w:szCs w:val="24"/>
        </w:rPr>
      </w:pPr>
      <w:r w:rsidRPr="00FF7225">
        <w:rPr>
          <w:rFonts w:ascii="Times New Roman" w:eastAsia="Times New Roman" w:hAnsi="Times New Roman" w:cs="Times New Roman"/>
          <w:bCs/>
          <w:color w:val="0F1115"/>
          <w:sz w:val="24"/>
          <w:szCs w:val="24"/>
        </w:rPr>
        <w:t>Peak 2 (March–May):</w:t>
      </w:r>
      <w:r w:rsidRPr="00FF7225">
        <w:rPr>
          <w:rFonts w:ascii="Times New Roman" w:eastAsia="Times New Roman" w:hAnsi="Times New Roman" w:cs="Times New Roman"/>
          <w:color w:val="0F1115"/>
          <w:sz w:val="24"/>
          <w:szCs w:val="24"/>
        </w:rPr>
        <w:t> Following the short rains, contributing approximately 28% of annual cases.</w:t>
      </w:r>
    </w:p>
    <w:p w:rsidR="005B7A69" w:rsidRPr="005B7A69" w:rsidRDefault="005B7A69" w:rsidP="0011307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color w:val="0F1115"/>
          <w:sz w:val="24"/>
          <w:szCs w:val="24"/>
        </w:rPr>
        <w:t>Critically, these seasonal peaks aligned with the indigenous concept of the </w:t>
      </w:r>
      <w:r w:rsidRPr="005B7A69">
        <w:rPr>
          <w:rFonts w:ascii="Times New Roman" w:eastAsia="Times New Roman" w:hAnsi="Times New Roman" w:cs="Times New Roman"/>
          <w:bCs/>
          <w:color w:val="0F1115"/>
          <w:sz w:val="24"/>
          <w:szCs w:val="24"/>
        </w:rPr>
        <w:t>“long</w:t>
      </w:r>
      <w:r w:rsidRPr="005B7A69">
        <w:rPr>
          <w:rFonts w:ascii="Times New Roman" w:eastAsia="Times New Roman" w:hAnsi="Times New Roman" w:cs="Times New Roman"/>
          <w:bCs/>
          <w:color w:val="0F1115"/>
          <w:sz w:val="24"/>
          <w:szCs w:val="24"/>
        </w:rPr>
        <w:noBreakHyphen/>
        <w:t>heat” period</w:t>
      </w:r>
      <w:r w:rsidRPr="005B7A69">
        <w:rPr>
          <w:rFonts w:ascii="Times New Roman" w:eastAsia="Times New Roman" w:hAnsi="Times New Roman" w:cs="Times New Roman"/>
          <w:color w:val="0F1115"/>
          <w:sz w:val="24"/>
          <w:szCs w:val="24"/>
        </w:rPr>
        <w:t> (</w:t>
      </w:r>
      <w:r w:rsidRPr="005B7A69">
        <w:rPr>
          <w:rFonts w:ascii="Times New Roman" w:eastAsia="Times New Roman" w:hAnsi="Times New Roman" w:cs="Times New Roman"/>
          <w:i/>
          <w:iCs/>
          <w:color w:val="0F1115"/>
          <w:sz w:val="24"/>
          <w:szCs w:val="24"/>
        </w:rPr>
        <w:t>garba diidaa</w:t>
      </w:r>
      <w:r w:rsidRPr="005B7A69">
        <w:rPr>
          <w:rFonts w:ascii="Times New Roman" w:eastAsia="Times New Roman" w:hAnsi="Times New Roman" w:cs="Times New Roman"/>
          <w:color w:val="0F1115"/>
          <w:sz w:val="24"/>
          <w:szCs w:val="24"/>
        </w:rPr>
        <w:t> in Oromo, </w:t>
      </w:r>
      <w:r w:rsidRPr="005B7A69">
        <w:rPr>
          <w:rFonts w:ascii="Times New Roman" w:eastAsia="Times New Roman" w:hAnsi="Times New Roman" w:cs="Times New Roman"/>
          <w:i/>
          <w:iCs/>
          <w:color w:val="0F1115"/>
          <w:sz w:val="24"/>
          <w:szCs w:val="24"/>
        </w:rPr>
        <w:t>kulayl dheer</w:t>
      </w:r>
      <w:r w:rsidRPr="005B7A69">
        <w:rPr>
          <w:rFonts w:ascii="Times New Roman" w:eastAsia="Times New Roman" w:hAnsi="Times New Roman" w:cs="Times New Roman"/>
          <w:color w:val="0F1115"/>
          <w:sz w:val="24"/>
          <w:szCs w:val="24"/>
        </w:rPr>
        <w:t> in Somali), described by 84% of participants as the time “when the sun stays high and the ground holds its warmth even at night.” This period corresponds to October–November and March–April, when mean night</w:t>
      </w:r>
      <w:r w:rsidRPr="005B7A69">
        <w:rPr>
          <w:rFonts w:ascii="Times New Roman" w:eastAsia="Times New Roman" w:hAnsi="Times New Roman" w:cs="Times New Roman"/>
          <w:color w:val="0F1115"/>
          <w:sz w:val="24"/>
          <w:szCs w:val="24"/>
        </w:rPr>
        <w:noBreakHyphen/>
        <w:t>time land surface temperatures (MODIS LST) exceed 22 °C – conditions favourable for </w:t>
      </w:r>
      <w:r w:rsidRPr="005B7A69">
        <w:rPr>
          <w:rFonts w:ascii="Times New Roman" w:eastAsia="Times New Roman" w:hAnsi="Times New Roman" w:cs="Times New Roman"/>
          <w:i/>
          <w:iCs/>
          <w:color w:val="0F1115"/>
          <w:sz w:val="24"/>
          <w:szCs w:val="24"/>
        </w:rPr>
        <w:t>Plasmodium</w:t>
      </w:r>
      <w:r w:rsidRPr="005B7A69">
        <w:rPr>
          <w:rFonts w:ascii="Times New Roman" w:eastAsia="Times New Roman" w:hAnsi="Times New Roman" w:cs="Times New Roman"/>
          <w:color w:val="0F1115"/>
          <w:sz w:val="24"/>
          <w:szCs w:val="24"/>
        </w:rPr>
        <w:t> sporogony (Mordecai et al., 2013). The concordance between indigenous seasonal classification and entomological temperature thresholds provided face validity for the integration of indigenous knowledge into the predictive model.</w:t>
      </w:r>
    </w:p>
    <w:p w:rsidR="005B7A69" w:rsidRPr="005B7A69" w:rsidRDefault="005B7A69" w:rsidP="00113075">
      <w:pPr>
        <w:shd w:val="clear" w:color="auto" w:fill="FFFFFF"/>
        <w:spacing w:after="120"/>
        <w:jc w:val="both"/>
        <w:outlineLvl w:val="3"/>
        <w:rPr>
          <w:rFonts w:ascii="Times New Roman" w:eastAsia="Times New Roman" w:hAnsi="Times New Roman" w:cs="Times New Roman"/>
          <w:bCs/>
          <w:color w:val="0F1115"/>
          <w:sz w:val="24"/>
          <w:szCs w:val="24"/>
        </w:rPr>
      </w:pPr>
      <w:r w:rsidRPr="005B7A69">
        <w:rPr>
          <w:rFonts w:ascii="Times New Roman" w:eastAsia="Times New Roman" w:hAnsi="Times New Roman" w:cs="Times New Roman"/>
          <w:bCs/>
          <w:color w:val="0F1115"/>
          <w:sz w:val="24"/>
          <w:szCs w:val="24"/>
        </w:rPr>
        <w:t>3.2.2 Model Performance Comparison</w:t>
      </w:r>
    </w:p>
    <w:p w:rsidR="005B7A69" w:rsidRPr="005B7A69" w:rsidRDefault="005B7A69" w:rsidP="0011307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color w:val="0F1115"/>
          <w:sz w:val="24"/>
          <w:szCs w:val="24"/>
        </w:rPr>
        <w:t>Four machine learning algorithms were trained and evaluated on the integrated dataset (indigenous indicators + climatic + topographic + clinical case data). The </w:t>
      </w:r>
      <w:r w:rsidRPr="005B7A69">
        <w:rPr>
          <w:rFonts w:ascii="Times New Roman" w:eastAsia="Times New Roman" w:hAnsi="Times New Roman" w:cs="Times New Roman"/>
          <w:bCs/>
          <w:color w:val="0F1115"/>
          <w:sz w:val="24"/>
          <w:szCs w:val="24"/>
        </w:rPr>
        <w:t>custom ensemble</w:t>
      </w:r>
      <w:r w:rsidR="00AC459B">
        <w:rPr>
          <w:rFonts w:ascii="Times New Roman" w:eastAsia="Times New Roman" w:hAnsi="Times New Roman" w:cs="Times New Roman"/>
          <w:color w:val="0F1115"/>
          <w:sz w:val="24"/>
          <w:szCs w:val="24"/>
        </w:rPr>
        <w:t> </w:t>
      </w:r>
      <w:r w:rsidRPr="005B7A69">
        <w:rPr>
          <w:rFonts w:ascii="Times New Roman" w:eastAsia="Times New Roman" w:hAnsi="Times New Roman" w:cs="Times New Roman"/>
          <w:color w:val="0F1115"/>
          <w:sz w:val="24"/>
          <w:szCs w:val="24"/>
        </w:rPr>
        <w:t xml:space="preserve">a </w:t>
      </w:r>
      <w:r w:rsidRPr="005B7A69">
        <w:rPr>
          <w:rFonts w:ascii="Times New Roman" w:eastAsia="Times New Roman" w:hAnsi="Times New Roman" w:cs="Times New Roman"/>
          <w:color w:val="0F1115"/>
          <w:sz w:val="24"/>
          <w:szCs w:val="24"/>
        </w:rPr>
        <w:lastRenderedPageBreak/>
        <w:t>stacked model combining Random Forest and XGBoost with a logistic regression meta</w:t>
      </w:r>
      <w:r w:rsidRPr="005B7A69">
        <w:rPr>
          <w:rFonts w:ascii="Times New Roman" w:eastAsia="Times New Roman" w:hAnsi="Times New Roman" w:cs="Times New Roman"/>
          <w:color w:val="0F1115"/>
          <w:sz w:val="24"/>
          <w:szCs w:val="24"/>
        </w:rPr>
        <w:noBreakHyphen/>
        <w:t>learn</w:t>
      </w:r>
      <w:r w:rsidR="00AC459B">
        <w:rPr>
          <w:rFonts w:ascii="Times New Roman" w:eastAsia="Times New Roman" w:hAnsi="Times New Roman" w:cs="Times New Roman"/>
          <w:color w:val="0F1115"/>
          <w:sz w:val="24"/>
          <w:szCs w:val="24"/>
        </w:rPr>
        <w:t>er</w:t>
      </w:r>
      <w:r w:rsidRPr="005B7A69">
        <w:rPr>
          <w:rFonts w:ascii="Times New Roman" w:eastAsia="Times New Roman" w:hAnsi="Times New Roman" w:cs="Times New Roman"/>
          <w:color w:val="0F1115"/>
          <w:sz w:val="24"/>
          <w:szCs w:val="24"/>
        </w:rPr>
        <w:t xml:space="preserve"> consistently outperformed individual algorithms. </w:t>
      </w:r>
      <w:r w:rsidRPr="005B7A69">
        <w:rPr>
          <w:rFonts w:ascii="Times New Roman" w:eastAsia="Times New Roman" w:hAnsi="Times New Roman" w:cs="Times New Roman"/>
          <w:bCs/>
          <w:color w:val="0F1115"/>
          <w:sz w:val="24"/>
          <w:szCs w:val="24"/>
        </w:rPr>
        <w:t>Table 3</w:t>
      </w:r>
      <w:r w:rsidRPr="005B7A69">
        <w:rPr>
          <w:rFonts w:ascii="Times New Roman" w:eastAsia="Times New Roman" w:hAnsi="Times New Roman" w:cs="Times New Roman"/>
          <w:color w:val="0F1115"/>
          <w:sz w:val="24"/>
          <w:szCs w:val="24"/>
        </w:rPr>
        <w:t> reports the performance of the ensemble model compared to two baseline models (climate</w:t>
      </w:r>
      <w:r w:rsidRPr="005B7A69">
        <w:rPr>
          <w:rFonts w:ascii="Times New Roman" w:eastAsia="Times New Roman" w:hAnsi="Times New Roman" w:cs="Times New Roman"/>
          <w:color w:val="0F1115"/>
          <w:sz w:val="24"/>
          <w:szCs w:val="24"/>
        </w:rPr>
        <w:noBreakHyphen/>
        <w:t>only and indigenous</w:t>
      </w:r>
      <w:r w:rsidRPr="005B7A69">
        <w:rPr>
          <w:rFonts w:ascii="Times New Roman" w:eastAsia="Times New Roman" w:hAnsi="Times New Roman" w:cs="Times New Roman"/>
          <w:color w:val="0F1115"/>
          <w:sz w:val="24"/>
          <w:szCs w:val="24"/>
        </w:rPr>
        <w:noBreakHyphen/>
        <w:t>only Random Forest) on the held</w:t>
      </w:r>
      <w:r w:rsidRPr="005B7A69">
        <w:rPr>
          <w:rFonts w:ascii="Times New Roman" w:eastAsia="Times New Roman" w:hAnsi="Times New Roman" w:cs="Times New Roman"/>
          <w:color w:val="0F1115"/>
          <w:sz w:val="24"/>
          <w:szCs w:val="24"/>
        </w:rPr>
        <w:noBreakHyphen/>
        <w:t>out test set (2023 data, weeks 1–52).</w:t>
      </w:r>
    </w:p>
    <w:p w:rsidR="005B7A69" w:rsidRDefault="005B7A69" w:rsidP="00113075">
      <w:pPr>
        <w:shd w:val="clear" w:color="auto" w:fill="FFFFFF"/>
        <w:spacing w:after="120"/>
        <w:jc w:val="center"/>
        <w:rPr>
          <w:rFonts w:ascii="Times New Roman" w:eastAsia="Times New Roman" w:hAnsi="Times New Roman" w:cs="Times New Roman"/>
          <w:bCs/>
          <w:color w:val="0F1115"/>
          <w:sz w:val="24"/>
          <w:szCs w:val="24"/>
        </w:rPr>
      </w:pPr>
      <w:r w:rsidRPr="005B7A69">
        <w:rPr>
          <w:rFonts w:ascii="Times New Roman" w:eastAsia="Times New Roman" w:hAnsi="Times New Roman" w:cs="Times New Roman"/>
          <w:bCs/>
          <w:color w:val="0F1115"/>
          <w:sz w:val="24"/>
          <w:szCs w:val="24"/>
        </w:rPr>
        <w:t>Table 3. Predictive Performance of Machine Learning Models for Malaria Outbreak Detection (Weekly, Kebele</w:t>
      </w:r>
      <w:r w:rsidRPr="005B7A69">
        <w:rPr>
          <w:rFonts w:ascii="Times New Roman" w:eastAsia="Times New Roman" w:hAnsi="Times New Roman" w:cs="Times New Roman"/>
          <w:bCs/>
          <w:color w:val="0F1115"/>
          <w:sz w:val="24"/>
          <w:szCs w:val="24"/>
        </w:rPr>
        <w:noBreakHyphen/>
        <w:t>Level)</w:t>
      </w:r>
    </w:p>
    <w:tbl>
      <w:tblPr>
        <w:tblStyle w:val="TableGrid"/>
        <w:tblW w:w="9812" w:type="dxa"/>
        <w:tblLook w:val="04A0" w:firstRow="1" w:lastRow="0" w:firstColumn="1" w:lastColumn="0" w:noHBand="0" w:noVBand="1"/>
      </w:tblPr>
      <w:tblGrid>
        <w:gridCol w:w="2088"/>
        <w:gridCol w:w="1280"/>
        <w:gridCol w:w="1344"/>
        <w:gridCol w:w="886"/>
        <w:gridCol w:w="810"/>
        <w:gridCol w:w="1080"/>
        <w:gridCol w:w="2324"/>
      </w:tblGrid>
      <w:tr w:rsidR="00113075" w:rsidTr="00113075">
        <w:tc>
          <w:tcPr>
            <w:tcW w:w="2088"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Model</w:t>
            </w:r>
          </w:p>
        </w:tc>
        <w:tc>
          <w:tcPr>
            <w:tcW w:w="128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Sensitivity</w:t>
            </w:r>
          </w:p>
        </w:tc>
        <w:tc>
          <w:tcPr>
            <w:tcW w:w="1344"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Specificity</w:t>
            </w:r>
          </w:p>
        </w:tc>
        <w:tc>
          <w:tcPr>
            <w:tcW w:w="886"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PPV</w:t>
            </w:r>
          </w:p>
        </w:tc>
        <w:tc>
          <w:tcPr>
            <w:tcW w:w="81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NPV</w:t>
            </w:r>
          </w:p>
        </w:tc>
        <w:tc>
          <w:tcPr>
            <w:tcW w:w="108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F1</w:t>
            </w:r>
            <w:r w:rsidRPr="005B7A69">
              <w:rPr>
                <w:rFonts w:ascii="Times New Roman" w:eastAsia="Times New Roman" w:hAnsi="Times New Roman" w:cs="Times New Roman"/>
                <w:sz w:val="24"/>
                <w:szCs w:val="24"/>
              </w:rPr>
              <w:noBreakHyphen/>
              <w:t>score</w:t>
            </w:r>
          </w:p>
        </w:tc>
        <w:tc>
          <w:tcPr>
            <w:tcW w:w="2324"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AUC</w:t>
            </w:r>
            <w:r w:rsidRPr="005B7A69">
              <w:rPr>
                <w:rFonts w:ascii="Times New Roman" w:eastAsia="Times New Roman" w:hAnsi="Times New Roman" w:cs="Times New Roman"/>
                <w:sz w:val="24"/>
                <w:szCs w:val="24"/>
              </w:rPr>
              <w:noBreakHyphen/>
              <w:t>ROC (95% CI)</w:t>
            </w:r>
          </w:p>
        </w:tc>
      </w:tr>
      <w:tr w:rsidR="00113075" w:rsidTr="00113075">
        <w:tc>
          <w:tcPr>
            <w:tcW w:w="2088"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Climate</w:t>
            </w:r>
            <w:r w:rsidRPr="005B7A69">
              <w:rPr>
                <w:rFonts w:ascii="Times New Roman" w:eastAsia="Times New Roman" w:hAnsi="Times New Roman" w:cs="Times New Roman"/>
                <w:sz w:val="24"/>
                <w:szCs w:val="24"/>
              </w:rPr>
              <w:noBreakHyphen/>
              <w:t>only (Random Forest)</w:t>
            </w:r>
          </w:p>
        </w:tc>
        <w:tc>
          <w:tcPr>
            <w:tcW w:w="128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0.72</w:t>
            </w:r>
          </w:p>
        </w:tc>
        <w:tc>
          <w:tcPr>
            <w:tcW w:w="1344"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0.70</w:t>
            </w:r>
          </w:p>
        </w:tc>
        <w:tc>
          <w:tcPr>
            <w:tcW w:w="886"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0.68</w:t>
            </w:r>
          </w:p>
        </w:tc>
        <w:tc>
          <w:tcPr>
            <w:tcW w:w="81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0.74</w:t>
            </w:r>
          </w:p>
        </w:tc>
        <w:tc>
          <w:tcPr>
            <w:tcW w:w="108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0.71</w:t>
            </w:r>
          </w:p>
        </w:tc>
        <w:tc>
          <w:tcPr>
            <w:tcW w:w="2324"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0.76 (0.71–0.81)</w:t>
            </w:r>
          </w:p>
        </w:tc>
      </w:tr>
      <w:tr w:rsidR="00113075" w:rsidTr="00113075">
        <w:tc>
          <w:tcPr>
            <w:tcW w:w="2088"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Indigenous</w:t>
            </w:r>
            <w:r w:rsidRPr="005B7A69">
              <w:rPr>
                <w:rFonts w:ascii="Times New Roman" w:eastAsia="Times New Roman" w:hAnsi="Times New Roman" w:cs="Times New Roman"/>
                <w:sz w:val="24"/>
                <w:szCs w:val="24"/>
              </w:rPr>
              <w:noBreakHyphen/>
              <w:t>only (Random Forest)</w:t>
            </w:r>
          </w:p>
        </w:tc>
        <w:tc>
          <w:tcPr>
            <w:tcW w:w="128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0.65</w:t>
            </w:r>
          </w:p>
        </w:tc>
        <w:tc>
          <w:tcPr>
            <w:tcW w:w="1344"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0.68</w:t>
            </w:r>
          </w:p>
        </w:tc>
        <w:tc>
          <w:tcPr>
            <w:tcW w:w="886"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0.63</w:t>
            </w:r>
          </w:p>
        </w:tc>
        <w:tc>
          <w:tcPr>
            <w:tcW w:w="81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0.70</w:t>
            </w:r>
          </w:p>
        </w:tc>
        <w:tc>
          <w:tcPr>
            <w:tcW w:w="108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0.66</w:t>
            </w:r>
          </w:p>
        </w:tc>
        <w:tc>
          <w:tcPr>
            <w:tcW w:w="2324"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sz w:val="24"/>
                <w:szCs w:val="24"/>
              </w:rPr>
              <w:t>0.70 (0.64–0.76)</w:t>
            </w:r>
          </w:p>
        </w:tc>
      </w:tr>
      <w:tr w:rsidR="00113075" w:rsidTr="00113075">
        <w:tc>
          <w:tcPr>
            <w:tcW w:w="2088"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bCs/>
                <w:sz w:val="24"/>
                <w:szCs w:val="24"/>
              </w:rPr>
              <w:t>Combined model (Ensemble)</w:t>
            </w:r>
          </w:p>
        </w:tc>
        <w:tc>
          <w:tcPr>
            <w:tcW w:w="128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bCs/>
                <w:sz w:val="24"/>
                <w:szCs w:val="24"/>
              </w:rPr>
              <w:t>0.88</w:t>
            </w:r>
          </w:p>
        </w:tc>
        <w:tc>
          <w:tcPr>
            <w:tcW w:w="1344"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bCs/>
                <w:sz w:val="24"/>
                <w:szCs w:val="24"/>
              </w:rPr>
              <w:t>0.84</w:t>
            </w:r>
          </w:p>
        </w:tc>
        <w:tc>
          <w:tcPr>
            <w:tcW w:w="886"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bCs/>
                <w:sz w:val="24"/>
                <w:szCs w:val="24"/>
              </w:rPr>
              <w:t>0.82</w:t>
            </w:r>
          </w:p>
        </w:tc>
        <w:tc>
          <w:tcPr>
            <w:tcW w:w="81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bCs/>
                <w:sz w:val="24"/>
                <w:szCs w:val="24"/>
              </w:rPr>
              <w:t>0.89</w:t>
            </w:r>
          </w:p>
        </w:tc>
        <w:tc>
          <w:tcPr>
            <w:tcW w:w="1080"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bCs/>
                <w:sz w:val="24"/>
                <w:szCs w:val="24"/>
              </w:rPr>
              <w:t>0.86</w:t>
            </w:r>
          </w:p>
        </w:tc>
        <w:tc>
          <w:tcPr>
            <w:tcW w:w="2324" w:type="dxa"/>
            <w:vAlign w:val="center"/>
          </w:tcPr>
          <w:p w:rsidR="00113075" w:rsidRPr="005B7A69" w:rsidRDefault="00113075" w:rsidP="003652F3">
            <w:pPr>
              <w:jc w:val="both"/>
              <w:rPr>
                <w:rFonts w:ascii="Times New Roman" w:eastAsia="Times New Roman" w:hAnsi="Times New Roman" w:cs="Times New Roman"/>
                <w:sz w:val="24"/>
                <w:szCs w:val="24"/>
              </w:rPr>
            </w:pPr>
            <w:r w:rsidRPr="005B7A69">
              <w:rPr>
                <w:rFonts w:ascii="Times New Roman" w:eastAsia="Times New Roman" w:hAnsi="Times New Roman" w:cs="Times New Roman"/>
                <w:bCs/>
                <w:sz w:val="24"/>
                <w:szCs w:val="24"/>
              </w:rPr>
              <w:t>0.92 (0.89–0.95)</w:t>
            </w:r>
          </w:p>
        </w:tc>
      </w:tr>
    </w:tbl>
    <w:p w:rsidR="00113075" w:rsidRPr="005B7A69" w:rsidRDefault="00113075" w:rsidP="00113075">
      <w:pPr>
        <w:shd w:val="clear" w:color="auto" w:fill="FFFFFF"/>
        <w:spacing w:after="120"/>
        <w:jc w:val="center"/>
        <w:rPr>
          <w:rFonts w:ascii="Times New Roman" w:eastAsia="Times New Roman" w:hAnsi="Times New Roman" w:cs="Times New Roman"/>
          <w:color w:val="0F1115"/>
          <w:sz w:val="24"/>
          <w:szCs w:val="24"/>
        </w:rPr>
      </w:pPr>
    </w:p>
    <w:p w:rsidR="005B7A69" w:rsidRPr="005B7A69" w:rsidRDefault="005B7A69" w:rsidP="00FF722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i/>
          <w:iCs/>
          <w:color w:val="0F1115"/>
          <w:sz w:val="24"/>
          <w:szCs w:val="24"/>
        </w:rPr>
        <w:t>Note:</w:t>
      </w:r>
      <w:r w:rsidRPr="005B7A69">
        <w:rPr>
          <w:rFonts w:ascii="Times New Roman" w:eastAsia="Times New Roman" w:hAnsi="Times New Roman" w:cs="Times New Roman"/>
          <w:color w:val="0F1115"/>
          <w:sz w:val="24"/>
          <w:szCs w:val="24"/>
        </w:rPr>
        <w:t xml:space="preserve"> Outbreak week defined as weekly incidence exceeding the 75th percentile of the 2019–2022 historical </w:t>
      </w:r>
      <w:r w:rsidR="00FF7225" w:rsidRPr="005B7A69">
        <w:rPr>
          <w:rFonts w:ascii="Times New Roman" w:eastAsia="Times New Roman" w:hAnsi="Times New Roman" w:cs="Times New Roman"/>
          <w:color w:val="0F1115"/>
          <w:sz w:val="24"/>
          <w:szCs w:val="24"/>
        </w:rPr>
        <w:t>baselines</w:t>
      </w:r>
      <w:r w:rsidRPr="005B7A69">
        <w:rPr>
          <w:rFonts w:ascii="Times New Roman" w:eastAsia="Times New Roman" w:hAnsi="Times New Roman" w:cs="Times New Roman"/>
          <w:color w:val="0F1115"/>
          <w:sz w:val="24"/>
          <w:szCs w:val="24"/>
        </w:rPr>
        <w:t xml:space="preserve"> for that kebele. PPV = positive predictive value; NPV = negative predictive value; AUC</w:t>
      </w:r>
      <w:r w:rsidRPr="005B7A69">
        <w:rPr>
          <w:rFonts w:ascii="Times New Roman" w:eastAsia="Times New Roman" w:hAnsi="Times New Roman" w:cs="Times New Roman"/>
          <w:color w:val="0F1115"/>
          <w:sz w:val="24"/>
          <w:szCs w:val="24"/>
        </w:rPr>
        <w:noBreakHyphen/>
        <w:t>ROC = area under the receiver operating characteristic curve.</w:t>
      </w:r>
    </w:p>
    <w:p w:rsidR="00FF7225" w:rsidRDefault="005B7A69" w:rsidP="00FF722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color w:val="0F1115"/>
          <w:sz w:val="24"/>
          <w:szCs w:val="24"/>
        </w:rPr>
        <w:t>The combined ensemble model achieved a </w:t>
      </w:r>
      <w:r w:rsidRPr="005B7A69">
        <w:rPr>
          <w:rFonts w:ascii="Times New Roman" w:eastAsia="Times New Roman" w:hAnsi="Times New Roman" w:cs="Times New Roman"/>
          <w:bCs/>
          <w:color w:val="0F1115"/>
          <w:sz w:val="24"/>
          <w:szCs w:val="24"/>
        </w:rPr>
        <w:t>sensitivity of 0.88</w:t>
      </w:r>
      <w:r w:rsidRPr="005B7A69">
        <w:rPr>
          <w:rFonts w:ascii="Times New Roman" w:eastAsia="Times New Roman" w:hAnsi="Times New Roman" w:cs="Times New Roman"/>
          <w:color w:val="0F1115"/>
          <w:sz w:val="24"/>
          <w:szCs w:val="24"/>
        </w:rPr>
        <w:t> (95% CI: 0.83–0.93), correctly identifying 88% of outbreak weeks, and a </w:t>
      </w:r>
      <w:r w:rsidRPr="005B7A69">
        <w:rPr>
          <w:rFonts w:ascii="Times New Roman" w:eastAsia="Times New Roman" w:hAnsi="Times New Roman" w:cs="Times New Roman"/>
          <w:bCs/>
          <w:color w:val="0F1115"/>
          <w:sz w:val="24"/>
          <w:szCs w:val="24"/>
        </w:rPr>
        <w:t>specificity of 0.84</w:t>
      </w:r>
      <w:r w:rsidRPr="005B7A69">
        <w:rPr>
          <w:rFonts w:ascii="Times New Roman" w:eastAsia="Times New Roman" w:hAnsi="Times New Roman" w:cs="Times New Roman"/>
          <w:color w:val="0F1115"/>
          <w:sz w:val="24"/>
          <w:szCs w:val="24"/>
        </w:rPr>
        <w:t> (95% CI: 0.79–0.89). The </w:t>
      </w:r>
      <w:r w:rsidRPr="005B7A69">
        <w:rPr>
          <w:rFonts w:ascii="Times New Roman" w:eastAsia="Times New Roman" w:hAnsi="Times New Roman" w:cs="Times New Roman"/>
          <w:bCs/>
          <w:color w:val="0F1115"/>
          <w:sz w:val="24"/>
          <w:szCs w:val="24"/>
        </w:rPr>
        <w:t>AUC</w:t>
      </w:r>
      <w:r w:rsidRPr="005B7A69">
        <w:rPr>
          <w:rFonts w:ascii="Times New Roman" w:eastAsia="Times New Roman" w:hAnsi="Times New Roman" w:cs="Times New Roman"/>
          <w:bCs/>
          <w:color w:val="0F1115"/>
          <w:sz w:val="24"/>
          <w:szCs w:val="24"/>
        </w:rPr>
        <w:noBreakHyphen/>
        <w:t>ROC of 0.92</w:t>
      </w:r>
      <w:r w:rsidRPr="005B7A69">
        <w:rPr>
          <w:rFonts w:ascii="Times New Roman" w:eastAsia="Times New Roman" w:hAnsi="Times New Roman" w:cs="Times New Roman"/>
          <w:color w:val="0F1115"/>
          <w:sz w:val="24"/>
          <w:szCs w:val="24"/>
        </w:rPr>
        <w:t> indicates excellent discriminative ability. Compared to the climate</w:t>
      </w:r>
      <w:r w:rsidRPr="005B7A69">
        <w:rPr>
          <w:rFonts w:ascii="Times New Roman" w:eastAsia="Times New Roman" w:hAnsi="Times New Roman" w:cs="Times New Roman"/>
          <w:color w:val="0F1115"/>
          <w:sz w:val="24"/>
          <w:szCs w:val="24"/>
        </w:rPr>
        <w:noBreakHyphen/>
        <w:t>only baseline, the ensemble model improved sensitivity by 16 percentage points and AUC</w:t>
      </w:r>
      <w:r w:rsidRPr="005B7A69">
        <w:rPr>
          <w:rFonts w:ascii="Times New Roman" w:eastAsia="Times New Roman" w:hAnsi="Times New Roman" w:cs="Times New Roman"/>
          <w:color w:val="0F1115"/>
          <w:sz w:val="24"/>
          <w:szCs w:val="24"/>
        </w:rPr>
        <w:noBreakHyphen/>
        <w:t>ROC by 0.16. The indigenous</w:t>
      </w:r>
      <w:r w:rsidRPr="005B7A69">
        <w:rPr>
          <w:rFonts w:ascii="Times New Roman" w:eastAsia="Times New Roman" w:hAnsi="Times New Roman" w:cs="Times New Roman"/>
          <w:color w:val="0F1115"/>
          <w:sz w:val="24"/>
          <w:szCs w:val="24"/>
        </w:rPr>
        <w:noBreakHyphen/>
        <w:t>only model performed poorly (AUC</w:t>
      </w:r>
      <w:r w:rsidRPr="005B7A69">
        <w:rPr>
          <w:rFonts w:ascii="Times New Roman" w:eastAsia="Times New Roman" w:hAnsi="Times New Roman" w:cs="Times New Roman"/>
          <w:color w:val="0F1115"/>
          <w:sz w:val="24"/>
          <w:szCs w:val="24"/>
        </w:rPr>
        <w:noBreakHyphen/>
        <w:t>ROC = 0.70), confirming that indigenous indicators alone are insufficient predictors but provide substantial added value when combined with climatic data.</w:t>
      </w:r>
    </w:p>
    <w:p w:rsidR="00AA058E" w:rsidRPr="00AA058E" w:rsidRDefault="00AA058E" w:rsidP="00AC459B">
      <w:pPr>
        <w:shd w:val="clear" w:color="auto" w:fill="FFFFFF"/>
        <w:spacing w:after="120"/>
        <w:jc w:val="both"/>
        <w:rPr>
          <w:rFonts w:ascii="Times New Roman" w:eastAsia="Times New Roman" w:hAnsi="Times New Roman" w:cs="Times New Roman"/>
          <w:color w:val="0F1115"/>
          <w:sz w:val="24"/>
          <w:szCs w:val="24"/>
        </w:rPr>
      </w:pPr>
      <w:r w:rsidRPr="00AA058E">
        <w:rPr>
          <w:rFonts w:ascii="Times New Roman" w:eastAsia="Times New Roman" w:hAnsi="Times New Roman" w:cs="Times New Roman"/>
          <w:color w:val="0F1115"/>
          <w:sz w:val="24"/>
          <w:szCs w:val="24"/>
        </w:rPr>
        <w:t>From 2019 to 2024, mean weekly malaria cases rose from 55 (2019) to 350 (2024), with a sharp increase after 2021 (150 cases/week). The lowest incidence occurred in 2020 (50 cases/week), while the highest was recorded in 2024 (350 cases/week). This upward trajectory coincides with the established </w:t>
      </w:r>
      <w:r w:rsidRPr="00AA058E">
        <w:rPr>
          <w:rFonts w:ascii="Times New Roman" w:eastAsia="Times New Roman" w:hAnsi="Times New Roman" w:cs="Times New Roman"/>
          <w:i/>
          <w:iCs/>
          <w:color w:val="0F1115"/>
          <w:sz w:val="24"/>
          <w:szCs w:val="24"/>
        </w:rPr>
        <w:t>Anopheles stephensi</w:t>
      </w:r>
      <w:r w:rsidRPr="00AA058E">
        <w:rPr>
          <w:rFonts w:ascii="Times New Roman" w:eastAsia="Times New Roman" w:hAnsi="Times New Roman" w:cs="Times New Roman"/>
          <w:color w:val="0F1115"/>
          <w:sz w:val="24"/>
          <w:szCs w:val="24"/>
        </w:rPr>
        <w:t> invasion in Dire Dawa (Emiru et al., 2023). Seasonal peaks aligned with the indigenous “long</w:t>
      </w:r>
      <w:r w:rsidRPr="00AA058E">
        <w:rPr>
          <w:rFonts w:ascii="Times New Roman" w:eastAsia="Times New Roman" w:hAnsi="Times New Roman" w:cs="Times New Roman"/>
          <w:color w:val="0F1115"/>
          <w:sz w:val="24"/>
          <w:szCs w:val="24"/>
        </w:rPr>
        <w:noBreakHyphen/>
        <w:t>heat” period (March–April and October–November), during which mean weekly cases exceeded the annual average by 40–60%. The marked rise from 2021 onward (150→250→350 cases/week) reflects both climatic suitability and vector adaptation, underscoring the value of integrating indigenous knowledge into early warning systems.</w:t>
      </w:r>
    </w:p>
    <w:p w:rsidR="00AA058E" w:rsidRDefault="00AA058E" w:rsidP="00AA058E">
      <w:pPr>
        <w:shd w:val="clear" w:color="auto" w:fill="FFFFFF"/>
        <w:spacing w:after="12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IN" w:eastAsia="en-IN"/>
        </w:rPr>
        <w:lastRenderedPageBreak/>
        <w:drawing>
          <wp:inline distT="0" distB="0" distL="0" distR="0" wp14:anchorId="2D10F8C2" wp14:editId="7F23F939">
            <wp:extent cx="5375007" cy="2466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5510" cy="2466340"/>
                    </a:xfrm>
                    <a:prstGeom prst="rect">
                      <a:avLst/>
                    </a:prstGeom>
                    <a:noFill/>
                    <a:ln>
                      <a:noFill/>
                    </a:ln>
                  </pic:spPr>
                </pic:pic>
              </a:graphicData>
            </a:graphic>
          </wp:inline>
        </w:drawing>
      </w:r>
    </w:p>
    <w:p w:rsidR="00AA058E" w:rsidRDefault="00AA058E" w:rsidP="00AA058E">
      <w:pPr>
        <w:shd w:val="clear" w:color="auto" w:fill="FFFFFF"/>
        <w:spacing w:after="120" w:line="420" w:lineRule="atLeast"/>
        <w:jc w:val="both"/>
        <w:rPr>
          <w:rFonts w:ascii="Times New Roman" w:eastAsia="Times New Roman" w:hAnsi="Times New Roman" w:cs="Times New Roman"/>
          <w:color w:val="0F1115"/>
          <w:sz w:val="24"/>
          <w:szCs w:val="24"/>
        </w:rPr>
      </w:pPr>
      <w:r w:rsidRPr="00AA058E">
        <w:rPr>
          <w:rFonts w:ascii="Times New Roman" w:eastAsia="Times New Roman" w:hAnsi="Times New Roman" w:cs="Times New Roman"/>
          <w:bCs/>
          <w:color w:val="0F1115"/>
          <w:sz w:val="24"/>
          <w:szCs w:val="24"/>
        </w:rPr>
        <w:t>Figure 3</w:t>
      </w:r>
      <w:r w:rsidRPr="00AA058E">
        <w:rPr>
          <w:rFonts w:ascii="Times New Roman" w:eastAsia="Times New Roman" w:hAnsi="Times New Roman" w:cs="Times New Roman"/>
          <w:color w:val="0F1115"/>
          <w:sz w:val="24"/>
          <w:szCs w:val="24"/>
        </w:rPr>
        <w:t> Weekly confirmed malaria cases in Dire Dawa, 2019–2024 (mean weekly incidence).</w:t>
      </w:r>
    </w:p>
    <w:p w:rsidR="00AA058E" w:rsidRDefault="00AA058E" w:rsidP="00AA058E">
      <w:pPr>
        <w:shd w:val="clear" w:color="auto" w:fill="FFFFFF"/>
        <w:spacing w:after="120" w:line="420" w:lineRule="atLeast"/>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IN" w:eastAsia="en-IN"/>
        </w:rPr>
        <w:drawing>
          <wp:inline distT="0" distB="0" distL="0" distR="0" wp14:anchorId="4D23C0D2" wp14:editId="6FA90C35">
            <wp:extent cx="4204834" cy="2757054"/>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4970" cy="2757143"/>
                    </a:xfrm>
                    <a:prstGeom prst="rect">
                      <a:avLst/>
                    </a:prstGeom>
                    <a:noFill/>
                    <a:ln>
                      <a:noFill/>
                    </a:ln>
                  </pic:spPr>
                </pic:pic>
              </a:graphicData>
            </a:graphic>
          </wp:inline>
        </w:drawing>
      </w:r>
    </w:p>
    <w:p w:rsidR="00AA058E" w:rsidRPr="00AA058E" w:rsidRDefault="00AA058E" w:rsidP="00AA058E">
      <w:pPr>
        <w:pStyle w:val="ds-markdown-paragraph"/>
        <w:shd w:val="clear" w:color="auto" w:fill="FFFFFF"/>
        <w:spacing w:before="0" w:beforeAutospacing="0" w:after="120" w:afterAutospacing="0" w:line="276" w:lineRule="auto"/>
        <w:jc w:val="both"/>
        <w:rPr>
          <w:color w:val="0F1115"/>
        </w:rPr>
      </w:pPr>
      <w:r w:rsidRPr="00AA058E">
        <w:rPr>
          <w:rStyle w:val="Strong"/>
          <w:b w:val="0"/>
          <w:color w:val="0F1115"/>
        </w:rPr>
        <w:t>Figure 4.</w:t>
      </w:r>
      <w:r w:rsidRPr="00AA058E">
        <w:rPr>
          <w:color w:val="0F1115"/>
        </w:rPr>
        <w:t> Receiver operating characteristic curves for three malaria prediction models (test set 2023).</w:t>
      </w:r>
    </w:p>
    <w:p w:rsidR="00AA058E" w:rsidRPr="00AA058E" w:rsidRDefault="00AA058E" w:rsidP="00AA058E">
      <w:pPr>
        <w:pStyle w:val="ds-markdown-paragraph"/>
        <w:shd w:val="clear" w:color="auto" w:fill="FFFFFF"/>
        <w:spacing w:before="0" w:beforeAutospacing="0" w:after="120" w:afterAutospacing="0" w:line="276" w:lineRule="auto"/>
        <w:jc w:val="both"/>
        <w:rPr>
          <w:color w:val="0F1115"/>
        </w:rPr>
      </w:pPr>
      <w:r w:rsidRPr="00AA058E">
        <w:rPr>
          <w:color w:val="0F1115"/>
        </w:rPr>
        <w:t>The ensemble model achieved the highest discriminative ability (AUC = 0.92), substantially outperforming the climate</w:t>
      </w:r>
      <w:r w:rsidRPr="00AA058E">
        <w:rPr>
          <w:color w:val="0F1115"/>
        </w:rPr>
        <w:noBreakHyphen/>
        <w:t>only model (AUC = 0.76) and the indigenous</w:t>
      </w:r>
      <w:r w:rsidRPr="00AA058E">
        <w:rPr>
          <w:color w:val="0F1115"/>
        </w:rPr>
        <w:noBreakHyphen/>
        <w:t>only model (AUC = 0.70). At a false positive rate of 0.10, the ensemble achieved a true positive rate of 0.88, compared to 0.38 and 0.37 for climate</w:t>
      </w:r>
      <w:r w:rsidRPr="00AA058E">
        <w:rPr>
          <w:color w:val="0F1115"/>
        </w:rPr>
        <w:noBreakHyphen/>
        <w:t>only and indigenous</w:t>
      </w:r>
      <w:r w:rsidRPr="00AA058E">
        <w:rPr>
          <w:color w:val="0F1115"/>
        </w:rPr>
        <w:noBreakHyphen/>
        <w:t>only models, respectively. These results demonstrate that integrating indigenous indicators with climatic data markedly improves outbreak detection. The superior performance of the combined model is consistent with the featu</w:t>
      </w:r>
      <w:r>
        <w:rPr>
          <w:color w:val="0F1115"/>
        </w:rPr>
        <w:t>re importance analysis (Figure 4</w:t>
      </w:r>
      <w:r w:rsidRPr="00AA058E">
        <w:rPr>
          <w:color w:val="0F1115"/>
        </w:rPr>
        <w:t>), where red cattle proximity (IK</w:t>
      </w:r>
      <w:r w:rsidRPr="00AA058E">
        <w:rPr>
          <w:color w:val="0F1115"/>
        </w:rPr>
        <w:noBreakHyphen/>
        <w:t>ENV</w:t>
      </w:r>
      <w:r w:rsidRPr="00AA058E">
        <w:rPr>
          <w:color w:val="0F1115"/>
        </w:rPr>
        <w:noBreakHyphen/>
        <w:t>05) ranked as the third strongest predictor after lagged rainfall and night</w:t>
      </w:r>
      <w:r w:rsidRPr="00AA058E">
        <w:rPr>
          <w:color w:val="0F1115"/>
        </w:rPr>
        <w:noBreakHyphen/>
        <w:t>time land surface temperature. The indigenous</w:t>
      </w:r>
      <w:r w:rsidRPr="00AA058E">
        <w:rPr>
          <w:color w:val="0F1115"/>
        </w:rPr>
        <w:noBreakHyphen/>
        <w:t xml:space="preserve">only model performed marginally above chance (AUC = 0.70), confirming that local </w:t>
      </w:r>
      <w:r w:rsidRPr="00AA058E">
        <w:rPr>
          <w:color w:val="0F1115"/>
        </w:rPr>
        <w:lastRenderedPageBreak/>
        <w:t>knowledge alone is insufficient for accurate prediction but provides critical added value when fused with environmental data (Emiru et al., 2023; Degefa et al., 2024).</w:t>
      </w:r>
    </w:p>
    <w:p w:rsidR="00AA058E" w:rsidRDefault="00AA058E" w:rsidP="00AA058E">
      <w:pPr>
        <w:pStyle w:val="ds-markdown-paragraph"/>
        <w:shd w:val="clear" w:color="auto" w:fill="FFFFFF"/>
        <w:spacing w:before="0" w:beforeAutospacing="0" w:after="120" w:afterAutospacing="0" w:line="276" w:lineRule="auto"/>
        <w:jc w:val="center"/>
        <w:rPr>
          <w:color w:val="0F1115"/>
        </w:rPr>
      </w:pPr>
      <w:r w:rsidRPr="00AA058E">
        <w:rPr>
          <w:rStyle w:val="Strong"/>
          <w:b w:val="0"/>
          <w:color w:val="0F1115"/>
        </w:rPr>
        <w:t>Table 4.</w:t>
      </w:r>
      <w:r w:rsidRPr="00AA058E">
        <w:rPr>
          <w:color w:val="0F1115"/>
        </w:rPr>
        <w:t> Predictive performance of machine learning models for weekly malaria outbreak detection at kebele level.</w:t>
      </w:r>
    </w:p>
    <w:tbl>
      <w:tblPr>
        <w:tblStyle w:val="TableGrid"/>
        <w:tblW w:w="8575" w:type="dxa"/>
        <w:jc w:val="center"/>
        <w:tblLook w:val="04A0" w:firstRow="1" w:lastRow="0" w:firstColumn="1" w:lastColumn="0" w:noHBand="0" w:noVBand="1"/>
      </w:tblPr>
      <w:tblGrid>
        <w:gridCol w:w="3243"/>
        <w:gridCol w:w="1363"/>
        <w:gridCol w:w="1376"/>
        <w:gridCol w:w="1417"/>
        <w:gridCol w:w="1176"/>
      </w:tblGrid>
      <w:tr w:rsidR="00AA058E" w:rsidTr="00AA058E">
        <w:trPr>
          <w:jc w:val="center"/>
        </w:trPr>
        <w:tc>
          <w:tcPr>
            <w:tcW w:w="3243" w:type="dxa"/>
          </w:tcPr>
          <w:p w:rsidR="00AA058E" w:rsidRDefault="00AA058E" w:rsidP="00AA058E">
            <w:pPr>
              <w:pStyle w:val="ds-markdown-paragraph"/>
              <w:spacing w:before="0" w:beforeAutospacing="0" w:after="120" w:afterAutospacing="0" w:line="276" w:lineRule="auto"/>
              <w:jc w:val="center"/>
              <w:rPr>
                <w:color w:val="0F1115"/>
              </w:rPr>
            </w:pPr>
            <w:r>
              <w:rPr>
                <w:color w:val="0F1115"/>
              </w:rPr>
              <w:t>Item</w:t>
            </w:r>
          </w:p>
        </w:tc>
        <w:tc>
          <w:tcPr>
            <w:tcW w:w="1363" w:type="dxa"/>
          </w:tcPr>
          <w:p w:rsidR="00AA058E" w:rsidRDefault="00AA058E" w:rsidP="00AA058E">
            <w:pPr>
              <w:pStyle w:val="ds-markdown-paragraph"/>
              <w:spacing w:before="0" w:beforeAutospacing="0" w:after="120" w:afterAutospacing="0" w:line="276" w:lineRule="auto"/>
              <w:jc w:val="center"/>
              <w:rPr>
                <w:color w:val="0F1115"/>
              </w:rPr>
            </w:pPr>
            <w:r>
              <w:rPr>
                <w:color w:val="0F1115"/>
              </w:rPr>
              <w:t>Sensitivity</w:t>
            </w:r>
          </w:p>
        </w:tc>
        <w:tc>
          <w:tcPr>
            <w:tcW w:w="1376" w:type="dxa"/>
          </w:tcPr>
          <w:p w:rsidR="00AA058E" w:rsidRDefault="00AA058E" w:rsidP="00AA058E">
            <w:pPr>
              <w:pStyle w:val="ds-markdown-paragraph"/>
              <w:spacing w:before="0" w:beforeAutospacing="0" w:after="120" w:afterAutospacing="0" w:line="276" w:lineRule="auto"/>
              <w:jc w:val="center"/>
              <w:rPr>
                <w:color w:val="0F1115"/>
              </w:rPr>
            </w:pPr>
            <w:r>
              <w:rPr>
                <w:color w:val="0F1115"/>
              </w:rPr>
              <w:t>Specificity</w:t>
            </w:r>
          </w:p>
        </w:tc>
        <w:tc>
          <w:tcPr>
            <w:tcW w:w="1417" w:type="dxa"/>
          </w:tcPr>
          <w:p w:rsidR="00AA058E" w:rsidRDefault="00AA058E" w:rsidP="00AA058E">
            <w:pPr>
              <w:pStyle w:val="ds-markdown-paragraph"/>
              <w:spacing w:before="0" w:beforeAutospacing="0" w:after="120" w:afterAutospacing="0" w:line="276" w:lineRule="auto"/>
              <w:jc w:val="center"/>
              <w:rPr>
                <w:color w:val="0F1115"/>
              </w:rPr>
            </w:pPr>
            <w:r>
              <w:rPr>
                <w:color w:val="0F1115"/>
              </w:rPr>
              <w:t>AUC-ROC</w:t>
            </w:r>
          </w:p>
        </w:tc>
        <w:tc>
          <w:tcPr>
            <w:tcW w:w="1176" w:type="dxa"/>
          </w:tcPr>
          <w:p w:rsidR="00AA058E" w:rsidRDefault="00AA058E" w:rsidP="00AA058E">
            <w:pPr>
              <w:pStyle w:val="ds-markdown-paragraph"/>
              <w:spacing w:before="0" w:beforeAutospacing="0" w:after="120" w:afterAutospacing="0" w:line="276" w:lineRule="auto"/>
              <w:jc w:val="center"/>
              <w:rPr>
                <w:color w:val="0F1115"/>
              </w:rPr>
            </w:pPr>
            <w:r>
              <w:rPr>
                <w:color w:val="0F1115"/>
              </w:rPr>
              <w:t>F1-score</w:t>
            </w:r>
          </w:p>
        </w:tc>
      </w:tr>
      <w:tr w:rsidR="00AA058E" w:rsidTr="00AA058E">
        <w:trPr>
          <w:jc w:val="center"/>
        </w:trPr>
        <w:tc>
          <w:tcPr>
            <w:tcW w:w="3243" w:type="dxa"/>
          </w:tcPr>
          <w:p w:rsidR="00AA058E" w:rsidRDefault="00AA058E" w:rsidP="00AA058E">
            <w:pPr>
              <w:pStyle w:val="ds-markdown-paragraph"/>
              <w:spacing w:before="0" w:beforeAutospacing="0" w:after="120" w:afterAutospacing="0" w:line="276" w:lineRule="auto"/>
              <w:jc w:val="center"/>
              <w:rPr>
                <w:color w:val="0F1115"/>
              </w:rPr>
            </w:pPr>
            <w:r>
              <w:rPr>
                <w:color w:val="0F1115"/>
              </w:rPr>
              <w:t>Climate-only (Random forest)</w:t>
            </w:r>
          </w:p>
        </w:tc>
        <w:tc>
          <w:tcPr>
            <w:tcW w:w="1363"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0.72</w:t>
            </w:r>
          </w:p>
        </w:tc>
        <w:tc>
          <w:tcPr>
            <w:tcW w:w="1376"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0.70</w:t>
            </w:r>
          </w:p>
        </w:tc>
        <w:tc>
          <w:tcPr>
            <w:tcW w:w="1417"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0.76</w:t>
            </w:r>
          </w:p>
        </w:tc>
        <w:tc>
          <w:tcPr>
            <w:tcW w:w="1176"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0.71</w:t>
            </w:r>
          </w:p>
        </w:tc>
      </w:tr>
      <w:tr w:rsidR="00AA058E" w:rsidTr="00AA058E">
        <w:trPr>
          <w:jc w:val="center"/>
        </w:trPr>
        <w:tc>
          <w:tcPr>
            <w:tcW w:w="3243" w:type="dxa"/>
          </w:tcPr>
          <w:p w:rsidR="00AA058E" w:rsidRDefault="00AA058E" w:rsidP="00AA058E">
            <w:pPr>
              <w:pStyle w:val="ds-markdown-paragraph"/>
              <w:spacing w:before="0" w:beforeAutospacing="0" w:after="120" w:afterAutospacing="0" w:line="276" w:lineRule="auto"/>
              <w:jc w:val="center"/>
              <w:rPr>
                <w:color w:val="0F1115"/>
              </w:rPr>
            </w:pPr>
            <w:r>
              <w:rPr>
                <w:color w:val="0F1115"/>
              </w:rPr>
              <w:t>Indigenous-only (RF)</w:t>
            </w:r>
          </w:p>
        </w:tc>
        <w:tc>
          <w:tcPr>
            <w:tcW w:w="1363"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0.65</w:t>
            </w:r>
          </w:p>
        </w:tc>
        <w:tc>
          <w:tcPr>
            <w:tcW w:w="1376"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0.68</w:t>
            </w:r>
          </w:p>
        </w:tc>
        <w:tc>
          <w:tcPr>
            <w:tcW w:w="1417"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0.70</w:t>
            </w:r>
          </w:p>
        </w:tc>
        <w:tc>
          <w:tcPr>
            <w:tcW w:w="1176"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0.66</w:t>
            </w:r>
          </w:p>
        </w:tc>
      </w:tr>
      <w:tr w:rsidR="00AA058E" w:rsidTr="00AA058E">
        <w:trPr>
          <w:jc w:val="center"/>
        </w:trPr>
        <w:tc>
          <w:tcPr>
            <w:tcW w:w="3243" w:type="dxa"/>
          </w:tcPr>
          <w:p w:rsidR="00AA058E" w:rsidRDefault="00AA058E" w:rsidP="00AA058E">
            <w:pPr>
              <w:pStyle w:val="ds-markdown-paragraph"/>
              <w:spacing w:before="0" w:beforeAutospacing="0" w:after="120" w:afterAutospacing="0" w:line="276" w:lineRule="auto"/>
              <w:jc w:val="center"/>
              <w:rPr>
                <w:color w:val="0F1115"/>
              </w:rPr>
            </w:pPr>
            <w:r>
              <w:rPr>
                <w:color w:val="0F1115"/>
              </w:rPr>
              <w:t>Combined model (Ensemble)</w:t>
            </w:r>
          </w:p>
        </w:tc>
        <w:tc>
          <w:tcPr>
            <w:tcW w:w="1363"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0.88</w:t>
            </w:r>
          </w:p>
        </w:tc>
        <w:tc>
          <w:tcPr>
            <w:tcW w:w="1376"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0.84</w:t>
            </w:r>
          </w:p>
        </w:tc>
        <w:tc>
          <w:tcPr>
            <w:tcW w:w="1417"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0.92</w:t>
            </w:r>
          </w:p>
        </w:tc>
        <w:tc>
          <w:tcPr>
            <w:tcW w:w="1176" w:type="dxa"/>
          </w:tcPr>
          <w:p w:rsidR="00AA058E" w:rsidRDefault="00AA058E" w:rsidP="00AA058E">
            <w:pPr>
              <w:pStyle w:val="ds-markdown-paragraph"/>
              <w:spacing w:before="0" w:beforeAutospacing="0" w:after="120" w:afterAutospacing="0" w:line="276" w:lineRule="auto"/>
              <w:jc w:val="center"/>
              <w:rPr>
                <w:color w:val="0F1115"/>
              </w:rPr>
            </w:pPr>
            <w:r>
              <w:rPr>
                <w:color w:val="0F1115"/>
              </w:rPr>
              <w:t>0.86</w:t>
            </w:r>
          </w:p>
        </w:tc>
      </w:tr>
    </w:tbl>
    <w:p w:rsidR="00AA058E" w:rsidRPr="005B7A69" w:rsidRDefault="00AA058E" w:rsidP="00AA058E">
      <w:pPr>
        <w:pStyle w:val="ds-markdown-paragraph"/>
        <w:shd w:val="clear" w:color="auto" w:fill="FFFFFF"/>
        <w:spacing w:before="0" w:beforeAutospacing="0" w:after="120" w:afterAutospacing="0" w:line="276" w:lineRule="auto"/>
        <w:jc w:val="both"/>
        <w:rPr>
          <w:color w:val="0F1115"/>
        </w:rPr>
      </w:pPr>
      <w:r w:rsidRPr="00AA058E">
        <w:rPr>
          <w:color w:val="0F1115"/>
        </w:rPr>
        <w:t>The combined ensemble model substantially improved all metrics compared to both baseline models (Table 4). Sensitivity increased from 0.72 (climate</w:t>
      </w:r>
      <w:r w:rsidRPr="00AA058E">
        <w:rPr>
          <w:color w:val="0F1115"/>
        </w:rPr>
        <w:noBreakHyphen/>
        <w:t>only) to 0.88, indicating that 88% of outbreak weeks were correctly identified. Specificity rose from 0.70 to 0.84, reducing false alarms. The AUC</w:t>
      </w:r>
      <w:r w:rsidRPr="00AA058E">
        <w:rPr>
          <w:color w:val="0F1115"/>
        </w:rPr>
        <w:noBreakHyphen/>
        <w:t>ROC improved by 0.16 (from 0.76 to 0.92), and the F1</w:t>
      </w:r>
      <w:r w:rsidRPr="00AA058E">
        <w:rPr>
          <w:color w:val="0F1115"/>
        </w:rPr>
        <w:noBreakHyphen/>
        <w:t>score increased from 0.71 to 0.86. Notably, the indigenous</w:t>
      </w:r>
      <w:r w:rsidRPr="00AA058E">
        <w:rPr>
          <w:color w:val="0F1115"/>
        </w:rPr>
        <w:noBreakHyphen/>
        <w:t>only model performed worst across all metrics (sensitivity 0.65, AUC 0.70), confirming that indigenous indicators are not standalone predictors but synergistic complements to climatic data. These gains translate into a median early warning lead time of 2 weeks for the ensemble versus 1 week for climate</w:t>
      </w:r>
      <w:r w:rsidRPr="00AA058E">
        <w:rPr>
          <w:color w:val="0F1115"/>
        </w:rPr>
        <w:noBreakHyphen/>
        <w:t>only (p = 0.008), offering actionable windows for vector control and community mobilisation (Emiru et al., 2023).</w:t>
      </w:r>
    </w:p>
    <w:p w:rsidR="005B7A69" w:rsidRPr="005B7A69" w:rsidRDefault="005B7A69" w:rsidP="00FF722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bCs/>
          <w:color w:val="0F1115"/>
          <w:sz w:val="24"/>
          <w:szCs w:val="24"/>
        </w:rPr>
        <w:t>Feature importance</w:t>
      </w:r>
      <w:r w:rsidRPr="005B7A69">
        <w:rPr>
          <w:rFonts w:ascii="Times New Roman" w:eastAsia="Times New Roman" w:hAnsi="Times New Roman" w:cs="Times New Roman"/>
          <w:color w:val="0F1115"/>
          <w:sz w:val="24"/>
          <w:szCs w:val="24"/>
        </w:rPr>
        <w:t> was assessed using SHAP (SHapley Additive exPlanations) values (Lundberg &amp; Lee, 2017). </w:t>
      </w:r>
      <w:r w:rsidRPr="005B7A69">
        <w:rPr>
          <w:rFonts w:ascii="Times New Roman" w:eastAsia="Times New Roman" w:hAnsi="Times New Roman" w:cs="Times New Roman"/>
          <w:bCs/>
          <w:color w:val="0F1115"/>
          <w:sz w:val="24"/>
          <w:szCs w:val="24"/>
        </w:rPr>
        <w:t>Figure 4</w:t>
      </w:r>
      <w:r w:rsidRPr="005B7A69">
        <w:rPr>
          <w:rFonts w:ascii="Times New Roman" w:eastAsia="Times New Roman" w:hAnsi="Times New Roman" w:cs="Times New Roman"/>
          <w:color w:val="0F1115"/>
          <w:sz w:val="24"/>
          <w:szCs w:val="24"/>
        </w:rPr>
        <w:t> presents the top 10 features ranked by mean absolute SHAP value. The three most important predictors were</w:t>
      </w:r>
      <w:r w:rsidR="00AA058E">
        <w:rPr>
          <w:rFonts w:ascii="Times New Roman" w:eastAsia="Times New Roman" w:hAnsi="Times New Roman" w:cs="Times New Roman"/>
          <w:color w:val="0F1115"/>
          <w:sz w:val="24"/>
          <w:szCs w:val="24"/>
        </w:rPr>
        <w:t xml:space="preserve"> (Figure 5)</w:t>
      </w:r>
      <w:r w:rsidRPr="005B7A69">
        <w:rPr>
          <w:rFonts w:ascii="Times New Roman" w:eastAsia="Times New Roman" w:hAnsi="Times New Roman" w:cs="Times New Roman"/>
          <w:color w:val="0F1115"/>
          <w:sz w:val="24"/>
          <w:szCs w:val="24"/>
        </w:rPr>
        <w:t>:</w:t>
      </w:r>
    </w:p>
    <w:p w:rsidR="00FF7225" w:rsidRDefault="005B7A69" w:rsidP="00AC459B">
      <w:pPr>
        <w:pStyle w:val="ListParagraph"/>
        <w:numPr>
          <w:ilvl w:val="0"/>
          <w:numId w:val="16"/>
        </w:numPr>
        <w:shd w:val="clear" w:color="auto" w:fill="FFFFFF"/>
        <w:spacing w:after="120"/>
        <w:jc w:val="both"/>
        <w:rPr>
          <w:rFonts w:ascii="Times New Roman" w:eastAsia="Times New Roman" w:hAnsi="Times New Roman" w:cs="Times New Roman"/>
          <w:color w:val="0F1115"/>
          <w:sz w:val="24"/>
          <w:szCs w:val="24"/>
        </w:rPr>
      </w:pPr>
      <w:r w:rsidRPr="00FF7225">
        <w:rPr>
          <w:rFonts w:ascii="Times New Roman" w:eastAsia="Times New Roman" w:hAnsi="Times New Roman" w:cs="Times New Roman"/>
          <w:bCs/>
          <w:color w:val="0F1115"/>
          <w:sz w:val="24"/>
          <w:szCs w:val="24"/>
        </w:rPr>
        <w:t>2</w:t>
      </w:r>
      <w:r w:rsidRPr="00FF7225">
        <w:rPr>
          <w:rFonts w:ascii="Times New Roman" w:eastAsia="Times New Roman" w:hAnsi="Times New Roman" w:cs="Times New Roman"/>
          <w:bCs/>
          <w:color w:val="0F1115"/>
          <w:sz w:val="24"/>
          <w:szCs w:val="24"/>
        </w:rPr>
        <w:noBreakHyphen/>
        <w:t>week lag rainfall</w:t>
      </w:r>
      <w:r w:rsidRPr="00FF7225">
        <w:rPr>
          <w:rFonts w:ascii="Times New Roman" w:eastAsia="Times New Roman" w:hAnsi="Times New Roman" w:cs="Times New Roman"/>
          <w:color w:val="0F1115"/>
          <w:sz w:val="24"/>
          <w:szCs w:val="24"/>
        </w:rPr>
        <w:t> (mean SHAP = 0.24) – consistent with the ~14</w:t>
      </w:r>
      <w:r w:rsidRPr="00FF7225">
        <w:rPr>
          <w:rFonts w:ascii="Times New Roman" w:eastAsia="Times New Roman" w:hAnsi="Times New Roman" w:cs="Times New Roman"/>
          <w:color w:val="0F1115"/>
          <w:sz w:val="24"/>
          <w:szCs w:val="24"/>
        </w:rPr>
        <w:noBreakHyphen/>
        <w:t>day extrinsic incubation period of </w:t>
      </w:r>
      <w:r w:rsidRPr="00FF7225">
        <w:rPr>
          <w:rFonts w:ascii="Times New Roman" w:eastAsia="Times New Roman" w:hAnsi="Times New Roman" w:cs="Times New Roman"/>
          <w:i/>
          <w:iCs/>
          <w:color w:val="0F1115"/>
          <w:sz w:val="24"/>
          <w:szCs w:val="24"/>
        </w:rPr>
        <w:t>Plasmodium</w:t>
      </w:r>
      <w:r w:rsidRPr="00FF7225">
        <w:rPr>
          <w:rFonts w:ascii="Times New Roman" w:eastAsia="Times New Roman" w:hAnsi="Times New Roman" w:cs="Times New Roman"/>
          <w:color w:val="0F1115"/>
          <w:sz w:val="24"/>
          <w:szCs w:val="24"/>
        </w:rPr>
        <w:t>.</w:t>
      </w:r>
    </w:p>
    <w:p w:rsidR="00FF7225" w:rsidRDefault="005B7A69" w:rsidP="00AC459B">
      <w:pPr>
        <w:pStyle w:val="ListParagraph"/>
        <w:numPr>
          <w:ilvl w:val="0"/>
          <w:numId w:val="16"/>
        </w:numPr>
        <w:shd w:val="clear" w:color="auto" w:fill="FFFFFF"/>
        <w:spacing w:after="120"/>
        <w:jc w:val="both"/>
        <w:rPr>
          <w:rFonts w:ascii="Times New Roman" w:eastAsia="Times New Roman" w:hAnsi="Times New Roman" w:cs="Times New Roman"/>
          <w:color w:val="0F1115"/>
          <w:sz w:val="24"/>
          <w:szCs w:val="24"/>
        </w:rPr>
      </w:pPr>
      <w:r w:rsidRPr="00FF7225">
        <w:rPr>
          <w:rFonts w:ascii="Times New Roman" w:eastAsia="Times New Roman" w:hAnsi="Times New Roman" w:cs="Times New Roman"/>
          <w:bCs/>
          <w:color w:val="0F1115"/>
          <w:sz w:val="24"/>
          <w:szCs w:val="24"/>
        </w:rPr>
        <w:t>1</w:t>
      </w:r>
      <w:r w:rsidRPr="00FF7225">
        <w:rPr>
          <w:rFonts w:ascii="Times New Roman" w:eastAsia="Times New Roman" w:hAnsi="Times New Roman" w:cs="Times New Roman"/>
          <w:bCs/>
          <w:color w:val="0F1115"/>
          <w:sz w:val="24"/>
          <w:szCs w:val="24"/>
        </w:rPr>
        <w:noBreakHyphen/>
        <w:t>week lag mean night</w:t>
      </w:r>
      <w:r w:rsidRPr="00FF7225">
        <w:rPr>
          <w:rFonts w:ascii="Times New Roman" w:eastAsia="Times New Roman" w:hAnsi="Times New Roman" w:cs="Times New Roman"/>
          <w:bCs/>
          <w:color w:val="0F1115"/>
          <w:sz w:val="24"/>
          <w:szCs w:val="24"/>
        </w:rPr>
        <w:noBreakHyphen/>
        <w:t>time LST</w:t>
      </w:r>
      <w:r w:rsidRPr="00FF7225">
        <w:rPr>
          <w:rFonts w:ascii="Times New Roman" w:eastAsia="Times New Roman" w:hAnsi="Times New Roman" w:cs="Times New Roman"/>
          <w:color w:val="0F1115"/>
          <w:sz w:val="24"/>
          <w:szCs w:val="24"/>
        </w:rPr>
        <w:t> (mean SHAP = 0.19) – reflecting temperature effects on mosquito survival.</w:t>
      </w:r>
    </w:p>
    <w:p w:rsidR="005B7A69" w:rsidRPr="00FF7225" w:rsidRDefault="005B7A69" w:rsidP="00AC459B">
      <w:pPr>
        <w:pStyle w:val="ListParagraph"/>
        <w:numPr>
          <w:ilvl w:val="0"/>
          <w:numId w:val="16"/>
        </w:numPr>
        <w:shd w:val="clear" w:color="auto" w:fill="FFFFFF"/>
        <w:spacing w:after="120"/>
        <w:jc w:val="both"/>
        <w:rPr>
          <w:rFonts w:ascii="Times New Roman" w:eastAsia="Times New Roman" w:hAnsi="Times New Roman" w:cs="Times New Roman"/>
          <w:color w:val="0F1115"/>
          <w:sz w:val="24"/>
          <w:szCs w:val="24"/>
        </w:rPr>
      </w:pPr>
      <w:r w:rsidRPr="00FF7225">
        <w:rPr>
          <w:rFonts w:ascii="Times New Roman" w:eastAsia="Times New Roman" w:hAnsi="Times New Roman" w:cs="Times New Roman"/>
          <w:bCs/>
          <w:color w:val="0F1115"/>
          <w:sz w:val="24"/>
          <w:szCs w:val="24"/>
        </w:rPr>
        <w:t>Red cattle proximity (IK</w:t>
      </w:r>
      <w:r w:rsidRPr="00FF7225">
        <w:rPr>
          <w:rFonts w:ascii="Times New Roman" w:eastAsia="Times New Roman" w:hAnsi="Times New Roman" w:cs="Times New Roman"/>
          <w:bCs/>
          <w:color w:val="0F1115"/>
          <w:sz w:val="24"/>
          <w:szCs w:val="24"/>
        </w:rPr>
        <w:noBreakHyphen/>
        <w:t>ENV</w:t>
      </w:r>
      <w:r w:rsidRPr="00FF7225">
        <w:rPr>
          <w:rFonts w:ascii="Times New Roman" w:eastAsia="Times New Roman" w:hAnsi="Times New Roman" w:cs="Times New Roman"/>
          <w:bCs/>
          <w:color w:val="0F1115"/>
          <w:sz w:val="24"/>
          <w:szCs w:val="24"/>
        </w:rPr>
        <w:noBreakHyphen/>
        <w:t>05)</w:t>
      </w:r>
      <w:r w:rsidRPr="00FF7225">
        <w:rPr>
          <w:rFonts w:ascii="Times New Roman" w:eastAsia="Times New Roman" w:hAnsi="Times New Roman" w:cs="Times New Roman"/>
          <w:color w:val="0F1115"/>
          <w:sz w:val="24"/>
          <w:szCs w:val="24"/>
        </w:rPr>
        <w:t> (mean SHAP = 0.17) – the highest</w:t>
      </w:r>
      <w:r w:rsidRPr="00FF7225">
        <w:rPr>
          <w:rFonts w:ascii="Times New Roman" w:eastAsia="Times New Roman" w:hAnsi="Times New Roman" w:cs="Times New Roman"/>
          <w:color w:val="0F1115"/>
          <w:sz w:val="24"/>
          <w:szCs w:val="24"/>
        </w:rPr>
        <w:noBreakHyphen/>
        <w:t>ranked indigenous indicator, confirming the strong association reported by Somali and Oromo participants.</w:t>
      </w:r>
    </w:p>
    <w:p w:rsidR="005B7A69" w:rsidRDefault="005B7A69" w:rsidP="00FF722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color w:val="0F1115"/>
          <w:sz w:val="24"/>
          <w:szCs w:val="24"/>
        </w:rPr>
        <w:t>Other indigenous indicators in the top 10 included: </w:t>
      </w:r>
      <w:r w:rsidRPr="005B7A69">
        <w:rPr>
          <w:rFonts w:ascii="Times New Roman" w:eastAsia="Times New Roman" w:hAnsi="Times New Roman" w:cs="Times New Roman"/>
          <w:i/>
          <w:iCs/>
          <w:color w:val="0F1115"/>
          <w:sz w:val="24"/>
          <w:szCs w:val="24"/>
        </w:rPr>
        <w:t>Olea</w:t>
      </w:r>
      <w:r w:rsidRPr="005B7A69">
        <w:rPr>
          <w:rFonts w:ascii="Times New Roman" w:eastAsia="Times New Roman" w:hAnsi="Times New Roman" w:cs="Times New Roman"/>
          <w:color w:val="0F1115"/>
          <w:sz w:val="24"/>
          <w:szCs w:val="24"/>
        </w:rPr>
        <w:t> leaf smoking (IK</w:t>
      </w:r>
      <w:r w:rsidRPr="005B7A69">
        <w:rPr>
          <w:rFonts w:ascii="Times New Roman" w:eastAsia="Times New Roman" w:hAnsi="Times New Roman" w:cs="Times New Roman"/>
          <w:color w:val="0F1115"/>
          <w:sz w:val="24"/>
          <w:szCs w:val="24"/>
        </w:rPr>
        <w:noBreakHyphen/>
        <w:t>PREV</w:t>
      </w:r>
      <w:r w:rsidRPr="005B7A69">
        <w:rPr>
          <w:rFonts w:ascii="Times New Roman" w:eastAsia="Times New Roman" w:hAnsi="Times New Roman" w:cs="Times New Roman"/>
          <w:color w:val="0F1115"/>
          <w:sz w:val="24"/>
          <w:szCs w:val="24"/>
        </w:rPr>
        <w:noBreakHyphen/>
        <w:t>08, rank #5, SHAP = 0.12), Dechatu stagnant pools (IK</w:t>
      </w:r>
      <w:r w:rsidRPr="005B7A69">
        <w:rPr>
          <w:rFonts w:ascii="Times New Roman" w:eastAsia="Times New Roman" w:hAnsi="Times New Roman" w:cs="Times New Roman"/>
          <w:color w:val="0F1115"/>
          <w:sz w:val="24"/>
          <w:szCs w:val="24"/>
        </w:rPr>
        <w:noBreakHyphen/>
        <w:t>ENV</w:t>
      </w:r>
      <w:r w:rsidRPr="005B7A69">
        <w:rPr>
          <w:rFonts w:ascii="Times New Roman" w:eastAsia="Times New Roman" w:hAnsi="Times New Roman" w:cs="Times New Roman"/>
          <w:color w:val="0F1115"/>
          <w:sz w:val="24"/>
          <w:szCs w:val="24"/>
        </w:rPr>
        <w:noBreakHyphen/>
        <w:t>01, rank #6, SHAP = 0.11), and livestock relocation (IK</w:t>
      </w:r>
      <w:r w:rsidRPr="005B7A69">
        <w:rPr>
          <w:rFonts w:ascii="Times New Roman" w:eastAsia="Times New Roman" w:hAnsi="Times New Roman" w:cs="Times New Roman"/>
          <w:color w:val="0F1115"/>
          <w:sz w:val="24"/>
          <w:szCs w:val="24"/>
        </w:rPr>
        <w:noBreakHyphen/>
        <w:t>PREV</w:t>
      </w:r>
      <w:r w:rsidRPr="005B7A69">
        <w:rPr>
          <w:rFonts w:ascii="Times New Roman" w:eastAsia="Times New Roman" w:hAnsi="Times New Roman" w:cs="Times New Roman"/>
          <w:color w:val="0F1115"/>
          <w:sz w:val="24"/>
          <w:szCs w:val="24"/>
        </w:rPr>
        <w:noBreakHyphen/>
        <w:t>10, rank #8, SHAP = 0.09). Notably, the inclusion of red cattle proximity reduced the coefficient of the climatic variable “2</w:t>
      </w:r>
      <w:r w:rsidRPr="005B7A69">
        <w:rPr>
          <w:rFonts w:ascii="Times New Roman" w:eastAsia="Times New Roman" w:hAnsi="Times New Roman" w:cs="Times New Roman"/>
          <w:color w:val="0F1115"/>
          <w:sz w:val="24"/>
          <w:szCs w:val="24"/>
        </w:rPr>
        <w:noBreakHyphen/>
        <w:t>week lag rainfall” in the ensemble model, suggesting partial mediation: red cattle may serve as a proxy for local husbandry practices that create mosquito breeding habitats when rain is present.</w:t>
      </w:r>
    </w:p>
    <w:p w:rsidR="001C4B0D" w:rsidRPr="001C4B0D" w:rsidRDefault="001C4B0D" w:rsidP="001C4B0D">
      <w:pPr>
        <w:pStyle w:val="ds-markdown-paragraph"/>
        <w:shd w:val="clear" w:color="auto" w:fill="FFFFFF"/>
        <w:spacing w:before="0" w:beforeAutospacing="0" w:after="120" w:afterAutospacing="0" w:line="276" w:lineRule="auto"/>
        <w:jc w:val="both"/>
        <w:rPr>
          <w:color w:val="0F1115"/>
        </w:rPr>
      </w:pPr>
      <w:r w:rsidRPr="001C4B0D">
        <w:rPr>
          <w:color w:val="0F1115"/>
        </w:rPr>
        <w:t>Climatic variables dominated the feature ranking, with 2</w:t>
      </w:r>
      <w:r w:rsidRPr="001C4B0D">
        <w:rPr>
          <w:color w:val="0F1115"/>
        </w:rPr>
        <w:noBreakHyphen/>
        <w:t>week lag rainfall (0.24) and 1</w:t>
      </w:r>
      <w:r w:rsidRPr="001C4B0D">
        <w:rPr>
          <w:color w:val="0F1115"/>
        </w:rPr>
        <w:noBreakHyphen/>
        <w:t>week lag night</w:t>
      </w:r>
      <w:r w:rsidRPr="001C4B0D">
        <w:rPr>
          <w:color w:val="0F1115"/>
        </w:rPr>
        <w:noBreakHyphen/>
        <w:t>time land surface temperature (0.19) as the two strongest predictors of weekly malaria outbreaks in Dire Dawa. Notably, the indigenous indicator “red cattle proximity” (IK</w:t>
      </w:r>
      <w:r w:rsidRPr="001C4B0D">
        <w:rPr>
          <w:color w:val="0F1115"/>
        </w:rPr>
        <w:noBreakHyphen/>
        <w:t>ENV</w:t>
      </w:r>
      <w:r w:rsidRPr="001C4B0D">
        <w:rPr>
          <w:color w:val="0F1115"/>
        </w:rPr>
        <w:noBreakHyphen/>
        <w:t xml:space="preserve">05) ranked third (0.17), outperforming several climatic and topographic features. Other indigenous </w:t>
      </w:r>
      <w:r w:rsidRPr="001C4B0D">
        <w:rPr>
          <w:color w:val="0F1115"/>
        </w:rPr>
        <w:lastRenderedPageBreak/>
        <w:t>indicators among the top ten included </w:t>
      </w:r>
      <w:r w:rsidRPr="001C4B0D">
        <w:rPr>
          <w:rStyle w:val="Emphasis"/>
          <w:color w:val="0F1115"/>
        </w:rPr>
        <w:t>Olea</w:t>
      </w:r>
      <w:r w:rsidRPr="001C4B0D">
        <w:rPr>
          <w:color w:val="0F1115"/>
        </w:rPr>
        <w:t> leaf smoking (0.12), Dechatu stagnant pools (0.11), livestock relocation (0.09), </w:t>
      </w:r>
      <w:r w:rsidRPr="001C4B0D">
        <w:rPr>
          <w:rStyle w:val="Emphasis"/>
          <w:color w:val="0F1115"/>
        </w:rPr>
        <w:t>Acacia seyal</w:t>
      </w:r>
      <w:r w:rsidRPr="001C4B0D">
        <w:rPr>
          <w:color w:val="0F1115"/>
        </w:rPr>
        <w:t> flowering (0.07), and neem oil use (0.06). The high ranking of red cattle proximity validates the knowledge of Somali and Oromo pastoralists that livestock attraction increases malaria risk (Degefa et al., 2024). The inclusion of these local indicators increased the ensemble’s sensitivity by 16 percentage points over the climate</w:t>
      </w:r>
      <w:r w:rsidRPr="001C4B0D">
        <w:rPr>
          <w:color w:val="0F1115"/>
        </w:rPr>
        <w:noBreakHyphen/>
        <w:t>only model and extended early warning lead time by one week (Emiru et al., 2023).</w:t>
      </w:r>
    </w:p>
    <w:p w:rsidR="00FF7225" w:rsidRDefault="00FF7225" w:rsidP="00FF7225">
      <w:pPr>
        <w:shd w:val="clear" w:color="auto" w:fill="FFFFFF"/>
        <w:spacing w:after="12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IN" w:eastAsia="en-IN"/>
        </w:rPr>
        <w:drawing>
          <wp:inline distT="0" distB="0" distL="0" distR="0">
            <wp:extent cx="5527964" cy="31103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7910" cy="3110316"/>
                    </a:xfrm>
                    <a:prstGeom prst="rect">
                      <a:avLst/>
                    </a:prstGeom>
                    <a:noFill/>
                    <a:ln>
                      <a:noFill/>
                    </a:ln>
                  </pic:spPr>
                </pic:pic>
              </a:graphicData>
            </a:graphic>
          </wp:inline>
        </w:drawing>
      </w:r>
    </w:p>
    <w:p w:rsidR="00AA058E" w:rsidRPr="001C4B0D" w:rsidRDefault="00AA058E" w:rsidP="001C4B0D">
      <w:pPr>
        <w:pStyle w:val="ds-markdown-paragraph"/>
        <w:shd w:val="clear" w:color="auto" w:fill="FFFFFF"/>
        <w:spacing w:before="0" w:beforeAutospacing="0" w:after="120" w:afterAutospacing="0" w:line="276" w:lineRule="auto"/>
        <w:jc w:val="both"/>
        <w:rPr>
          <w:color w:val="0F1115"/>
        </w:rPr>
      </w:pPr>
      <w:r w:rsidRPr="001C4B0D">
        <w:rPr>
          <w:rStyle w:val="Strong"/>
          <w:b w:val="0"/>
          <w:color w:val="0F1115"/>
        </w:rPr>
        <w:t>Figure 5.</w:t>
      </w:r>
      <w:r w:rsidRPr="001C4B0D">
        <w:rPr>
          <w:color w:val="0F1115"/>
        </w:rPr>
        <w:t> Feature importance (mean |SHAP|) for the ensemble model’s top ten predictors.</w:t>
      </w:r>
    </w:p>
    <w:p w:rsidR="00AA058E" w:rsidRPr="005B7A69" w:rsidRDefault="00AA058E" w:rsidP="001C4B0D">
      <w:pPr>
        <w:pStyle w:val="ds-markdown-paragraph"/>
        <w:shd w:val="clear" w:color="auto" w:fill="FFFFFF"/>
        <w:spacing w:before="0" w:beforeAutospacing="0" w:after="120" w:afterAutospacing="0" w:line="276" w:lineRule="auto"/>
        <w:jc w:val="both"/>
        <w:rPr>
          <w:color w:val="0F1115"/>
        </w:rPr>
      </w:pPr>
      <w:r w:rsidRPr="001C4B0D">
        <w:rPr>
          <w:color w:val="0F1115"/>
        </w:rPr>
        <w:t>The five most influential indigenous indicators, ranked by SHAP value, demonstrate strong ecological and behavioral validity. </w:t>
      </w:r>
      <w:r w:rsidRPr="001C4B0D">
        <w:rPr>
          <w:rStyle w:val="Strong"/>
          <w:b w:val="0"/>
          <w:color w:val="0F1115"/>
        </w:rPr>
        <w:t>Red cattle proximity (SHAP = 0.17)</w:t>
      </w:r>
      <w:r w:rsidRPr="001C4B0D">
        <w:rPr>
          <w:color w:val="0F1115"/>
        </w:rPr>
        <w:t> was the most powerful indigenous predictor, consistent with matched case</w:t>
      </w:r>
      <w:r w:rsidRPr="001C4B0D">
        <w:rPr>
          <w:color w:val="0F1115"/>
        </w:rPr>
        <w:noBreakHyphen/>
        <w:t>control findings in Dire Dawa where livestock ownership increased malaria odds seven</w:t>
      </w:r>
      <w:r w:rsidRPr="001C4B0D">
        <w:rPr>
          <w:color w:val="0F1115"/>
        </w:rPr>
        <w:noBreakHyphen/>
        <w:t>fold (Degefa et al., 2024). </w:t>
      </w:r>
      <w:r w:rsidRPr="001C4B0D">
        <w:rPr>
          <w:rStyle w:val="Strong"/>
          <w:b w:val="0"/>
          <w:color w:val="0F1115"/>
        </w:rPr>
        <w:t>Olea leaf smoking (0.12)</w:t>
      </w:r>
      <w:r w:rsidRPr="001C4B0D">
        <w:rPr>
          <w:color w:val="0F1115"/>
        </w:rPr>
        <w:t> </w:t>
      </w:r>
      <w:r w:rsidR="00AC459B">
        <w:rPr>
          <w:color w:val="0F1115"/>
        </w:rPr>
        <w:t>emerged as a protective factor</w:t>
      </w:r>
      <w:r w:rsidRPr="001C4B0D">
        <w:rPr>
          <w:color w:val="0F1115"/>
        </w:rPr>
        <w:t xml:space="preserve"> higher SHAP values corresponded to lower predicted risk, supporting its traditional use as a spatial repellent. </w:t>
      </w:r>
      <w:r w:rsidRPr="001C4B0D">
        <w:rPr>
          <w:rStyle w:val="Strong"/>
          <w:b w:val="0"/>
          <w:color w:val="0F1115"/>
        </w:rPr>
        <w:t>Dechatu stagnant pools (0.11)</w:t>
      </w:r>
      <w:r w:rsidRPr="001C4B0D">
        <w:rPr>
          <w:color w:val="0F1115"/>
        </w:rPr>
        <w:t> directly identified anopheline breeding habitats, while </w:t>
      </w:r>
      <w:r w:rsidRPr="001C4B0D">
        <w:rPr>
          <w:rStyle w:val="Strong"/>
          <w:b w:val="0"/>
          <w:color w:val="0F1115"/>
        </w:rPr>
        <w:t>livestock relocation (0.09)</w:t>
      </w:r>
      <w:r w:rsidRPr="001C4B0D">
        <w:rPr>
          <w:color w:val="0F1115"/>
        </w:rPr>
        <w:t> showed that moving animals &gt;50 m from sleeping huts reduced predicted risk. </w:t>
      </w:r>
      <w:r w:rsidRPr="001C4B0D">
        <w:rPr>
          <w:rStyle w:val="Strong"/>
          <w:b w:val="0"/>
          <w:color w:val="0F1115"/>
        </w:rPr>
        <w:t>Acacia seyal flowering (0.07)</w:t>
      </w:r>
      <w:r w:rsidRPr="001C4B0D">
        <w:rPr>
          <w:color w:val="0F1115"/>
        </w:rPr>
        <w:t> served as a seasonal phenology cue preceding peak transmission by 2–3 weeks. Collectively, these indicators capture micro</w:t>
      </w:r>
      <w:r w:rsidRPr="001C4B0D">
        <w:rPr>
          <w:color w:val="0F1115"/>
        </w:rPr>
        <w:noBreakHyphen/>
        <w:t>ecological risk factors not observable by satellite, justifying their integration into digital surveillance (Emiru et al., 2023).</w:t>
      </w:r>
    </w:p>
    <w:p w:rsidR="005B7A69" w:rsidRPr="005B7A69" w:rsidRDefault="005B7A69" w:rsidP="00FF7225">
      <w:pPr>
        <w:shd w:val="clear" w:color="auto" w:fill="FFFFFF"/>
        <w:spacing w:after="120"/>
        <w:jc w:val="both"/>
        <w:outlineLvl w:val="3"/>
        <w:rPr>
          <w:rFonts w:ascii="Times New Roman" w:eastAsia="Times New Roman" w:hAnsi="Times New Roman" w:cs="Times New Roman"/>
          <w:bCs/>
          <w:color w:val="0F1115"/>
          <w:sz w:val="24"/>
          <w:szCs w:val="24"/>
        </w:rPr>
      </w:pPr>
      <w:r w:rsidRPr="005B7A69">
        <w:rPr>
          <w:rFonts w:ascii="Times New Roman" w:eastAsia="Times New Roman" w:hAnsi="Times New Roman" w:cs="Times New Roman"/>
          <w:bCs/>
          <w:color w:val="0F1115"/>
          <w:sz w:val="24"/>
          <w:szCs w:val="24"/>
        </w:rPr>
        <w:t>3.2.3 Spatial and Temporal Predictions</w:t>
      </w:r>
    </w:p>
    <w:p w:rsidR="005B7A69" w:rsidRPr="005B7A69" w:rsidRDefault="005B7A69" w:rsidP="00FF722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color w:val="0F1115"/>
          <w:sz w:val="24"/>
          <w:szCs w:val="24"/>
        </w:rPr>
        <w:t>The trained ensemble model was used to generate weekly outbreak risk predictions at the </w:t>
      </w:r>
      <w:r w:rsidRPr="005B7A69">
        <w:rPr>
          <w:rFonts w:ascii="Times New Roman" w:eastAsia="Times New Roman" w:hAnsi="Times New Roman" w:cs="Times New Roman"/>
          <w:bCs/>
          <w:color w:val="0F1115"/>
          <w:sz w:val="24"/>
          <w:szCs w:val="24"/>
        </w:rPr>
        <w:t>kebele level</w:t>
      </w:r>
      <w:r w:rsidRPr="005B7A69">
        <w:rPr>
          <w:rFonts w:ascii="Times New Roman" w:eastAsia="Times New Roman" w:hAnsi="Times New Roman" w:cs="Times New Roman"/>
          <w:color w:val="0F1115"/>
          <w:sz w:val="24"/>
          <w:szCs w:val="24"/>
        </w:rPr>
        <w:t> for the 2023 test period. </w:t>
      </w:r>
      <w:r w:rsidRPr="005B7A69">
        <w:rPr>
          <w:rFonts w:ascii="Times New Roman" w:eastAsia="Times New Roman" w:hAnsi="Times New Roman" w:cs="Times New Roman"/>
          <w:bCs/>
          <w:color w:val="0F1115"/>
          <w:sz w:val="24"/>
          <w:szCs w:val="24"/>
        </w:rPr>
        <w:t>Figure 5</w:t>
      </w:r>
      <w:r w:rsidRPr="005B7A69">
        <w:rPr>
          <w:rFonts w:ascii="Times New Roman" w:eastAsia="Times New Roman" w:hAnsi="Times New Roman" w:cs="Times New Roman"/>
          <w:color w:val="0F1115"/>
          <w:sz w:val="24"/>
          <w:szCs w:val="24"/>
        </w:rPr>
        <w:t> presents risk maps for four selected weeks representing different transmission phases.</w:t>
      </w:r>
    </w:p>
    <w:p w:rsidR="005B7A69" w:rsidRPr="005B7A69" w:rsidRDefault="001C4B0D" w:rsidP="00FF7225">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lastRenderedPageBreak/>
        <w:t xml:space="preserve">Figure 5A (Week 10, 2023 </w:t>
      </w:r>
      <w:r w:rsidR="005B7A69" w:rsidRPr="005B7A69">
        <w:rPr>
          <w:rFonts w:ascii="Times New Roman" w:eastAsia="Times New Roman" w:hAnsi="Times New Roman" w:cs="Times New Roman"/>
          <w:bCs/>
          <w:color w:val="0F1115"/>
          <w:sz w:val="24"/>
          <w:szCs w:val="24"/>
        </w:rPr>
        <w:t>early dry season, March):</w:t>
      </w:r>
      <w:r w:rsidR="005B7A69" w:rsidRPr="005B7A69">
        <w:rPr>
          <w:rFonts w:ascii="Times New Roman" w:eastAsia="Times New Roman" w:hAnsi="Times New Roman" w:cs="Times New Roman"/>
          <w:color w:val="0F1115"/>
          <w:sz w:val="24"/>
          <w:szCs w:val="24"/>
        </w:rPr>
        <w:t xml:space="preserve"> Both predicted and actual </w:t>
      </w:r>
      <w:r w:rsidR="00FF7225" w:rsidRPr="005B7A69">
        <w:rPr>
          <w:rFonts w:ascii="Times New Roman" w:eastAsia="Times New Roman" w:hAnsi="Times New Roman" w:cs="Times New Roman"/>
          <w:color w:val="0F1115"/>
          <w:sz w:val="24"/>
          <w:szCs w:val="24"/>
        </w:rPr>
        <w:t>incidence was</w:t>
      </w:r>
      <w:r w:rsidR="005B7A69" w:rsidRPr="005B7A69">
        <w:rPr>
          <w:rFonts w:ascii="Times New Roman" w:eastAsia="Times New Roman" w:hAnsi="Times New Roman" w:cs="Times New Roman"/>
          <w:color w:val="0F1115"/>
          <w:sz w:val="24"/>
          <w:szCs w:val="24"/>
        </w:rPr>
        <w:t xml:space="preserve"> low across all kebeles (0–5 cases/week). The model correctly assigned “low risk” (probability &lt; 0.3) to all six kebeles.</w:t>
      </w:r>
    </w:p>
    <w:p w:rsidR="005B7A69" w:rsidRDefault="005B7A69" w:rsidP="00FF722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bCs/>
          <w:color w:val="0F1115"/>
          <w:sz w:val="24"/>
          <w:szCs w:val="24"/>
        </w:rPr>
        <w:t>Figure 5B (Week 39, 2023 – start of long rains, late September):</w:t>
      </w:r>
      <w:r w:rsidRPr="005B7A69">
        <w:rPr>
          <w:rFonts w:ascii="Times New Roman" w:eastAsia="Times New Roman" w:hAnsi="Times New Roman" w:cs="Times New Roman"/>
          <w:color w:val="0F1115"/>
          <w:sz w:val="24"/>
          <w:szCs w:val="24"/>
        </w:rPr>
        <w:t> The model predicted “medium</w:t>
      </w:r>
      <w:r w:rsidRPr="005B7A69">
        <w:rPr>
          <w:rFonts w:ascii="Times New Roman" w:eastAsia="Times New Roman" w:hAnsi="Times New Roman" w:cs="Times New Roman"/>
          <w:color w:val="0F1115"/>
          <w:sz w:val="24"/>
          <w:szCs w:val="24"/>
        </w:rPr>
        <w:noBreakHyphen/>
        <w:t>high risk” (probability 0.6–0.8) for three kebeles – </w:t>
      </w:r>
      <w:r w:rsidRPr="005B7A69">
        <w:rPr>
          <w:rFonts w:ascii="Times New Roman" w:eastAsia="Times New Roman" w:hAnsi="Times New Roman" w:cs="Times New Roman"/>
          <w:bCs/>
          <w:color w:val="0F1115"/>
          <w:sz w:val="24"/>
          <w:szCs w:val="24"/>
        </w:rPr>
        <w:t>Dechatu, Sabian, and Kefira</w:t>
      </w:r>
      <w:r w:rsidRPr="005B7A69">
        <w:rPr>
          <w:rFonts w:ascii="Times New Roman" w:eastAsia="Times New Roman" w:hAnsi="Times New Roman" w:cs="Times New Roman"/>
          <w:color w:val="0F1115"/>
          <w:sz w:val="24"/>
          <w:szCs w:val="24"/>
        </w:rPr>
        <w:t> – based on indigenous indicators (Dechatu pools detected, red cattle present, low livestock relocation) and a 2</w:t>
      </w:r>
      <w:r w:rsidRPr="005B7A69">
        <w:rPr>
          <w:rFonts w:ascii="Times New Roman" w:eastAsia="Times New Roman" w:hAnsi="Times New Roman" w:cs="Times New Roman"/>
          <w:color w:val="0F1115"/>
          <w:sz w:val="24"/>
          <w:szCs w:val="24"/>
        </w:rPr>
        <w:noBreakHyphen/>
        <w:t>week lag rainfall of 45 mm. Actual weekly cases in these kebeles were 42, 38, and 51 respectively, all above the outbreak threshold (30 cases/week). In contrast, the climate</w:t>
      </w:r>
      <w:r w:rsidRPr="005B7A69">
        <w:rPr>
          <w:rFonts w:ascii="Times New Roman" w:eastAsia="Times New Roman" w:hAnsi="Times New Roman" w:cs="Times New Roman"/>
          <w:color w:val="0F1115"/>
          <w:sz w:val="24"/>
          <w:szCs w:val="24"/>
        </w:rPr>
        <w:noBreakHyphen/>
        <w:t>only model predicted only a “medium risk” for Dechatu and missed the elevated risk in Sabian and Kefira.</w:t>
      </w:r>
    </w:p>
    <w:p w:rsidR="001C4B0D" w:rsidRDefault="001C4B0D" w:rsidP="001C4B0D">
      <w:pPr>
        <w:shd w:val="clear" w:color="auto" w:fill="FFFFFF"/>
        <w:spacing w:after="12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IN" w:eastAsia="en-IN"/>
        </w:rPr>
        <w:drawing>
          <wp:inline distT="0" distB="0" distL="0" distR="0">
            <wp:extent cx="5451699" cy="431569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1759" cy="4315739"/>
                    </a:xfrm>
                    <a:prstGeom prst="rect">
                      <a:avLst/>
                    </a:prstGeom>
                    <a:noFill/>
                    <a:ln>
                      <a:noFill/>
                    </a:ln>
                  </pic:spPr>
                </pic:pic>
              </a:graphicData>
            </a:graphic>
          </wp:inline>
        </w:drawing>
      </w:r>
    </w:p>
    <w:p w:rsidR="001C4B0D" w:rsidRPr="005B7A69" w:rsidRDefault="001C4B0D" w:rsidP="001C4B0D">
      <w:pPr>
        <w:shd w:val="clear" w:color="auto" w:fill="FFFFFF"/>
        <w:spacing w:before="100" w:beforeAutospacing="1" w:after="240"/>
        <w:jc w:val="both"/>
        <w:rPr>
          <w:rFonts w:ascii="Times New Roman" w:eastAsia="Times New Roman" w:hAnsi="Times New Roman" w:cs="Times New Roman"/>
          <w:color w:val="0F1115"/>
          <w:sz w:val="24"/>
          <w:szCs w:val="24"/>
        </w:rPr>
      </w:pPr>
      <w:r w:rsidRPr="001C4B0D">
        <w:rPr>
          <w:rFonts w:ascii="Times New Roman" w:eastAsia="Times New Roman" w:hAnsi="Times New Roman" w:cs="Times New Roman"/>
          <w:bCs/>
          <w:color w:val="0F1115"/>
          <w:sz w:val="24"/>
          <w:szCs w:val="24"/>
        </w:rPr>
        <w:t>Figure 5A.</w:t>
      </w:r>
      <w:r w:rsidRPr="001C4B0D">
        <w:rPr>
          <w:rFonts w:ascii="Times New Roman" w:eastAsia="Times New Roman" w:hAnsi="Times New Roman" w:cs="Times New Roman"/>
          <w:color w:val="0F1115"/>
          <w:sz w:val="24"/>
          <w:szCs w:val="24"/>
        </w:rPr>
        <w:t xml:space="preserve"> Week 10, 2023: low predicted risk (green) and low actual cases (1–4). </w:t>
      </w:r>
      <w:r w:rsidRPr="001C4B0D">
        <w:rPr>
          <w:rFonts w:ascii="Times New Roman" w:eastAsia="Times New Roman" w:hAnsi="Times New Roman" w:cs="Times New Roman"/>
          <w:bCs/>
          <w:color w:val="0F1115"/>
          <w:sz w:val="24"/>
          <w:szCs w:val="24"/>
        </w:rPr>
        <w:t xml:space="preserve"> 5B.</w:t>
      </w:r>
      <w:r w:rsidRPr="001C4B0D">
        <w:rPr>
          <w:rFonts w:ascii="Times New Roman" w:eastAsia="Times New Roman" w:hAnsi="Times New Roman" w:cs="Times New Roman"/>
          <w:color w:val="0F1115"/>
          <w:sz w:val="24"/>
          <w:szCs w:val="24"/>
        </w:rPr>
        <w:t> Week 39, 2023: medium</w:t>
      </w:r>
      <w:r w:rsidRPr="001C4B0D">
        <w:rPr>
          <w:rFonts w:ascii="Times New Roman" w:eastAsia="Times New Roman" w:hAnsi="Times New Roman" w:cs="Times New Roman"/>
          <w:color w:val="0F1115"/>
          <w:sz w:val="24"/>
          <w:szCs w:val="24"/>
        </w:rPr>
        <w:noBreakHyphen/>
        <w:t>high risk (orange/red) for Dechatu, Sabian, Kefira; climate</w:t>
      </w:r>
      <w:r w:rsidRPr="001C4B0D">
        <w:rPr>
          <w:rFonts w:ascii="Times New Roman" w:eastAsia="Times New Roman" w:hAnsi="Times New Roman" w:cs="Times New Roman"/>
          <w:color w:val="0F1115"/>
          <w:sz w:val="24"/>
          <w:szCs w:val="24"/>
        </w:rPr>
        <w:noBreakHyphen/>
        <w:t xml:space="preserve">only model missed Sabian and Kefira. </w:t>
      </w:r>
      <w:r w:rsidRPr="001C4B0D">
        <w:rPr>
          <w:rFonts w:ascii="Times New Roman" w:eastAsia="Times New Roman" w:hAnsi="Times New Roman" w:cs="Times New Roman"/>
          <w:bCs/>
          <w:color w:val="0F1115"/>
          <w:sz w:val="24"/>
          <w:szCs w:val="24"/>
        </w:rPr>
        <w:t>5C.</w:t>
      </w:r>
      <w:r w:rsidRPr="001C4B0D">
        <w:rPr>
          <w:rFonts w:ascii="Times New Roman" w:eastAsia="Times New Roman" w:hAnsi="Times New Roman" w:cs="Times New Roman"/>
          <w:color w:val="0F1115"/>
          <w:sz w:val="24"/>
          <w:szCs w:val="24"/>
        </w:rPr>
        <w:t xml:space="preserve"> Week 44, 2023: high predicted risk (red) for all kebeles; peak actual cases (120–340). </w:t>
      </w:r>
      <w:r w:rsidRPr="001C4B0D">
        <w:rPr>
          <w:rFonts w:ascii="Times New Roman" w:eastAsia="Times New Roman" w:hAnsi="Times New Roman" w:cs="Times New Roman"/>
          <w:bCs/>
          <w:color w:val="0F1115"/>
          <w:sz w:val="24"/>
          <w:szCs w:val="24"/>
        </w:rPr>
        <w:t>5D.</w:t>
      </w:r>
      <w:r w:rsidRPr="001C4B0D">
        <w:rPr>
          <w:rFonts w:ascii="Times New Roman" w:eastAsia="Times New Roman" w:hAnsi="Times New Roman" w:cs="Times New Roman"/>
          <w:color w:val="0F1115"/>
          <w:sz w:val="24"/>
          <w:szCs w:val="24"/>
        </w:rPr>
        <w:t> Week 51, 2023: low risk for five kebeles, false positive medium risk for Gende Kore (actual 18 cases).</w:t>
      </w:r>
    </w:p>
    <w:p w:rsidR="001C4B0D" w:rsidRPr="005B7A69" w:rsidRDefault="005B7A69" w:rsidP="00FF722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bCs/>
          <w:color w:val="0F1115"/>
          <w:sz w:val="24"/>
          <w:szCs w:val="24"/>
        </w:rPr>
        <w:lastRenderedPageBreak/>
        <w:t>Figure 5C (Week 44, 2023 – peak transmission, early November):</w:t>
      </w:r>
      <w:r w:rsidRPr="005B7A69">
        <w:rPr>
          <w:rFonts w:ascii="Times New Roman" w:eastAsia="Times New Roman" w:hAnsi="Times New Roman" w:cs="Times New Roman"/>
          <w:color w:val="0F1115"/>
          <w:sz w:val="24"/>
          <w:szCs w:val="24"/>
        </w:rPr>
        <w:t> All kebeles experienced high incidence (80–340 cases). The combined model correctly predicted “high risk” (probability &gt; 0.85) for all six kebeles, with a lead time of </w:t>
      </w:r>
      <w:r w:rsidRPr="005B7A69">
        <w:rPr>
          <w:rFonts w:ascii="Times New Roman" w:eastAsia="Times New Roman" w:hAnsi="Times New Roman" w:cs="Times New Roman"/>
          <w:bCs/>
          <w:color w:val="0F1115"/>
          <w:sz w:val="24"/>
          <w:szCs w:val="24"/>
        </w:rPr>
        <w:t>one week</w:t>
      </w:r>
      <w:r w:rsidRPr="005B7A69">
        <w:rPr>
          <w:rFonts w:ascii="Times New Roman" w:eastAsia="Times New Roman" w:hAnsi="Times New Roman" w:cs="Times New Roman"/>
          <w:color w:val="0F1115"/>
          <w:sz w:val="24"/>
          <w:szCs w:val="24"/>
        </w:rPr>
        <w:t> – the model’s Week 43 predictions accurately forecast the Week 44 surge. The climate</w:t>
      </w:r>
      <w:r w:rsidRPr="005B7A69">
        <w:rPr>
          <w:rFonts w:ascii="Times New Roman" w:eastAsia="Times New Roman" w:hAnsi="Times New Roman" w:cs="Times New Roman"/>
          <w:color w:val="0F1115"/>
          <w:sz w:val="24"/>
          <w:szCs w:val="24"/>
        </w:rPr>
        <w:noBreakHyphen/>
        <w:t>only model also predicted high risk but with only 0–2 days lead time.</w:t>
      </w:r>
    </w:p>
    <w:p w:rsidR="005B7A69" w:rsidRPr="005B7A69" w:rsidRDefault="005B7A69" w:rsidP="00FF7225">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bCs/>
          <w:color w:val="0F1115"/>
          <w:sz w:val="24"/>
          <w:szCs w:val="24"/>
        </w:rPr>
        <w:t>Figure 5D (Week 51, 2023 – late dry season, December):</w:t>
      </w:r>
      <w:r w:rsidRPr="005B7A69">
        <w:rPr>
          <w:rFonts w:ascii="Times New Roman" w:eastAsia="Times New Roman" w:hAnsi="Times New Roman" w:cs="Times New Roman"/>
          <w:color w:val="0F1115"/>
          <w:sz w:val="24"/>
          <w:szCs w:val="24"/>
        </w:rPr>
        <w:t> Incidence dropped to 15–25 cases/week. The combined model correctly downgraded risk to “low” for five kebeles, but maintained a “medium” prediction for </w:t>
      </w:r>
      <w:r w:rsidRPr="005B7A69">
        <w:rPr>
          <w:rFonts w:ascii="Times New Roman" w:eastAsia="Times New Roman" w:hAnsi="Times New Roman" w:cs="Times New Roman"/>
          <w:bCs/>
          <w:color w:val="0F1115"/>
          <w:sz w:val="24"/>
          <w:szCs w:val="24"/>
        </w:rPr>
        <w:t>Gende Kore</w:t>
      </w:r>
      <w:r w:rsidRPr="005B7A69">
        <w:rPr>
          <w:rFonts w:ascii="Times New Roman" w:eastAsia="Times New Roman" w:hAnsi="Times New Roman" w:cs="Times New Roman"/>
          <w:color w:val="0F1115"/>
          <w:sz w:val="24"/>
          <w:szCs w:val="24"/>
        </w:rPr>
        <w:t> due to persistent indigenous indicators (unusually high </w:t>
      </w:r>
      <w:r w:rsidRPr="005B7A69">
        <w:rPr>
          <w:rFonts w:ascii="Times New Roman" w:eastAsia="Times New Roman" w:hAnsi="Times New Roman" w:cs="Times New Roman"/>
          <w:i/>
          <w:iCs/>
          <w:color w:val="0F1115"/>
          <w:sz w:val="24"/>
          <w:szCs w:val="24"/>
        </w:rPr>
        <w:t>Acacia</w:t>
      </w:r>
      <w:r w:rsidRPr="005B7A69">
        <w:rPr>
          <w:rFonts w:ascii="Times New Roman" w:eastAsia="Times New Roman" w:hAnsi="Times New Roman" w:cs="Times New Roman"/>
          <w:color w:val="0F1115"/>
          <w:sz w:val="24"/>
          <w:szCs w:val="24"/>
        </w:rPr>
        <w:t> flowering and low neem oil use). This turned out to be a false positive (actual cases = 18, below outbreak threshold). The climate</w:t>
      </w:r>
      <w:r w:rsidRPr="005B7A69">
        <w:rPr>
          <w:rFonts w:ascii="Times New Roman" w:eastAsia="Times New Roman" w:hAnsi="Times New Roman" w:cs="Times New Roman"/>
          <w:color w:val="0F1115"/>
          <w:sz w:val="24"/>
          <w:szCs w:val="24"/>
        </w:rPr>
        <w:noBreakHyphen/>
        <w:t>only model produced two false positives (Gende Kore and Melka Jebdu).</w:t>
      </w:r>
    </w:p>
    <w:p w:rsidR="005B7A69" w:rsidRPr="005B7A69" w:rsidRDefault="00FF7225" w:rsidP="00FF7225">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Early warning improvement:</w:t>
      </w:r>
      <w:r w:rsidR="005B7A69" w:rsidRPr="005B7A69">
        <w:rPr>
          <w:rFonts w:ascii="Times New Roman" w:eastAsia="Times New Roman" w:hAnsi="Times New Roman" w:cs="Times New Roman"/>
          <w:color w:val="0F1115"/>
          <w:sz w:val="24"/>
          <w:szCs w:val="24"/>
        </w:rPr>
        <w:t> To quantify the added value of indigenous indicators, we calculated the </w:t>
      </w:r>
      <w:r w:rsidR="005B7A69" w:rsidRPr="005B7A69">
        <w:rPr>
          <w:rFonts w:ascii="Times New Roman" w:eastAsia="Times New Roman" w:hAnsi="Times New Roman" w:cs="Times New Roman"/>
          <w:bCs/>
          <w:color w:val="0F1115"/>
          <w:sz w:val="24"/>
          <w:szCs w:val="24"/>
        </w:rPr>
        <w:t>early warning lead time</w:t>
      </w:r>
      <w:r>
        <w:rPr>
          <w:rFonts w:ascii="Times New Roman" w:eastAsia="Times New Roman" w:hAnsi="Times New Roman" w:cs="Times New Roman"/>
          <w:color w:val="0F1115"/>
          <w:sz w:val="24"/>
          <w:szCs w:val="24"/>
        </w:rPr>
        <w:t> </w:t>
      </w:r>
      <w:r w:rsidR="005B7A69" w:rsidRPr="005B7A69">
        <w:rPr>
          <w:rFonts w:ascii="Times New Roman" w:eastAsia="Times New Roman" w:hAnsi="Times New Roman" w:cs="Times New Roman"/>
          <w:color w:val="0F1115"/>
          <w:sz w:val="24"/>
          <w:szCs w:val="24"/>
        </w:rPr>
        <w:t>the number of weeks before an outbreak week that the model first raised a “high risk” alert (probability ≥ 0.7). For the 12 outbreak weeks in 2023, the combined ensemble provided a median lead time of </w:t>
      </w:r>
      <w:r w:rsidR="005B7A69" w:rsidRPr="005B7A69">
        <w:rPr>
          <w:rFonts w:ascii="Times New Roman" w:eastAsia="Times New Roman" w:hAnsi="Times New Roman" w:cs="Times New Roman"/>
          <w:bCs/>
          <w:color w:val="0F1115"/>
          <w:sz w:val="24"/>
          <w:szCs w:val="24"/>
        </w:rPr>
        <w:t>2 weeks</w:t>
      </w:r>
      <w:r w:rsidR="005B7A69" w:rsidRPr="005B7A69">
        <w:rPr>
          <w:rFonts w:ascii="Times New Roman" w:eastAsia="Times New Roman" w:hAnsi="Times New Roman" w:cs="Times New Roman"/>
          <w:color w:val="0F1115"/>
          <w:sz w:val="24"/>
          <w:szCs w:val="24"/>
        </w:rPr>
        <w:t> (IQR: 1–3 weeks), compared to </w:t>
      </w:r>
      <w:r w:rsidR="005B7A69" w:rsidRPr="005B7A69">
        <w:rPr>
          <w:rFonts w:ascii="Times New Roman" w:eastAsia="Times New Roman" w:hAnsi="Times New Roman" w:cs="Times New Roman"/>
          <w:bCs/>
          <w:color w:val="0F1115"/>
          <w:sz w:val="24"/>
          <w:szCs w:val="24"/>
        </w:rPr>
        <w:t>1 week</w:t>
      </w:r>
      <w:r w:rsidR="005B7A69" w:rsidRPr="005B7A69">
        <w:rPr>
          <w:rFonts w:ascii="Times New Roman" w:eastAsia="Times New Roman" w:hAnsi="Times New Roman" w:cs="Times New Roman"/>
          <w:color w:val="0F1115"/>
          <w:sz w:val="24"/>
          <w:szCs w:val="24"/>
        </w:rPr>
        <w:t> (IQR: 0–1.5 weeks) for the climate</w:t>
      </w:r>
      <w:r w:rsidR="005B7A69" w:rsidRPr="005B7A69">
        <w:rPr>
          <w:rFonts w:ascii="Times New Roman" w:eastAsia="Times New Roman" w:hAnsi="Times New Roman" w:cs="Times New Roman"/>
          <w:color w:val="0F1115"/>
          <w:sz w:val="24"/>
          <w:szCs w:val="24"/>
        </w:rPr>
        <w:noBreakHyphen/>
        <w:t>only model (Wilcoxon signed</w:t>
      </w:r>
      <w:r w:rsidR="005B7A69" w:rsidRPr="005B7A69">
        <w:rPr>
          <w:rFonts w:ascii="Times New Roman" w:eastAsia="Times New Roman" w:hAnsi="Times New Roman" w:cs="Times New Roman"/>
          <w:color w:val="0F1115"/>
          <w:sz w:val="24"/>
          <w:szCs w:val="24"/>
        </w:rPr>
        <w:noBreakHyphen/>
        <w:t>rank test, p = 0.008). In three instances (Week 39 in Dechatu, Week 40 in Sabian, Week 42 in Kefira), the combined model raised alerts </w:t>
      </w:r>
      <w:r w:rsidR="005B7A69" w:rsidRPr="005B7A69">
        <w:rPr>
          <w:rFonts w:ascii="Times New Roman" w:eastAsia="Times New Roman" w:hAnsi="Times New Roman" w:cs="Times New Roman"/>
          <w:bCs/>
          <w:color w:val="0F1115"/>
          <w:sz w:val="24"/>
          <w:szCs w:val="24"/>
        </w:rPr>
        <w:t>3 weeks in advance</w:t>
      </w:r>
      <w:r w:rsidR="005B7A69" w:rsidRPr="005B7A69">
        <w:rPr>
          <w:rFonts w:ascii="Times New Roman" w:eastAsia="Times New Roman" w:hAnsi="Times New Roman" w:cs="Times New Roman"/>
          <w:color w:val="0F1115"/>
          <w:sz w:val="24"/>
          <w:szCs w:val="24"/>
        </w:rPr>
        <w:t>, allowing time for vector control interventions. The climate</w:t>
      </w:r>
      <w:r w:rsidR="005B7A69" w:rsidRPr="005B7A69">
        <w:rPr>
          <w:rFonts w:ascii="Times New Roman" w:eastAsia="Times New Roman" w:hAnsi="Times New Roman" w:cs="Times New Roman"/>
          <w:color w:val="0F1115"/>
          <w:sz w:val="24"/>
          <w:szCs w:val="24"/>
        </w:rPr>
        <w:noBreakHyphen/>
        <w:t>only model never achieved a lead time beyond 2 weeks. This improvement is clinically significant: a 1–2 week earlier warning enables health extension workers to intensify IRS, distribute ITNs, and conduct community mobilisation before cases rise sharply.</w:t>
      </w:r>
    </w:p>
    <w:p w:rsidR="005B7A69" w:rsidRPr="005B7A69" w:rsidRDefault="00FF7225" w:rsidP="00FF7225">
      <w:pPr>
        <w:shd w:val="clear" w:color="auto" w:fill="FFFFFF"/>
        <w:spacing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bCs/>
          <w:color w:val="0F1115"/>
          <w:sz w:val="24"/>
          <w:szCs w:val="24"/>
        </w:rPr>
        <w:t>Spatial heterogeneity:</w:t>
      </w:r>
      <w:r w:rsidR="005B7A69" w:rsidRPr="005B7A69">
        <w:rPr>
          <w:rFonts w:ascii="Times New Roman" w:eastAsia="Times New Roman" w:hAnsi="Times New Roman" w:cs="Times New Roman"/>
          <w:color w:val="0F1115"/>
          <w:sz w:val="24"/>
          <w:szCs w:val="24"/>
        </w:rPr>
        <w:t> The model’s predictive accuracy varied modestly across kebeles, with AUC</w:t>
      </w:r>
      <w:r w:rsidR="005B7A69" w:rsidRPr="005B7A69">
        <w:rPr>
          <w:rFonts w:ascii="Times New Roman" w:eastAsia="Times New Roman" w:hAnsi="Times New Roman" w:cs="Times New Roman"/>
          <w:color w:val="0F1115"/>
          <w:sz w:val="24"/>
          <w:szCs w:val="24"/>
        </w:rPr>
        <w:noBreakHyphen/>
        <w:t>ROC ranging from 0.88 (Kefira) to 0.95 (Dechatu). The lowest performance was observed in </w:t>
      </w:r>
      <w:r w:rsidR="005B7A69" w:rsidRPr="005B7A69">
        <w:rPr>
          <w:rFonts w:ascii="Times New Roman" w:eastAsia="Times New Roman" w:hAnsi="Times New Roman" w:cs="Times New Roman"/>
          <w:bCs/>
          <w:color w:val="0F1115"/>
          <w:sz w:val="24"/>
          <w:szCs w:val="24"/>
        </w:rPr>
        <w:t>Legehare</w:t>
      </w:r>
      <w:r w:rsidR="005B7A69" w:rsidRPr="005B7A69">
        <w:rPr>
          <w:rFonts w:ascii="Times New Roman" w:eastAsia="Times New Roman" w:hAnsi="Times New Roman" w:cs="Times New Roman"/>
          <w:color w:val="0F1115"/>
          <w:sz w:val="24"/>
          <w:szCs w:val="24"/>
        </w:rPr>
        <w:t>, a peri</w:t>
      </w:r>
      <w:r w:rsidR="005B7A69" w:rsidRPr="005B7A69">
        <w:rPr>
          <w:rFonts w:ascii="Times New Roman" w:eastAsia="Times New Roman" w:hAnsi="Times New Roman" w:cs="Times New Roman"/>
          <w:color w:val="0F1115"/>
          <w:sz w:val="24"/>
          <w:szCs w:val="24"/>
        </w:rPr>
        <w:noBreakHyphen/>
        <w:t>urban kebele with mixed land use and frequent population movement. Indigenous indicators were less predictive here, possibly because many residents work in the city centre and are exposed to malaria outside their home kebele – a factor not captured by household</w:t>
      </w:r>
      <w:r w:rsidR="005B7A69" w:rsidRPr="005B7A69">
        <w:rPr>
          <w:rFonts w:ascii="Times New Roman" w:eastAsia="Times New Roman" w:hAnsi="Times New Roman" w:cs="Times New Roman"/>
          <w:color w:val="0F1115"/>
          <w:sz w:val="24"/>
          <w:szCs w:val="24"/>
        </w:rPr>
        <w:noBreakHyphen/>
        <w:t>level indicators.</w:t>
      </w:r>
    </w:p>
    <w:p w:rsidR="005B7A69" w:rsidRDefault="005B7A69" w:rsidP="00A15702">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color w:val="0F1115"/>
          <w:sz w:val="24"/>
          <w:szCs w:val="24"/>
        </w:rPr>
        <w:t>In summary, the integration of indigenous malaria knowledge into a machine learning framework significantly improved both the accuracy and the lead time of malaria outbreak predictions in Dire Dawa, with red cattle proximity emerging as the most powerful indigenous predictor after climatic variables. The risk maps generated by the model align well with observed case distributions, offering a practical tool for targeted</w:t>
      </w:r>
      <w:r w:rsidR="00A15702">
        <w:rPr>
          <w:rFonts w:ascii="Times New Roman" w:eastAsia="Times New Roman" w:hAnsi="Times New Roman" w:cs="Times New Roman"/>
          <w:color w:val="0F1115"/>
          <w:sz w:val="24"/>
          <w:szCs w:val="24"/>
        </w:rPr>
        <w:t>, community</w:t>
      </w:r>
      <w:r w:rsidR="00A15702">
        <w:rPr>
          <w:rFonts w:ascii="Times New Roman" w:eastAsia="Times New Roman" w:hAnsi="Times New Roman" w:cs="Times New Roman"/>
          <w:color w:val="0F1115"/>
          <w:sz w:val="24"/>
          <w:szCs w:val="24"/>
        </w:rPr>
        <w:noBreakHyphen/>
        <w:t>based surveillance.</w:t>
      </w:r>
    </w:p>
    <w:p w:rsidR="00A15702" w:rsidRPr="00A15702" w:rsidRDefault="00A15702" w:rsidP="00A15702">
      <w:pPr>
        <w:shd w:val="clear" w:color="auto" w:fill="FFFFFF"/>
        <w:spacing w:after="120" w:line="450" w:lineRule="atLeast"/>
        <w:jc w:val="both"/>
        <w:outlineLvl w:val="2"/>
        <w:rPr>
          <w:rFonts w:ascii="Times New Roman" w:eastAsia="Times New Roman" w:hAnsi="Times New Roman" w:cs="Times New Roman"/>
          <w:bCs/>
          <w:color w:val="0F1115"/>
          <w:sz w:val="24"/>
          <w:szCs w:val="24"/>
        </w:rPr>
      </w:pPr>
      <w:r w:rsidRPr="00A15702">
        <w:rPr>
          <w:rFonts w:ascii="Times New Roman" w:eastAsia="Times New Roman" w:hAnsi="Times New Roman" w:cs="Times New Roman"/>
          <w:bCs/>
          <w:color w:val="0F1115"/>
          <w:sz w:val="24"/>
          <w:szCs w:val="24"/>
        </w:rPr>
        <w:t>3.3. Phase 3: Digital Tool Feasibility and Usability (1.5 pages)</w:t>
      </w:r>
    </w:p>
    <w:p w:rsidR="00A15702" w:rsidRPr="00A15702" w:rsidRDefault="00A15702" w:rsidP="00A15702">
      <w:pPr>
        <w:shd w:val="clear" w:color="auto" w:fill="FFFFFF"/>
        <w:spacing w:after="120"/>
        <w:jc w:val="both"/>
        <w:rPr>
          <w:rFonts w:ascii="Times New Roman" w:eastAsia="Times New Roman" w:hAnsi="Times New Roman" w:cs="Times New Roman"/>
          <w:color w:val="0F1115"/>
          <w:sz w:val="24"/>
          <w:szCs w:val="24"/>
        </w:rPr>
      </w:pPr>
      <w:r w:rsidRPr="00A15702">
        <w:rPr>
          <w:rFonts w:ascii="Times New Roman" w:eastAsia="Times New Roman" w:hAnsi="Times New Roman" w:cs="Times New Roman"/>
          <w:color w:val="0F1115"/>
          <w:sz w:val="24"/>
          <w:szCs w:val="24"/>
        </w:rPr>
        <w:t>During the four</w:t>
      </w:r>
      <w:r w:rsidRPr="00A15702">
        <w:rPr>
          <w:rFonts w:ascii="Times New Roman" w:eastAsia="Times New Roman" w:hAnsi="Times New Roman" w:cs="Times New Roman"/>
          <w:color w:val="0F1115"/>
          <w:sz w:val="24"/>
          <w:szCs w:val="24"/>
        </w:rPr>
        <w:noBreakHyphen/>
        <w:t>month pilot, 98 of 100 enrolled households (98%) completed 12 weeks of weekly reporting, demonstrating high engagement. Voice input was the preferred reporting method, accounting for 90% of all submitted reports, compared to only 10% using text entry, reflecting the tool’s accessibility for low</w:t>
      </w:r>
      <w:r w:rsidRPr="00A15702">
        <w:rPr>
          <w:rFonts w:ascii="Times New Roman" w:eastAsia="Times New Roman" w:hAnsi="Times New Roman" w:cs="Times New Roman"/>
          <w:color w:val="0F1115"/>
          <w:sz w:val="24"/>
          <w:szCs w:val="24"/>
        </w:rPr>
        <w:noBreakHyphen/>
        <w:t xml:space="preserve">literacy users (Emiru et al., 2023). The System Usability Scale (SUS) yielded a mean score of 78.4 (95% CI: 74.1–82.7), categorised as “good to </w:t>
      </w:r>
      <w:r w:rsidRPr="00A15702">
        <w:rPr>
          <w:rFonts w:ascii="Times New Roman" w:eastAsia="Times New Roman" w:hAnsi="Times New Roman" w:cs="Times New Roman"/>
          <w:color w:val="0F1115"/>
          <w:sz w:val="24"/>
          <w:szCs w:val="24"/>
        </w:rPr>
        <w:lastRenderedPageBreak/>
        <w:t xml:space="preserve">excellent.” Participants reported high satisfaction with the inclusion of indigenous indicators, particularly the “cattle presence” button, which resonated with local pastoralist knowledge (Degefa et al., 2024). </w:t>
      </w:r>
    </w:p>
    <w:p w:rsidR="00A15702" w:rsidRDefault="00A15702" w:rsidP="00A15702">
      <w:pPr>
        <w:shd w:val="clear" w:color="auto" w:fill="FFFFFF"/>
        <w:spacing w:after="120" w:line="240" w:lineRule="auto"/>
        <w:jc w:val="both"/>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IN" w:eastAsia="en-IN"/>
        </w:rPr>
        <w:drawing>
          <wp:inline distT="0" distB="0" distL="0" distR="0">
            <wp:extent cx="5943600" cy="24733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73325"/>
                    </a:xfrm>
                    <a:prstGeom prst="rect">
                      <a:avLst/>
                    </a:prstGeom>
                    <a:noFill/>
                    <a:ln>
                      <a:noFill/>
                    </a:ln>
                  </pic:spPr>
                </pic:pic>
              </a:graphicData>
            </a:graphic>
          </wp:inline>
        </w:drawing>
      </w:r>
    </w:p>
    <w:p w:rsidR="00A15702" w:rsidRDefault="00A15702" w:rsidP="00A15702">
      <w:pPr>
        <w:shd w:val="clear" w:color="auto" w:fill="FFFFFF"/>
        <w:spacing w:after="120"/>
        <w:jc w:val="both"/>
        <w:rPr>
          <w:rFonts w:ascii="Times New Roman" w:eastAsia="Times New Roman" w:hAnsi="Times New Roman" w:cs="Times New Roman"/>
          <w:color w:val="0F1115"/>
          <w:sz w:val="24"/>
          <w:szCs w:val="24"/>
        </w:rPr>
      </w:pPr>
      <w:r w:rsidRPr="00A15702">
        <w:rPr>
          <w:rFonts w:ascii="Times New Roman" w:eastAsia="Times New Roman" w:hAnsi="Times New Roman" w:cs="Times New Roman"/>
          <w:bCs/>
          <w:color w:val="0F1115"/>
          <w:sz w:val="24"/>
          <w:szCs w:val="24"/>
        </w:rPr>
        <w:t>Figure 6 (left).</w:t>
      </w:r>
      <w:r w:rsidRPr="00A15702">
        <w:rPr>
          <w:rFonts w:ascii="Times New Roman" w:eastAsia="Times New Roman" w:hAnsi="Times New Roman" w:cs="Times New Roman"/>
          <w:color w:val="0F1115"/>
          <w:sz w:val="24"/>
          <w:szCs w:val="24"/>
        </w:rPr>
        <w:t xml:space="preserve"> Pilot participation: 98% household completion rate and 90% voice input preference. </w:t>
      </w:r>
      <w:r w:rsidRPr="00A15702">
        <w:rPr>
          <w:rFonts w:ascii="Times New Roman" w:eastAsia="Times New Roman" w:hAnsi="Times New Roman" w:cs="Times New Roman"/>
          <w:bCs/>
          <w:color w:val="0F1115"/>
          <w:sz w:val="24"/>
          <w:szCs w:val="24"/>
        </w:rPr>
        <w:t>6 (right).</w:t>
      </w:r>
      <w:r w:rsidRPr="00A15702">
        <w:rPr>
          <w:rFonts w:ascii="Times New Roman" w:eastAsia="Times New Roman" w:hAnsi="Times New Roman" w:cs="Times New Roman"/>
          <w:color w:val="0F1115"/>
          <w:sz w:val="24"/>
          <w:szCs w:val="24"/>
        </w:rPr>
        <w:t> Predictive accuracy: 82% match rate, 18% false positives (unseasonal rains).</w:t>
      </w:r>
    </w:p>
    <w:p w:rsidR="00A15702" w:rsidRDefault="00A15702" w:rsidP="00A15702">
      <w:pPr>
        <w:shd w:val="clear" w:color="auto" w:fill="FFFFFF"/>
        <w:spacing w:after="120"/>
        <w:jc w:val="both"/>
        <w:rPr>
          <w:rFonts w:ascii="Times New Roman" w:eastAsia="Times New Roman" w:hAnsi="Times New Roman" w:cs="Times New Roman"/>
          <w:color w:val="0F1115"/>
          <w:sz w:val="24"/>
          <w:szCs w:val="24"/>
        </w:rPr>
      </w:pPr>
      <w:r w:rsidRPr="00A15702">
        <w:rPr>
          <w:rFonts w:ascii="Times New Roman" w:eastAsia="Times New Roman" w:hAnsi="Times New Roman" w:cs="Times New Roman"/>
          <w:color w:val="0F1115"/>
          <w:sz w:val="24"/>
          <w:szCs w:val="24"/>
        </w:rPr>
        <w:t>Real</w:t>
      </w:r>
      <w:r w:rsidRPr="00A15702">
        <w:rPr>
          <w:rFonts w:ascii="Times New Roman" w:eastAsia="Times New Roman" w:hAnsi="Times New Roman" w:cs="Times New Roman"/>
          <w:color w:val="0F1115"/>
          <w:sz w:val="24"/>
          <w:szCs w:val="24"/>
        </w:rPr>
        <w:noBreakHyphen/>
        <w:t>time alerts generated by the integrated model matched confirmed clinical malaria cases in 82% of weeks during the pilot. The false positive rate was 18%, with most errors occurring during unseasonal rains that created temporary breeding sites not captured by routine surveillance. No false negatives were recorded during peak transmission weeks. Overall, the digital tool demonstrated feasibility, high usability, and clinically meaningful predictive accuracy, supporting its potential for community</w:t>
      </w:r>
      <w:r w:rsidRPr="00A15702">
        <w:rPr>
          <w:rFonts w:ascii="Times New Roman" w:eastAsia="Times New Roman" w:hAnsi="Times New Roman" w:cs="Times New Roman"/>
          <w:color w:val="0F1115"/>
          <w:sz w:val="24"/>
          <w:szCs w:val="24"/>
        </w:rPr>
        <w:noBreakHyphen/>
        <w:t>based malaria early warning in peri</w:t>
      </w:r>
      <w:r w:rsidRPr="00A15702">
        <w:rPr>
          <w:rFonts w:ascii="Times New Roman" w:eastAsia="Times New Roman" w:hAnsi="Times New Roman" w:cs="Times New Roman"/>
          <w:color w:val="0F1115"/>
          <w:sz w:val="24"/>
          <w:szCs w:val="24"/>
        </w:rPr>
        <w:noBreakHyphen/>
        <w:t>urban Ethiopia.</w:t>
      </w:r>
    </w:p>
    <w:p w:rsidR="00A15702" w:rsidRDefault="00A15702" w:rsidP="00A15702">
      <w:pPr>
        <w:shd w:val="clear" w:color="auto" w:fill="FFFFFF"/>
        <w:spacing w:after="120"/>
        <w:jc w:val="both"/>
        <w:rPr>
          <w:rFonts w:ascii="Times New Roman" w:eastAsia="Times New Roman" w:hAnsi="Times New Roman" w:cs="Times New Roman"/>
          <w:color w:val="0F1115"/>
          <w:sz w:val="24"/>
          <w:szCs w:val="24"/>
        </w:rPr>
      </w:pPr>
      <w:r w:rsidRPr="00A15702">
        <w:rPr>
          <w:rFonts w:ascii="Times New Roman" w:eastAsia="Times New Roman" w:hAnsi="Times New Roman" w:cs="Times New Roman"/>
          <w:color w:val="0F1115"/>
          <w:sz w:val="24"/>
          <w:szCs w:val="24"/>
        </w:rPr>
        <w:t>The System Usability Scale (SUS) was administered to all 20 community health workers and 100 participating households at the end of the four</w:t>
      </w:r>
      <w:r w:rsidRPr="00A15702">
        <w:rPr>
          <w:rFonts w:ascii="Times New Roman" w:eastAsia="Times New Roman" w:hAnsi="Times New Roman" w:cs="Times New Roman"/>
          <w:color w:val="0F1115"/>
          <w:sz w:val="24"/>
          <w:szCs w:val="24"/>
        </w:rPr>
        <w:noBreakHyphen/>
        <w:t>month pilot. The mean SUS score was 78.4 (95% CI: 74.1–82.7), which falls within the “good to excellent” range according to established benchmarks (Brooke, 1996; Lewis &amp; Sauro, 2018). This score substantially exceeds the industry standard above</w:t>
      </w:r>
      <w:r w:rsidRPr="00A15702">
        <w:rPr>
          <w:rFonts w:ascii="Times New Roman" w:eastAsia="Times New Roman" w:hAnsi="Times New Roman" w:cs="Times New Roman"/>
          <w:color w:val="0F1115"/>
          <w:sz w:val="24"/>
          <w:szCs w:val="24"/>
        </w:rPr>
        <w:noBreakHyphen/>
        <w:t>average threshold of 68, indicating that users found the digital surveillance tool easy to learn, intuitive to navigate, and well</w:t>
      </w:r>
      <w:r w:rsidRPr="00A15702">
        <w:rPr>
          <w:rFonts w:ascii="Times New Roman" w:eastAsia="Times New Roman" w:hAnsi="Times New Roman" w:cs="Times New Roman"/>
          <w:color w:val="0F1115"/>
          <w:sz w:val="24"/>
          <w:szCs w:val="24"/>
        </w:rPr>
        <w:noBreakHyphen/>
        <w:t>integrated into their daily routines. Qualitative feedback collected alongside the SUS questionnaire revealed particularly high satisfaction with the inclusion of indigenous indicator options, such as the “cattle presence” button and “Dechatu stagnant pools” reporting feature.</w:t>
      </w:r>
    </w:p>
    <w:p w:rsidR="00A15702" w:rsidRDefault="00A15702" w:rsidP="00A15702">
      <w:pPr>
        <w:shd w:val="clear" w:color="auto" w:fill="FFFFFF"/>
        <w:spacing w:after="120" w:line="240" w:lineRule="auto"/>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IN" w:eastAsia="en-IN"/>
        </w:rPr>
        <w:lastRenderedPageBreak/>
        <w:drawing>
          <wp:inline distT="0" distB="0" distL="0" distR="0">
            <wp:extent cx="4814570" cy="2985770"/>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4570" cy="2985770"/>
                    </a:xfrm>
                    <a:prstGeom prst="rect">
                      <a:avLst/>
                    </a:prstGeom>
                    <a:noFill/>
                    <a:ln>
                      <a:noFill/>
                    </a:ln>
                  </pic:spPr>
                </pic:pic>
              </a:graphicData>
            </a:graphic>
          </wp:inline>
        </w:drawing>
      </w:r>
    </w:p>
    <w:p w:rsidR="00A15702" w:rsidRPr="00A15702" w:rsidRDefault="00A15702" w:rsidP="00AC459B">
      <w:pPr>
        <w:shd w:val="clear" w:color="auto" w:fill="FFFFFF"/>
        <w:spacing w:after="120"/>
        <w:jc w:val="both"/>
        <w:rPr>
          <w:rFonts w:ascii="Times New Roman" w:eastAsia="Times New Roman" w:hAnsi="Times New Roman" w:cs="Times New Roman"/>
          <w:color w:val="0F1115"/>
          <w:sz w:val="24"/>
          <w:szCs w:val="24"/>
        </w:rPr>
      </w:pPr>
      <w:r w:rsidRPr="00AC459B">
        <w:rPr>
          <w:rFonts w:ascii="Times New Roman" w:eastAsia="Times New Roman" w:hAnsi="Times New Roman" w:cs="Times New Roman"/>
          <w:bCs/>
          <w:color w:val="0F1115"/>
          <w:sz w:val="24"/>
          <w:szCs w:val="24"/>
        </w:rPr>
        <w:t>Figure 7.</w:t>
      </w:r>
      <w:r w:rsidRPr="00A15702">
        <w:rPr>
          <w:rFonts w:ascii="Times New Roman" w:eastAsia="Times New Roman" w:hAnsi="Times New Roman" w:cs="Times New Roman"/>
          <w:color w:val="0F1115"/>
          <w:sz w:val="24"/>
          <w:szCs w:val="24"/>
        </w:rPr>
        <w:t> Mean System Usability Scale score of 78.4 (95% CI: 74.1–82.7), exceeding the above</w:t>
      </w:r>
      <w:r w:rsidRPr="00A15702">
        <w:rPr>
          <w:rFonts w:ascii="Times New Roman" w:eastAsia="Times New Roman" w:hAnsi="Times New Roman" w:cs="Times New Roman"/>
          <w:color w:val="0F1115"/>
          <w:sz w:val="24"/>
          <w:szCs w:val="24"/>
        </w:rPr>
        <w:noBreakHyphen/>
        <w:t>average threshold of 68.</w:t>
      </w:r>
    </w:p>
    <w:p w:rsidR="00A15702" w:rsidRPr="00AC459B" w:rsidRDefault="00A15702" w:rsidP="00AC459B">
      <w:pPr>
        <w:shd w:val="clear" w:color="auto" w:fill="FFFFFF"/>
        <w:spacing w:after="120"/>
        <w:jc w:val="both"/>
        <w:rPr>
          <w:rFonts w:ascii="Times New Roman" w:eastAsia="Times New Roman" w:hAnsi="Times New Roman" w:cs="Times New Roman"/>
          <w:color w:val="0F1115"/>
          <w:sz w:val="24"/>
          <w:szCs w:val="24"/>
        </w:rPr>
      </w:pPr>
      <w:r w:rsidRPr="00A15702">
        <w:rPr>
          <w:rFonts w:ascii="Times New Roman" w:eastAsia="Times New Roman" w:hAnsi="Times New Roman" w:cs="Times New Roman"/>
          <w:color w:val="0F1115"/>
          <w:sz w:val="24"/>
          <w:szCs w:val="24"/>
        </w:rPr>
        <w:t xml:space="preserve">Users appreciated that the tool respected and incorporated their local knowledge rather than imposing external categories. No significant differences in SUS scores were observed between ethnic groups (Oromo, Somali, </w:t>
      </w:r>
      <w:r w:rsidRPr="00AC459B">
        <w:rPr>
          <w:rFonts w:ascii="Times New Roman" w:eastAsia="Times New Roman" w:hAnsi="Times New Roman" w:cs="Times New Roman"/>
          <w:color w:val="0F1115"/>
          <w:sz w:val="24"/>
          <w:szCs w:val="24"/>
        </w:rPr>
        <w:t xml:space="preserve">and </w:t>
      </w:r>
      <w:r w:rsidRPr="00A15702">
        <w:rPr>
          <w:rFonts w:ascii="Times New Roman" w:eastAsia="Times New Roman" w:hAnsi="Times New Roman" w:cs="Times New Roman"/>
          <w:color w:val="0F1115"/>
          <w:sz w:val="24"/>
          <w:szCs w:val="24"/>
        </w:rPr>
        <w:t>Amhara) or between health workers and household members (p &gt; 0.05). The high usability score, combined with the 98% household completion rate and 90% voice input preference, confirms that the co</w:t>
      </w:r>
      <w:r w:rsidRPr="00A15702">
        <w:rPr>
          <w:rFonts w:ascii="Times New Roman" w:eastAsia="Times New Roman" w:hAnsi="Times New Roman" w:cs="Times New Roman"/>
          <w:color w:val="0F1115"/>
          <w:sz w:val="24"/>
          <w:szCs w:val="24"/>
        </w:rPr>
        <w:noBreakHyphen/>
        <w:t>designed mobile tool is acceptable and feasible for community</w:t>
      </w:r>
      <w:r w:rsidRPr="00A15702">
        <w:rPr>
          <w:rFonts w:ascii="Times New Roman" w:eastAsia="Times New Roman" w:hAnsi="Times New Roman" w:cs="Times New Roman"/>
          <w:color w:val="0F1115"/>
          <w:sz w:val="24"/>
          <w:szCs w:val="24"/>
        </w:rPr>
        <w:noBreakHyphen/>
        <w:t>based malaria surveillance in peri</w:t>
      </w:r>
      <w:r w:rsidRPr="00A15702">
        <w:rPr>
          <w:rFonts w:ascii="Times New Roman" w:eastAsia="Times New Roman" w:hAnsi="Times New Roman" w:cs="Times New Roman"/>
          <w:color w:val="0F1115"/>
          <w:sz w:val="24"/>
          <w:szCs w:val="24"/>
        </w:rPr>
        <w:noBreakHyphen/>
        <w:t>urban Dire Dawa, Ethiopia (Degefa et al., 2024; Emiru et al., 2023).</w:t>
      </w:r>
    </w:p>
    <w:p w:rsidR="0041753D" w:rsidRPr="00A15702" w:rsidRDefault="0041753D" w:rsidP="00AC459B">
      <w:pPr>
        <w:shd w:val="clear" w:color="auto" w:fill="FFFFFF"/>
        <w:spacing w:after="120"/>
        <w:jc w:val="both"/>
        <w:rPr>
          <w:rFonts w:ascii="Times New Roman" w:eastAsia="Times New Roman" w:hAnsi="Times New Roman" w:cs="Times New Roman"/>
          <w:color w:val="0F1115"/>
          <w:sz w:val="24"/>
          <w:szCs w:val="24"/>
        </w:rPr>
      </w:pPr>
      <w:r w:rsidRPr="0041753D">
        <w:rPr>
          <w:rFonts w:ascii="Times New Roman" w:eastAsia="Times New Roman" w:hAnsi="Times New Roman" w:cs="Times New Roman"/>
          <w:color w:val="0F1115"/>
          <w:sz w:val="24"/>
          <w:szCs w:val="24"/>
        </w:rPr>
        <w:t>During the pilot implementation (September–December 2023), the integrated digital surveillance tool generated weekly real</w:t>
      </w:r>
      <w:r w:rsidRPr="0041753D">
        <w:rPr>
          <w:rFonts w:ascii="Times New Roman" w:eastAsia="Times New Roman" w:hAnsi="Times New Roman" w:cs="Times New Roman"/>
          <w:color w:val="0F1115"/>
          <w:sz w:val="24"/>
          <w:szCs w:val="24"/>
        </w:rPr>
        <w:noBreakHyphen/>
        <w:t>time malaria risk alerts at the kebele level based on the ensemble model’s predictions. These alerts were compared against clinically confirmed malaria cases reported to the Dire Dawa Health Bureau for the same weeks. Overall, 82% of the real</w:t>
      </w:r>
      <w:r w:rsidRPr="0041753D">
        <w:rPr>
          <w:rFonts w:ascii="Times New Roman" w:eastAsia="Times New Roman" w:hAnsi="Times New Roman" w:cs="Times New Roman"/>
          <w:color w:val="0F1115"/>
          <w:sz w:val="24"/>
          <w:szCs w:val="24"/>
        </w:rPr>
        <w:noBreakHyphen/>
        <w:t>time alerts matched confirmed case weeks, indicating a high level of predictive concordance in a prospective, real</w:t>
      </w:r>
      <w:r w:rsidRPr="0041753D">
        <w:rPr>
          <w:rFonts w:ascii="Times New Roman" w:eastAsia="Times New Roman" w:hAnsi="Times New Roman" w:cs="Times New Roman"/>
          <w:color w:val="0F1115"/>
          <w:sz w:val="24"/>
          <w:szCs w:val="24"/>
        </w:rPr>
        <w:noBreakHyphen/>
        <w:t>world setting</w:t>
      </w:r>
      <w:r w:rsidRPr="00AC459B">
        <w:rPr>
          <w:rFonts w:ascii="Times New Roman" w:eastAsia="Times New Roman" w:hAnsi="Times New Roman" w:cs="Times New Roman"/>
          <w:color w:val="0F1115"/>
          <w:sz w:val="24"/>
          <w:szCs w:val="24"/>
        </w:rPr>
        <w:t xml:space="preserve"> (Figure 8)</w:t>
      </w:r>
      <w:r w:rsidRPr="0041753D">
        <w:rPr>
          <w:rFonts w:ascii="Times New Roman" w:eastAsia="Times New Roman" w:hAnsi="Times New Roman" w:cs="Times New Roman"/>
          <w:color w:val="0F1115"/>
          <w:sz w:val="24"/>
          <w:szCs w:val="24"/>
        </w:rPr>
        <w:t>. The false positive rate was 18%, meaning that in nearly one in five weeks, the tool predicted elevated malaria risk that was not subsequently confirmed by clinical surveillance. Detailed analysis of false positive weeks revealed that the majority occurred during periods of unseasonal rainfall (e.g., January–February 2023), which created transient mosquito breeding habitats that did not persist long enough to generate sustained transmission (Emiru et al., 2023).</w:t>
      </w:r>
    </w:p>
    <w:p w:rsidR="00A15702" w:rsidRDefault="00A15702" w:rsidP="00A15702">
      <w:pPr>
        <w:shd w:val="clear" w:color="auto" w:fill="FFFFFF"/>
        <w:spacing w:after="120" w:line="240" w:lineRule="auto"/>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IN" w:eastAsia="en-IN"/>
        </w:rPr>
        <w:lastRenderedPageBreak/>
        <w:drawing>
          <wp:inline distT="0" distB="0" distL="0" distR="0">
            <wp:extent cx="4239260" cy="297878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9260" cy="2978785"/>
                    </a:xfrm>
                    <a:prstGeom prst="rect">
                      <a:avLst/>
                    </a:prstGeom>
                    <a:noFill/>
                    <a:ln>
                      <a:noFill/>
                    </a:ln>
                  </pic:spPr>
                </pic:pic>
              </a:graphicData>
            </a:graphic>
          </wp:inline>
        </w:drawing>
      </w:r>
    </w:p>
    <w:p w:rsidR="0041753D" w:rsidRPr="0041753D" w:rsidRDefault="0041753D" w:rsidP="0041753D">
      <w:pPr>
        <w:shd w:val="clear" w:color="auto" w:fill="FFFFFF"/>
        <w:spacing w:after="120"/>
        <w:jc w:val="both"/>
        <w:rPr>
          <w:rFonts w:ascii="Times New Roman" w:eastAsia="Times New Roman" w:hAnsi="Times New Roman" w:cs="Times New Roman"/>
          <w:color w:val="0F1115"/>
          <w:sz w:val="24"/>
          <w:szCs w:val="24"/>
        </w:rPr>
      </w:pPr>
      <w:r w:rsidRPr="0041753D">
        <w:rPr>
          <w:rFonts w:ascii="Times New Roman" w:eastAsia="Times New Roman" w:hAnsi="Times New Roman" w:cs="Times New Roman"/>
          <w:bCs/>
          <w:color w:val="0F1115"/>
          <w:sz w:val="24"/>
          <w:szCs w:val="24"/>
        </w:rPr>
        <w:t>Figure 8.</w:t>
      </w:r>
      <w:r w:rsidRPr="0041753D">
        <w:rPr>
          <w:rFonts w:ascii="Times New Roman" w:eastAsia="Times New Roman" w:hAnsi="Times New Roman" w:cs="Times New Roman"/>
          <w:color w:val="0F1115"/>
          <w:sz w:val="24"/>
          <w:szCs w:val="24"/>
        </w:rPr>
        <w:t> Real</w:t>
      </w:r>
      <w:r w:rsidRPr="0041753D">
        <w:rPr>
          <w:rFonts w:ascii="Times New Roman" w:eastAsia="Times New Roman" w:hAnsi="Times New Roman" w:cs="Times New Roman"/>
          <w:color w:val="0F1115"/>
          <w:sz w:val="24"/>
          <w:szCs w:val="24"/>
        </w:rPr>
        <w:noBreakHyphen/>
        <w:t>time alert accuracy: 82% match rate and 18% false positive rate during the four</w:t>
      </w:r>
      <w:r w:rsidRPr="0041753D">
        <w:rPr>
          <w:rFonts w:ascii="Times New Roman" w:eastAsia="Times New Roman" w:hAnsi="Times New Roman" w:cs="Times New Roman"/>
          <w:color w:val="0F1115"/>
          <w:sz w:val="24"/>
          <w:szCs w:val="24"/>
        </w:rPr>
        <w:noBreakHyphen/>
        <w:t>month pilot.</w:t>
      </w:r>
    </w:p>
    <w:p w:rsidR="0041753D" w:rsidRPr="00A15702" w:rsidRDefault="0041753D" w:rsidP="0041753D">
      <w:pPr>
        <w:shd w:val="clear" w:color="auto" w:fill="FFFFFF"/>
        <w:spacing w:after="120"/>
        <w:jc w:val="both"/>
        <w:rPr>
          <w:rFonts w:ascii="Times New Roman" w:eastAsia="Times New Roman" w:hAnsi="Times New Roman" w:cs="Times New Roman"/>
          <w:color w:val="0F1115"/>
          <w:sz w:val="24"/>
          <w:szCs w:val="24"/>
        </w:rPr>
      </w:pPr>
      <w:r w:rsidRPr="0041753D">
        <w:rPr>
          <w:rFonts w:ascii="Times New Roman" w:eastAsia="Times New Roman" w:hAnsi="Times New Roman" w:cs="Times New Roman"/>
          <w:color w:val="0F1115"/>
          <w:sz w:val="24"/>
          <w:szCs w:val="24"/>
        </w:rPr>
        <w:t>Encouragingly, no false negatives were recorded during the peak transmission weeks (October–November), and the tool successfully identified all six kebeles that experienced outbreaks. The 82% match rate compares favourably with climate</w:t>
      </w:r>
      <w:r w:rsidRPr="0041753D">
        <w:rPr>
          <w:rFonts w:ascii="Times New Roman" w:eastAsia="Times New Roman" w:hAnsi="Times New Roman" w:cs="Times New Roman"/>
          <w:color w:val="0F1115"/>
          <w:sz w:val="24"/>
          <w:szCs w:val="24"/>
        </w:rPr>
        <w:noBreakHyphen/>
        <w:t>only models deployed in similar settings (typically 65–75% accuracy) and confirms that integrating indigenous indicators improves real</w:t>
      </w:r>
      <w:r w:rsidRPr="0041753D">
        <w:rPr>
          <w:rFonts w:ascii="Times New Roman" w:eastAsia="Times New Roman" w:hAnsi="Times New Roman" w:cs="Times New Roman"/>
          <w:color w:val="0F1115"/>
          <w:sz w:val="24"/>
          <w:szCs w:val="24"/>
        </w:rPr>
        <w:noBreakHyphen/>
        <w:t>time predictive performance without excessive false alarms (Degefa et al., 2024). These findings support the feasibility of deploying the digital tool for community</w:t>
      </w:r>
      <w:r w:rsidRPr="0041753D">
        <w:rPr>
          <w:rFonts w:ascii="Times New Roman" w:eastAsia="Times New Roman" w:hAnsi="Times New Roman" w:cs="Times New Roman"/>
          <w:color w:val="0F1115"/>
          <w:sz w:val="24"/>
          <w:szCs w:val="24"/>
        </w:rPr>
        <w:noBreakHyphen/>
        <w:t>based early warning.</w:t>
      </w:r>
    </w:p>
    <w:p w:rsidR="0041753D" w:rsidRDefault="0041753D" w:rsidP="0041753D">
      <w:pPr>
        <w:shd w:val="clear" w:color="auto" w:fill="FFFFFF"/>
        <w:spacing w:after="120"/>
        <w:jc w:val="both"/>
        <w:rPr>
          <w:rFonts w:ascii="Times New Roman" w:eastAsia="Times New Roman" w:hAnsi="Times New Roman" w:cs="Times New Roman"/>
          <w:color w:val="0F1115"/>
          <w:sz w:val="24"/>
          <w:szCs w:val="24"/>
        </w:rPr>
      </w:pPr>
      <w:r w:rsidRPr="0041753D">
        <w:rPr>
          <w:rFonts w:ascii="Times New Roman" w:eastAsia="Times New Roman" w:hAnsi="Times New Roman" w:cs="Times New Roman"/>
          <w:color w:val="0F1115"/>
          <w:sz w:val="24"/>
          <w:szCs w:val="24"/>
        </w:rPr>
        <w:t>The four</w:t>
      </w:r>
      <w:r w:rsidRPr="0041753D">
        <w:rPr>
          <w:rFonts w:ascii="Times New Roman" w:eastAsia="Times New Roman" w:hAnsi="Times New Roman" w:cs="Times New Roman"/>
          <w:color w:val="0F1115"/>
          <w:sz w:val="24"/>
          <w:szCs w:val="24"/>
        </w:rPr>
        <w:noBreakHyphen/>
        <w:t>month pilot demonstrated strong feasibility and user acceptance. As shown in Figure 9(A), 98 of 100 enrolled households (98%) completed weekly reporting across the full 12</w:t>
      </w:r>
      <w:r w:rsidRPr="0041753D">
        <w:rPr>
          <w:rFonts w:ascii="Times New Roman" w:eastAsia="Times New Roman" w:hAnsi="Times New Roman" w:cs="Times New Roman"/>
          <w:color w:val="0F1115"/>
          <w:sz w:val="24"/>
          <w:szCs w:val="24"/>
        </w:rPr>
        <w:noBreakHyphen/>
        <w:t>week transmission season, indicating high retention and adherence. Regarding reporting modality (Figure 9(B)), voice input was overwhelmingly preferred, accounting for 90% of all submissions, while text input comprised only 10%. This finding underscores the importance of speech</w:t>
      </w:r>
      <w:r w:rsidRPr="0041753D">
        <w:rPr>
          <w:rFonts w:ascii="Times New Roman" w:eastAsia="Times New Roman" w:hAnsi="Times New Roman" w:cs="Times New Roman"/>
          <w:color w:val="0F1115"/>
          <w:sz w:val="24"/>
          <w:szCs w:val="24"/>
        </w:rPr>
        <w:noBreakHyphen/>
        <w:t>based interfaces for low</w:t>
      </w:r>
      <w:r w:rsidRPr="0041753D">
        <w:rPr>
          <w:rFonts w:ascii="Times New Roman" w:eastAsia="Times New Roman" w:hAnsi="Times New Roman" w:cs="Times New Roman"/>
          <w:color w:val="0F1115"/>
          <w:sz w:val="24"/>
          <w:szCs w:val="24"/>
        </w:rPr>
        <w:noBreakHyphen/>
        <w:t>literacy and elderly users in peri</w:t>
      </w:r>
      <w:r w:rsidRPr="0041753D">
        <w:rPr>
          <w:rFonts w:ascii="Times New Roman" w:eastAsia="Times New Roman" w:hAnsi="Times New Roman" w:cs="Times New Roman"/>
          <w:color w:val="0F1115"/>
          <w:sz w:val="24"/>
          <w:szCs w:val="24"/>
        </w:rPr>
        <w:noBreakHyphen/>
        <w:t>urban Ethiopia (Emiru et al., 2023).</w:t>
      </w:r>
    </w:p>
    <w:p w:rsidR="0041753D" w:rsidRDefault="0041753D" w:rsidP="0041753D">
      <w:pPr>
        <w:shd w:val="clear" w:color="auto" w:fill="FFFFFF"/>
        <w:spacing w:after="120"/>
        <w:jc w:val="both"/>
        <w:rPr>
          <w:rFonts w:ascii="Times New Roman" w:eastAsia="Times New Roman" w:hAnsi="Times New Roman" w:cs="Times New Roman"/>
          <w:color w:val="0F1115"/>
          <w:sz w:val="24"/>
          <w:szCs w:val="24"/>
        </w:rPr>
      </w:pPr>
      <w:r w:rsidRPr="0041753D">
        <w:rPr>
          <w:rFonts w:ascii="Times New Roman" w:eastAsia="Times New Roman" w:hAnsi="Times New Roman" w:cs="Times New Roman"/>
          <w:color w:val="0F1115"/>
          <w:sz w:val="24"/>
          <w:szCs w:val="24"/>
        </w:rPr>
        <w:t>Usability, assessed via the System Usability Scale (SUS), yielded a mean score of 78.4 (95% CI: 74.1–82.7), well above the standard benchmark of 68 (Brooke, 1996). As illustrated in Figure 9(C), this places the digital tool in the “good to excellent” category. Participants expressed high satisfaction with indigenous indicator options, particularly the “cattle presence” button, which resonated with local pastoralist knowledge (Degefa et al., 2024).</w:t>
      </w:r>
    </w:p>
    <w:p w:rsidR="0041753D" w:rsidRPr="0041753D" w:rsidRDefault="0041753D" w:rsidP="0041753D">
      <w:pPr>
        <w:shd w:val="clear" w:color="auto" w:fill="FFFFFF"/>
        <w:spacing w:after="120"/>
        <w:jc w:val="both"/>
        <w:rPr>
          <w:rFonts w:ascii="Times New Roman" w:eastAsia="Times New Roman" w:hAnsi="Times New Roman" w:cs="Times New Roman"/>
          <w:color w:val="0F1115"/>
          <w:sz w:val="24"/>
          <w:szCs w:val="24"/>
        </w:rPr>
      </w:pPr>
      <w:r w:rsidRPr="0041753D">
        <w:rPr>
          <w:rFonts w:ascii="Times New Roman" w:eastAsia="Times New Roman" w:hAnsi="Times New Roman" w:cs="Times New Roman"/>
          <w:color w:val="0F1115"/>
          <w:sz w:val="24"/>
          <w:szCs w:val="24"/>
        </w:rPr>
        <w:t>Predictive accuracy during the pilot is summarised in Figure 9(D). Real</w:t>
      </w:r>
      <w:r w:rsidRPr="0041753D">
        <w:rPr>
          <w:rFonts w:ascii="Times New Roman" w:eastAsia="Times New Roman" w:hAnsi="Times New Roman" w:cs="Times New Roman"/>
          <w:color w:val="0F1115"/>
          <w:sz w:val="24"/>
          <w:szCs w:val="24"/>
        </w:rPr>
        <w:noBreakHyphen/>
        <w:t xml:space="preserve">time alerts generated by the integrated ensemble model matched confirmed clinical malaria cases in 82% of weeks. The false positive rate was 18%, with most errors occurring during unseasonal rains that created transient breeding sites not captured by routine surveillance. No false negatives occurred during </w:t>
      </w:r>
      <w:r w:rsidRPr="0041753D">
        <w:rPr>
          <w:rFonts w:ascii="Times New Roman" w:eastAsia="Times New Roman" w:hAnsi="Times New Roman" w:cs="Times New Roman"/>
          <w:color w:val="0F1115"/>
          <w:sz w:val="24"/>
          <w:szCs w:val="24"/>
        </w:rPr>
        <w:lastRenderedPageBreak/>
        <w:t>peak transmission weeks. These results confirm that the co</w:t>
      </w:r>
      <w:r w:rsidRPr="0041753D">
        <w:rPr>
          <w:rFonts w:ascii="Times New Roman" w:eastAsia="Times New Roman" w:hAnsi="Times New Roman" w:cs="Times New Roman"/>
          <w:color w:val="0F1115"/>
          <w:sz w:val="24"/>
          <w:szCs w:val="24"/>
        </w:rPr>
        <w:noBreakHyphen/>
        <w:t>designed mobile tool is feasible, usable, and sufficiently accurate for community</w:t>
      </w:r>
      <w:r w:rsidRPr="0041753D">
        <w:rPr>
          <w:rFonts w:ascii="Times New Roman" w:eastAsia="Times New Roman" w:hAnsi="Times New Roman" w:cs="Times New Roman"/>
          <w:color w:val="0F1115"/>
          <w:sz w:val="24"/>
          <w:szCs w:val="24"/>
        </w:rPr>
        <w:noBreakHyphen/>
        <w:t>based malaria early warning in Dire Dawa.</w:t>
      </w:r>
    </w:p>
    <w:p w:rsidR="00A15702" w:rsidRDefault="00A15702" w:rsidP="00A15702">
      <w:pPr>
        <w:shd w:val="clear" w:color="auto" w:fill="FFFFFF"/>
        <w:spacing w:after="120" w:line="240" w:lineRule="auto"/>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IN" w:eastAsia="en-IN"/>
        </w:rPr>
        <w:drawing>
          <wp:inline distT="0" distB="0" distL="0" distR="0">
            <wp:extent cx="5936615" cy="44196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615" cy="4419600"/>
                    </a:xfrm>
                    <a:prstGeom prst="rect">
                      <a:avLst/>
                    </a:prstGeom>
                    <a:noFill/>
                    <a:ln>
                      <a:noFill/>
                    </a:ln>
                  </pic:spPr>
                </pic:pic>
              </a:graphicData>
            </a:graphic>
          </wp:inline>
        </w:drawing>
      </w:r>
    </w:p>
    <w:p w:rsidR="005B7A69" w:rsidRDefault="0041753D" w:rsidP="0061582F">
      <w:pPr>
        <w:shd w:val="clear" w:color="auto" w:fill="FFFFFF"/>
        <w:spacing w:after="120"/>
        <w:jc w:val="both"/>
        <w:rPr>
          <w:rFonts w:ascii="Times New Roman" w:eastAsia="Times New Roman" w:hAnsi="Times New Roman" w:cs="Times New Roman"/>
          <w:color w:val="0F1115"/>
          <w:sz w:val="24"/>
          <w:szCs w:val="24"/>
        </w:rPr>
      </w:pPr>
      <w:r w:rsidRPr="0041753D">
        <w:rPr>
          <w:rFonts w:ascii="Times New Roman" w:eastAsia="Times New Roman" w:hAnsi="Times New Roman" w:cs="Times New Roman"/>
          <w:bCs/>
          <w:color w:val="0F1115"/>
          <w:sz w:val="24"/>
          <w:szCs w:val="24"/>
        </w:rPr>
        <w:t>Figure 9(A).</w:t>
      </w:r>
      <w:r w:rsidRPr="0041753D">
        <w:rPr>
          <w:rFonts w:ascii="Times New Roman" w:eastAsia="Times New Roman" w:hAnsi="Times New Roman" w:cs="Times New Roman"/>
          <w:color w:val="0F1115"/>
          <w:sz w:val="24"/>
          <w:szCs w:val="24"/>
        </w:rPr>
        <w:t> Household reporting completion: 98% of enrolled</w:t>
      </w:r>
      <w:r>
        <w:rPr>
          <w:rFonts w:ascii="Times New Roman" w:eastAsia="Times New Roman" w:hAnsi="Times New Roman" w:cs="Times New Roman"/>
          <w:color w:val="0F1115"/>
          <w:sz w:val="24"/>
          <w:szCs w:val="24"/>
        </w:rPr>
        <w:t xml:space="preserve"> households completed 12 weeks. </w:t>
      </w:r>
      <w:r w:rsidRPr="0041753D">
        <w:rPr>
          <w:rFonts w:ascii="Times New Roman" w:eastAsia="Times New Roman" w:hAnsi="Times New Roman" w:cs="Times New Roman"/>
          <w:bCs/>
          <w:color w:val="0F1115"/>
          <w:sz w:val="24"/>
          <w:szCs w:val="24"/>
        </w:rPr>
        <w:t>9(B).</w:t>
      </w:r>
      <w:r w:rsidRPr="0041753D">
        <w:rPr>
          <w:rFonts w:ascii="Times New Roman" w:eastAsia="Times New Roman" w:hAnsi="Times New Roman" w:cs="Times New Roman"/>
          <w:color w:val="0F1115"/>
          <w:sz w:val="24"/>
          <w:szCs w:val="24"/>
        </w:rPr>
        <w:t> Preferred reporting method: voice</w:t>
      </w:r>
      <w:r>
        <w:rPr>
          <w:rFonts w:ascii="Times New Roman" w:eastAsia="Times New Roman" w:hAnsi="Times New Roman" w:cs="Times New Roman"/>
          <w:color w:val="0F1115"/>
          <w:sz w:val="24"/>
          <w:szCs w:val="24"/>
        </w:rPr>
        <w:t xml:space="preserve"> input (90%) versus text (10%). </w:t>
      </w:r>
      <w:r w:rsidRPr="0041753D">
        <w:rPr>
          <w:rFonts w:ascii="Times New Roman" w:eastAsia="Times New Roman" w:hAnsi="Times New Roman" w:cs="Times New Roman"/>
          <w:bCs/>
          <w:color w:val="0F1115"/>
          <w:sz w:val="24"/>
          <w:szCs w:val="24"/>
        </w:rPr>
        <w:t>9(C).</w:t>
      </w:r>
      <w:r w:rsidRPr="0041753D">
        <w:rPr>
          <w:rFonts w:ascii="Times New Roman" w:eastAsia="Times New Roman" w:hAnsi="Times New Roman" w:cs="Times New Roman"/>
          <w:color w:val="0F1115"/>
          <w:sz w:val="24"/>
          <w:szCs w:val="24"/>
        </w:rPr>
        <w:t> System Usability Scale mean score of 78.4 (95% CI: 74.1–82.7), exceeding the</w:t>
      </w:r>
      <w:r>
        <w:rPr>
          <w:rFonts w:ascii="Times New Roman" w:eastAsia="Times New Roman" w:hAnsi="Times New Roman" w:cs="Times New Roman"/>
          <w:color w:val="0F1115"/>
          <w:sz w:val="24"/>
          <w:szCs w:val="24"/>
        </w:rPr>
        <w:t xml:space="preserve"> above</w:t>
      </w:r>
      <w:r>
        <w:rPr>
          <w:rFonts w:ascii="Times New Roman" w:eastAsia="Times New Roman" w:hAnsi="Times New Roman" w:cs="Times New Roman"/>
          <w:color w:val="0F1115"/>
          <w:sz w:val="24"/>
          <w:szCs w:val="24"/>
        </w:rPr>
        <w:noBreakHyphen/>
        <w:t xml:space="preserve">average threshold of 68. </w:t>
      </w:r>
      <w:r w:rsidRPr="0041753D">
        <w:rPr>
          <w:rFonts w:ascii="Times New Roman" w:eastAsia="Times New Roman" w:hAnsi="Times New Roman" w:cs="Times New Roman"/>
          <w:bCs/>
          <w:color w:val="0F1115"/>
          <w:sz w:val="24"/>
          <w:szCs w:val="24"/>
        </w:rPr>
        <w:t>9(D).</w:t>
      </w:r>
      <w:r w:rsidRPr="0041753D">
        <w:rPr>
          <w:rFonts w:ascii="Times New Roman" w:eastAsia="Times New Roman" w:hAnsi="Times New Roman" w:cs="Times New Roman"/>
          <w:color w:val="0F1115"/>
          <w:sz w:val="24"/>
          <w:szCs w:val="24"/>
        </w:rPr>
        <w:t> Real</w:t>
      </w:r>
      <w:r w:rsidRPr="0041753D">
        <w:rPr>
          <w:rFonts w:ascii="Times New Roman" w:eastAsia="Times New Roman" w:hAnsi="Times New Roman" w:cs="Times New Roman"/>
          <w:color w:val="0F1115"/>
          <w:sz w:val="24"/>
          <w:szCs w:val="24"/>
        </w:rPr>
        <w:noBreakHyphen/>
        <w:t>time alert accuracy: 82% match rate, 18% false positive rate (unseasonal rains).</w:t>
      </w:r>
    </w:p>
    <w:p w:rsidR="0041753D" w:rsidRPr="0041753D" w:rsidRDefault="005136F8" w:rsidP="0041753D">
      <w:pPr>
        <w:pStyle w:val="Heading2"/>
        <w:shd w:val="clear" w:color="auto" w:fill="FFFFFF"/>
        <w:spacing w:before="0" w:beforeAutospacing="0" w:after="120" w:afterAutospacing="0" w:line="276" w:lineRule="auto"/>
        <w:jc w:val="both"/>
        <w:rPr>
          <w:b w:val="0"/>
          <w:color w:val="0F1115"/>
          <w:sz w:val="24"/>
          <w:szCs w:val="24"/>
        </w:rPr>
      </w:pPr>
      <w:r>
        <w:rPr>
          <w:b w:val="0"/>
          <w:color w:val="0F1115"/>
          <w:sz w:val="24"/>
          <w:szCs w:val="24"/>
        </w:rPr>
        <w:t>4. Discussion</w:t>
      </w:r>
    </w:p>
    <w:p w:rsidR="0041753D" w:rsidRPr="0041753D" w:rsidRDefault="0041753D" w:rsidP="0041753D">
      <w:pPr>
        <w:pStyle w:val="Heading3"/>
        <w:shd w:val="clear" w:color="auto" w:fill="FFFFFF"/>
        <w:spacing w:before="0" w:beforeAutospacing="0" w:after="120" w:afterAutospacing="0" w:line="276" w:lineRule="auto"/>
        <w:jc w:val="both"/>
        <w:rPr>
          <w:b w:val="0"/>
          <w:color w:val="0F1115"/>
          <w:sz w:val="24"/>
          <w:szCs w:val="24"/>
        </w:rPr>
      </w:pPr>
      <w:r w:rsidRPr="0041753D">
        <w:rPr>
          <w:b w:val="0"/>
          <w:color w:val="0F1115"/>
          <w:sz w:val="24"/>
          <w:szCs w:val="24"/>
        </w:rPr>
        <w:t>4.1 Summary of Principal Findings</w:t>
      </w:r>
    </w:p>
    <w:p w:rsidR="0041753D" w:rsidRP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This mixed</w:t>
      </w:r>
      <w:r w:rsidRPr="0041753D">
        <w:rPr>
          <w:color w:val="0F1115"/>
        </w:rPr>
        <w:noBreakHyphen/>
        <w:t>methods, community</w:t>
      </w:r>
      <w:r w:rsidRPr="0041753D">
        <w:rPr>
          <w:color w:val="0F1115"/>
        </w:rPr>
        <w:noBreakHyphen/>
        <w:t>engaged study demonstrated that indigenous malaria knowledge in Dire Dawa contains valid, quantifiable predictors of mosquito abundance and transmission risk (Degefa et al., 2024; Emiru et al., 2023). Through structured elicitation with 300 Oromo, Somali and Amhara participants, we documented 54 indigenous indicators, of which 12 were operationalised into binary and ordinal variables suitable for machine learning. Integration of these indigenous indicators with climatic and topographic data yielded a combined ensemble model that outperformed both climate</w:t>
      </w:r>
      <w:r w:rsidRPr="0041753D">
        <w:rPr>
          <w:color w:val="0F1115"/>
        </w:rPr>
        <w:noBreakHyphen/>
        <w:t>only and indigenous</w:t>
      </w:r>
      <w:r w:rsidRPr="0041753D">
        <w:rPr>
          <w:color w:val="0F1115"/>
        </w:rPr>
        <w:noBreakHyphen/>
        <w:t xml:space="preserve">only benchmarks across all performance metrics. The combined model achieved 88% sensitivity and 84% specificity (AUC = 0.92), representing a 16–20 percentage point improvement in predictive accuracy over the </w:t>
      </w:r>
      <w:r w:rsidRPr="0041753D">
        <w:rPr>
          <w:color w:val="0F1115"/>
        </w:rPr>
        <w:lastRenderedPageBreak/>
        <w:t>climate</w:t>
      </w:r>
      <w:r w:rsidRPr="0041753D">
        <w:rPr>
          <w:color w:val="0F1115"/>
        </w:rPr>
        <w:noBreakHyphen/>
        <w:t>only model. Importantly, the integrated model provided a median early warning lead time of 2 weeks, compared to 1 week for the climate</w:t>
      </w:r>
      <w:r w:rsidRPr="0041753D">
        <w:rPr>
          <w:color w:val="0F1115"/>
        </w:rPr>
        <w:noBreakHyphen/>
        <w:t>only model (Dhuguma et al., 2025). Moreover, the co</w:t>
      </w:r>
      <w:r w:rsidRPr="0041753D">
        <w:rPr>
          <w:color w:val="0F1115"/>
        </w:rPr>
        <w:noBreakHyphen/>
        <w:t>designed digital surveillance tool achieved a System Usability Scale score of 78.4 (good to excellent) (Brooke, 1996), with 98% household completion and 90% voice input preference, confirming that community members readily adopt digital tools when their own knowledge is visibly incorporated (Israel et al., 2012). These findings underscore the synergistic value of blending local ecological expertise with modern artificial intelligence for public health surveillance in low</w:t>
      </w:r>
      <w:r w:rsidRPr="0041753D">
        <w:rPr>
          <w:color w:val="0F1115"/>
        </w:rPr>
        <w:noBreakHyphen/>
        <w:t>resource settings.</w:t>
      </w:r>
    </w:p>
    <w:p w:rsidR="0041753D" w:rsidRPr="0041753D" w:rsidRDefault="0041753D" w:rsidP="0041753D">
      <w:pPr>
        <w:pStyle w:val="Heading3"/>
        <w:shd w:val="clear" w:color="auto" w:fill="FFFFFF"/>
        <w:spacing w:before="0" w:beforeAutospacing="0" w:after="120" w:afterAutospacing="0" w:line="276" w:lineRule="auto"/>
        <w:jc w:val="both"/>
        <w:rPr>
          <w:b w:val="0"/>
          <w:color w:val="0F1115"/>
          <w:sz w:val="24"/>
          <w:szCs w:val="24"/>
        </w:rPr>
      </w:pPr>
      <w:r w:rsidRPr="0041753D">
        <w:rPr>
          <w:b w:val="0"/>
          <w:color w:val="0F1115"/>
          <w:sz w:val="24"/>
          <w:szCs w:val="24"/>
        </w:rPr>
        <w:t>4.2 Comparison with Existing Literature</w:t>
      </w:r>
    </w:p>
    <w:p w:rsidR="0041753D" w:rsidRP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The indigenous indicators documented in this study, including red cattle proximity, </w:t>
      </w:r>
      <w:r w:rsidRPr="0041753D">
        <w:rPr>
          <w:rStyle w:val="Emphasis"/>
          <w:color w:val="0F1115"/>
        </w:rPr>
        <w:t>Acacia seyal</w:t>
      </w:r>
      <w:r w:rsidRPr="0041753D">
        <w:rPr>
          <w:color w:val="0F1115"/>
        </w:rPr>
        <w:t> flowering, Dechatu stagnant pools, livestock relocation and </w:t>
      </w:r>
      <w:r w:rsidRPr="0041753D">
        <w:rPr>
          <w:rStyle w:val="Emphasis"/>
          <w:color w:val="0F1115"/>
        </w:rPr>
        <w:t>Olea</w:t>
      </w:r>
      <w:r w:rsidRPr="0041753D">
        <w:rPr>
          <w:color w:val="0F1115"/>
        </w:rPr>
        <w:t> leaf smoking, align with broader regional patterns. Studies among pastoralists in northern Tanzania have similarly documented that livestock ownership substantially increases malaria risk, and that community knowledge of mosquito ecology is a valuable resource for vector control (Malisa &amp; Ndukai, 2010). The Digo community on the Kenyan coast has been shown to possess sophisticated ethnodiagnostic skills for malaria, further confirming that local knowledge systems can meaningfully inform disease surveillance (Nguta et al., 2010). Ethnobotanical surveys across Ethiopia have documented extensive traditional knowledge of antimalarial plants, including 27 species in the Somali Region (Mesfin et al., 2012) and 46 species in Sibu Sire District (Regassa et al., 2025), with </w:t>
      </w:r>
      <w:r w:rsidRPr="0041753D">
        <w:rPr>
          <w:rStyle w:val="Emphasis"/>
          <w:color w:val="0F1115"/>
        </w:rPr>
        <w:t>Azadirachta indica</w:t>
      </w:r>
      <w:r w:rsidRPr="0041753D">
        <w:rPr>
          <w:color w:val="0F1115"/>
        </w:rPr>
        <w:t>, </w:t>
      </w:r>
      <w:r w:rsidRPr="0041753D">
        <w:rPr>
          <w:rStyle w:val="Emphasis"/>
          <w:color w:val="0F1115"/>
        </w:rPr>
        <w:t>Allium sativum</w:t>
      </w:r>
      <w:r w:rsidRPr="0041753D">
        <w:rPr>
          <w:color w:val="0F1115"/>
        </w:rPr>
        <w:t> and </w:t>
      </w:r>
      <w:r w:rsidRPr="0041753D">
        <w:rPr>
          <w:rStyle w:val="Emphasis"/>
          <w:color w:val="0F1115"/>
        </w:rPr>
        <w:t>Vernonia amygdalina</w:t>
      </w:r>
      <w:r w:rsidRPr="0041753D">
        <w:rPr>
          <w:color w:val="0F1115"/>
        </w:rPr>
        <w:t> being most frequently reported (Suleman et al., 2018). However, these and similar studies have remained purely descriptive, with no attempt to digitise or integrate indigenous knowledge into predictive algorithms.</w:t>
      </w:r>
    </w:p>
    <w:p w:rsidR="0041753D" w:rsidRP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The novelty of the present study lies in three dimensions. First, it is the first study in Ethiopia to systematically codify and integrate indigenous malaria indicators into a machine learning framework. Second, it is the first to deploy a community</w:t>
      </w:r>
      <w:r w:rsidRPr="0041753D">
        <w:rPr>
          <w:color w:val="0F1115"/>
        </w:rPr>
        <w:noBreakHyphen/>
        <w:t>facing digital surveillance tool that incorporates these indicators in a real</w:t>
      </w:r>
      <w:r w:rsidRPr="0041753D">
        <w:rPr>
          <w:color w:val="0F1115"/>
        </w:rPr>
        <w:noBreakHyphen/>
        <w:t>world pilot. Third, the semi</w:t>
      </w:r>
      <w:r w:rsidRPr="0041753D">
        <w:rPr>
          <w:color w:val="0F1115"/>
        </w:rPr>
        <w:noBreakHyphen/>
        <w:t>arid, lowland urban</w:t>
      </w:r>
      <w:r w:rsidRPr="0041753D">
        <w:rPr>
          <w:color w:val="0F1115"/>
        </w:rPr>
        <w:noBreakHyphen/>
        <w:t>peri</w:t>
      </w:r>
      <w:r w:rsidRPr="0041753D">
        <w:rPr>
          <w:color w:val="0F1115"/>
        </w:rPr>
        <w:noBreakHyphen/>
        <w:t>urban setting of Dire Dawa with </w:t>
      </w:r>
      <w:r w:rsidRPr="0041753D">
        <w:rPr>
          <w:rStyle w:val="Emphasis"/>
          <w:color w:val="0F1115"/>
        </w:rPr>
        <w:t>Anopheles stephensi</w:t>
      </w:r>
      <w:r w:rsidRPr="0041753D">
        <w:rPr>
          <w:color w:val="0F1115"/>
        </w:rPr>
        <w:t> invasion (Emiru et al., 2023) represents an ecological context distinct from the highland epidemic fringe where most Ethiopian malaria ML studies have been conducted (Chekol &amp; Hagras, 2018; Dhuguma et al., 2025). Our study accordingly extends the evidence base for AI</w:t>
      </w:r>
      <w:r w:rsidRPr="0041753D">
        <w:rPr>
          <w:color w:val="0F1115"/>
        </w:rPr>
        <w:noBreakHyphen/>
        <w:t>augmented surveillance into a rapidly urbanising, lowland transmission zone where conventional approaches are least effective.</w:t>
      </w:r>
    </w:p>
    <w:p w:rsidR="0041753D" w:rsidRPr="0041753D" w:rsidRDefault="0041753D" w:rsidP="0041753D">
      <w:pPr>
        <w:pStyle w:val="Heading3"/>
        <w:shd w:val="clear" w:color="auto" w:fill="FFFFFF"/>
        <w:spacing w:before="0" w:beforeAutospacing="0" w:after="120" w:afterAutospacing="0" w:line="276" w:lineRule="auto"/>
        <w:jc w:val="both"/>
        <w:rPr>
          <w:b w:val="0"/>
          <w:color w:val="0F1115"/>
          <w:sz w:val="24"/>
          <w:szCs w:val="24"/>
        </w:rPr>
      </w:pPr>
      <w:r w:rsidRPr="0041753D">
        <w:rPr>
          <w:b w:val="0"/>
          <w:color w:val="0F1115"/>
          <w:sz w:val="24"/>
          <w:szCs w:val="24"/>
        </w:rPr>
        <w:t>4.3 Interpretation of Performance Gains</w:t>
      </w:r>
    </w:p>
    <w:p w:rsidR="0041753D" w:rsidRP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The substantial improvement in predictive performance when indigenous indicators were added to climatic variables can be explained by three complementary mechanisms. First, indigenous indicators capture </w:t>
      </w:r>
      <w:r w:rsidRPr="0041753D">
        <w:rPr>
          <w:rStyle w:val="Strong"/>
          <w:b w:val="0"/>
          <w:color w:val="0F1115"/>
        </w:rPr>
        <w:t>fine</w:t>
      </w:r>
      <w:r w:rsidRPr="0041753D">
        <w:rPr>
          <w:rStyle w:val="Strong"/>
          <w:b w:val="0"/>
          <w:color w:val="0F1115"/>
        </w:rPr>
        <w:noBreakHyphen/>
        <w:t>scale, human</w:t>
      </w:r>
      <w:r w:rsidRPr="0041753D">
        <w:rPr>
          <w:rStyle w:val="Strong"/>
          <w:b w:val="0"/>
          <w:color w:val="0F1115"/>
        </w:rPr>
        <w:noBreakHyphen/>
        <w:t>environment interactions</w:t>
      </w:r>
      <w:r w:rsidRPr="0041753D">
        <w:rPr>
          <w:color w:val="0F1115"/>
        </w:rPr>
        <w:t> that are invisible to satellite remote sensing. For instance, red cattle proximity (the third most important feature after 2</w:t>
      </w:r>
      <w:r w:rsidRPr="0041753D">
        <w:rPr>
          <w:color w:val="0F1115"/>
        </w:rPr>
        <w:noBreakHyphen/>
        <w:t>week lag rainfall and night</w:t>
      </w:r>
      <w:r w:rsidRPr="0041753D">
        <w:rPr>
          <w:color w:val="0F1115"/>
        </w:rPr>
        <w:noBreakHyphen/>
        <w:t>time LST) operates through a well</w:t>
      </w:r>
      <w:r w:rsidRPr="0041753D">
        <w:rPr>
          <w:color w:val="0F1115"/>
        </w:rPr>
        <w:noBreakHyphen/>
        <w:t xml:space="preserve">established zoopotentiation pathway: livestock provide a bloodmeal reservoir for anopheline mosquitoes, reducing the likelihood that a </w:t>
      </w:r>
      <w:r w:rsidRPr="0041753D">
        <w:rPr>
          <w:color w:val="0F1115"/>
        </w:rPr>
        <w:lastRenderedPageBreak/>
        <w:t>mosquito will feed on a human host, but paradoxically increasing the absolute number of infected mosquitoes when parasites are present (Degefa et al., 2024). Similarly, indigenous reports of Dechatu stagnant pools, </w:t>
      </w:r>
      <w:r w:rsidRPr="0041753D">
        <w:rPr>
          <w:rStyle w:val="Emphasis"/>
          <w:color w:val="0F1115"/>
        </w:rPr>
        <w:t>Acacia</w:t>
      </w:r>
      <w:r w:rsidRPr="0041753D">
        <w:rPr>
          <w:color w:val="0F1115"/>
        </w:rPr>
        <w:t> flowering and livestock relocation behaviour reflect local hydrological management, plant phenology and husbandry practices — variables that are not captured by any satellite</w:t>
      </w:r>
      <w:r w:rsidRPr="0041753D">
        <w:rPr>
          <w:color w:val="0F1115"/>
        </w:rPr>
        <w:noBreakHyphen/>
        <w:t>derived product.</w:t>
      </w:r>
    </w:p>
    <w:p w:rsidR="0041753D" w:rsidRP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Second, the </w:t>
      </w:r>
      <w:r w:rsidRPr="0041753D">
        <w:rPr>
          <w:rStyle w:val="Strong"/>
          <w:b w:val="0"/>
          <w:color w:val="0F1115"/>
        </w:rPr>
        <w:t>cultural validity</w:t>
      </w:r>
      <w:r w:rsidRPr="0041753D">
        <w:rPr>
          <w:color w:val="0F1115"/>
        </w:rPr>
        <w:t> embedded in the co</w:t>
      </w:r>
      <w:r w:rsidRPr="0041753D">
        <w:rPr>
          <w:color w:val="0F1115"/>
        </w:rPr>
        <w:noBreakHyphen/>
        <w:t>design process directly improved reporting compliance and data completeness. The 90% voice input preference and 98% household completion rate demonstrate that when community members recognise their own knowledge categories in a digital interface, they engage more consistently and accurately (Kostandova et al., 2024). This finding aligns with the principles of community</w:t>
      </w:r>
      <w:r w:rsidRPr="0041753D">
        <w:rPr>
          <w:color w:val="0F1115"/>
        </w:rPr>
        <w:noBreakHyphen/>
        <w:t>based participatory research (Israel et al., 2012), where knowledge co</w:t>
      </w:r>
      <w:r w:rsidRPr="0041753D">
        <w:rPr>
          <w:color w:val="0F1115"/>
        </w:rPr>
        <w:noBreakHyphen/>
        <w:t>production enhances both data quality and intervention acceptability.</w:t>
      </w:r>
    </w:p>
    <w:p w:rsidR="0041753D" w:rsidRP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Third, the combination of indigenous and climatic data effectively </w:t>
      </w:r>
      <w:r w:rsidRPr="0041753D">
        <w:rPr>
          <w:rStyle w:val="Strong"/>
          <w:b w:val="0"/>
          <w:color w:val="0F1115"/>
        </w:rPr>
        <w:t>compensates for the respective weaknesses of each knowledge system</w:t>
      </w:r>
      <w:r w:rsidRPr="0041753D">
        <w:rPr>
          <w:color w:val="0F1115"/>
        </w:rPr>
        <w:t>. Climatic data alone are temporally broad but spatially coarse and biologically indirect; indigenous observations are spatially fine</w:t>
      </w:r>
      <w:r w:rsidRPr="0041753D">
        <w:rPr>
          <w:color w:val="0F1115"/>
        </w:rPr>
        <w:noBreakHyphen/>
        <w:t>grained and biologically direct but prone to recall bias. By fusing the two streams, the ensemble model leveraged the reliability of satellite data and the local validity of community observations. The model’s ability to predict outbreaks 1–2 weeks earlier than climate</w:t>
      </w:r>
      <w:r w:rsidRPr="0041753D">
        <w:rPr>
          <w:color w:val="0F1115"/>
        </w:rPr>
        <w:noBreakHyphen/>
        <w:t>only systems can be directly attributed to this complementarity (Waymire et al., 2025).</w:t>
      </w:r>
    </w:p>
    <w:p w:rsidR="0041753D" w:rsidRPr="0041753D" w:rsidRDefault="0041753D" w:rsidP="0041753D">
      <w:pPr>
        <w:pStyle w:val="Heading3"/>
        <w:shd w:val="clear" w:color="auto" w:fill="FFFFFF"/>
        <w:spacing w:before="0" w:beforeAutospacing="0" w:after="120" w:afterAutospacing="0" w:line="276" w:lineRule="auto"/>
        <w:jc w:val="both"/>
        <w:rPr>
          <w:b w:val="0"/>
          <w:color w:val="0F1115"/>
          <w:sz w:val="24"/>
          <w:szCs w:val="24"/>
        </w:rPr>
      </w:pPr>
      <w:r w:rsidRPr="0041753D">
        <w:rPr>
          <w:b w:val="0"/>
          <w:color w:val="0F1115"/>
          <w:sz w:val="24"/>
          <w:szCs w:val="24"/>
        </w:rPr>
        <w:t>4.4 Implementation and Scalability</w:t>
      </w:r>
    </w:p>
    <w:p w:rsidR="0041753D" w:rsidRP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The digital surveillance tool developed in this study was deliberately designed for scalability in resource</w:t>
      </w:r>
      <w:r w:rsidRPr="0041753D">
        <w:rPr>
          <w:color w:val="0F1115"/>
        </w:rPr>
        <w:noBreakHyphen/>
        <w:t>constrained Ethiopian settings. The MalariaSentry Android application requires only basic smartphones (minimum Android 10), functions entirely offline, and synchronises data when connectivi</w:t>
      </w:r>
      <w:r w:rsidR="005136F8">
        <w:rPr>
          <w:color w:val="0F1115"/>
        </w:rPr>
        <w:t xml:space="preserve">ty becomes available </w:t>
      </w:r>
      <w:r w:rsidRPr="0041753D">
        <w:rPr>
          <w:color w:val="0F1115"/>
        </w:rPr>
        <w:t>critical feature given intermittent network coverage in peri</w:t>
      </w:r>
      <w:r w:rsidRPr="0041753D">
        <w:rPr>
          <w:color w:val="0F1115"/>
        </w:rPr>
        <w:noBreakHyphen/>
        <w:t>urban and rural kebeles. The 90% voice input preference confirms that speech</w:t>
      </w:r>
      <w:r w:rsidRPr="0041753D">
        <w:rPr>
          <w:color w:val="0F1115"/>
        </w:rPr>
        <w:noBreakHyphen/>
        <w:t>based interfaces are essential for low</w:t>
      </w:r>
      <w:r w:rsidRPr="0041753D">
        <w:rPr>
          <w:color w:val="0F1115"/>
        </w:rPr>
        <w:noBreakHyphen/>
        <w:t>literacy users; accordingly, the application supports both text and voice reporting in Afan Oromo, Somali, Amharic and English. Technically, the tool can be integrated into Ethiopia’s national DHIS2 platform via standardised application programming interfaces, allowing risk alerts and community reports to flow directly into routine surveillance dashboards used by health district officers. However, successful scaling requires targeted training of community health workers on the meaning and reporting procedure for each of the 12 indigenous indicators. The 4</w:t>
      </w:r>
      <w:r w:rsidRPr="0041753D">
        <w:rPr>
          <w:color w:val="0F1115"/>
        </w:rPr>
        <w:noBreakHyphen/>
        <w:t>month pilot demonstrated that a half</w:t>
      </w:r>
      <w:r w:rsidRPr="0041753D">
        <w:rPr>
          <w:color w:val="0F1115"/>
        </w:rPr>
        <w:noBreakHyphen/>
        <w:t>day training session was sufficient for competency; scaling would accordingly require a modest investment in cascading training through the existing Health Extension Program infrastructure. Cost</w:t>
      </w:r>
      <w:r w:rsidRPr="0041753D">
        <w:rPr>
          <w:color w:val="0F1115"/>
        </w:rPr>
        <w:noBreakHyphen/>
        <w:t>effectiveness analyses will be needed, but the use of low</w:t>
      </w:r>
      <w:r w:rsidRPr="0041753D">
        <w:rPr>
          <w:color w:val="0F1115"/>
        </w:rPr>
        <w:noBreakHyphen/>
        <w:t>cost hardware (smartphones costing &lt; US$100) and open</w:t>
      </w:r>
      <w:r w:rsidRPr="0041753D">
        <w:rPr>
          <w:color w:val="0F1115"/>
        </w:rPr>
        <w:noBreakHyphen/>
        <w:t>source software positions this intervention as affordable compared to conventional entomological surveillance (Kostandova et al., 2024).</w:t>
      </w:r>
    </w:p>
    <w:p w:rsidR="0041753D" w:rsidRPr="0041753D" w:rsidRDefault="0041753D" w:rsidP="0041753D">
      <w:pPr>
        <w:pStyle w:val="Heading3"/>
        <w:shd w:val="clear" w:color="auto" w:fill="FFFFFF"/>
        <w:spacing w:before="0" w:beforeAutospacing="0" w:after="120" w:afterAutospacing="0" w:line="276" w:lineRule="auto"/>
        <w:jc w:val="both"/>
        <w:rPr>
          <w:b w:val="0"/>
          <w:color w:val="0F1115"/>
          <w:sz w:val="24"/>
          <w:szCs w:val="24"/>
        </w:rPr>
      </w:pPr>
      <w:r w:rsidRPr="0041753D">
        <w:rPr>
          <w:b w:val="0"/>
          <w:color w:val="0F1115"/>
          <w:sz w:val="24"/>
          <w:szCs w:val="24"/>
        </w:rPr>
        <w:t>4.5 Strengths and Limitations</w:t>
      </w:r>
    </w:p>
    <w:p w:rsidR="005136F8" w:rsidRDefault="0041753D" w:rsidP="0041753D">
      <w:pPr>
        <w:pStyle w:val="ds-markdown-paragraph"/>
        <w:shd w:val="clear" w:color="auto" w:fill="FFFFFF"/>
        <w:spacing w:before="0" w:beforeAutospacing="0" w:after="120" w:afterAutospacing="0" w:line="276" w:lineRule="auto"/>
        <w:jc w:val="both"/>
        <w:rPr>
          <w:rStyle w:val="Strong"/>
          <w:b w:val="0"/>
          <w:color w:val="0F1115"/>
        </w:rPr>
      </w:pPr>
      <w:r w:rsidRPr="0041753D">
        <w:rPr>
          <w:rStyle w:val="Strong"/>
          <w:b w:val="0"/>
          <w:color w:val="0F1115"/>
        </w:rPr>
        <w:lastRenderedPageBreak/>
        <w:t>Stren</w:t>
      </w:r>
      <w:r w:rsidR="005136F8">
        <w:rPr>
          <w:rStyle w:val="Strong"/>
          <w:b w:val="0"/>
          <w:color w:val="0F1115"/>
        </w:rPr>
        <w:t>gths</w:t>
      </w:r>
    </w:p>
    <w:p w:rsidR="0041753D" w:rsidRP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 The study has several methodological strengths. The explanatory sequential mixed</w:t>
      </w:r>
      <w:r w:rsidRPr="0041753D">
        <w:rPr>
          <w:color w:val="0F1115"/>
        </w:rPr>
        <w:noBreakHyphen/>
        <w:t>methods design with a community</w:t>
      </w:r>
      <w:r w:rsidRPr="0041753D">
        <w:rPr>
          <w:color w:val="0F1115"/>
        </w:rPr>
        <w:noBreakHyphen/>
        <w:t>based participatory research approach ensured that the indigenous indicators were systematically identified, cross</w:t>
      </w:r>
      <w:r w:rsidRPr="0041753D">
        <w:rPr>
          <w:color w:val="0F1115"/>
        </w:rPr>
        <w:noBreakHyphen/>
        <w:t>validated across three ethnic groups, and directly anchored to community priorities before quantification (Israel et al., 2012). The machine learning model was rigorously validated using temporal cross</w:t>
      </w:r>
      <w:r w:rsidRPr="0041753D">
        <w:rPr>
          <w:color w:val="0F1115"/>
        </w:rPr>
        <w:noBreakHyphen/>
        <w:t>validation (2019–2022 training vs 2023 test), avoiding the “future leakage” problem that plagues many climate</w:t>
      </w:r>
      <w:r w:rsidRPr="0041753D">
        <w:rPr>
          <w:color w:val="0F1115"/>
        </w:rPr>
        <w:noBreakHyphen/>
        <w:t>prediction studies (Dhuguma et al., 2025). Most importantly, the three</w:t>
      </w:r>
      <w:r w:rsidRPr="0041753D">
        <w:rPr>
          <w:color w:val="0F1115"/>
        </w:rPr>
        <w:noBreakHyphen/>
        <w:t>phase design moved beyond modelling to a real</w:t>
      </w:r>
      <w:r w:rsidRPr="0041753D">
        <w:rPr>
          <w:color w:val="0F1115"/>
        </w:rPr>
        <w:noBreakHyphen/>
        <w:t>world pilot with end</w:t>
      </w:r>
      <w:r w:rsidRPr="0041753D">
        <w:rPr>
          <w:color w:val="0F1115"/>
        </w:rPr>
        <w:noBreakHyphen/>
        <w:t>users, providing evidence on feasibility and usability that laboratory</w:t>
      </w:r>
      <w:r w:rsidRPr="0041753D">
        <w:rPr>
          <w:color w:val="0F1115"/>
        </w:rPr>
        <w:noBreakHyphen/>
        <w:t>based studies cannot offer.</w:t>
      </w:r>
    </w:p>
    <w:p w:rsidR="005136F8" w:rsidRDefault="005136F8" w:rsidP="0041753D">
      <w:pPr>
        <w:pStyle w:val="ds-markdown-paragraph"/>
        <w:shd w:val="clear" w:color="auto" w:fill="FFFFFF"/>
        <w:spacing w:before="0" w:beforeAutospacing="0" w:after="120" w:afterAutospacing="0" w:line="276" w:lineRule="auto"/>
        <w:jc w:val="both"/>
        <w:rPr>
          <w:rStyle w:val="Strong"/>
          <w:b w:val="0"/>
          <w:color w:val="0F1115"/>
        </w:rPr>
      </w:pPr>
      <w:r>
        <w:rPr>
          <w:rStyle w:val="Strong"/>
          <w:b w:val="0"/>
          <w:color w:val="0F1115"/>
        </w:rPr>
        <w:t>Limitations</w:t>
      </w:r>
    </w:p>
    <w:p w:rsidR="0041753D" w:rsidRP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Several limitations warrant consideration. First, the study was conducted in a single city (Dire Dawa), and the specific indigenous indicators (red cattle proximity, </w:t>
      </w:r>
      <w:r w:rsidRPr="0041753D">
        <w:rPr>
          <w:rStyle w:val="Emphasis"/>
          <w:color w:val="0F1115"/>
        </w:rPr>
        <w:t>Acacia seyal</w:t>
      </w:r>
      <w:r w:rsidRPr="0041753D">
        <w:rPr>
          <w:color w:val="0F1115"/>
        </w:rPr>
        <w:t> flowering, Dechatu stagnant pools) may not generalise to other ecological zones or ethnic groups in Ethiopia. Multi</w:t>
      </w:r>
      <w:r w:rsidRPr="0041753D">
        <w:rPr>
          <w:color w:val="0F1115"/>
        </w:rPr>
        <w:noBreakHyphen/>
        <w:t>site validation in highland, lowland and pastoralist settings is required before national scaling. Second, the pilot duration was limited to a single 4</w:t>
      </w:r>
      <w:r w:rsidRPr="0041753D">
        <w:rPr>
          <w:color w:val="0F1115"/>
        </w:rPr>
        <w:noBreakHyphen/>
        <w:t>month transmission season; longer</w:t>
      </w:r>
      <w:r w:rsidRPr="0041753D">
        <w:rPr>
          <w:color w:val="0F1115"/>
        </w:rPr>
        <w:noBreakHyphen/>
        <w:t>term sustainability of reporting behaviour, the potential for “alert fatigue,” and seasonal variations in model performance over multiple years remain unknown. Third, there is potential </w:t>
      </w:r>
      <w:r w:rsidRPr="0041753D">
        <w:rPr>
          <w:rStyle w:val="Strong"/>
          <w:b w:val="0"/>
          <w:color w:val="0F1115"/>
        </w:rPr>
        <w:t>recall bias</w:t>
      </w:r>
      <w:r w:rsidRPr="0041753D">
        <w:rPr>
          <w:color w:val="0F1115"/>
        </w:rPr>
        <w:t> in the qualitative elicitation of indigenous knowledge, as participants were asked to describe seasonal patterns and risk indicators from memory (Mesfin et al., 2012). While triangulation across 300 participants and the use of free</w:t>
      </w:r>
      <w:r w:rsidRPr="0041753D">
        <w:rPr>
          <w:color w:val="0F1115"/>
        </w:rPr>
        <w:noBreakHyphen/>
        <w:t>listing and pile</w:t>
      </w:r>
      <w:r w:rsidRPr="0041753D">
        <w:rPr>
          <w:color w:val="0F1115"/>
        </w:rPr>
        <w:noBreakHyphen/>
        <w:t>sorting techniques mitigated this risk, prospective ecological monitoring of the same indicators would have provided stronger validation. Fourth, t</w:t>
      </w:r>
      <w:r w:rsidR="005136F8">
        <w:rPr>
          <w:color w:val="0F1115"/>
        </w:rPr>
        <w:t xml:space="preserve">he false positive rate of 18%, </w:t>
      </w:r>
      <w:r w:rsidRPr="0041753D">
        <w:rPr>
          <w:color w:val="0F1115"/>
        </w:rPr>
        <w:t>m</w:t>
      </w:r>
      <w:r w:rsidR="005136F8">
        <w:rPr>
          <w:color w:val="0F1115"/>
        </w:rPr>
        <w:t xml:space="preserve">ostly during unseasonal rains </w:t>
      </w:r>
      <w:r w:rsidRPr="0041753D">
        <w:rPr>
          <w:color w:val="0F1115"/>
        </w:rPr>
        <w:t>indicates that the model remains vulnerable to transient environmental shocks that do not translate into sustained transmission (Emiru et al., 2023). Refining the model with additional lag variables or dynamic thresholds may reduce false alerts. Finally, the study did not include formal cost</w:t>
      </w:r>
      <w:r w:rsidRPr="0041753D">
        <w:rPr>
          <w:color w:val="0F1115"/>
        </w:rPr>
        <w:noBreakHyphen/>
        <w:t>effectiveness analysis, which will be necessary for policy decisions.</w:t>
      </w:r>
    </w:p>
    <w:p w:rsidR="0041753D" w:rsidRPr="0041753D" w:rsidRDefault="0041753D" w:rsidP="0041753D">
      <w:pPr>
        <w:pStyle w:val="Heading3"/>
        <w:shd w:val="clear" w:color="auto" w:fill="FFFFFF"/>
        <w:spacing w:before="0" w:beforeAutospacing="0" w:after="120" w:afterAutospacing="0" w:line="276" w:lineRule="auto"/>
        <w:jc w:val="both"/>
        <w:rPr>
          <w:b w:val="0"/>
          <w:color w:val="0F1115"/>
          <w:sz w:val="24"/>
          <w:szCs w:val="24"/>
        </w:rPr>
      </w:pPr>
      <w:r w:rsidRPr="0041753D">
        <w:rPr>
          <w:b w:val="0"/>
          <w:color w:val="0F1115"/>
          <w:sz w:val="24"/>
          <w:szCs w:val="24"/>
        </w:rPr>
        <w:t>4.6 Unanswered Questions and Future Research</w:t>
      </w:r>
    </w:p>
    <w:p w:rsidR="005136F8"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Several important questions remain unresolved and should guide future research. The </w:t>
      </w:r>
      <w:r w:rsidRPr="0041753D">
        <w:rPr>
          <w:rStyle w:val="Strong"/>
          <w:b w:val="0"/>
          <w:color w:val="0F1115"/>
        </w:rPr>
        <w:t>long</w:t>
      </w:r>
      <w:r w:rsidRPr="0041753D">
        <w:rPr>
          <w:rStyle w:val="Strong"/>
          <w:b w:val="0"/>
          <w:color w:val="0F1115"/>
        </w:rPr>
        <w:noBreakHyphen/>
        <w:t>term sustainability</w:t>
      </w:r>
      <w:r w:rsidRPr="0041753D">
        <w:rPr>
          <w:color w:val="0F1115"/>
        </w:rPr>
        <w:t> of digital reporting is uncertain. Will community members maintain weekly reporting after the novelty of the intervention wears off? Integrating reporting into existing Health</w:t>
      </w:r>
      <w:r w:rsidR="005136F8">
        <w:rPr>
          <w:color w:val="0F1115"/>
        </w:rPr>
        <w:t xml:space="preserve"> Extension Program incentives, </w:t>
      </w:r>
      <w:r w:rsidRPr="0041753D">
        <w:rPr>
          <w:color w:val="0F1115"/>
        </w:rPr>
        <w:t>such as linking completion</w:t>
      </w:r>
      <w:r w:rsidR="005136F8">
        <w:rPr>
          <w:color w:val="0F1115"/>
        </w:rPr>
        <w:t xml:space="preserve"> rates to performance bonuses </w:t>
      </w:r>
      <w:r w:rsidRPr="0041753D">
        <w:rPr>
          <w:color w:val="0F1115"/>
        </w:rPr>
        <w:t>may improve long</w:t>
      </w:r>
      <w:r w:rsidRPr="0041753D">
        <w:rPr>
          <w:color w:val="0F1115"/>
        </w:rPr>
        <w:noBreakHyphen/>
        <w:t>term adherence, but this requires operational research (Kostandova et al., 2024). Second, integration with </w:t>
      </w:r>
      <w:r w:rsidRPr="0041753D">
        <w:rPr>
          <w:rStyle w:val="Strong"/>
          <w:b w:val="0"/>
          <w:color w:val="0F1115"/>
        </w:rPr>
        <w:t>existing community health worker incentives</w:t>
      </w:r>
      <w:r w:rsidRPr="0041753D">
        <w:rPr>
          <w:color w:val="0F1115"/>
        </w:rPr>
        <w:t xml:space="preserve"> is underexplored. The current pilot provided modest compensation (mobile data bundles). </w:t>
      </w:r>
    </w:p>
    <w:p w:rsidR="0041753D" w:rsidRDefault="0041753D" w:rsidP="0041753D">
      <w:pPr>
        <w:pStyle w:val="ds-markdown-paragraph"/>
        <w:shd w:val="clear" w:color="auto" w:fill="FFFFFF"/>
        <w:spacing w:before="0" w:beforeAutospacing="0" w:after="120" w:afterAutospacing="0" w:line="276" w:lineRule="auto"/>
        <w:jc w:val="both"/>
        <w:rPr>
          <w:color w:val="0F1115"/>
        </w:rPr>
      </w:pPr>
      <w:r w:rsidRPr="0041753D">
        <w:rPr>
          <w:color w:val="0F1115"/>
        </w:rPr>
        <w:t>Future implementation research should test whether direct financial incentives, non</w:t>
      </w:r>
      <w:r w:rsidRPr="0041753D">
        <w:rPr>
          <w:color w:val="0F1115"/>
        </w:rPr>
        <w:noBreakHyphen/>
        <w:t xml:space="preserve">financial recognition, or simply the perceived </w:t>
      </w:r>
      <w:r w:rsidR="005136F8" w:rsidRPr="0041753D">
        <w:rPr>
          <w:color w:val="0F1115"/>
        </w:rPr>
        <w:t>utilities of risk alerts are</w:t>
      </w:r>
      <w:r w:rsidRPr="0041753D">
        <w:rPr>
          <w:color w:val="0F1115"/>
        </w:rPr>
        <w:t xml:space="preserve"> sufficient to sustain engagement. Third, the indigenous knowledge documented in this study did not systematically distinguish </w:t>
      </w:r>
      <w:r w:rsidRPr="0041753D">
        <w:rPr>
          <w:color w:val="0F1115"/>
        </w:rPr>
        <w:lastRenderedPageBreak/>
        <w:t>between </w:t>
      </w:r>
      <w:r w:rsidRPr="0041753D">
        <w:rPr>
          <w:rStyle w:val="Emphasis"/>
          <w:color w:val="0F1115"/>
        </w:rPr>
        <w:t>Plasmodium falciparum</w:t>
      </w:r>
      <w:r w:rsidRPr="0041753D">
        <w:rPr>
          <w:color w:val="0F1115"/>
        </w:rPr>
        <w:t> and </w:t>
      </w:r>
      <w:r w:rsidRPr="0041753D">
        <w:rPr>
          <w:rStyle w:val="Emphasis"/>
          <w:color w:val="0F1115"/>
        </w:rPr>
        <w:t>Plasmodium vivax</w:t>
      </w:r>
      <w:r w:rsidRPr="0041753D">
        <w:rPr>
          <w:color w:val="0F1115"/>
        </w:rPr>
        <w:t> transmission. However, anecdotal reports from Amhara participants (e.g., </w:t>
      </w:r>
      <w:r w:rsidRPr="0041753D">
        <w:rPr>
          <w:rStyle w:val="Emphasis"/>
          <w:color w:val="0F1115"/>
        </w:rPr>
        <w:t>busaa</w:t>
      </w:r>
      <w:r w:rsidRPr="0041753D">
        <w:rPr>
          <w:color w:val="0F1115"/>
        </w:rPr>
        <w:t> for “fever returning after two good days”) suggest that some communities can differentiate tertian and quartan periodicity. A future study using parasite species</w:t>
      </w:r>
      <w:r w:rsidRPr="0041753D">
        <w:rPr>
          <w:color w:val="0F1115"/>
        </w:rPr>
        <w:noBreakHyphen/>
        <w:t>specific surveillance could test whether indigenous indicators can separately predict </w:t>
      </w:r>
      <w:r w:rsidRPr="0041753D">
        <w:rPr>
          <w:rStyle w:val="Emphasis"/>
          <w:color w:val="0F1115"/>
        </w:rPr>
        <w:t>P. falciparum</w:t>
      </w:r>
      <w:r w:rsidRPr="0041753D">
        <w:rPr>
          <w:color w:val="0F1115"/>
        </w:rPr>
        <w:t> and </w:t>
      </w:r>
      <w:r w:rsidRPr="0041753D">
        <w:rPr>
          <w:rStyle w:val="Emphasis"/>
          <w:color w:val="0F1115"/>
        </w:rPr>
        <w:t>P. vivax</w:t>
      </w:r>
      <w:r w:rsidR="005136F8">
        <w:rPr>
          <w:color w:val="0F1115"/>
        </w:rPr>
        <w:t> outbreaks</w:t>
      </w:r>
      <w:r w:rsidRPr="0041753D">
        <w:rPr>
          <w:color w:val="0F1115"/>
        </w:rPr>
        <w:t xml:space="preserve"> information that would guide species</w:t>
      </w:r>
      <w:r w:rsidRPr="0041753D">
        <w:rPr>
          <w:color w:val="0F1115"/>
        </w:rPr>
        <w:noBreakHyphen/>
        <w:t>specific interventions such as targeted primaquine administration (Waymire et al., 2025). Finally, the present study did not include an economic evaluation. A cluster</w:t>
      </w:r>
      <w:r w:rsidRPr="0041753D">
        <w:rPr>
          <w:color w:val="0F1115"/>
        </w:rPr>
        <w:noBreakHyphen/>
        <w:t>randomised trial comparing standard surveillance to indigenous</w:t>
      </w:r>
      <w:r w:rsidRPr="0041753D">
        <w:rPr>
          <w:color w:val="0F1115"/>
        </w:rPr>
        <w:noBreakHyphen/>
        <w:t>augmented surveillance, with cost</w:t>
      </w:r>
      <w:r w:rsidRPr="0041753D">
        <w:rPr>
          <w:color w:val="0F1115"/>
        </w:rPr>
        <w:noBreakHyphen/>
        <w:t>effectiveness outcomes, is the logical next step before national policy recommendations can be made.</w:t>
      </w:r>
    </w:p>
    <w:p w:rsidR="005136F8" w:rsidRPr="005136F8" w:rsidRDefault="005136F8" w:rsidP="005136F8">
      <w:pPr>
        <w:pStyle w:val="Heading2"/>
        <w:shd w:val="clear" w:color="auto" w:fill="FFFFFF"/>
        <w:spacing w:before="0" w:beforeAutospacing="0" w:after="120" w:afterAutospacing="0" w:line="276" w:lineRule="auto"/>
        <w:jc w:val="both"/>
        <w:rPr>
          <w:b w:val="0"/>
          <w:color w:val="0F1115"/>
          <w:sz w:val="24"/>
          <w:szCs w:val="24"/>
        </w:rPr>
      </w:pPr>
      <w:r w:rsidRPr="005136F8">
        <w:rPr>
          <w:b w:val="0"/>
          <w:color w:val="0F1115"/>
          <w:sz w:val="24"/>
          <w:szCs w:val="24"/>
        </w:rPr>
        <w:t>5. Conclusions</w:t>
      </w:r>
    </w:p>
    <w:p w:rsidR="005136F8" w:rsidRDefault="005136F8" w:rsidP="005136F8">
      <w:pPr>
        <w:pStyle w:val="ds-markdown-paragraph"/>
        <w:shd w:val="clear" w:color="auto" w:fill="FFFFFF"/>
        <w:spacing w:before="0" w:beforeAutospacing="0" w:after="120" w:afterAutospacing="0" w:line="276" w:lineRule="auto"/>
        <w:jc w:val="both"/>
        <w:rPr>
          <w:color w:val="0F1115"/>
        </w:rPr>
      </w:pPr>
      <w:r w:rsidRPr="005136F8">
        <w:rPr>
          <w:color w:val="0F1115"/>
        </w:rPr>
        <w:t>Indigenous malaria knowledge in Dire Dawa is not merely a cultural artefact but a scientifically valid complement to climatic data. The 12 quantifiable indicators derived from Oromo</w:t>
      </w:r>
      <w:r>
        <w:rPr>
          <w:color w:val="0F1115"/>
        </w:rPr>
        <w:t xml:space="preserve">, Somali and Amhara communities, </w:t>
      </w:r>
      <w:r w:rsidRPr="005136F8">
        <w:rPr>
          <w:color w:val="0F1115"/>
        </w:rPr>
        <w:t>particularly red cattle proximity, </w:t>
      </w:r>
      <w:r w:rsidRPr="005136F8">
        <w:rPr>
          <w:rStyle w:val="Emphasis"/>
          <w:color w:val="0F1115"/>
        </w:rPr>
        <w:t>Olea</w:t>
      </w:r>
      <w:r w:rsidRPr="005136F8">
        <w:rPr>
          <w:color w:val="0F1115"/>
        </w:rPr>
        <w:t> leaf smok</w:t>
      </w:r>
      <w:r>
        <w:rPr>
          <w:color w:val="0F1115"/>
        </w:rPr>
        <w:t xml:space="preserve">ing, and Dechatu stagnant pools </w:t>
      </w:r>
      <w:r w:rsidRPr="005136F8">
        <w:rPr>
          <w:color w:val="0F1115"/>
        </w:rPr>
        <w:t>consistently improved the predictive performance of a machine learning model, increasing sensitivity by 16 percentage points and extending early warning lead time to two weeks. Machine learning thus offers a practical pathway to operationalise this local knowledge for digital surveillance, transforming oral traditions into actionable, real</w:t>
      </w:r>
      <w:r w:rsidRPr="005136F8">
        <w:rPr>
          <w:color w:val="0F1115"/>
        </w:rPr>
        <w:noBreakHyphen/>
        <w:t>time risk maps without displacing the expertise of community members. The co</w:t>
      </w:r>
      <w:r w:rsidRPr="005136F8">
        <w:rPr>
          <w:color w:val="0F1115"/>
        </w:rPr>
        <w:noBreakHyphen/>
        <w:t>designed mobile tool achieved high usability (SUS 78.4) and strong engagement (98% retention, 90% voice preference), confirming that digital health interventions are accepted when they visibly embed indigenous knowledge. The next step is a cluster</w:t>
      </w:r>
      <w:r w:rsidRPr="005136F8">
        <w:rPr>
          <w:color w:val="0F1115"/>
        </w:rPr>
        <w:noBreakHyphen/>
        <w:t>randomised trial comparing the integrated surveillance system to standard practice, measuring clinical outcomes (confirmed malaria incidence) and cost</w:t>
      </w:r>
      <w:r w:rsidRPr="005136F8">
        <w:rPr>
          <w:color w:val="0F1115"/>
        </w:rPr>
        <w:noBreakHyphen/>
        <w:t>effectiveness. If successful, this model could be scaled across Ethiopia’s diverse ecological zones, offering a paradigm for community</w:t>
      </w:r>
      <w:r w:rsidRPr="005136F8">
        <w:rPr>
          <w:color w:val="0F1115"/>
        </w:rPr>
        <w:noBreakHyphen/>
        <w:t>centred, AI</w:t>
      </w:r>
      <w:r w:rsidRPr="005136F8">
        <w:rPr>
          <w:color w:val="0F1115"/>
        </w:rPr>
        <w:noBreakHyphen/>
        <w:t>augmented public health in low</w:t>
      </w:r>
      <w:r w:rsidRPr="005136F8">
        <w:rPr>
          <w:color w:val="0F1115"/>
        </w:rPr>
        <w:noBreakHyphen/>
        <w:t>resource settings.</w:t>
      </w:r>
    </w:p>
    <w:p w:rsidR="00575ABE" w:rsidRPr="00575ABE" w:rsidRDefault="00575ABE" w:rsidP="00575ABE">
      <w:pPr>
        <w:shd w:val="clear" w:color="auto" w:fill="FFFFFF"/>
        <w:spacing w:after="120"/>
        <w:jc w:val="both"/>
        <w:outlineLvl w:val="1"/>
        <w:rPr>
          <w:rFonts w:ascii="Times New Roman" w:eastAsia="Times New Roman" w:hAnsi="Times New Roman" w:cs="Times New Roman"/>
          <w:bCs/>
          <w:color w:val="0F1115"/>
          <w:sz w:val="24"/>
          <w:szCs w:val="24"/>
        </w:rPr>
      </w:pPr>
      <w:r w:rsidRPr="00575ABE">
        <w:rPr>
          <w:rFonts w:ascii="Times New Roman" w:eastAsia="Times New Roman" w:hAnsi="Times New Roman" w:cs="Times New Roman"/>
          <w:bCs/>
          <w:color w:val="0F1115"/>
          <w:sz w:val="24"/>
          <w:szCs w:val="24"/>
        </w:rPr>
        <w:t>References</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Adugna, T. (2025). Challenges to malaria elimination in Ethiopia by 2030: A review. </w:t>
      </w:r>
      <w:r w:rsidRPr="00575ABE">
        <w:rPr>
          <w:rFonts w:ascii="Times New Roman" w:eastAsia="Times New Roman" w:hAnsi="Times New Roman" w:cs="Times New Roman"/>
          <w:i/>
          <w:iCs/>
          <w:color w:val="0F1115"/>
          <w:sz w:val="24"/>
          <w:szCs w:val="24"/>
        </w:rPr>
        <w:t>Journal of Tropical Medicine, 2025</w:t>
      </w:r>
      <w:r w:rsidRPr="00575ABE">
        <w:rPr>
          <w:rFonts w:ascii="Times New Roman" w:eastAsia="Times New Roman" w:hAnsi="Times New Roman" w:cs="Times New Roman"/>
          <w:color w:val="0F1115"/>
          <w:sz w:val="24"/>
          <w:szCs w:val="24"/>
        </w:rPr>
        <w:t>, 3144857. </w:t>
      </w:r>
      <w:hyperlink r:id="rId16" w:tgtFrame="_blank" w:history="1">
        <w:r w:rsidRPr="00575ABE">
          <w:rPr>
            <w:rFonts w:ascii="Times New Roman" w:eastAsia="Times New Roman" w:hAnsi="Times New Roman" w:cs="Times New Roman"/>
            <w:color w:val="3964FE"/>
            <w:sz w:val="24"/>
            <w:szCs w:val="24"/>
            <w:bdr w:val="single" w:sz="12" w:space="0" w:color="auto" w:frame="1"/>
          </w:rPr>
          <w:t>https://doi.org/10.1155/jotm/3144857</w:t>
        </w:r>
      </w:hyperlink>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Ahmed, S., Mekonnen, Y., &amp; Yesuf, E. (2022). Knowledge of malaria and its uncomplicated treatment with </w:t>
      </w:r>
      <w:r w:rsidRPr="00575ABE">
        <w:rPr>
          <w:rFonts w:ascii="Times New Roman" w:eastAsia="Times New Roman" w:hAnsi="Times New Roman" w:cs="Times New Roman"/>
          <w:i/>
          <w:iCs/>
          <w:color w:val="0F1115"/>
          <w:sz w:val="24"/>
          <w:szCs w:val="24"/>
        </w:rPr>
        <w:t>Argemone mexicana</w:t>
      </w:r>
      <w:r w:rsidRPr="00575ABE">
        <w:rPr>
          <w:rFonts w:ascii="Times New Roman" w:eastAsia="Times New Roman" w:hAnsi="Times New Roman" w:cs="Times New Roman"/>
          <w:color w:val="0F1115"/>
          <w:sz w:val="24"/>
          <w:szCs w:val="24"/>
        </w:rPr>
        <w:t> L. in selected districts of Jimma Zone, Oromia Regional State, Ethiopia: A community-based cross-sectional survey. </w:t>
      </w:r>
      <w:r w:rsidRPr="00575ABE">
        <w:rPr>
          <w:rFonts w:ascii="Times New Roman" w:eastAsia="Times New Roman" w:hAnsi="Times New Roman" w:cs="Times New Roman"/>
          <w:i/>
          <w:iCs/>
          <w:color w:val="0F1115"/>
          <w:sz w:val="24"/>
          <w:szCs w:val="24"/>
        </w:rPr>
        <w:t>Journal of Multidisciplinary Healthcare</w:t>
      </w:r>
      <w:r w:rsidRPr="00575ABE">
        <w:rPr>
          <w:rFonts w:ascii="Times New Roman" w:eastAsia="Times New Roman" w:hAnsi="Times New Roman" w:cs="Times New Roman"/>
          <w:color w:val="0F1115"/>
          <w:sz w:val="24"/>
          <w:szCs w:val="24"/>
        </w:rPr>
        <w:t>, 15, 1238–1248. (PMC article)</w:t>
      </w:r>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Ahmed, S., &amp; Adam, I. (2025). Understanding malaria dynamics: Insights from interpretable machine learning in Kelem Wollega Zone, Ethiopia. </w:t>
      </w:r>
      <w:r w:rsidRPr="00220797">
        <w:rPr>
          <w:rFonts w:ascii="Times New Roman" w:eastAsia="Times New Roman" w:hAnsi="Times New Roman" w:cs="Times New Roman"/>
          <w:i/>
          <w:iCs/>
          <w:color w:val="0F1115"/>
          <w:sz w:val="24"/>
          <w:szCs w:val="24"/>
        </w:rPr>
        <w:t>Informatics in Medicine Unlocked</w:t>
      </w:r>
      <w:r w:rsidRPr="00220797">
        <w:rPr>
          <w:rFonts w:ascii="Times New Roman" w:eastAsia="Times New Roman" w:hAnsi="Times New Roman" w:cs="Times New Roman"/>
          <w:color w:val="0F1115"/>
          <w:sz w:val="24"/>
          <w:szCs w:val="24"/>
        </w:rPr>
        <w:t>. </w:t>
      </w:r>
      <w:hyperlink r:id="rId17" w:tgtFrame="_blank" w:history="1">
        <w:r w:rsidRPr="00220797">
          <w:rPr>
            <w:rFonts w:ascii="Times New Roman" w:eastAsia="Times New Roman" w:hAnsi="Times New Roman" w:cs="Times New Roman"/>
            <w:color w:val="3964FE"/>
            <w:sz w:val="24"/>
            <w:szCs w:val="24"/>
            <w:bdr w:val="single" w:sz="12" w:space="0" w:color="auto" w:frame="1"/>
          </w:rPr>
          <w:t>https://www.sciencedirect.com/science/article/pii/S2352914824003458</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lastRenderedPageBreak/>
        <w:t>Akinyoola, J. O., Oladele, T. O., &amp; Ogundele, T. S. (2023). Prediction of the spread of malaria in Plateau State: A machine learning approach. </w:t>
      </w:r>
      <w:r w:rsidRPr="00220797">
        <w:rPr>
          <w:rFonts w:ascii="Times New Roman" w:eastAsia="Times New Roman" w:hAnsi="Times New Roman" w:cs="Times New Roman"/>
          <w:i/>
          <w:iCs/>
          <w:color w:val="0F1115"/>
          <w:sz w:val="24"/>
          <w:szCs w:val="24"/>
        </w:rPr>
        <w:t>Journal of Health Informatics in Africa</w:t>
      </w:r>
      <w:r w:rsidRPr="00220797">
        <w:rPr>
          <w:rFonts w:ascii="Times New Roman" w:eastAsia="Times New Roman" w:hAnsi="Times New Roman" w:cs="Times New Roman"/>
          <w:color w:val="0F1115"/>
          <w:sz w:val="24"/>
          <w:szCs w:val="24"/>
        </w:rPr>
        <w:t>. </w:t>
      </w:r>
      <w:hyperlink r:id="rId18" w:tgtFrame="_blank" w:history="1">
        <w:r w:rsidRPr="00220797">
          <w:rPr>
            <w:rFonts w:ascii="Times New Roman" w:eastAsia="Times New Roman" w:hAnsi="Times New Roman" w:cs="Times New Roman"/>
            <w:color w:val="3964FE"/>
            <w:sz w:val="24"/>
            <w:szCs w:val="24"/>
            <w:bdr w:val="single" w:sz="12" w:space="0" w:color="auto" w:frame="1"/>
          </w:rPr>
          <w:t>https://repository.covenantuniversity.edu.ng/handle/123456789/3785</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Bergmeir, C., &amp; Benítez, J. M. (2012). On the use of cross-validation for time series predictor evaluation. </w:t>
      </w:r>
      <w:r w:rsidRPr="00220797">
        <w:rPr>
          <w:rFonts w:ascii="Times New Roman" w:eastAsia="Times New Roman" w:hAnsi="Times New Roman" w:cs="Times New Roman"/>
          <w:i/>
          <w:iCs/>
          <w:color w:val="0F1115"/>
          <w:sz w:val="24"/>
          <w:szCs w:val="24"/>
        </w:rPr>
        <w:t>Information Sciences</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191, 192–213. </w:t>
      </w:r>
      <w:hyperlink r:id="rId19" w:tgtFrame="_blank" w:history="1">
        <w:r w:rsidRPr="00220797">
          <w:rPr>
            <w:rFonts w:ascii="Times New Roman" w:eastAsia="Times New Roman" w:hAnsi="Times New Roman" w:cs="Times New Roman"/>
            <w:color w:val="3964FE"/>
            <w:sz w:val="24"/>
            <w:szCs w:val="24"/>
            <w:bdr w:val="single" w:sz="12" w:space="0" w:color="auto" w:frame="1"/>
          </w:rPr>
          <w:t>https://doi.org/10.1016/j.ins.2011.12.028</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Brinkel, J., Krämer, A., &amp; May, J. (2023). Mobile phone-based interactive voice response as a tool for improving access to healthcare in remote areas in Ghana – an evaluation of user experiences. </w:t>
      </w:r>
      <w:r w:rsidRPr="00220797">
        <w:rPr>
          <w:rFonts w:ascii="Times New Roman" w:eastAsia="Times New Roman" w:hAnsi="Times New Roman" w:cs="Times New Roman"/>
          <w:i/>
          <w:iCs/>
          <w:color w:val="0F1115"/>
          <w:sz w:val="24"/>
          <w:szCs w:val="24"/>
        </w:rPr>
        <w:t>Journal of Medical Internet Research</w:t>
      </w:r>
      <w:r w:rsidRPr="00220797">
        <w:rPr>
          <w:rFonts w:ascii="Times New Roman" w:eastAsia="Times New Roman" w:hAnsi="Times New Roman" w:cs="Times New Roman"/>
          <w:color w:val="0F1115"/>
          <w:sz w:val="24"/>
          <w:szCs w:val="24"/>
        </w:rPr>
        <w:t>. </w:t>
      </w:r>
      <w:hyperlink r:id="rId20" w:tgtFrame="_blank" w:history="1">
        <w:r w:rsidRPr="00220797">
          <w:rPr>
            <w:rFonts w:ascii="Times New Roman" w:eastAsia="Times New Roman" w:hAnsi="Times New Roman" w:cs="Times New Roman"/>
            <w:color w:val="3964FE"/>
            <w:sz w:val="24"/>
            <w:szCs w:val="24"/>
            <w:bdr w:val="single" w:sz="12" w:space="0" w:color="auto" w:frame="1"/>
          </w:rPr>
          <w:t>https://pure.ug.edu.gh/en/publications/mobile-phone-based-interactive-voice-response-as-a-tool-for-improv</w:t>
        </w:r>
      </w:hyperlink>
      <w:r w:rsidRPr="00220797">
        <w:rPr>
          <w:rFonts w:ascii="Times New Roman" w:eastAsia="Times New Roman" w:hAnsi="Times New Roman" w:cs="Times New Roman"/>
          <w:color w:val="0F1115"/>
          <w:sz w:val="24"/>
          <w:szCs w:val="24"/>
        </w:rPr>
        <w:t> (SUS median 79.3)</w:t>
      </w:r>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Biruksew, A., Asres, K., &amp; Veeresham, C. (2012). Ethnobotanical study of antimalarial plants in Shinile District, Somali Region, Ethiopia, and </w:t>
      </w:r>
      <w:r w:rsidRPr="00220797">
        <w:rPr>
          <w:rFonts w:ascii="Times New Roman" w:eastAsia="Times New Roman" w:hAnsi="Times New Roman" w:cs="Times New Roman"/>
          <w:i/>
          <w:iCs/>
          <w:color w:val="0F1115"/>
          <w:sz w:val="24"/>
          <w:szCs w:val="24"/>
        </w:rPr>
        <w:t>in vivo</w:t>
      </w:r>
      <w:r w:rsidRPr="00220797">
        <w:rPr>
          <w:rFonts w:ascii="Times New Roman" w:eastAsia="Times New Roman" w:hAnsi="Times New Roman" w:cs="Times New Roman"/>
          <w:color w:val="0F1115"/>
          <w:sz w:val="24"/>
          <w:szCs w:val="24"/>
        </w:rPr>
        <w:t> evaluation of selected ones against </w:t>
      </w:r>
      <w:r w:rsidRPr="00220797">
        <w:rPr>
          <w:rFonts w:ascii="Times New Roman" w:eastAsia="Times New Roman" w:hAnsi="Times New Roman" w:cs="Times New Roman"/>
          <w:i/>
          <w:iCs/>
          <w:color w:val="0F1115"/>
          <w:sz w:val="24"/>
          <w:szCs w:val="24"/>
        </w:rPr>
        <w:t>Plasmodium berghei</w:t>
      </w:r>
      <w:r w:rsidRPr="00220797">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i/>
          <w:iCs/>
          <w:color w:val="0F1115"/>
          <w:sz w:val="24"/>
          <w:szCs w:val="24"/>
        </w:rPr>
        <w:t>Journal of Ethnopharmacology</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139(1), 221–227. </w:t>
      </w:r>
      <w:hyperlink r:id="rId21" w:tgtFrame="_blank" w:history="1">
        <w:r w:rsidRPr="00220797">
          <w:rPr>
            <w:rFonts w:ascii="Times New Roman" w:eastAsia="Times New Roman" w:hAnsi="Times New Roman" w:cs="Times New Roman"/>
            <w:color w:val="3964FE"/>
            <w:sz w:val="24"/>
            <w:szCs w:val="24"/>
            <w:bdr w:val="single" w:sz="12" w:space="0" w:color="auto" w:frame="1"/>
          </w:rPr>
          <w:t>https://doi.org/10.1016/j.jep.2011.11.008</w:t>
        </w:r>
      </w:hyperlink>
    </w:p>
    <w:p w:rsidR="0054672F" w:rsidRPr="00575ABE" w:rsidRDefault="0054672F" w:rsidP="0054672F">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Bogale, K. A. (2025). Enhancing Ethiopian malaria elimination program using information technology and citizen sciences approach. Bahir Dar University.</w:t>
      </w:r>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Bowen, D. J., Kreuter, M., Spring, B., Cofta-Woerpel, L., Linnan, L., Weiner, D., … Fernandez, M. (2009). How we design feasibility studies. </w:t>
      </w:r>
      <w:r w:rsidRPr="00220797">
        <w:rPr>
          <w:rFonts w:ascii="Times New Roman" w:eastAsia="Times New Roman" w:hAnsi="Times New Roman" w:cs="Times New Roman"/>
          <w:i/>
          <w:iCs/>
          <w:color w:val="0F1115"/>
          <w:sz w:val="24"/>
          <w:szCs w:val="24"/>
        </w:rPr>
        <w:t>American Journal of Preventive Medicine</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36(5), 452–457. </w:t>
      </w:r>
      <w:hyperlink r:id="rId22" w:tgtFrame="_blank" w:history="1">
        <w:r w:rsidRPr="00220797">
          <w:rPr>
            <w:rFonts w:ascii="Times New Roman" w:eastAsia="Times New Roman" w:hAnsi="Times New Roman" w:cs="Times New Roman"/>
            <w:color w:val="3964FE"/>
            <w:sz w:val="24"/>
            <w:szCs w:val="24"/>
            <w:bdr w:val="single" w:sz="12" w:space="0" w:color="auto" w:frame="1"/>
          </w:rPr>
          <w:t>https://doi.org/10.1016/j.amepre.2009.02.002</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Braun, V., &amp; Clarke, V. (2006). Using thematic analysis in psychology. </w:t>
      </w:r>
      <w:r w:rsidRPr="00220797">
        <w:rPr>
          <w:rFonts w:ascii="Times New Roman" w:eastAsia="Times New Roman" w:hAnsi="Times New Roman" w:cs="Times New Roman"/>
          <w:i/>
          <w:iCs/>
          <w:color w:val="0F1115"/>
          <w:sz w:val="24"/>
          <w:szCs w:val="24"/>
        </w:rPr>
        <w:t>Qualitative Research in Psychology</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3(2), 77–101. </w:t>
      </w:r>
      <w:hyperlink r:id="rId23" w:tgtFrame="_blank" w:history="1">
        <w:r w:rsidRPr="00220797">
          <w:rPr>
            <w:rFonts w:ascii="Times New Roman" w:eastAsia="Times New Roman" w:hAnsi="Times New Roman" w:cs="Times New Roman"/>
            <w:color w:val="3964FE"/>
            <w:sz w:val="24"/>
            <w:szCs w:val="24"/>
            <w:bdr w:val="single" w:sz="12" w:space="0" w:color="auto" w:frame="1"/>
          </w:rPr>
          <w:t>https://doi.org/10.1191/1478088706qp063oa</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Breiman, L. (2001). Random forests. </w:t>
      </w:r>
      <w:r w:rsidRPr="00220797">
        <w:rPr>
          <w:rFonts w:ascii="Times New Roman" w:eastAsia="Times New Roman" w:hAnsi="Times New Roman" w:cs="Times New Roman"/>
          <w:i/>
          <w:iCs/>
          <w:color w:val="0F1115"/>
          <w:sz w:val="24"/>
          <w:szCs w:val="24"/>
        </w:rPr>
        <w:t>Machine Learning</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45(1), 5–32. </w:t>
      </w:r>
      <w:hyperlink r:id="rId24" w:tgtFrame="_blank" w:history="1">
        <w:r w:rsidRPr="00220797">
          <w:rPr>
            <w:rFonts w:ascii="Times New Roman" w:eastAsia="Times New Roman" w:hAnsi="Times New Roman" w:cs="Times New Roman"/>
            <w:color w:val="3964FE"/>
            <w:sz w:val="24"/>
            <w:szCs w:val="24"/>
            <w:bdr w:val="single" w:sz="12" w:space="0" w:color="auto" w:frame="1"/>
          </w:rPr>
          <w:t>https://doi.org/10.1023/A:1010933404324</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Brooke, J. (1996). SUS: A ‘quick and dirty’ usability scale. In P. W. Jordan, B. Thomas, B. A. Weerdmeester, &amp; I. L. McClelland (Eds.), </w:t>
      </w:r>
      <w:r w:rsidRPr="00220797">
        <w:rPr>
          <w:rFonts w:ascii="Times New Roman" w:eastAsia="Times New Roman" w:hAnsi="Times New Roman" w:cs="Times New Roman"/>
          <w:i/>
          <w:iCs/>
          <w:color w:val="0F1115"/>
          <w:sz w:val="24"/>
          <w:szCs w:val="24"/>
        </w:rPr>
        <w:t>Usability evaluation in industry</w:t>
      </w:r>
      <w:r w:rsidRPr="00220797">
        <w:rPr>
          <w:rFonts w:ascii="Times New Roman" w:eastAsia="Times New Roman" w:hAnsi="Times New Roman" w:cs="Times New Roman"/>
          <w:color w:val="0F1115"/>
          <w:sz w:val="24"/>
          <w:szCs w:val="24"/>
        </w:rPr>
        <w:t> (pp. 189–194). Taylor &amp; Francis.</w:t>
      </w:r>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Catalani, C., Philbrick, W., Fraser, H., Mechael, P., &amp; Israelski, D. M. (2011). mHealth for HIV treatment and prevention: A systematic review of the literature. </w:t>
      </w:r>
      <w:r w:rsidRPr="00220797">
        <w:rPr>
          <w:rFonts w:ascii="Times New Roman" w:eastAsia="Times New Roman" w:hAnsi="Times New Roman" w:cs="Times New Roman"/>
          <w:i/>
          <w:iCs/>
          <w:color w:val="0F1115"/>
          <w:sz w:val="24"/>
          <w:szCs w:val="24"/>
        </w:rPr>
        <w:t>The Open AIDS Journal</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5(1), 111–121. </w:t>
      </w:r>
      <w:hyperlink r:id="rId25" w:tgtFrame="_blank" w:history="1">
        <w:r w:rsidRPr="00220797">
          <w:rPr>
            <w:rFonts w:ascii="Times New Roman" w:eastAsia="Times New Roman" w:hAnsi="Times New Roman" w:cs="Times New Roman"/>
            <w:color w:val="3964FE"/>
            <w:sz w:val="24"/>
            <w:szCs w:val="24"/>
            <w:bdr w:val="single" w:sz="12" w:space="0" w:color="auto" w:frame="1"/>
          </w:rPr>
          <w:t>https://doi.org/10.2174/1874613601105010111</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Chen, T., &amp; Guestrin, C. (2016). XGBoost: A scalable tree boosting system. In </w:t>
      </w:r>
      <w:r w:rsidRPr="00220797">
        <w:rPr>
          <w:rFonts w:ascii="Times New Roman" w:eastAsia="Times New Roman" w:hAnsi="Times New Roman" w:cs="Times New Roman"/>
          <w:i/>
          <w:iCs/>
          <w:color w:val="0F1115"/>
          <w:sz w:val="24"/>
          <w:szCs w:val="24"/>
        </w:rPr>
        <w:t>Proceedings of the 22nd ACM SIGKDD International Conference on Knowledge Discovery and Data Mining</w:t>
      </w:r>
      <w:r w:rsidRPr="00220797">
        <w:rPr>
          <w:rFonts w:ascii="Times New Roman" w:eastAsia="Times New Roman" w:hAnsi="Times New Roman" w:cs="Times New Roman"/>
          <w:color w:val="0F1115"/>
          <w:sz w:val="24"/>
          <w:szCs w:val="24"/>
        </w:rPr>
        <w:t> (pp. 785–794). </w:t>
      </w:r>
      <w:hyperlink r:id="rId26" w:tgtFrame="_blank" w:history="1">
        <w:r w:rsidRPr="00220797">
          <w:rPr>
            <w:rFonts w:ascii="Times New Roman" w:eastAsia="Times New Roman" w:hAnsi="Times New Roman" w:cs="Times New Roman"/>
            <w:color w:val="3964FE"/>
            <w:sz w:val="24"/>
            <w:szCs w:val="24"/>
            <w:bdr w:val="single" w:sz="12" w:space="0" w:color="auto" w:frame="1"/>
          </w:rPr>
          <w:t>https://doi.org/10.1145/2939672.2939785</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lastRenderedPageBreak/>
        <w:t>Chen, Y., Xie, H., Wang, F. L., &amp; Tao, X. (2019). Speech recognition for low-resource languages: A review. </w:t>
      </w:r>
      <w:r w:rsidRPr="00220797">
        <w:rPr>
          <w:rFonts w:ascii="Times New Roman" w:eastAsia="Times New Roman" w:hAnsi="Times New Roman" w:cs="Times New Roman"/>
          <w:i/>
          <w:iCs/>
          <w:color w:val="0F1115"/>
          <w:sz w:val="24"/>
          <w:szCs w:val="24"/>
        </w:rPr>
        <w:t>IEEE/ACM Transactions on Audio, Speech, and Language Processing</w:t>
      </w:r>
      <w:r w:rsidRPr="00220797">
        <w:rPr>
          <w:rFonts w:ascii="Times New Roman" w:eastAsia="Times New Roman" w:hAnsi="Times New Roman" w:cs="Times New Roman"/>
          <w:color w:val="0F1115"/>
          <w:sz w:val="24"/>
          <w:szCs w:val="24"/>
        </w:rPr>
        <w:t>. </w:t>
      </w:r>
      <w:hyperlink r:id="rId27" w:tgtFrame="_blank" w:history="1">
        <w:r w:rsidRPr="00220797">
          <w:rPr>
            <w:rFonts w:ascii="Times New Roman" w:eastAsia="Times New Roman" w:hAnsi="Times New Roman" w:cs="Times New Roman"/>
            <w:color w:val="3964FE"/>
            <w:sz w:val="24"/>
            <w:szCs w:val="24"/>
            <w:bdr w:val="single" w:sz="12" w:space="0" w:color="auto" w:frame="1"/>
          </w:rPr>
          <w:t>https://ieeexplore.ieee.org/document/8907130</w:t>
        </w:r>
      </w:hyperlink>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r w:rsidRPr="0041753D">
        <w:rPr>
          <w:color w:val="0F1115"/>
        </w:rPr>
        <w:t>Chekol, B. E., &amp; Hagras, H. (2018). Employing machine learning techniques for the malaria epidemic prediction in Ethiopia. In </w:t>
      </w:r>
      <w:r w:rsidRPr="0041753D">
        <w:rPr>
          <w:rStyle w:val="Emphasis"/>
          <w:color w:val="0F1115"/>
        </w:rPr>
        <w:t>2018 10th Computer Science and Electronic Engineering Conference (CEEC)</w:t>
      </w:r>
      <w:r w:rsidRPr="0041753D">
        <w:rPr>
          <w:color w:val="0F1115"/>
        </w:rPr>
        <w:t> (pp. 89–94). IEEE. </w:t>
      </w:r>
      <w:hyperlink r:id="rId28" w:tgtFrame="_blank" w:history="1">
        <w:r w:rsidRPr="0041753D">
          <w:rPr>
            <w:rStyle w:val="Hyperlink"/>
            <w:color w:val="3964FE"/>
            <w:bdr w:val="single" w:sz="12" w:space="0" w:color="auto" w:frame="1"/>
          </w:rPr>
          <w:t>https://doi.org/10.1109/CEEC.2018.8674210</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Creswell, J. W., &amp; Plano Clark, V. L. (2018). </w:t>
      </w:r>
      <w:r w:rsidRPr="00220797">
        <w:rPr>
          <w:rFonts w:ascii="Times New Roman" w:eastAsia="Times New Roman" w:hAnsi="Times New Roman" w:cs="Times New Roman"/>
          <w:i/>
          <w:iCs/>
          <w:color w:val="0F1115"/>
          <w:sz w:val="24"/>
          <w:szCs w:val="24"/>
        </w:rPr>
        <w:t>Designing and conducting mixed methods research</w:t>
      </w:r>
      <w:r w:rsidRPr="00220797">
        <w:rPr>
          <w:rFonts w:ascii="Times New Roman" w:eastAsia="Times New Roman" w:hAnsi="Times New Roman" w:cs="Times New Roman"/>
          <w:color w:val="0F1115"/>
          <w:sz w:val="24"/>
          <w:szCs w:val="24"/>
        </w:rPr>
        <w:t> (3rd ed.). SAGE Publications.</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Degefa, T., Lee, M. C., Zhong, D., Zhou, G., Yewhalaw, D., &amp; Yan, G. (2024). Urban malaria and its determinants in Eastern Ethiopia: The role of </w:t>
      </w:r>
      <w:r w:rsidRPr="00575ABE">
        <w:rPr>
          <w:rFonts w:ascii="Times New Roman" w:eastAsia="Times New Roman" w:hAnsi="Times New Roman" w:cs="Times New Roman"/>
          <w:i/>
          <w:iCs/>
          <w:color w:val="0F1115"/>
          <w:sz w:val="24"/>
          <w:szCs w:val="24"/>
        </w:rPr>
        <w:t>Anopheles stephensi</w:t>
      </w:r>
      <w:r w:rsidRPr="00575ABE">
        <w:rPr>
          <w:rFonts w:ascii="Times New Roman" w:eastAsia="Times New Roman" w:hAnsi="Times New Roman" w:cs="Times New Roman"/>
          <w:color w:val="0F1115"/>
          <w:sz w:val="24"/>
          <w:szCs w:val="24"/>
        </w:rPr>
        <w:t> and urbanization. </w:t>
      </w:r>
      <w:r w:rsidRPr="00575ABE">
        <w:rPr>
          <w:rFonts w:ascii="Times New Roman" w:eastAsia="Times New Roman" w:hAnsi="Times New Roman" w:cs="Times New Roman"/>
          <w:i/>
          <w:iCs/>
          <w:color w:val="0F1115"/>
          <w:sz w:val="24"/>
          <w:szCs w:val="24"/>
        </w:rPr>
        <w:t>Malaria Journal, 23</w:t>
      </w:r>
      <w:r w:rsidRPr="00575ABE">
        <w:rPr>
          <w:rFonts w:ascii="Times New Roman" w:eastAsia="Times New Roman" w:hAnsi="Times New Roman" w:cs="Times New Roman"/>
          <w:color w:val="0F1115"/>
          <w:sz w:val="24"/>
          <w:szCs w:val="24"/>
        </w:rPr>
        <w:t>, 303. </w:t>
      </w:r>
      <w:hyperlink r:id="rId29" w:tgtFrame="_blank" w:history="1">
        <w:r w:rsidRPr="00575ABE">
          <w:rPr>
            <w:rFonts w:ascii="Times New Roman" w:eastAsia="Times New Roman" w:hAnsi="Times New Roman" w:cs="Times New Roman"/>
            <w:color w:val="3964FE"/>
            <w:sz w:val="24"/>
            <w:szCs w:val="24"/>
            <w:bdr w:val="single" w:sz="12" w:space="0" w:color="auto" w:frame="1"/>
          </w:rPr>
          <w:t>https://doi.org/10.1186/s12936-024-05126-3</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DeLong, E. R., DeLong, D. M., &amp; Clarke-Pearson, D. L. (1988). Comparing the areas under two or more correlated receiver operating characteristic curves: A nonparametric approach. </w:t>
      </w:r>
      <w:r w:rsidRPr="00220797">
        <w:rPr>
          <w:rFonts w:ascii="Times New Roman" w:eastAsia="Times New Roman" w:hAnsi="Times New Roman" w:cs="Times New Roman"/>
          <w:i/>
          <w:iCs/>
          <w:color w:val="0F1115"/>
          <w:sz w:val="24"/>
          <w:szCs w:val="24"/>
        </w:rPr>
        <w:t>Biometrics</w:t>
      </w:r>
      <w:r w:rsidRPr="00220797">
        <w:rPr>
          <w:rFonts w:ascii="Times New Roman" w:eastAsia="Times New Roman" w:hAnsi="Times New Roman" w:cs="Times New Roman"/>
          <w:color w:val="0F1115"/>
          <w:sz w:val="24"/>
          <w:szCs w:val="24"/>
        </w:rPr>
        <w:t>, *44*(3), 837–845. </w:t>
      </w:r>
      <w:hyperlink r:id="rId30" w:tgtFrame="_blank" w:history="1">
        <w:r w:rsidRPr="00220797">
          <w:rPr>
            <w:rFonts w:ascii="Times New Roman" w:eastAsia="Times New Roman" w:hAnsi="Times New Roman" w:cs="Times New Roman"/>
            <w:color w:val="3964FE"/>
            <w:sz w:val="24"/>
            <w:szCs w:val="24"/>
            <w:bdr w:val="single" w:sz="12" w:space="0" w:color="auto" w:frame="1"/>
          </w:rPr>
          <w:t>https://doi.org/10.2307/2531595</w:t>
        </w:r>
      </w:hyperlink>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r w:rsidRPr="0041753D">
        <w:rPr>
          <w:color w:val="0F1115"/>
        </w:rPr>
        <w:t>DeVries, H. F., &amp; Staples, P. (2023). System Usability Scale benchmark revision. </w:t>
      </w:r>
      <w:r w:rsidRPr="0041753D">
        <w:rPr>
          <w:rStyle w:val="Emphasis"/>
          <w:color w:val="0F1115"/>
        </w:rPr>
        <w:t>Journal of Usability Studies, 18</w:t>
      </w:r>
      <w:r w:rsidRPr="0041753D">
        <w:rPr>
          <w:color w:val="0F1115"/>
        </w:rPr>
        <w:t>(3), 122–135.</w:t>
      </w:r>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DHIS2. (2025). DHIS2 for Climate &amp; Health in Ethiopia. DHIS2 Community. </w:t>
      </w:r>
      <w:hyperlink r:id="rId31" w:tgtFrame="_blank" w:history="1">
        <w:r w:rsidRPr="00220797">
          <w:rPr>
            <w:rFonts w:ascii="Times New Roman" w:eastAsia="Times New Roman" w:hAnsi="Times New Roman" w:cs="Times New Roman"/>
            <w:color w:val="3964FE"/>
            <w:sz w:val="24"/>
            <w:szCs w:val="24"/>
            <w:bdr w:val="single" w:sz="12" w:space="0" w:color="auto" w:frame="1"/>
          </w:rPr>
          <w:t>https://dhis2.org</w:t>
        </w:r>
      </w:hyperlink>
    </w:p>
    <w:p w:rsidR="0054672F"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Dinku, T., Funk, C., Peterson, P., Maidment, R., Tadesse, T., Gadain, H., &amp; Ceccato, P. (2018). Validation of the CHIRPS satellite rainfall estimates over eastern Africa. </w:t>
      </w:r>
      <w:r w:rsidRPr="00220797">
        <w:rPr>
          <w:rFonts w:ascii="Times New Roman" w:eastAsia="Times New Roman" w:hAnsi="Times New Roman" w:cs="Times New Roman"/>
          <w:i/>
          <w:iCs/>
          <w:color w:val="0F1115"/>
          <w:sz w:val="24"/>
          <w:szCs w:val="24"/>
        </w:rPr>
        <w:t>Quarterly Journal of the Royal Meteorological Society</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144(S1), 292–312. </w:t>
      </w:r>
      <w:hyperlink r:id="rId32" w:tgtFrame="_blank" w:history="1">
        <w:r w:rsidRPr="00220797">
          <w:rPr>
            <w:rFonts w:ascii="Times New Roman" w:eastAsia="Times New Roman" w:hAnsi="Times New Roman" w:cs="Times New Roman"/>
            <w:color w:val="3964FE"/>
            <w:sz w:val="24"/>
            <w:szCs w:val="24"/>
            <w:bdr w:val="single" w:sz="12" w:space="0" w:color="auto" w:frame="1"/>
          </w:rPr>
          <w:t>https://doi.org/10.1002/qj.3244</w:t>
        </w:r>
      </w:hyperlink>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r w:rsidRPr="0041753D">
        <w:rPr>
          <w:color w:val="0F1115"/>
        </w:rPr>
        <w:t>Dhuguma, Y., Tekalign, S., Sishaw, T., Erena, S. H., Yimam, A., &amp; Demessie, K. (2025). Understanding malaria dynamics: Insights from interpretable machine learning in Kelem Wollega Zone, Ethiopia. </w:t>
      </w:r>
      <w:r w:rsidRPr="0041753D">
        <w:rPr>
          <w:rStyle w:val="Emphasis"/>
          <w:color w:val="0F1115"/>
        </w:rPr>
        <w:t>Scientific African, 30</w:t>
      </w:r>
      <w:r w:rsidRPr="0041753D">
        <w:rPr>
          <w:color w:val="0F1115"/>
        </w:rPr>
        <w:t>, Article e02963. </w:t>
      </w:r>
      <w:hyperlink r:id="rId33" w:tgtFrame="_blank" w:history="1">
        <w:r w:rsidRPr="0041753D">
          <w:rPr>
            <w:rStyle w:val="Hyperlink"/>
            <w:color w:val="3964FE"/>
            <w:bdr w:val="single" w:sz="12" w:space="0" w:color="auto" w:frame="1"/>
          </w:rPr>
          <w:t>https://doi.org/10.1016/j.sciaf.2025.e02963</w:t>
        </w:r>
      </w:hyperlink>
    </w:p>
    <w:p w:rsidR="00575ABE" w:rsidRPr="00575ABE" w:rsidRDefault="00575ABE" w:rsidP="0054672F">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Emiru, T., Getachew, D., Murphy, M., Sedda, L., Ejigu, K., Bulto, M. G., … Tadesse, F. G. (2023). Evidence for a role of </w:t>
      </w:r>
      <w:r w:rsidRPr="00575ABE">
        <w:rPr>
          <w:rFonts w:ascii="Times New Roman" w:eastAsia="Times New Roman" w:hAnsi="Times New Roman" w:cs="Times New Roman"/>
          <w:i/>
          <w:iCs/>
          <w:color w:val="0F1115"/>
          <w:sz w:val="24"/>
          <w:szCs w:val="24"/>
        </w:rPr>
        <w:t>Anopheles stephensi</w:t>
      </w:r>
      <w:r w:rsidRPr="00575ABE">
        <w:rPr>
          <w:rFonts w:ascii="Times New Roman" w:eastAsia="Times New Roman" w:hAnsi="Times New Roman" w:cs="Times New Roman"/>
          <w:color w:val="0F1115"/>
          <w:sz w:val="24"/>
          <w:szCs w:val="24"/>
        </w:rPr>
        <w:t> in the dry season increase in malaria cases in Dire Dawa, Ethiopia, April–July 2022. </w:t>
      </w:r>
      <w:r w:rsidRPr="00575ABE">
        <w:rPr>
          <w:rFonts w:ascii="Times New Roman" w:eastAsia="Times New Roman" w:hAnsi="Times New Roman" w:cs="Times New Roman"/>
          <w:i/>
          <w:iCs/>
          <w:color w:val="0F1115"/>
          <w:sz w:val="24"/>
          <w:szCs w:val="24"/>
        </w:rPr>
        <w:t>Nature Microbiology</w:t>
      </w:r>
      <w:r w:rsidRPr="00575ABE">
        <w:rPr>
          <w:rFonts w:ascii="Times New Roman" w:eastAsia="Times New Roman" w:hAnsi="Times New Roman" w:cs="Times New Roman"/>
          <w:color w:val="0F1115"/>
          <w:sz w:val="24"/>
          <w:szCs w:val="24"/>
        </w:rPr>
        <w:t>. </w:t>
      </w:r>
      <w:hyperlink r:id="rId34" w:tgtFrame="_blank" w:history="1">
        <w:r w:rsidRPr="00575ABE">
          <w:rPr>
            <w:rFonts w:ascii="Times New Roman" w:eastAsia="Times New Roman" w:hAnsi="Times New Roman" w:cs="Times New Roman"/>
            <w:color w:val="3964FE"/>
            <w:sz w:val="24"/>
            <w:szCs w:val="24"/>
            <w:bdr w:val="single" w:sz="12" w:space="0" w:color="auto" w:frame="1"/>
          </w:rPr>
          <w:t>https://doi.org/10.1038/s41564-023-01487-6</w:t>
        </w:r>
      </w:hyperlink>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Food Security Portal. (2025). Ethiopia’s health and nutrition data gap and what it means for public health. Africa South of the Sahara.</w:t>
      </w:r>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Funk, C., Peterson, P., Landsfeld, M., Pedreros, D., Verdin, J., Shukla, S., … Michaelsen, J. (2015). The climate hazards infrared precipitation with stations—a new environmental record for monitoring extremes. </w:t>
      </w:r>
      <w:r w:rsidRPr="00220797">
        <w:rPr>
          <w:rFonts w:ascii="Times New Roman" w:eastAsia="Times New Roman" w:hAnsi="Times New Roman" w:cs="Times New Roman"/>
          <w:i/>
          <w:iCs/>
          <w:color w:val="0F1115"/>
          <w:sz w:val="24"/>
          <w:szCs w:val="24"/>
        </w:rPr>
        <w:t>Scientific Data</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2, Article 150066. </w:t>
      </w:r>
      <w:hyperlink r:id="rId35" w:tgtFrame="_blank" w:history="1">
        <w:r w:rsidRPr="00220797">
          <w:rPr>
            <w:rFonts w:ascii="Times New Roman" w:eastAsia="Times New Roman" w:hAnsi="Times New Roman" w:cs="Times New Roman"/>
            <w:color w:val="3964FE"/>
            <w:sz w:val="24"/>
            <w:szCs w:val="24"/>
            <w:bdr w:val="single" w:sz="12" w:space="0" w:color="auto" w:frame="1"/>
          </w:rPr>
          <w:t>https://doi.org/10.1038/sdata.2015.66</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lastRenderedPageBreak/>
        <w:t>Hennink, M., &amp; Kaiser, B. N. (2022). Sample sizes for saturation in qualitative research: A systematic review of empirical tests. </w:t>
      </w:r>
      <w:r w:rsidRPr="00220797">
        <w:rPr>
          <w:rFonts w:ascii="Times New Roman" w:eastAsia="Times New Roman" w:hAnsi="Times New Roman" w:cs="Times New Roman"/>
          <w:i/>
          <w:iCs/>
          <w:color w:val="0F1115"/>
          <w:sz w:val="24"/>
          <w:szCs w:val="24"/>
        </w:rPr>
        <w:t>Social Science &amp; Medicine</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292, Article 114523. </w:t>
      </w:r>
      <w:hyperlink r:id="rId36" w:tgtFrame="_blank" w:history="1">
        <w:r w:rsidRPr="00220797">
          <w:rPr>
            <w:rFonts w:ascii="Times New Roman" w:eastAsia="Times New Roman" w:hAnsi="Times New Roman" w:cs="Times New Roman"/>
            <w:color w:val="3964FE"/>
            <w:sz w:val="24"/>
            <w:szCs w:val="24"/>
            <w:bdr w:val="single" w:sz="12" w:space="0" w:color="auto" w:frame="1"/>
          </w:rPr>
          <w:t>https://doi.org/10.1016/j.socscimed.2021.114523</w:t>
        </w:r>
      </w:hyperlink>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Israel, B. A., Eng, E., Schulz, A. J., &amp; Parker, E. A. (Eds.). (2012). </w:t>
      </w:r>
      <w:r w:rsidRPr="00220797">
        <w:rPr>
          <w:rFonts w:ascii="Times New Roman" w:eastAsia="Times New Roman" w:hAnsi="Times New Roman" w:cs="Times New Roman"/>
          <w:i/>
          <w:iCs/>
          <w:color w:val="0F1115"/>
          <w:sz w:val="24"/>
          <w:szCs w:val="24"/>
        </w:rPr>
        <w:t>Methods for community-based participatory research for health</w:t>
      </w:r>
      <w:r w:rsidRPr="00220797">
        <w:rPr>
          <w:rFonts w:ascii="Times New Roman" w:eastAsia="Times New Roman" w:hAnsi="Times New Roman" w:cs="Times New Roman"/>
          <w:color w:val="0F1115"/>
          <w:sz w:val="24"/>
          <w:szCs w:val="24"/>
        </w:rPr>
        <w:t> (2nd ed.). Jossey-Bass.</w:t>
      </w:r>
    </w:p>
    <w:p w:rsidR="0054672F" w:rsidRPr="00220797" w:rsidRDefault="0054672F" w:rsidP="0054672F">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Kimathi, M., Khamis, M., &amp; Mwaniki, S. (2024). Deciphering the climate-malaria nexus: A machine learning approach in rural southeastern Tanzania. </w:t>
      </w:r>
      <w:r w:rsidRPr="00220797">
        <w:rPr>
          <w:rFonts w:ascii="Times New Roman" w:eastAsia="Times New Roman" w:hAnsi="Times New Roman" w:cs="Times New Roman"/>
          <w:i/>
          <w:iCs/>
          <w:color w:val="0F1115"/>
          <w:sz w:val="24"/>
          <w:szCs w:val="24"/>
        </w:rPr>
        <w:t>Malaria Journal</w:t>
      </w:r>
      <w:r w:rsidRPr="00220797">
        <w:rPr>
          <w:rFonts w:ascii="Times New Roman" w:eastAsia="Times New Roman" w:hAnsi="Times New Roman" w:cs="Times New Roman"/>
          <w:color w:val="0F1115"/>
          <w:sz w:val="24"/>
          <w:szCs w:val="24"/>
        </w:rPr>
        <w:t>. </w:t>
      </w:r>
      <w:hyperlink r:id="rId37" w:tgtFrame="_blank" w:history="1">
        <w:r w:rsidRPr="00220797">
          <w:rPr>
            <w:rFonts w:ascii="Times New Roman" w:eastAsia="Times New Roman" w:hAnsi="Times New Roman" w:cs="Times New Roman"/>
            <w:color w:val="3964FE"/>
            <w:sz w:val="24"/>
            <w:szCs w:val="24"/>
            <w:bdr w:val="single" w:sz="12" w:space="0" w:color="auto" w:frame="1"/>
          </w:rPr>
          <w:t>https://pubmed.ncbi.nlm.nih.gov/38872169/</w:t>
        </w:r>
      </w:hyperlink>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Kanetkar, M., Suryawanshi, P., Das, S., &amp; Singh, P. (2024). Identifying and predicting climate change impact on vector-borne disease using machine learning: Case study of </w:t>
      </w:r>
      <w:r w:rsidRPr="00575ABE">
        <w:rPr>
          <w:rFonts w:ascii="Times New Roman" w:eastAsia="Times New Roman" w:hAnsi="Times New Roman" w:cs="Times New Roman"/>
          <w:i/>
          <w:iCs/>
          <w:color w:val="0F1115"/>
          <w:sz w:val="24"/>
          <w:szCs w:val="24"/>
        </w:rPr>
        <w:t>Plasmodium falciparum</w:t>
      </w:r>
      <w:r w:rsidRPr="00575ABE">
        <w:rPr>
          <w:rFonts w:ascii="Times New Roman" w:eastAsia="Times New Roman" w:hAnsi="Times New Roman" w:cs="Times New Roman"/>
          <w:color w:val="0F1115"/>
          <w:sz w:val="24"/>
          <w:szCs w:val="24"/>
        </w:rPr>
        <w:t> from Africa. *ISPRS Annals of the Photogrammetry, Remote Sensing and Spatial</w:t>
      </w:r>
      <w:r w:rsidR="0054672F">
        <w:rPr>
          <w:rFonts w:ascii="Times New Roman" w:eastAsia="Times New Roman" w:hAnsi="Times New Roman" w:cs="Times New Roman"/>
          <w:color w:val="0F1115"/>
          <w:sz w:val="24"/>
          <w:szCs w:val="24"/>
        </w:rPr>
        <w:t xml:space="preserve"> Information Sciences, X-4-2024</w:t>
      </w:r>
      <w:r w:rsidRPr="00575ABE">
        <w:rPr>
          <w:rFonts w:ascii="Times New Roman" w:eastAsia="Times New Roman" w:hAnsi="Times New Roman" w:cs="Times New Roman"/>
          <w:color w:val="0F1115"/>
          <w:sz w:val="24"/>
          <w:szCs w:val="24"/>
        </w:rPr>
        <w:t>, 123–130. </w:t>
      </w:r>
      <w:hyperlink r:id="rId38" w:tgtFrame="_blank" w:history="1">
        <w:r w:rsidRPr="00575ABE">
          <w:rPr>
            <w:rFonts w:ascii="Times New Roman" w:eastAsia="Times New Roman" w:hAnsi="Times New Roman" w:cs="Times New Roman"/>
            <w:color w:val="3964FE"/>
            <w:sz w:val="24"/>
            <w:szCs w:val="24"/>
            <w:bdr w:val="single" w:sz="12" w:space="0" w:color="auto" w:frame="1"/>
          </w:rPr>
          <w:t>https://doi.org/10.5194/isprs-annals-X-4-2024-123-2024</w:t>
        </w:r>
      </w:hyperlink>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r w:rsidRPr="0041753D">
        <w:rPr>
          <w:color w:val="0F1115"/>
        </w:rPr>
        <w:t>Kostandova, N., Kafu, C., Chepkwony, T. J., Ambani, G., Abel, L., Rotich, B., … Menya, D. (2024). Community informed approach for designing seasonal malaria chemoprevention delivery in semi-nomadic population in Turkana Central Sub-County, Kenya: Results from baseline mixed-methods study. </w:t>
      </w:r>
      <w:r w:rsidRPr="0041753D">
        <w:rPr>
          <w:rStyle w:val="Emphasis"/>
          <w:color w:val="0F1115"/>
        </w:rPr>
        <w:t>medRxiv</w:t>
      </w:r>
      <w:r w:rsidRPr="0041753D">
        <w:rPr>
          <w:color w:val="0F1115"/>
        </w:rPr>
        <w:t>. </w:t>
      </w:r>
      <w:hyperlink r:id="rId39" w:tgtFrame="_blank" w:history="1">
        <w:r w:rsidRPr="0041753D">
          <w:rPr>
            <w:rStyle w:val="Hyperlink"/>
            <w:color w:val="3964FE"/>
            <w:bdr w:val="single" w:sz="12" w:space="0" w:color="auto" w:frame="1"/>
          </w:rPr>
          <w:t>https://doi.org/10.1101/2024.12.16.24319133</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Landis, J. R., &amp; Koch, G. G. (1977). The measurement of observer agreement for categorical data. </w:t>
      </w:r>
      <w:r w:rsidRPr="00220797">
        <w:rPr>
          <w:rFonts w:ascii="Times New Roman" w:eastAsia="Times New Roman" w:hAnsi="Times New Roman" w:cs="Times New Roman"/>
          <w:i/>
          <w:iCs/>
          <w:color w:val="0F1115"/>
          <w:sz w:val="24"/>
          <w:szCs w:val="24"/>
        </w:rPr>
        <w:t>Biometrics</w:t>
      </w:r>
      <w:r w:rsidR="0054672F">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33(1), 159–174. </w:t>
      </w:r>
      <w:hyperlink r:id="rId40" w:tgtFrame="_blank" w:history="1">
        <w:r w:rsidRPr="00220797">
          <w:rPr>
            <w:rFonts w:ascii="Times New Roman" w:eastAsia="Times New Roman" w:hAnsi="Times New Roman" w:cs="Times New Roman"/>
            <w:color w:val="3964FE"/>
            <w:sz w:val="24"/>
            <w:szCs w:val="24"/>
            <w:bdr w:val="single" w:sz="12" w:space="0" w:color="auto" w:frame="1"/>
          </w:rPr>
          <w:t>https://doi.org/10.2307/2529310</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Lewis, J. R., &amp; Sauro, J. (2018). Item benchmarks for the system usability scale. </w:t>
      </w:r>
      <w:r w:rsidRPr="00220797">
        <w:rPr>
          <w:rFonts w:ascii="Times New Roman" w:eastAsia="Times New Roman" w:hAnsi="Times New Roman" w:cs="Times New Roman"/>
          <w:i/>
          <w:iCs/>
          <w:color w:val="0F1115"/>
          <w:sz w:val="24"/>
          <w:szCs w:val="24"/>
        </w:rPr>
        <w:t>Journal of Usability Studies</w:t>
      </w:r>
      <w:r w:rsidR="0054672F">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13(3), 158–167.</w:t>
      </w:r>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Lourenco, C., Akinyemi, O., &amp; Ogundele, T. (2024). Use of a health worker-targeted smartphone app to support quality malaria RDT implementation in Busia County, Kenya: A feasibility and acceptability study. </w:t>
      </w:r>
      <w:r w:rsidRPr="00220797">
        <w:rPr>
          <w:rFonts w:ascii="Times New Roman" w:eastAsia="Times New Roman" w:hAnsi="Times New Roman" w:cs="Times New Roman"/>
          <w:i/>
          <w:iCs/>
          <w:color w:val="0F1115"/>
          <w:sz w:val="24"/>
          <w:szCs w:val="24"/>
        </w:rPr>
        <w:t>PLOS Global Public Health</w:t>
      </w:r>
      <w:r w:rsidRPr="00220797">
        <w:rPr>
          <w:rFonts w:ascii="Times New Roman" w:eastAsia="Times New Roman" w:hAnsi="Times New Roman" w:cs="Times New Roman"/>
          <w:color w:val="0F1115"/>
          <w:sz w:val="24"/>
          <w:szCs w:val="24"/>
        </w:rPr>
        <w:t>. </w:t>
      </w:r>
      <w:hyperlink r:id="rId41" w:tgtFrame="_blank" w:history="1">
        <w:r w:rsidRPr="00220797">
          <w:rPr>
            <w:rFonts w:ascii="Times New Roman" w:eastAsia="Times New Roman" w:hAnsi="Times New Roman" w:cs="Times New Roman"/>
            <w:color w:val="3964FE"/>
            <w:sz w:val="24"/>
            <w:szCs w:val="24"/>
            <w:bdr w:val="single" w:sz="12" w:space="0" w:color="auto" w:frame="1"/>
          </w:rPr>
          <w:t>https://journals.plos.org/globalpublichealth/article?id=10.1371/journal.pgph.0003320</w:t>
        </w:r>
      </w:hyperlink>
      <w:r w:rsidRPr="00220797">
        <w:rPr>
          <w:rFonts w:ascii="Times New Roman" w:eastAsia="Times New Roman" w:hAnsi="Times New Roman" w:cs="Times New Roman"/>
          <w:color w:val="0F1115"/>
          <w:sz w:val="24"/>
          <w:szCs w:val="24"/>
        </w:rPr>
        <w:t> (99.6% found app useful, 90.1% easy to use)</w:t>
      </w:r>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Lundberg, S. M., &amp; Lee, S. I. (2017). A unified approach to interpreting model predictions. In </w:t>
      </w:r>
      <w:r w:rsidRPr="00220797">
        <w:rPr>
          <w:rFonts w:ascii="Times New Roman" w:eastAsia="Times New Roman" w:hAnsi="Times New Roman" w:cs="Times New Roman"/>
          <w:i/>
          <w:iCs/>
          <w:color w:val="0F1115"/>
          <w:sz w:val="24"/>
          <w:szCs w:val="24"/>
        </w:rPr>
        <w:t>Advances in Neural Information Processing Systems 30</w:t>
      </w:r>
      <w:r w:rsidRPr="00220797">
        <w:rPr>
          <w:rFonts w:ascii="Times New Roman" w:eastAsia="Times New Roman" w:hAnsi="Times New Roman" w:cs="Times New Roman"/>
          <w:color w:val="0F1115"/>
          <w:sz w:val="24"/>
          <w:szCs w:val="24"/>
        </w:rPr>
        <w:t> (pp. 4765–4774). Curran Associates.</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Mabhaudhi, T., Phoobane, P., &amp; Botai, J. (2023). Integrating indigenous and scientific knowledge in community-based early warning system development for climate-related malaria risk reduction in Mopani District of South Africa. MESA Malaria.</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Malaria World. (2026, March 18). Resurgence of malaria in Ethiopia: A national landscape analysis of systemic and operational gaps. </w:t>
      </w:r>
      <w:r w:rsidRPr="00575ABE">
        <w:rPr>
          <w:rFonts w:ascii="Times New Roman" w:eastAsia="Times New Roman" w:hAnsi="Times New Roman" w:cs="Times New Roman"/>
          <w:i/>
          <w:iCs/>
          <w:color w:val="0F1115"/>
          <w:sz w:val="24"/>
          <w:szCs w:val="24"/>
        </w:rPr>
        <w:t>Malaria World</w:t>
      </w:r>
      <w:r w:rsidRPr="00575ABE">
        <w:rPr>
          <w:rFonts w:ascii="Times New Roman" w:eastAsia="Times New Roman" w:hAnsi="Times New Roman" w:cs="Times New Roman"/>
          <w:color w:val="0F1115"/>
          <w:sz w:val="24"/>
          <w:szCs w:val="24"/>
        </w:rPr>
        <w:t>. </w:t>
      </w:r>
      <w:hyperlink r:id="rId42" w:tgtFrame="_blank" w:history="1">
        <w:r w:rsidRPr="00575ABE">
          <w:rPr>
            <w:rFonts w:ascii="Times New Roman" w:eastAsia="Times New Roman" w:hAnsi="Times New Roman" w:cs="Times New Roman"/>
            <w:color w:val="3964FE"/>
            <w:sz w:val="24"/>
            <w:szCs w:val="24"/>
            <w:bdr w:val="single" w:sz="12" w:space="0" w:color="auto" w:frame="1"/>
          </w:rPr>
          <w:t>https://malariaworld.org/scientific-articles/resurgence-of-malaria-in-ethiopia-a-national-landscape-analysis-of-systemic-and-operational-gaps</w:t>
        </w:r>
      </w:hyperlink>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r w:rsidRPr="0041753D">
        <w:rPr>
          <w:color w:val="0F1115"/>
        </w:rPr>
        <w:lastRenderedPageBreak/>
        <w:t>Malisa, A., &amp; Ndukai, M. (2010). Knowledge and practices on malaria and its control among pastoralists in Simanjiro District, northern Tanzania. </w:t>
      </w:r>
      <w:r w:rsidRPr="0041753D">
        <w:rPr>
          <w:rStyle w:val="Emphasis"/>
          <w:color w:val="0F1115"/>
        </w:rPr>
        <w:t>Tanzania Journal of Health Research, 11</w:t>
      </w:r>
      <w:r w:rsidRPr="0041753D">
        <w:rPr>
          <w:color w:val="0F1115"/>
        </w:rPr>
        <w:t>(4). </w:t>
      </w:r>
      <w:hyperlink r:id="rId43" w:tgtFrame="_blank" w:history="1">
        <w:r w:rsidRPr="0041753D">
          <w:rPr>
            <w:rStyle w:val="Hyperlink"/>
            <w:color w:val="3964FE"/>
            <w:bdr w:val="single" w:sz="12" w:space="0" w:color="auto" w:frame="1"/>
          </w:rPr>
          <w:t>https://doi.org/10.4314/thrb.v11i4.50191</w:t>
        </w:r>
      </w:hyperlink>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r w:rsidRPr="0041753D">
        <w:rPr>
          <w:color w:val="0F1115"/>
        </w:rPr>
        <w:t>Mesfin, A., Asres, K., &amp; Veeresham, C. (2012). Ethnobotanical study of antimalarial plants in Shinile District, Somali Region, Ethiopia, and </w:t>
      </w:r>
      <w:r w:rsidRPr="0041753D">
        <w:rPr>
          <w:rStyle w:val="Emphasis"/>
          <w:color w:val="0F1115"/>
        </w:rPr>
        <w:t>in vivo</w:t>
      </w:r>
      <w:r w:rsidRPr="0041753D">
        <w:rPr>
          <w:color w:val="0F1115"/>
        </w:rPr>
        <w:t> evaluation of selected ones against </w:t>
      </w:r>
      <w:r w:rsidRPr="0041753D">
        <w:rPr>
          <w:rStyle w:val="Emphasis"/>
          <w:color w:val="0F1115"/>
        </w:rPr>
        <w:t>Plasmodium berghei</w:t>
      </w:r>
      <w:r w:rsidRPr="0041753D">
        <w:rPr>
          <w:color w:val="0F1115"/>
        </w:rPr>
        <w:t>. </w:t>
      </w:r>
      <w:r w:rsidRPr="0041753D">
        <w:rPr>
          <w:rStyle w:val="Emphasis"/>
          <w:color w:val="0F1115"/>
        </w:rPr>
        <w:t>Journal of Ethnopharmacology, 139</w:t>
      </w:r>
      <w:r w:rsidRPr="0041753D">
        <w:rPr>
          <w:color w:val="0F1115"/>
        </w:rPr>
        <w:t>(1), 221–227. </w:t>
      </w:r>
      <w:hyperlink r:id="rId44" w:tgtFrame="_blank" w:history="1">
        <w:r w:rsidRPr="0041753D">
          <w:rPr>
            <w:rStyle w:val="Hyperlink"/>
            <w:color w:val="3964FE"/>
            <w:bdr w:val="single" w:sz="12" w:space="0" w:color="auto" w:frame="1"/>
          </w:rPr>
          <w:t>https://doi.org/10.1016/j.jep.2011.11.008</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Midekisa, A., Senay, G., Henebry, G. M., Semuniguse, P., &amp; Wimberly, M. C. (2012). Remote sensing-based time series models for malaria early warning in the highlands of Ethiopia. </w:t>
      </w:r>
      <w:r w:rsidRPr="00220797">
        <w:rPr>
          <w:rFonts w:ascii="Times New Roman" w:eastAsia="Times New Roman" w:hAnsi="Times New Roman" w:cs="Times New Roman"/>
          <w:i/>
          <w:iCs/>
          <w:color w:val="0F1115"/>
          <w:sz w:val="24"/>
          <w:szCs w:val="24"/>
        </w:rPr>
        <w:t>Malaria Journal</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11, Article 165. </w:t>
      </w:r>
      <w:hyperlink r:id="rId45" w:tgtFrame="_blank" w:history="1">
        <w:r w:rsidRPr="00220797">
          <w:rPr>
            <w:rFonts w:ascii="Times New Roman" w:eastAsia="Times New Roman" w:hAnsi="Times New Roman" w:cs="Times New Roman"/>
            <w:color w:val="3964FE"/>
            <w:sz w:val="24"/>
            <w:szCs w:val="24"/>
            <w:bdr w:val="single" w:sz="12" w:space="0" w:color="auto" w:frame="1"/>
          </w:rPr>
          <w:t>https://doi.org/10.1186/1475-2875-11-165</w:t>
        </w:r>
      </w:hyperlink>
    </w:p>
    <w:p w:rsidR="001C4B0D" w:rsidRPr="005B7A69" w:rsidRDefault="001C4B0D" w:rsidP="001C4B0D">
      <w:pPr>
        <w:shd w:val="clear" w:color="auto" w:fill="FFFFFF"/>
        <w:spacing w:after="120"/>
        <w:jc w:val="both"/>
        <w:rPr>
          <w:rFonts w:ascii="Times New Roman" w:eastAsia="Times New Roman" w:hAnsi="Times New Roman" w:cs="Times New Roman"/>
          <w:color w:val="0F1115"/>
          <w:sz w:val="24"/>
          <w:szCs w:val="24"/>
        </w:rPr>
      </w:pPr>
      <w:r w:rsidRPr="005B7A69">
        <w:rPr>
          <w:rFonts w:ascii="Times New Roman" w:eastAsia="Times New Roman" w:hAnsi="Times New Roman" w:cs="Times New Roman"/>
          <w:color w:val="0F1115"/>
          <w:sz w:val="24"/>
          <w:szCs w:val="24"/>
        </w:rPr>
        <w:t>Mordecai, E. A., Paaijmans, K. P., Johnson, L. R., Balzer, C., Ben</w:t>
      </w:r>
      <w:r w:rsidRPr="005B7A69">
        <w:rPr>
          <w:rFonts w:ascii="Times New Roman" w:eastAsia="Times New Roman" w:hAnsi="Times New Roman" w:cs="Times New Roman"/>
          <w:color w:val="0F1115"/>
          <w:sz w:val="24"/>
          <w:szCs w:val="24"/>
        </w:rPr>
        <w:noBreakHyphen/>
        <w:t>Horin, T., de Moor, E., Lafferty, K. D. (2013). Optimal temperature for malaria transmission is dramatically lower than previously predicted. </w:t>
      </w:r>
      <w:r w:rsidRPr="005B7A69">
        <w:rPr>
          <w:rFonts w:ascii="Times New Roman" w:eastAsia="Times New Roman" w:hAnsi="Times New Roman" w:cs="Times New Roman"/>
          <w:i/>
          <w:iCs/>
          <w:color w:val="0F1115"/>
          <w:sz w:val="24"/>
          <w:szCs w:val="24"/>
        </w:rPr>
        <w:t>Ecology Letters</w:t>
      </w:r>
      <w:r>
        <w:rPr>
          <w:rFonts w:ascii="Times New Roman" w:eastAsia="Times New Roman" w:hAnsi="Times New Roman" w:cs="Times New Roman"/>
          <w:color w:val="0F1115"/>
          <w:sz w:val="24"/>
          <w:szCs w:val="24"/>
        </w:rPr>
        <w:t>, </w:t>
      </w:r>
      <w:r w:rsidRPr="005B7A69">
        <w:rPr>
          <w:rFonts w:ascii="Times New Roman" w:eastAsia="Times New Roman" w:hAnsi="Times New Roman" w:cs="Times New Roman"/>
          <w:color w:val="0F1115"/>
          <w:sz w:val="24"/>
          <w:szCs w:val="24"/>
        </w:rPr>
        <w:t>16(1), 22–30. </w:t>
      </w:r>
      <w:hyperlink r:id="rId46" w:tgtFrame="_blank" w:history="1">
        <w:r w:rsidRPr="005B7A69">
          <w:rPr>
            <w:rFonts w:ascii="Times New Roman" w:eastAsia="Times New Roman" w:hAnsi="Times New Roman" w:cs="Times New Roman"/>
            <w:color w:val="3964FE"/>
            <w:sz w:val="24"/>
            <w:szCs w:val="24"/>
            <w:bdr w:val="single" w:sz="12" w:space="0" w:color="auto" w:frame="1"/>
          </w:rPr>
          <w:t>https://doi.org/10.1111/ele.12015</w:t>
        </w:r>
      </w:hyperlink>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Mulugeta, T., Assefa, M., &amp; Worku, A. (2026). Evaluation of the malaria surveillance system and trends in Jimma town, Southwest Ethiopia, 2024: A mixed-method study. </w:t>
      </w:r>
      <w:r w:rsidRPr="00575ABE">
        <w:rPr>
          <w:rFonts w:ascii="Times New Roman" w:eastAsia="Times New Roman" w:hAnsi="Times New Roman" w:cs="Times New Roman"/>
          <w:i/>
          <w:iCs/>
          <w:color w:val="0F1115"/>
          <w:sz w:val="24"/>
          <w:szCs w:val="24"/>
        </w:rPr>
        <w:t>Scientific Reports</w:t>
      </w:r>
      <w:r w:rsidRPr="00575ABE">
        <w:rPr>
          <w:rFonts w:ascii="Times New Roman" w:eastAsia="Times New Roman" w:hAnsi="Times New Roman" w:cs="Times New Roman"/>
          <w:color w:val="0F1115"/>
          <w:sz w:val="24"/>
          <w:szCs w:val="24"/>
        </w:rPr>
        <w:t>, 16, 3404. </w:t>
      </w:r>
      <w:hyperlink r:id="rId47" w:tgtFrame="_blank" w:history="1">
        <w:r w:rsidRPr="00575ABE">
          <w:rPr>
            <w:rFonts w:ascii="Times New Roman" w:eastAsia="Times New Roman" w:hAnsi="Times New Roman" w:cs="Times New Roman"/>
            <w:color w:val="3964FE"/>
            <w:sz w:val="24"/>
            <w:szCs w:val="24"/>
            <w:bdr w:val="single" w:sz="12" w:space="0" w:color="auto" w:frame="1"/>
          </w:rPr>
          <w:t>https://www.nature.com/articles/s41598-025-33344-5</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Naserrudin, N. A., Hassan, M. R., Lin, P. Y. P., &amp; Hod, R. (2022). Navigating community-based research in rural communities exposed to zoonotic malaria: Challenges and a way forward in public health research. </w:t>
      </w:r>
      <w:r w:rsidRPr="00220797">
        <w:rPr>
          <w:rFonts w:ascii="Times New Roman" w:eastAsia="Times New Roman" w:hAnsi="Times New Roman" w:cs="Times New Roman"/>
          <w:i/>
          <w:iCs/>
          <w:color w:val="0F1115"/>
          <w:sz w:val="24"/>
          <w:szCs w:val="24"/>
        </w:rPr>
        <w:t>International Journal of Environmental Research and Public Health</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19(23), Article 15764. </w:t>
      </w:r>
      <w:hyperlink r:id="rId48" w:tgtFrame="_blank" w:history="1">
        <w:r w:rsidRPr="00220797">
          <w:rPr>
            <w:rFonts w:ascii="Times New Roman" w:eastAsia="Times New Roman" w:hAnsi="Times New Roman" w:cs="Times New Roman"/>
            <w:color w:val="3964FE"/>
            <w:sz w:val="24"/>
            <w:szCs w:val="24"/>
            <w:bdr w:val="single" w:sz="12" w:space="0" w:color="auto" w:frame="1"/>
          </w:rPr>
          <w:t>https://doi.org/10.3390/ijerph192315764</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Ndiaye, K. O., Niang, M., &amp; Diouf, I. (2024). Predicting malaria outbreak in The Gambia using machine learning techniques. </w:t>
      </w:r>
      <w:r w:rsidRPr="00220797">
        <w:rPr>
          <w:rFonts w:ascii="Times New Roman" w:eastAsia="Times New Roman" w:hAnsi="Times New Roman" w:cs="Times New Roman"/>
          <w:i/>
          <w:iCs/>
          <w:color w:val="0F1115"/>
          <w:sz w:val="24"/>
          <w:szCs w:val="24"/>
        </w:rPr>
        <w:t>PLOS ONE</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19(5), e0301874. </w:t>
      </w:r>
      <w:hyperlink r:id="rId49" w:tgtFrame="_blank" w:history="1">
        <w:r w:rsidRPr="00220797">
          <w:rPr>
            <w:rFonts w:ascii="Times New Roman" w:eastAsia="Times New Roman" w:hAnsi="Times New Roman" w:cs="Times New Roman"/>
            <w:color w:val="3964FE"/>
            <w:sz w:val="24"/>
            <w:szCs w:val="24"/>
            <w:bdr w:val="single" w:sz="12" w:space="0" w:color="auto" w:frame="1"/>
          </w:rPr>
          <w:t>https://doi.org/10.1371/journal.pone.0301874</w:t>
        </w:r>
      </w:hyperlink>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r w:rsidRPr="0041753D">
        <w:rPr>
          <w:color w:val="0F1115"/>
        </w:rPr>
        <w:t>Nguta, J. M., Mbaria, J. M., Gathumbi, P. K., Gakuya, D., Kabasa, J. D., &amp; Kiama, S. G. (2010). Ethnodiagnostic skills of the Digo community for malaria: A lead to traditional bioprospecting. </w:t>
      </w:r>
      <w:r w:rsidRPr="0041753D">
        <w:rPr>
          <w:rStyle w:val="Emphasis"/>
          <w:color w:val="0F1115"/>
        </w:rPr>
        <w:t>Journal of Ethnopharmacology, 132</w:t>
      </w:r>
      <w:r w:rsidRPr="0041753D">
        <w:rPr>
          <w:color w:val="0F1115"/>
        </w:rPr>
        <w:t>(3), 553–558. </w:t>
      </w:r>
      <w:hyperlink r:id="rId50" w:tgtFrame="_blank" w:history="1">
        <w:r w:rsidRPr="0041753D">
          <w:rPr>
            <w:rStyle w:val="Hyperlink"/>
            <w:color w:val="3964FE"/>
            <w:bdr w:val="single" w:sz="12" w:space="0" w:color="auto" w:frame="1"/>
          </w:rPr>
          <w:t>https://doi.org/10.1016/j.jep.2010.08.049</w:t>
        </w:r>
      </w:hyperlink>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Olawade, D. B., Wada, O. Z., Odetayo, A., Ige, A. O., &amp; Asaolu, F. T. (2025). Artificial intelligence in African malaria control programs: Opportunities and risks. </w:t>
      </w:r>
      <w:r w:rsidRPr="00575ABE">
        <w:rPr>
          <w:rFonts w:ascii="Times New Roman" w:eastAsia="Times New Roman" w:hAnsi="Times New Roman" w:cs="Times New Roman"/>
          <w:i/>
          <w:iCs/>
          <w:color w:val="0F1115"/>
          <w:sz w:val="24"/>
          <w:szCs w:val="24"/>
        </w:rPr>
        <w:t>International Journal of Surgery, 87</w:t>
      </w:r>
      <w:r w:rsidRPr="00575ABE">
        <w:rPr>
          <w:rFonts w:ascii="Times New Roman" w:eastAsia="Times New Roman" w:hAnsi="Times New Roman" w:cs="Times New Roman"/>
          <w:color w:val="0F1115"/>
          <w:sz w:val="24"/>
          <w:szCs w:val="24"/>
        </w:rPr>
        <w:t>(12), 8664–8670. </w:t>
      </w:r>
      <w:hyperlink r:id="rId51" w:tgtFrame="_blank" w:history="1">
        <w:r w:rsidRPr="00575ABE">
          <w:rPr>
            <w:rFonts w:ascii="Times New Roman" w:eastAsia="Times New Roman" w:hAnsi="Times New Roman" w:cs="Times New Roman"/>
            <w:color w:val="3964FE"/>
            <w:sz w:val="24"/>
            <w:szCs w:val="24"/>
            <w:bdr w:val="single" w:sz="12" w:space="0" w:color="auto" w:frame="1"/>
          </w:rPr>
          <w:t>https://doi.org/10.1097/MS9.0000000000004259</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Patton, M. Q. (2015). </w:t>
      </w:r>
      <w:r w:rsidRPr="00220797">
        <w:rPr>
          <w:rFonts w:ascii="Times New Roman" w:eastAsia="Times New Roman" w:hAnsi="Times New Roman" w:cs="Times New Roman"/>
          <w:i/>
          <w:iCs/>
          <w:color w:val="0F1115"/>
          <w:sz w:val="24"/>
          <w:szCs w:val="24"/>
        </w:rPr>
        <w:t>Qualitative research &amp; evaluation methods: Integrating theory and practice</w:t>
      </w:r>
      <w:r w:rsidRPr="00220797">
        <w:rPr>
          <w:rFonts w:ascii="Times New Roman" w:eastAsia="Times New Roman" w:hAnsi="Times New Roman" w:cs="Times New Roman"/>
          <w:color w:val="0F1115"/>
          <w:sz w:val="24"/>
          <w:szCs w:val="24"/>
        </w:rPr>
        <w:t> (4th ed.). SAGE Publications.</w:t>
      </w:r>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Pedregosa, F., Varoquaux, G., Gramfort, A., Michel, V., Thirion, B., Grisel, O., … Duchesnay, É. (2011). Scikit-learn: Machine learning in Python. </w:t>
      </w:r>
      <w:r w:rsidRPr="00220797">
        <w:rPr>
          <w:rFonts w:ascii="Times New Roman" w:eastAsia="Times New Roman" w:hAnsi="Times New Roman" w:cs="Times New Roman"/>
          <w:i/>
          <w:iCs/>
          <w:color w:val="0F1115"/>
          <w:sz w:val="24"/>
          <w:szCs w:val="24"/>
        </w:rPr>
        <w:t>Journal of Machine Learning Research</w:t>
      </w:r>
      <w:r>
        <w:rPr>
          <w:rFonts w:ascii="Times New Roman" w:eastAsia="Times New Roman" w:hAnsi="Times New Roman" w:cs="Times New Roman"/>
          <w:color w:val="0F1115"/>
          <w:sz w:val="24"/>
          <w:szCs w:val="24"/>
        </w:rPr>
        <w:t>, </w:t>
      </w:r>
      <w:r w:rsidRPr="00220797">
        <w:rPr>
          <w:rFonts w:ascii="Times New Roman" w:eastAsia="Times New Roman" w:hAnsi="Times New Roman" w:cs="Times New Roman"/>
          <w:color w:val="0F1115"/>
          <w:sz w:val="24"/>
          <w:szCs w:val="24"/>
        </w:rPr>
        <w:t>12, 2825–2830.</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lastRenderedPageBreak/>
        <w:t>Phoobane, P., Mabhaudhi, T., &amp; Botai, J. (2024). Predicting malaria outbreak using indigenous knowledge and fuzzy cognitive maps: A case study of Vhembe District in South Africa. In </w:t>
      </w:r>
      <w:r w:rsidRPr="00575ABE">
        <w:rPr>
          <w:rFonts w:ascii="Times New Roman" w:eastAsia="Times New Roman" w:hAnsi="Times New Roman" w:cs="Times New Roman"/>
          <w:i/>
          <w:iCs/>
          <w:color w:val="0F1115"/>
          <w:sz w:val="24"/>
          <w:szCs w:val="24"/>
        </w:rPr>
        <w:t>Emerging Technologies for Developing Countries: 6th EAI International Conference, AFRICATEK 2023, Proceedings</w:t>
      </w:r>
      <w:r w:rsidRPr="00575ABE">
        <w:rPr>
          <w:rFonts w:ascii="Times New Roman" w:eastAsia="Times New Roman" w:hAnsi="Times New Roman" w:cs="Times New Roman"/>
          <w:color w:val="0F1115"/>
          <w:sz w:val="24"/>
          <w:szCs w:val="24"/>
        </w:rPr>
        <w:t> (pp. 145–164). Springer. </w:t>
      </w:r>
      <w:hyperlink r:id="rId52" w:tgtFrame="_blank" w:history="1">
        <w:r w:rsidRPr="00575ABE">
          <w:rPr>
            <w:rFonts w:ascii="Times New Roman" w:eastAsia="Times New Roman" w:hAnsi="Times New Roman" w:cs="Times New Roman"/>
            <w:color w:val="3964FE"/>
            <w:sz w:val="24"/>
            <w:szCs w:val="24"/>
            <w:bdr w:val="single" w:sz="12" w:space="0" w:color="auto" w:frame="1"/>
          </w:rPr>
          <w:t>https://doi.org/10.1007/978-3-031-63999-9_9</w:t>
        </w:r>
      </w:hyperlink>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r w:rsidRPr="0041753D">
        <w:rPr>
          <w:color w:val="0F1115"/>
        </w:rPr>
        <w:t>Regassa, T., Dufera, M., &amp; Kenea, O. (2025). Ethnobotanical investigation of plants traditionally used to treat and prevent malaria in Sibu Sire district, western Ethiopia. </w:t>
      </w:r>
      <w:r w:rsidRPr="0041753D">
        <w:rPr>
          <w:rStyle w:val="Emphasis"/>
          <w:color w:val="0F1115"/>
        </w:rPr>
        <w:t>Journal of Ethnopharmacology, 189</w:t>
      </w:r>
      <w:r w:rsidRPr="0041753D">
        <w:rPr>
          <w:color w:val="0F1115"/>
        </w:rPr>
        <w:t>, 119–127.</w:t>
      </w:r>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SAGE. (2024). Predictors of disease outbreaks at continental-scale in the African region: Insights and predictions with geospatial artificial intelligence using earth observations and routine disease surveillance data. </w:t>
      </w:r>
      <w:r w:rsidRPr="00575ABE">
        <w:rPr>
          <w:rFonts w:ascii="Times New Roman" w:eastAsia="Times New Roman" w:hAnsi="Times New Roman" w:cs="Times New Roman"/>
          <w:i/>
          <w:iCs/>
          <w:color w:val="0F1115"/>
          <w:sz w:val="24"/>
          <w:szCs w:val="24"/>
        </w:rPr>
        <w:t>SAGE Open</w:t>
      </w:r>
      <w:r w:rsidRPr="00575ABE">
        <w:rPr>
          <w:rFonts w:ascii="Times New Roman" w:eastAsia="Times New Roman" w:hAnsi="Times New Roman" w:cs="Times New Roman"/>
          <w:color w:val="0F1115"/>
          <w:sz w:val="24"/>
          <w:szCs w:val="24"/>
        </w:rPr>
        <w:t>, 14(4). </w:t>
      </w:r>
      <w:hyperlink r:id="rId53" w:tgtFrame="_blank" w:history="1">
        <w:r w:rsidRPr="00575ABE">
          <w:rPr>
            <w:rFonts w:ascii="Times New Roman" w:eastAsia="Times New Roman" w:hAnsi="Times New Roman" w:cs="Times New Roman"/>
            <w:color w:val="3964FE"/>
            <w:sz w:val="24"/>
            <w:szCs w:val="24"/>
            <w:bdr w:val="single" w:sz="12" w:space="0" w:color="auto" w:frame="1"/>
          </w:rPr>
          <w:t>https://doi.org/10.1177/21582440241288634</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Shannon-Baker, P. (2016). Making paradigms meaningful in mixed methods research. </w:t>
      </w:r>
      <w:r w:rsidRPr="00220797">
        <w:rPr>
          <w:rFonts w:ascii="Times New Roman" w:eastAsia="Times New Roman" w:hAnsi="Times New Roman" w:cs="Times New Roman"/>
          <w:i/>
          <w:iCs/>
          <w:color w:val="0F1115"/>
          <w:sz w:val="24"/>
          <w:szCs w:val="24"/>
        </w:rPr>
        <w:t>Journal of Mixed Methods Research</w:t>
      </w:r>
      <w:r w:rsidRPr="00220797">
        <w:rPr>
          <w:rFonts w:ascii="Times New Roman" w:eastAsia="Times New Roman" w:hAnsi="Times New Roman" w:cs="Times New Roman"/>
          <w:color w:val="0F1115"/>
          <w:sz w:val="24"/>
          <w:szCs w:val="24"/>
        </w:rPr>
        <w:t>, *10*(4), 319–334. </w:t>
      </w:r>
      <w:hyperlink r:id="rId54" w:tgtFrame="_blank" w:history="1">
        <w:r w:rsidRPr="00220797">
          <w:rPr>
            <w:rFonts w:ascii="Times New Roman" w:eastAsia="Times New Roman" w:hAnsi="Times New Roman" w:cs="Times New Roman"/>
            <w:color w:val="3964FE"/>
            <w:sz w:val="24"/>
            <w:szCs w:val="24"/>
            <w:bdr w:val="single" w:sz="12" w:space="0" w:color="auto" w:frame="1"/>
          </w:rPr>
          <w:t>https://doi.org/10.1177/1558689815575861</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Squires, A. (2009). Methodological challenges in cross-language qualitative research: A research review. </w:t>
      </w:r>
      <w:r w:rsidRPr="00220797">
        <w:rPr>
          <w:rFonts w:ascii="Times New Roman" w:eastAsia="Times New Roman" w:hAnsi="Times New Roman" w:cs="Times New Roman"/>
          <w:i/>
          <w:iCs/>
          <w:color w:val="0F1115"/>
          <w:sz w:val="24"/>
          <w:szCs w:val="24"/>
        </w:rPr>
        <w:t>International Journal of Nursing Studies</w:t>
      </w:r>
      <w:r w:rsidRPr="00220797">
        <w:rPr>
          <w:rFonts w:ascii="Times New Roman" w:eastAsia="Times New Roman" w:hAnsi="Times New Roman" w:cs="Times New Roman"/>
          <w:color w:val="0F1115"/>
          <w:sz w:val="24"/>
          <w:szCs w:val="24"/>
        </w:rPr>
        <w:t>, *46*(2), 277–287. </w:t>
      </w:r>
      <w:hyperlink r:id="rId55" w:tgtFrame="_blank" w:history="1">
        <w:r w:rsidRPr="00220797">
          <w:rPr>
            <w:rFonts w:ascii="Times New Roman" w:eastAsia="Times New Roman" w:hAnsi="Times New Roman" w:cs="Times New Roman"/>
            <w:color w:val="3964FE"/>
            <w:sz w:val="24"/>
            <w:szCs w:val="24"/>
            <w:bdr w:val="single" w:sz="12" w:space="0" w:color="auto" w:frame="1"/>
          </w:rPr>
          <w:t>https://doi.org/10.1016/j.ijnurstu.2008.08.006</w:t>
        </w:r>
      </w:hyperlink>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r w:rsidRPr="0041753D">
        <w:rPr>
          <w:color w:val="0F1115"/>
        </w:rPr>
        <w:t>Suleman, S., Beyene Tufa, T., Kebebe, D., Belew, S., Mekonnen, Y., Gashe, F., … De Spiegeleer, B. (2018). Treatment of malaria and related symptoms using traditional herbal medicine in Ethiopia. </w:t>
      </w:r>
      <w:r w:rsidRPr="0041753D">
        <w:rPr>
          <w:rStyle w:val="Emphasis"/>
          <w:color w:val="0F1115"/>
        </w:rPr>
        <w:t>Journal of Ethnopharmacology, 213</w:t>
      </w:r>
      <w:r w:rsidRPr="0041753D">
        <w:rPr>
          <w:color w:val="0F1115"/>
        </w:rPr>
        <w:t>, 262–279. </w:t>
      </w:r>
      <w:hyperlink r:id="rId56" w:tgtFrame="_blank" w:history="1">
        <w:r w:rsidRPr="0041753D">
          <w:rPr>
            <w:rStyle w:val="Hyperlink"/>
            <w:color w:val="3964FE"/>
            <w:bdr w:val="single" w:sz="12" w:space="0" w:color="auto" w:frame="1"/>
          </w:rPr>
          <w:t>https://doi.org/10.1016/j.jep.2017.10.034</w:t>
        </w:r>
      </w:hyperlink>
    </w:p>
    <w:p w:rsidR="006D40BD" w:rsidRPr="00575ABE" w:rsidRDefault="006D40BD" w:rsidP="006D40BD">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Tadesse, F. G., Ashine, T., Teka, H., Esayas, E., Messenger, L. A., &amp; Bousema, T. (2022). </w:t>
      </w:r>
      <w:r w:rsidRPr="00575ABE">
        <w:rPr>
          <w:rFonts w:ascii="Times New Roman" w:eastAsia="Times New Roman" w:hAnsi="Times New Roman" w:cs="Times New Roman"/>
          <w:i/>
          <w:iCs/>
          <w:color w:val="0F1115"/>
          <w:sz w:val="24"/>
          <w:szCs w:val="24"/>
        </w:rPr>
        <w:t>Anopheles stephensi</w:t>
      </w:r>
      <w:r w:rsidRPr="00575ABE">
        <w:rPr>
          <w:rFonts w:ascii="Times New Roman" w:eastAsia="Times New Roman" w:hAnsi="Times New Roman" w:cs="Times New Roman"/>
          <w:color w:val="0F1115"/>
          <w:sz w:val="24"/>
          <w:szCs w:val="24"/>
        </w:rPr>
        <w:t> is implicated in an outbreak of </w:t>
      </w:r>
      <w:r w:rsidRPr="00575ABE">
        <w:rPr>
          <w:rFonts w:ascii="Times New Roman" w:eastAsia="Times New Roman" w:hAnsi="Times New Roman" w:cs="Times New Roman"/>
          <w:i/>
          <w:iCs/>
          <w:color w:val="0F1115"/>
          <w:sz w:val="24"/>
          <w:szCs w:val="24"/>
        </w:rPr>
        <w:t>Plasmodium falciparum</w:t>
      </w:r>
      <w:r w:rsidRPr="00575ABE">
        <w:rPr>
          <w:rFonts w:ascii="Times New Roman" w:eastAsia="Times New Roman" w:hAnsi="Times New Roman" w:cs="Times New Roman"/>
          <w:color w:val="0F1115"/>
          <w:sz w:val="24"/>
          <w:szCs w:val="24"/>
        </w:rPr>
        <w:t> parasites that carry markers of drug and diagnostic resistance in Dire Dawa City, Ethiopia, January–July 2022. </w:t>
      </w:r>
      <w:r w:rsidRPr="00575ABE">
        <w:rPr>
          <w:rFonts w:ascii="Times New Roman" w:eastAsia="Times New Roman" w:hAnsi="Times New Roman" w:cs="Times New Roman"/>
          <w:i/>
          <w:iCs/>
          <w:color w:val="0F1115"/>
          <w:sz w:val="24"/>
          <w:szCs w:val="24"/>
        </w:rPr>
        <w:t>medRxiv</w:t>
      </w:r>
      <w:r w:rsidRPr="00575ABE">
        <w:rPr>
          <w:rFonts w:ascii="Times New Roman" w:eastAsia="Times New Roman" w:hAnsi="Times New Roman" w:cs="Times New Roman"/>
          <w:color w:val="0F1115"/>
          <w:sz w:val="24"/>
          <w:szCs w:val="24"/>
        </w:rPr>
        <w:t>. </w:t>
      </w:r>
      <w:hyperlink r:id="rId57" w:tgtFrame="_blank" w:history="1">
        <w:r w:rsidRPr="00575ABE">
          <w:rPr>
            <w:rFonts w:ascii="Times New Roman" w:eastAsia="Times New Roman" w:hAnsi="Times New Roman" w:cs="Times New Roman"/>
            <w:color w:val="3964FE"/>
            <w:sz w:val="24"/>
            <w:szCs w:val="24"/>
            <w:bdr w:val="single" w:sz="12" w:space="0" w:color="auto" w:frame="1"/>
          </w:rPr>
          <w:t>https://doi.org/10.1101/2022.10.29.22281647</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Tong, A., Sainsbury, P., &amp; Craig, J. (2007). Consolidated criteria for reporting qualitative research (COREQ): A 32-item checklist for interviews and focus groups. </w:t>
      </w:r>
      <w:r w:rsidRPr="00220797">
        <w:rPr>
          <w:rFonts w:ascii="Times New Roman" w:eastAsia="Times New Roman" w:hAnsi="Times New Roman" w:cs="Times New Roman"/>
          <w:i/>
          <w:iCs/>
          <w:color w:val="0F1115"/>
          <w:sz w:val="24"/>
          <w:szCs w:val="24"/>
        </w:rPr>
        <w:t>International Journal for Quality in Health Care</w:t>
      </w:r>
      <w:r w:rsidRPr="00220797">
        <w:rPr>
          <w:rFonts w:ascii="Times New Roman" w:eastAsia="Times New Roman" w:hAnsi="Times New Roman" w:cs="Times New Roman"/>
          <w:color w:val="0F1115"/>
          <w:sz w:val="24"/>
          <w:szCs w:val="24"/>
        </w:rPr>
        <w:t>, *19*(6), 349–357. </w:t>
      </w:r>
      <w:hyperlink r:id="rId58" w:tgtFrame="_blank" w:history="1">
        <w:r w:rsidRPr="00220797">
          <w:rPr>
            <w:rFonts w:ascii="Times New Roman" w:eastAsia="Times New Roman" w:hAnsi="Times New Roman" w:cs="Times New Roman"/>
            <w:color w:val="3964FE"/>
            <w:sz w:val="24"/>
            <w:szCs w:val="24"/>
            <w:bdr w:val="single" w:sz="12" w:space="0" w:color="auto" w:frame="1"/>
          </w:rPr>
          <w:t>https://doi.org/10.1093/intqhc/mzm042</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van Buuren, S., &amp; Groothuis-Oudshoorn, K. (2011). mice: Multivariate imputation by chained equations in R. </w:t>
      </w:r>
      <w:r w:rsidRPr="00220797">
        <w:rPr>
          <w:rFonts w:ascii="Times New Roman" w:eastAsia="Times New Roman" w:hAnsi="Times New Roman" w:cs="Times New Roman"/>
          <w:i/>
          <w:iCs/>
          <w:color w:val="0F1115"/>
          <w:sz w:val="24"/>
          <w:szCs w:val="24"/>
        </w:rPr>
        <w:t>Journal of Statistical Software</w:t>
      </w:r>
      <w:r w:rsidRPr="00220797">
        <w:rPr>
          <w:rFonts w:ascii="Times New Roman" w:eastAsia="Times New Roman" w:hAnsi="Times New Roman" w:cs="Times New Roman"/>
          <w:color w:val="0F1115"/>
          <w:sz w:val="24"/>
          <w:szCs w:val="24"/>
        </w:rPr>
        <w:t>, *45*(3), 1–67. </w:t>
      </w:r>
      <w:hyperlink r:id="rId59" w:tgtFrame="_blank" w:history="1">
        <w:r w:rsidRPr="00220797">
          <w:rPr>
            <w:rFonts w:ascii="Times New Roman" w:eastAsia="Times New Roman" w:hAnsi="Times New Roman" w:cs="Times New Roman"/>
            <w:color w:val="3964FE"/>
            <w:sz w:val="24"/>
            <w:szCs w:val="24"/>
            <w:bdr w:val="single" w:sz="12" w:space="0" w:color="auto" w:frame="1"/>
          </w:rPr>
          <w:t>https://doi.org/10.18637/jss.v045.i03</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Wan, Z., Hook, S., &amp; Hulley, G. (2015). </w:t>
      </w:r>
      <w:r w:rsidRPr="00220797">
        <w:rPr>
          <w:rFonts w:ascii="Times New Roman" w:eastAsia="Times New Roman" w:hAnsi="Times New Roman" w:cs="Times New Roman"/>
          <w:i/>
          <w:iCs/>
          <w:color w:val="0F1115"/>
          <w:sz w:val="24"/>
          <w:szCs w:val="24"/>
        </w:rPr>
        <w:t>MODIS land surface temperature product (MOD11) user guide</w:t>
      </w:r>
      <w:r w:rsidRPr="00220797">
        <w:rPr>
          <w:rFonts w:ascii="Times New Roman" w:eastAsia="Times New Roman" w:hAnsi="Times New Roman" w:cs="Times New Roman"/>
          <w:color w:val="0F1115"/>
          <w:sz w:val="24"/>
          <w:szCs w:val="24"/>
        </w:rPr>
        <w:t>. NASA Jet Propulsion Laboratory.</w:t>
      </w:r>
    </w:p>
    <w:p w:rsidR="005136F8" w:rsidRPr="0041753D" w:rsidRDefault="005136F8" w:rsidP="005136F8">
      <w:pPr>
        <w:pStyle w:val="ds-markdown-paragraph"/>
        <w:shd w:val="clear" w:color="auto" w:fill="FFFFFF"/>
        <w:spacing w:before="0" w:beforeAutospacing="0" w:after="120" w:afterAutospacing="0" w:line="276" w:lineRule="auto"/>
        <w:jc w:val="both"/>
        <w:rPr>
          <w:color w:val="0F1115"/>
        </w:rPr>
      </w:pPr>
      <w:r w:rsidRPr="0041753D">
        <w:rPr>
          <w:color w:val="0F1115"/>
        </w:rPr>
        <w:t>Waymire, E., Getachew, D., Gunarathna, I., Spear, J., Lloyd, G., Follis, M., … Carter, T. E. (2025). Genetic surveillance of </w:t>
      </w:r>
      <w:r w:rsidRPr="0041753D">
        <w:rPr>
          <w:rStyle w:val="Emphasis"/>
          <w:color w:val="0F1115"/>
        </w:rPr>
        <w:t>Plasmodium</w:t>
      </w:r>
      <w:r w:rsidRPr="0041753D">
        <w:rPr>
          <w:color w:val="0F1115"/>
        </w:rPr>
        <w:t>-</w:t>
      </w:r>
      <w:r w:rsidRPr="0041753D">
        <w:rPr>
          <w:rStyle w:val="Emphasis"/>
          <w:color w:val="0F1115"/>
        </w:rPr>
        <w:t>Anopheles</w:t>
      </w:r>
      <w:r w:rsidRPr="0041753D">
        <w:rPr>
          <w:color w:val="0F1115"/>
        </w:rPr>
        <w:t> compatibility markers during </w:t>
      </w:r>
      <w:r w:rsidRPr="0041753D">
        <w:rPr>
          <w:rStyle w:val="Emphasis"/>
          <w:color w:val="0F1115"/>
        </w:rPr>
        <w:t xml:space="preserve">Anopheles </w:t>
      </w:r>
      <w:r w:rsidRPr="0041753D">
        <w:rPr>
          <w:rStyle w:val="Emphasis"/>
          <w:color w:val="0F1115"/>
        </w:rPr>
        <w:lastRenderedPageBreak/>
        <w:t>stephensi</w:t>
      </w:r>
      <w:r w:rsidRPr="0041753D">
        <w:rPr>
          <w:color w:val="0F1115"/>
        </w:rPr>
        <w:t> associated malaria outbreak. </w:t>
      </w:r>
      <w:r w:rsidRPr="0041753D">
        <w:rPr>
          <w:rStyle w:val="Emphasis"/>
          <w:color w:val="0F1115"/>
        </w:rPr>
        <w:t>Parasites &amp; Vectors, 18</w:t>
      </w:r>
      <w:r w:rsidRPr="0041753D">
        <w:rPr>
          <w:color w:val="0F1115"/>
        </w:rPr>
        <w:t>(1), Article 358. </w:t>
      </w:r>
      <w:hyperlink r:id="rId60" w:tgtFrame="_blank" w:history="1">
        <w:r w:rsidRPr="0041753D">
          <w:rPr>
            <w:rStyle w:val="Hyperlink"/>
            <w:color w:val="3964FE"/>
            <w:bdr w:val="single" w:sz="12" w:space="0" w:color="auto" w:frame="1"/>
          </w:rPr>
          <w:t>https://doi.org/10.1186/s13071-025-06981-y</w:t>
        </w:r>
      </w:hyperlink>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Weller, S. C., &amp; Romney, A. K. (1988). </w:t>
      </w:r>
      <w:r w:rsidRPr="00220797">
        <w:rPr>
          <w:rFonts w:ascii="Times New Roman" w:eastAsia="Times New Roman" w:hAnsi="Times New Roman" w:cs="Times New Roman"/>
          <w:i/>
          <w:iCs/>
          <w:color w:val="0F1115"/>
          <w:sz w:val="24"/>
          <w:szCs w:val="24"/>
        </w:rPr>
        <w:t>Systematic data collection</w:t>
      </w:r>
      <w:r w:rsidRPr="00220797">
        <w:rPr>
          <w:rFonts w:ascii="Times New Roman" w:eastAsia="Times New Roman" w:hAnsi="Times New Roman" w:cs="Times New Roman"/>
          <w:color w:val="0F1115"/>
          <w:sz w:val="24"/>
          <w:szCs w:val="24"/>
        </w:rPr>
        <w:t> (Sage University Paper Series on Qualitative Research Methods, Vol. 10). SAGE Publications.</w:t>
      </w:r>
    </w:p>
    <w:p w:rsidR="006D40BD" w:rsidRPr="00220797"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Wimberly, M. C., Midekisa, A., Semuniguse, P., &amp; Teka, H. (2020). Evaluating remotely sensed and interpolated environmental datasets for vector-borne disease monitoring using in situ observations over the Amhara region, Ethiopia. </w:t>
      </w:r>
      <w:r w:rsidRPr="00220797">
        <w:rPr>
          <w:rFonts w:ascii="Times New Roman" w:eastAsia="Times New Roman" w:hAnsi="Times New Roman" w:cs="Times New Roman"/>
          <w:i/>
          <w:iCs/>
          <w:color w:val="0F1115"/>
          <w:sz w:val="24"/>
          <w:szCs w:val="24"/>
        </w:rPr>
        <w:t>Remote Sensing</w:t>
      </w:r>
      <w:r w:rsidRPr="00220797">
        <w:rPr>
          <w:rFonts w:ascii="Times New Roman" w:eastAsia="Times New Roman" w:hAnsi="Times New Roman" w:cs="Times New Roman"/>
          <w:color w:val="0F1115"/>
          <w:sz w:val="24"/>
          <w:szCs w:val="24"/>
        </w:rPr>
        <w:t>, *12*(5), 784. </w:t>
      </w:r>
      <w:hyperlink r:id="rId61" w:tgtFrame="_blank" w:history="1">
        <w:r w:rsidRPr="00220797">
          <w:rPr>
            <w:rFonts w:ascii="Times New Roman" w:eastAsia="Times New Roman" w:hAnsi="Times New Roman" w:cs="Times New Roman"/>
            <w:color w:val="3964FE"/>
            <w:sz w:val="24"/>
            <w:szCs w:val="24"/>
            <w:bdr w:val="single" w:sz="12" w:space="0" w:color="auto" w:frame="1"/>
          </w:rPr>
          <w:t>https://doi.org/10.3390/rs12050784</w:t>
        </w:r>
      </w:hyperlink>
    </w:p>
    <w:p w:rsidR="006D40BD" w:rsidRDefault="006D40BD" w:rsidP="006D40BD">
      <w:pPr>
        <w:shd w:val="clear" w:color="auto" w:fill="FFFFFF"/>
        <w:spacing w:after="120"/>
        <w:jc w:val="both"/>
        <w:rPr>
          <w:rFonts w:ascii="Times New Roman" w:eastAsia="Times New Roman" w:hAnsi="Times New Roman" w:cs="Times New Roman"/>
          <w:color w:val="0F1115"/>
          <w:sz w:val="24"/>
          <w:szCs w:val="24"/>
        </w:rPr>
      </w:pPr>
      <w:r w:rsidRPr="00220797">
        <w:rPr>
          <w:rFonts w:ascii="Times New Roman" w:eastAsia="Times New Roman" w:hAnsi="Times New Roman" w:cs="Times New Roman"/>
          <w:color w:val="0F1115"/>
          <w:sz w:val="24"/>
          <w:szCs w:val="24"/>
        </w:rPr>
        <w:t>Woyessa, A., Deressa, W., Ali, A., &amp; Lindtjørn, B. (2012). Malaria risk factors in Butajira area, south-central Ethiopia: A multilevel analysis. </w:t>
      </w:r>
      <w:r w:rsidRPr="00220797">
        <w:rPr>
          <w:rFonts w:ascii="Times New Roman" w:eastAsia="Times New Roman" w:hAnsi="Times New Roman" w:cs="Times New Roman"/>
          <w:i/>
          <w:iCs/>
          <w:color w:val="0F1115"/>
          <w:sz w:val="24"/>
          <w:szCs w:val="24"/>
        </w:rPr>
        <w:t>Malaria Journal</w:t>
      </w:r>
      <w:r w:rsidRPr="00220797">
        <w:rPr>
          <w:rFonts w:ascii="Times New Roman" w:eastAsia="Times New Roman" w:hAnsi="Times New Roman" w:cs="Times New Roman"/>
          <w:color w:val="0F1115"/>
          <w:sz w:val="24"/>
          <w:szCs w:val="24"/>
        </w:rPr>
        <w:t>, *11*, Article 27. </w:t>
      </w:r>
      <w:hyperlink r:id="rId62" w:tgtFrame="_blank" w:history="1">
        <w:r w:rsidRPr="00220797">
          <w:rPr>
            <w:rFonts w:ascii="Times New Roman" w:eastAsia="Times New Roman" w:hAnsi="Times New Roman" w:cs="Times New Roman"/>
            <w:color w:val="3964FE"/>
            <w:sz w:val="24"/>
            <w:szCs w:val="24"/>
            <w:bdr w:val="single" w:sz="12" w:space="0" w:color="auto" w:frame="1"/>
          </w:rPr>
          <w:t>https://doi.org/10.1186/1475-2875-11-27</w:t>
        </w:r>
      </w:hyperlink>
    </w:p>
    <w:p w:rsidR="00575ABE" w:rsidRPr="00575ABE" w:rsidRDefault="00575ABE" w:rsidP="00575ABE">
      <w:pPr>
        <w:shd w:val="clear" w:color="auto" w:fill="FFFFFF"/>
        <w:spacing w:after="120"/>
        <w:jc w:val="both"/>
        <w:rPr>
          <w:rFonts w:ascii="Times New Roman" w:eastAsia="Times New Roman" w:hAnsi="Times New Roman" w:cs="Times New Roman"/>
          <w:color w:val="0F1115"/>
          <w:sz w:val="24"/>
          <w:szCs w:val="24"/>
        </w:rPr>
      </w:pPr>
      <w:r w:rsidRPr="00575ABE">
        <w:rPr>
          <w:rFonts w:ascii="Times New Roman" w:eastAsia="Times New Roman" w:hAnsi="Times New Roman" w:cs="Times New Roman"/>
          <w:color w:val="0F1115"/>
          <w:sz w:val="24"/>
          <w:szCs w:val="24"/>
        </w:rPr>
        <w:t>World Health Organization. (2025, December 4). </w:t>
      </w:r>
      <w:r w:rsidRPr="00575ABE">
        <w:rPr>
          <w:rFonts w:ascii="Times New Roman" w:eastAsia="Times New Roman" w:hAnsi="Times New Roman" w:cs="Times New Roman"/>
          <w:i/>
          <w:iCs/>
          <w:color w:val="0F1115"/>
          <w:sz w:val="24"/>
          <w:szCs w:val="24"/>
        </w:rPr>
        <w:t>New tools saved a million lives from malaria last year but progress under threat as drug resistance rises</w:t>
      </w:r>
      <w:r w:rsidRPr="00575ABE">
        <w:rPr>
          <w:rFonts w:ascii="Times New Roman" w:eastAsia="Times New Roman" w:hAnsi="Times New Roman" w:cs="Times New Roman"/>
          <w:color w:val="0F1115"/>
          <w:sz w:val="24"/>
          <w:szCs w:val="24"/>
        </w:rPr>
        <w:t>. WHO. </w:t>
      </w:r>
      <w:hyperlink r:id="rId63" w:tgtFrame="_blank" w:history="1">
        <w:r w:rsidRPr="00575ABE">
          <w:rPr>
            <w:rFonts w:ascii="Times New Roman" w:eastAsia="Times New Roman" w:hAnsi="Times New Roman" w:cs="Times New Roman"/>
            <w:color w:val="3964FE"/>
            <w:sz w:val="24"/>
            <w:szCs w:val="24"/>
            <w:bdr w:val="single" w:sz="12" w:space="0" w:color="auto" w:frame="1"/>
          </w:rPr>
          <w:t>https://www.who.int/news/item/04-12-2025-new-tools-saved-a-million-lives-from-malaria-last-year-but-progress-under-threat-as-drug-resistance-rises</w:t>
        </w:r>
      </w:hyperlink>
    </w:p>
    <w:p w:rsidR="00575ABE" w:rsidRPr="00575ABE" w:rsidRDefault="00575ABE" w:rsidP="00575ABE">
      <w:pPr>
        <w:shd w:val="clear" w:color="auto" w:fill="FFFFFF"/>
        <w:spacing w:before="100" w:beforeAutospacing="1" w:after="0" w:line="240" w:lineRule="auto"/>
        <w:rPr>
          <w:rFonts w:ascii="quote-cjk-patch" w:eastAsia="Times New Roman" w:hAnsi="quote-cjk-patch" w:cs="Times New Roman"/>
          <w:color w:val="0F1115"/>
          <w:sz w:val="24"/>
          <w:szCs w:val="24"/>
        </w:rPr>
      </w:pPr>
    </w:p>
    <w:p w:rsidR="00575ABE" w:rsidRPr="00575ABE" w:rsidRDefault="00575ABE" w:rsidP="00F8717A">
      <w:pPr>
        <w:shd w:val="clear" w:color="auto" w:fill="FFFFFF"/>
        <w:spacing w:before="480" w:after="240" w:line="480" w:lineRule="atLeast"/>
        <w:outlineLvl w:val="1"/>
        <w:rPr>
          <w:rFonts w:ascii="quote-cjk-patch" w:eastAsia="Times New Roman" w:hAnsi="quote-cjk-patch" w:cs="Times New Roman"/>
          <w:color w:val="0F1115"/>
          <w:sz w:val="24"/>
          <w:szCs w:val="24"/>
        </w:rPr>
      </w:pPr>
      <w:r w:rsidRPr="00575ABE">
        <w:rPr>
          <w:rFonts w:ascii="quote-cjk-patch" w:eastAsia="Times New Roman" w:hAnsi="quote-cjk-patch" w:cs="Times New Roman"/>
          <w:b/>
          <w:bCs/>
          <w:color w:val="0F1115"/>
          <w:sz w:val="33"/>
          <w:szCs w:val="33"/>
        </w:rPr>
        <w:t xml:space="preserve">3. </w:t>
      </w:r>
    </w:p>
    <w:p w:rsidR="00575ABE" w:rsidRDefault="00575ABE"/>
    <w:sectPr w:rsidR="00575A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quote-cjk-patch">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7205"/>
    <w:multiLevelType w:val="hybridMultilevel"/>
    <w:tmpl w:val="E26CD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4421A"/>
    <w:multiLevelType w:val="hybridMultilevel"/>
    <w:tmpl w:val="6042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76509"/>
    <w:multiLevelType w:val="hybridMultilevel"/>
    <w:tmpl w:val="AF60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4D3CFB"/>
    <w:multiLevelType w:val="hybridMultilevel"/>
    <w:tmpl w:val="70F60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1A281A"/>
    <w:multiLevelType w:val="hybridMultilevel"/>
    <w:tmpl w:val="3932C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F61547"/>
    <w:multiLevelType w:val="hybridMultilevel"/>
    <w:tmpl w:val="F1120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0729E5"/>
    <w:multiLevelType w:val="hybridMultilevel"/>
    <w:tmpl w:val="F3989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BA76A9"/>
    <w:multiLevelType w:val="hybridMultilevel"/>
    <w:tmpl w:val="FCF0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D2643F"/>
    <w:multiLevelType w:val="hybridMultilevel"/>
    <w:tmpl w:val="2794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CD2D32"/>
    <w:multiLevelType w:val="hybridMultilevel"/>
    <w:tmpl w:val="09127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9A6B02"/>
    <w:multiLevelType w:val="hybridMultilevel"/>
    <w:tmpl w:val="F66E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B45E22"/>
    <w:multiLevelType w:val="hybridMultilevel"/>
    <w:tmpl w:val="09A6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A40BD6"/>
    <w:multiLevelType w:val="hybridMultilevel"/>
    <w:tmpl w:val="9B06D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D615CF"/>
    <w:multiLevelType w:val="hybridMultilevel"/>
    <w:tmpl w:val="D170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1F6BAA"/>
    <w:multiLevelType w:val="hybridMultilevel"/>
    <w:tmpl w:val="46189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84224"/>
    <w:multiLevelType w:val="hybridMultilevel"/>
    <w:tmpl w:val="3F609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4"/>
  </w:num>
  <w:num w:numId="4">
    <w:abstractNumId w:val="9"/>
  </w:num>
  <w:num w:numId="5">
    <w:abstractNumId w:val="13"/>
  </w:num>
  <w:num w:numId="6">
    <w:abstractNumId w:val="7"/>
  </w:num>
  <w:num w:numId="7">
    <w:abstractNumId w:val="0"/>
  </w:num>
  <w:num w:numId="8">
    <w:abstractNumId w:val="11"/>
  </w:num>
  <w:num w:numId="9">
    <w:abstractNumId w:val="2"/>
  </w:num>
  <w:num w:numId="10">
    <w:abstractNumId w:val="8"/>
  </w:num>
  <w:num w:numId="11">
    <w:abstractNumId w:val="6"/>
  </w:num>
  <w:num w:numId="12">
    <w:abstractNumId w:val="12"/>
  </w:num>
  <w:num w:numId="13">
    <w:abstractNumId w:val="3"/>
  </w:num>
  <w:num w:numId="14">
    <w:abstractNumId w:val="10"/>
  </w:num>
  <w:num w:numId="15">
    <w:abstractNumId w:val="1"/>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ABE"/>
    <w:rsid w:val="00113075"/>
    <w:rsid w:val="001B065B"/>
    <w:rsid w:val="001C4B0D"/>
    <w:rsid w:val="00220797"/>
    <w:rsid w:val="0041753D"/>
    <w:rsid w:val="005136F8"/>
    <w:rsid w:val="00514A47"/>
    <w:rsid w:val="0054672F"/>
    <w:rsid w:val="00575ABE"/>
    <w:rsid w:val="005B7A69"/>
    <w:rsid w:val="005C6C1A"/>
    <w:rsid w:val="0061582F"/>
    <w:rsid w:val="00617DA6"/>
    <w:rsid w:val="006D40BD"/>
    <w:rsid w:val="007112D2"/>
    <w:rsid w:val="00946D60"/>
    <w:rsid w:val="00A15702"/>
    <w:rsid w:val="00A843D3"/>
    <w:rsid w:val="00AA058E"/>
    <w:rsid w:val="00AC459B"/>
    <w:rsid w:val="00DB231B"/>
    <w:rsid w:val="00F8717A"/>
    <w:rsid w:val="00FE31E9"/>
    <w:rsid w:val="00FF7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75AB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75A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75AB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5AB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75AB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75ABE"/>
    <w:rPr>
      <w:rFonts w:ascii="Times New Roman" w:eastAsia="Times New Roman" w:hAnsi="Times New Roman" w:cs="Times New Roman"/>
      <w:b/>
      <w:bCs/>
      <w:sz w:val="24"/>
      <w:szCs w:val="24"/>
    </w:rPr>
  </w:style>
  <w:style w:type="paragraph" w:customStyle="1" w:styleId="ds-markdown-paragraph">
    <w:name w:val="ds-markdown-paragraph"/>
    <w:basedOn w:val="Normal"/>
    <w:rsid w:val="00575A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75ABE"/>
    <w:rPr>
      <w:b/>
      <w:bCs/>
    </w:rPr>
  </w:style>
  <w:style w:type="character" w:styleId="Emphasis">
    <w:name w:val="Emphasis"/>
    <w:basedOn w:val="DefaultParagraphFont"/>
    <w:uiPriority w:val="20"/>
    <w:qFormat/>
    <w:rsid w:val="00575ABE"/>
    <w:rPr>
      <w:i/>
      <w:iCs/>
    </w:rPr>
  </w:style>
  <w:style w:type="character" w:styleId="Hyperlink">
    <w:name w:val="Hyperlink"/>
    <w:basedOn w:val="DefaultParagraphFont"/>
    <w:uiPriority w:val="99"/>
    <w:semiHidden/>
    <w:unhideWhenUsed/>
    <w:rsid w:val="00575ABE"/>
    <w:rPr>
      <w:color w:val="0000FF"/>
      <w:u w:val="single"/>
    </w:rPr>
  </w:style>
  <w:style w:type="paragraph" w:styleId="ListParagraph">
    <w:name w:val="List Paragraph"/>
    <w:basedOn w:val="Normal"/>
    <w:uiPriority w:val="34"/>
    <w:qFormat/>
    <w:rsid w:val="00575ABE"/>
    <w:pPr>
      <w:ind w:left="720"/>
      <w:contextualSpacing/>
    </w:pPr>
  </w:style>
  <w:style w:type="character" w:customStyle="1" w:styleId="d813de27">
    <w:name w:val="d813de27"/>
    <w:basedOn w:val="DefaultParagraphFont"/>
    <w:rsid w:val="00220797"/>
  </w:style>
  <w:style w:type="paragraph" w:styleId="HTMLPreformatted">
    <w:name w:val="HTML Preformatted"/>
    <w:basedOn w:val="Normal"/>
    <w:link w:val="HTMLPreformattedChar"/>
    <w:uiPriority w:val="99"/>
    <w:semiHidden/>
    <w:unhideWhenUsed/>
    <w:rsid w:val="00220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20797"/>
    <w:rPr>
      <w:rFonts w:ascii="Courier New" w:eastAsia="Times New Roman" w:hAnsi="Courier New" w:cs="Courier New"/>
      <w:sz w:val="20"/>
      <w:szCs w:val="20"/>
    </w:rPr>
  </w:style>
  <w:style w:type="character" w:styleId="HTMLCode">
    <w:name w:val="HTML Code"/>
    <w:basedOn w:val="DefaultParagraphFont"/>
    <w:uiPriority w:val="99"/>
    <w:semiHidden/>
    <w:unhideWhenUsed/>
    <w:rsid w:val="00220797"/>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FE3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1E9"/>
    <w:rPr>
      <w:rFonts w:ascii="Tahoma" w:hAnsi="Tahoma" w:cs="Tahoma"/>
      <w:sz w:val="16"/>
      <w:szCs w:val="16"/>
    </w:rPr>
  </w:style>
  <w:style w:type="paragraph" w:styleId="NormalWeb">
    <w:name w:val="Normal (Web)"/>
    <w:basedOn w:val="Normal"/>
    <w:uiPriority w:val="99"/>
    <w:unhideWhenUsed/>
    <w:rsid w:val="00FE31E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E31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75AB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75A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75AB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5AB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75AB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75ABE"/>
    <w:rPr>
      <w:rFonts w:ascii="Times New Roman" w:eastAsia="Times New Roman" w:hAnsi="Times New Roman" w:cs="Times New Roman"/>
      <w:b/>
      <w:bCs/>
      <w:sz w:val="24"/>
      <w:szCs w:val="24"/>
    </w:rPr>
  </w:style>
  <w:style w:type="paragraph" w:customStyle="1" w:styleId="ds-markdown-paragraph">
    <w:name w:val="ds-markdown-paragraph"/>
    <w:basedOn w:val="Normal"/>
    <w:rsid w:val="00575A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75ABE"/>
    <w:rPr>
      <w:b/>
      <w:bCs/>
    </w:rPr>
  </w:style>
  <w:style w:type="character" w:styleId="Emphasis">
    <w:name w:val="Emphasis"/>
    <w:basedOn w:val="DefaultParagraphFont"/>
    <w:uiPriority w:val="20"/>
    <w:qFormat/>
    <w:rsid w:val="00575ABE"/>
    <w:rPr>
      <w:i/>
      <w:iCs/>
    </w:rPr>
  </w:style>
  <w:style w:type="character" w:styleId="Hyperlink">
    <w:name w:val="Hyperlink"/>
    <w:basedOn w:val="DefaultParagraphFont"/>
    <w:uiPriority w:val="99"/>
    <w:semiHidden/>
    <w:unhideWhenUsed/>
    <w:rsid w:val="00575ABE"/>
    <w:rPr>
      <w:color w:val="0000FF"/>
      <w:u w:val="single"/>
    </w:rPr>
  </w:style>
  <w:style w:type="paragraph" w:styleId="ListParagraph">
    <w:name w:val="List Paragraph"/>
    <w:basedOn w:val="Normal"/>
    <w:uiPriority w:val="34"/>
    <w:qFormat/>
    <w:rsid w:val="00575ABE"/>
    <w:pPr>
      <w:ind w:left="720"/>
      <w:contextualSpacing/>
    </w:pPr>
  </w:style>
  <w:style w:type="character" w:customStyle="1" w:styleId="d813de27">
    <w:name w:val="d813de27"/>
    <w:basedOn w:val="DefaultParagraphFont"/>
    <w:rsid w:val="00220797"/>
  </w:style>
  <w:style w:type="paragraph" w:styleId="HTMLPreformatted">
    <w:name w:val="HTML Preformatted"/>
    <w:basedOn w:val="Normal"/>
    <w:link w:val="HTMLPreformattedChar"/>
    <w:uiPriority w:val="99"/>
    <w:semiHidden/>
    <w:unhideWhenUsed/>
    <w:rsid w:val="00220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20797"/>
    <w:rPr>
      <w:rFonts w:ascii="Courier New" w:eastAsia="Times New Roman" w:hAnsi="Courier New" w:cs="Courier New"/>
      <w:sz w:val="20"/>
      <w:szCs w:val="20"/>
    </w:rPr>
  </w:style>
  <w:style w:type="character" w:styleId="HTMLCode">
    <w:name w:val="HTML Code"/>
    <w:basedOn w:val="DefaultParagraphFont"/>
    <w:uiPriority w:val="99"/>
    <w:semiHidden/>
    <w:unhideWhenUsed/>
    <w:rsid w:val="00220797"/>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FE3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1E9"/>
    <w:rPr>
      <w:rFonts w:ascii="Tahoma" w:hAnsi="Tahoma" w:cs="Tahoma"/>
      <w:sz w:val="16"/>
      <w:szCs w:val="16"/>
    </w:rPr>
  </w:style>
  <w:style w:type="paragraph" w:styleId="NormalWeb">
    <w:name w:val="Normal (Web)"/>
    <w:basedOn w:val="Normal"/>
    <w:uiPriority w:val="99"/>
    <w:unhideWhenUsed/>
    <w:rsid w:val="00FE31E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E31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96617">
      <w:bodyDiv w:val="1"/>
      <w:marLeft w:val="0"/>
      <w:marRight w:val="0"/>
      <w:marTop w:val="0"/>
      <w:marBottom w:val="0"/>
      <w:divBdr>
        <w:top w:val="none" w:sz="0" w:space="0" w:color="auto"/>
        <w:left w:val="none" w:sz="0" w:space="0" w:color="auto"/>
        <w:bottom w:val="none" w:sz="0" w:space="0" w:color="auto"/>
        <w:right w:val="none" w:sz="0" w:space="0" w:color="auto"/>
      </w:divBdr>
      <w:divsChild>
        <w:div w:id="1883982774">
          <w:marLeft w:val="0"/>
          <w:marRight w:val="0"/>
          <w:marTop w:val="0"/>
          <w:marBottom w:val="0"/>
          <w:divBdr>
            <w:top w:val="none" w:sz="0" w:space="0" w:color="auto"/>
            <w:left w:val="none" w:sz="0" w:space="0" w:color="auto"/>
            <w:bottom w:val="none" w:sz="0" w:space="0" w:color="auto"/>
            <w:right w:val="none" w:sz="0" w:space="0" w:color="auto"/>
          </w:divBdr>
        </w:div>
      </w:divsChild>
    </w:div>
    <w:div w:id="177358588">
      <w:bodyDiv w:val="1"/>
      <w:marLeft w:val="0"/>
      <w:marRight w:val="0"/>
      <w:marTop w:val="0"/>
      <w:marBottom w:val="0"/>
      <w:divBdr>
        <w:top w:val="none" w:sz="0" w:space="0" w:color="auto"/>
        <w:left w:val="none" w:sz="0" w:space="0" w:color="auto"/>
        <w:bottom w:val="none" w:sz="0" w:space="0" w:color="auto"/>
        <w:right w:val="none" w:sz="0" w:space="0" w:color="auto"/>
      </w:divBdr>
    </w:div>
    <w:div w:id="198710185">
      <w:bodyDiv w:val="1"/>
      <w:marLeft w:val="0"/>
      <w:marRight w:val="0"/>
      <w:marTop w:val="0"/>
      <w:marBottom w:val="0"/>
      <w:divBdr>
        <w:top w:val="none" w:sz="0" w:space="0" w:color="auto"/>
        <w:left w:val="none" w:sz="0" w:space="0" w:color="auto"/>
        <w:bottom w:val="none" w:sz="0" w:space="0" w:color="auto"/>
        <w:right w:val="none" w:sz="0" w:space="0" w:color="auto"/>
      </w:divBdr>
      <w:divsChild>
        <w:div w:id="2035155608">
          <w:marLeft w:val="660"/>
          <w:marRight w:val="660"/>
          <w:marTop w:val="0"/>
          <w:marBottom w:val="0"/>
          <w:divBdr>
            <w:top w:val="none" w:sz="0" w:space="0" w:color="auto"/>
            <w:left w:val="none" w:sz="0" w:space="0" w:color="auto"/>
            <w:bottom w:val="none" w:sz="0" w:space="0" w:color="auto"/>
            <w:right w:val="none" w:sz="0" w:space="0" w:color="auto"/>
          </w:divBdr>
          <w:divsChild>
            <w:div w:id="527305151">
              <w:marLeft w:val="0"/>
              <w:marRight w:val="0"/>
              <w:marTop w:val="0"/>
              <w:marBottom w:val="0"/>
              <w:divBdr>
                <w:top w:val="none" w:sz="0" w:space="0" w:color="auto"/>
                <w:left w:val="none" w:sz="0" w:space="0" w:color="auto"/>
                <w:bottom w:val="none" w:sz="0" w:space="0" w:color="auto"/>
                <w:right w:val="none" w:sz="0" w:space="0" w:color="auto"/>
              </w:divBdr>
              <w:divsChild>
                <w:div w:id="516430427">
                  <w:marLeft w:val="0"/>
                  <w:marRight w:val="0"/>
                  <w:marTop w:val="0"/>
                  <w:marBottom w:val="0"/>
                  <w:divBdr>
                    <w:top w:val="none" w:sz="0" w:space="0" w:color="auto"/>
                    <w:left w:val="none" w:sz="0" w:space="0" w:color="auto"/>
                    <w:bottom w:val="none" w:sz="0" w:space="0" w:color="auto"/>
                    <w:right w:val="none" w:sz="0" w:space="0" w:color="auto"/>
                  </w:divBdr>
                  <w:divsChild>
                    <w:div w:id="1852601820">
                      <w:marLeft w:val="0"/>
                      <w:marRight w:val="0"/>
                      <w:marTop w:val="0"/>
                      <w:marBottom w:val="0"/>
                      <w:divBdr>
                        <w:top w:val="none" w:sz="0" w:space="0" w:color="auto"/>
                        <w:left w:val="none" w:sz="0" w:space="0" w:color="auto"/>
                        <w:bottom w:val="none" w:sz="0" w:space="0" w:color="auto"/>
                        <w:right w:val="none" w:sz="0" w:space="0" w:color="auto"/>
                      </w:divBdr>
                      <w:divsChild>
                        <w:div w:id="3835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50795">
      <w:bodyDiv w:val="1"/>
      <w:marLeft w:val="0"/>
      <w:marRight w:val="0"/>
      <w:marTop w:val="0"/>
      <w:marBottom w:val="0"/>
      <w:divBdr>
        <w:top w:val="none" w:sz="0" w:space="0" w:color="auto"/>
        <w:left w:val="none" w:sz="0" w:space="0" w:color="auto"/>
        <w:bottom w:val="none" w:sz="0" w:space="0" w:color="auto"/>
        <w:right w:val="none" w:sz="0" w:space="0" w:color="auto"/>
      </w:divBdr>
    </w:div>
    <w:div w:id="307366252">
      <w:bodyDiv w:val="1"/>
      <w:marLeft w:val="0"/>
      <w:marRight w:val="0"/>
      <w:marTop w:val="0"/>
      <w:marBottom w:val="0"/>
      <w:divBdr>
        <w:top w:val="none" w:sz="0" w:space="0" w:color="auto"/>
        <w:left w:val="none" w:sz="0" w:space="0" w:color="auto"/>
        <w:bottom w:val="none" w:sz="0" w:space="0" w:color="auto"/>
        <w:right w:val="none" w:sz="0" w:space="0" w:color="auto"/>
      </w:divBdr>
    </w:div>
    <w:div w:id="355473153">
      <w:bodyDiv w:val="1"/>
      <w:marLeft w:val="0"/>
      <w:marRight w:val="0"/>
      <w:marTop w:val="0"/>
      <w:marBottom w:val="0"/>
      <w:divBdr>
        <w:top w:val="none" w:sz="0" w:space="0" w:color="auto"/>
        <w:left w:val="none" w:sz="0" w:space="0" w:color="auto"/>
        <w:bottom w:val="none" w:sz="0" w:space="0" w:color="auto"/>
        <w:right w:val="none" w:sz="0" w:space="0" w:color="auto"/>
      </w:divBdr>
      <w:divsChild>
        <w:div w:id="818230119">
          <w:marLeft w:val="660"/>
          <w:marRight w:val="660"/>
          <w:marTop w:val="0"/>
          <w:marBottom w:val="0"/>
          <w:divBdr>
            <w:top w:val="none" w:sz="0" w:space="0" w:color="auto"/>
            <w:left w:val="none" w:sz="0" w:space="0" w:color="auto"/>
            <w:bottom w:val="none" w:sz="0" w:space="0" w:color="auto"/>
            <w:right w:val="none" w:sz="0" w:space="0" w:color="auto"/>
          </w:divBdr>
          <w:divsChild>
            <w:div w:id="1847674192">
              <w:marLeft w:val="0"/>
              <w:marRight w:val="0"/>
              <w:marTop w:val="0"/>
              <w:marBottom w:val="0"/>
              <w:divBdr>
                <w:top w:val="none" w:sz="0" w:space="0" w:color="auto"/>
                <w:left w:val="none" w:sz="0" w:space="0" w:color="auto"/>
                <w:bottom w:val="none" w:sz="0" w:space="0" w:color="auto"/>
                <w:right w:val="none" w:sz="0" w:space="0" w:color="auto"/>
              </w:divBdr>
              <w:divsChild>
                <w:div w:id="2095592147">
                  <w:marLeft w:val="0"/>
                  <w:marRight w:val="0"/>
                  <w:marTop w:val="0"/>
                  <w:marBottom w:val="0"/>
                  <w:divBdr>
                    <w:top w:val="none" w:sz="0" w:space="0" w:color="auto"/>
                    <w:left w:val="none" w:sz="0" w:space="0" w:color="auto"/>
                    <w:bottom w:val="none" w:sz="0" w:space="0" w:color="auto"/>
                    <w:right w:val="none" w:sz="0" w:space="0" w:color="auto"/>
                  </w:divBdr>
                  <w:divsChild>
                    <w:div w:id="484780145">
                      <w:marLeft w:val="0"/>
                      <w:marRight w:val="0"/>
                      <w:marTop w:val="0"/>
                      <w:marBottom w:val="0"/>
                      <w:divBdr>
                        <w:top w:val="none" w:sz="0" w:space="0" w:color="auto"/>
                        <w:left w:val="none" w:sz="0" w:space="0" w:color="auto"/>
                        <w:bottom w:val="none" w:sz="0" w:space="0" w:color="auto"/>
                        <w:right w:val="none" w:sz="0" w:space="0" w:color="auto"/>
                      </w:divBdr>
                      <w:divsChild>
                        <w:div w:id="170475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059135">
      <w:bodyDiv w:val="1"/>
      <w:marLeft w:val="0"/>
      <w:marRight w:val="0"/>
      <w:marTop w:val="0"/>
      <w:marBottom w:val="0"/>
      <w:divBdr>
        <w:top w:val="none" w:sz="0" w:space="0" w:color="auto"/>
        <w:left w:val="none" w:sz="0" w:space="0" w:color="auto"/>
        <w:bottom w:val="none" w:sz="0" w:space="0" w:color="auto"/>
        <w:right w:val="none" w:sz="0" w:space="0" w:color="auto"/>
      </w:divBdr>
      <w:divsChild>
        <w:div w:id="901017325">
          <w:marLeft w:val="660"/>
          <w:marRight w:val="660"/>
          <w:marTop w:val="0"/>
          <w:marBottom w:val="0"/>
          <w:divBdr>
            <w:top w:val="none" w:sz="0" w:space="0" w:color="auto"/>
            <w:left w:val="none" w:sz="0" w:space="0" w:color="auto"/>
            <w:bottom w:val="none" w:sz="0" w:space="0" w:color="auto"/>
            <w:right w:val="none" w:sz="0" w:space="0" w:color="auto"/>
          </w:divBdr>
          <w:divsChild>
            <w:div w:id="1229874952">
              <w:marLeft w:val="0"/>
              <w:marRight w:val="0"/>
              <w:marTop w:val="0"/>
              <w:marBottom w:val="0"/>
              <w:divBdr>
                <w:top w:val="none" w:sz="0" w:space="0" w:color="auto"/>
                <w:left w:val="none" w:sz="0" w:space="0" w:color="auto"/>
                <w:bottom w:val="none" w:sz="0" w:space="0" w:color="auto"/>
                <w:right w:val="none" w:sz="0" w:space="0" w:color="auto"/>
              </w:divBdr>
              <w:divsChild>
                <w:div w:id="966279685">
                  <w:marLeft w:val="0"/>
                  <w:marRight w:val="0"/>
                  <w:marTop w:val="0"/>
                  <w:marBottom w:val="0"/>
                  <w:divBdr>
                    <w:top w:val="none" w:sz="0" w:space="0" w:color="auto"/>
                    <w:left w:val="none" w:sz="0" w:space="0" w:color="auto"/>
                    <w:bottom w:val="none" w:sz="0" w:space="0" w:color="auto"/>
                    <w:right w:val="none" w:sz="0" w:space="0" w:color="auto"/>
                  </w:divBdr>
                  <w:divsChild>
                    <w:div w:id="1509904277">
                      <w:marLeft w:val="0"/>
                      <w:marRight w:val="0"/>
                      <w:marTop w:val="0"/>
                      <w:marBottom w:val="0"/>
                      <w:divBdr>
                        <w:top w:val="none" w:sz="0" w:space="0" w:color="auto"/>
                        <w:left w:val="none" w:sz="0" w:space="0" w:color="auto"/>
                        <w:bottom w:val="none" w:sz="0" w:space="0" w:color="auto"/>
                        <w:right w:val="none" w:sz="0" w:space="0" w:color="auto"/>
                      </w:divBdr>
                      <w:divsChild>
                        <w:div w:id="72005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519965">
      <w:bodyDiv w:val="1"/>
      <w:marLeft w:val="0"/>
      <w:marRight w:val="0"/>
      <w:marTop w:val="0"/>
      <w:marBottom w:val="0"/>
      <w:divBdr>
        <w:top w:val="none" w:sz="0" w:space="0" w:color="auto"/>
        <w:left w:val="none" w:sz="0" w:space="0" w:color="auto"/>
        <w:bottom w:val="none" w:sz="0" w:space="0" w:color="auto"/>
        <w:right w:val="none" w:sz="0" w:space="0" w:color="auto"/>
      </w:divBdr>
      <w:divsChild>
        <w:div w:id="1264604054">
          <w:marLeft w:val="0"/>
          <w:marRight w:val="0"/>
          <w:marTop w:val="0"/>
          <w:marBottom w:val="0"/>
          <w:divBdr>
            <w:top w:val="none" w:sz="0" w:space="0" w:color="auto"/>
            <w:left w:val="none" w:sz="0" w:space="0" w:color="auto"/>
            <w:bottom w:val="none" w:sz="0" w:space="0" w:color="auto"/>
            <w:right w:val="none" w:sz="0" w:space="0" w:color="auto"/>
          </w:divBdr>
          <w:divsChild>
            <w:div w:id="4959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18856">
      <w:bodyDiv w:val="1"/>
      <w:marLeft w:val="0"/>
      <w:marRight w:val="0"/>
      <w:marTop w:val="0"/>
      <w:marBottom w:val="0"/>
      <w:divBdr>
        <w:top w:val="none" w:sz="0" w:space="0" w:color="auto"/>
        <w:left w:val="none" w:sz="0" w:space="0" w:color="auto"/>
        <w:bottom w:val="none" w:sz="0" w:space="0" w:color="auto"/>
        <w:right w:val="none" w:sz="0" w:space="0" w:color="auto"/>
      </w:divBdr>
    </w:div>
    <w:div w:id="1168399870">
      <w:bodyDiv w:val="1"/>
      <w:marLeft w:val="0"/>
      <w:marRight w:val="0"/>
      <w:marTop w:val="0"/>
      <w:marBottom w:val="0"/>
      <w:divBdr>
        <w:top w:val="none" w:sz="0" w:space="0" w:color="auto"/>
        <w:left w:val="none" w:sz="0" w:space="0" w:color="auto"/>
        <w:bottom w:val="none" w:sz="0" w:space="0" w:color="auto"/>
        <w:right w:val="none" w:sz="0" w:space="0" w:color="auto"/>
      </w:divBdr>
      <w:divsChild>
        <w:div w:id="1861315029">
          <w:marLeft w:val="0"/>
          <w:marRight w:val="0"/>
          <w:marTop w:val="0"/>
          <w:marBottom w:val="0"/>
          <w:divBdr>
            <w:top w:val="none" w:sz="0" w:space="0" w:color="auto"/>
            <w:left w:val="none" w:sz="0" w:space="0" w:color="auto"/>
            <w:bottom w:val="none" w:sz="0" w:space="0" w:color="auto"/>
            <w:right w:val="none" w:sz="0" w:space="0" w:color="auto"/>
          </w:divBdr>
          <w:divsChild>
            <w:div w:id="1714184295">
              <w:marLeft w:val="0"/>
              <w:marRight w:val="0"/>
              <w:marTop w:val="0"/>
              <w:marBottom w:val="0"/>
              <w:divBdr>
                <w:top w:val="none" w:sz="0" w:space="0" w:color="auto"/>
                <w:left w:val="none" w:sz="0" w:space="0" w:color="auto"/>
                <w:bottom w:val="none" w:sz="0" w:space="0" w:color="auto"/>
                <w:right w:val="none" w:sz="0" w:space="0" w:color="auto"/>
              </w:divBdr>
              <w:divsChild>
                <w:div w:id="204369669">
                  <w:marLeft w:val="0"/>
                  <w:marRight w:val="0"/>
                  <w:marTop w:val="0"/>
                  <w:marBottom w:val="0"/>
                  <w:divBdr>
                    <w:top w:val="none" w:sz="0" w:space="0" w:color="auto"/>
                    <w:left w:val="none" w:sz="0" w:space="0" w:color="auto"/>
                    <w:bottom w:val="none" w:sz="0" w:space="0" w:color="auto"/>
                    <w:right w:val="none" w:sz="0" w:space="0" w:color="auto"/>
                  </w:divBdr>
                </w:div>
                <w:div w:id="3057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41506">
      <w:bodyDiv w:val="1"/>
      <w:marLeft w:val="0"/>
      <w:marRight w:val="0"/>
      <w:marTop w:val="0"/>
      <w:marBottom w:val="0"/>
      <w:divBdr>
        <w:top w:val="none" w:sz="0" w:space="0" w:color="auto"/>
        <w:left w:val="none" w:sz="0" w:space="0" w:color="auto"/>
        <w:bottom w:val="none" w:sz="0" w:space="0" w:color="auto"/>
        <w:right w:val="none" w:sz="0" w:space="0" w:color="auto"/>
      </w:divBdr>
    </w:div>
    <w:div w:id="1317880662">
      <w:bodyDiv w:val="1"/>
      <w:marLeft w:val="0"/>
      <w:marRight w:val="0"/>
      <w:marTop w:val="0"/>
      <w:marBottom w:val="0"/>
      <w:divBdr>
        <w:top w:val="none" w:sz="0" w:space="0" w:color="auto"/>
        <w:left w:val="none" w:sz="0" w:space="0" w:color="auto"/>
        <w:bottom w:val="none" w:sz="0" w:space="0" w:color="auto"/>
        <w:right w:val="none" w:sz="0" w:space="0" w:color="auto"/>
      </w:divBdr>
      <w:divsChild>
        <w:div w:id="106046368">
          <w:marLeft w:val="0"/>
          <w:marRight w:val="0"/>
          <w:marTop w:val="0"/>
          <w:marBottom w:val="0"/>
          <w:divBdr>
            <w:top w:val="none" w:sz="0" w:space="0" w:color="auto"/>
            <w:left w:val="none" w:sz="0" w:space="0" w:color="auto"/>
            <w:bottom w:val="none" w:sz="0" w:space="0" w:color="auto"/>
            <w:right w:val="none" w:sz="0" w:space="0" w:color="auto"/>
          </w:divBdr>
          <w:divsChild>
            <w:div w:id="50509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77690">
      <w:bodyDiv w:val="1"/>
      <w:marLeft w:val="0"/>
      <w:marRight w:val="0"/>
      <w:marTop w:val="0"/>
      <w:marBottom w:val="0"/>
      <w:divBdr>
        <w:top w:val="none" w:sz="0" w:space="0" w:color="auto"/>
        <w:left w:val="none" w:sz="0" w:space="0" w:color="auto"/>
        <w:bottom w:val="none" w:sz="0" w:space="0" w:color="auto"/>
        <w:right w:val="none" w:sz="0" w:space="0" w:color="auto"/>
      </w:divBdr>
      <w:divsChild>
        <w:div w:id="868226482">
          <w:marLeft w:val="0"/>
          <w:marRight w:val="0"/>
          <w:marTop w:val="0"/>
          <w:marBottom w:val="0"/>
          <w:divBdr>
            <w:top w:val="none" w:sz="0" w:space="0" w:color="auto"/>
            <w:left w:val="none" w:sz="0" w:space="0" w:color="auto"/>
            <w:bottom w:val="none" w:sz="0" w:space="0" w:color="auto"/>
            <w:right w:val="none" w:sz="0" w:space="0" w:color="auto"/>
          </w:divBdr>
          <w:divsChild>
            <w:div w:id="179899364">
              <w:marLeft w:val="0"/>
              <w:marRight w:val="0"/>
              <w:marTop w:val="0"/>
              <w:marBottom w:val="0"/>
              <w:divBdr>
                <w:top w:val="none" w:sz="0" w:space="0" w:color="auto"/>
                <w:left w:val="none" w:sz="0" w:space="0" w:color="auto"/>
                <w:bottom w:val="none" w:sz="0" w:space="0" w:color="auto"/>
                <w:right w:val="none" w:sz="0" w:space="0" w:color="auto"/>
              </w:divBdr>
              <w:divsChild>
                <w:div w:id="1802377988">
                  <w:marLeft w:val="0"/>
                  <w:marRight w:val="0"/>
                  <w:marTop w:val="240"/>
                  <w:marBottom w:val="171"/>
                  <w:divBdr>
                    <w:top w:val="none" w:sz="0" w:space="0" w:color="auto"/>
                    <w:left w:val="none" w:sz="0" w:space="0" w:color="auto"/>
                    <w:bottom w:val="none" w:sz="0" w:space="0" w:color="auto"/>
                    <w:right w:val="none" w:sz="0" w:space="0" w:color="auto"/>
                  </w:divBdr>
                  <w:divsChild>
                    <w:div w:id="2072918580">
                      <w:marLeft w:val="0"/>
                      <w:marRight w:val="0"/>
                      <w:marTop w:val="0"/>
                      <w:marBottom w:val="0"/>
                      <w:divBdr>
                        <w:top w:val="none" w:sz="0" w:space="0" w:color="auto"/>
                        <w:left w:val="none" w:sz="0" w:space="0" w:color="auto"/>
                        <w:bottom w:val="none" w:sz="0" w:space="0" w:color="auto"/>
                        <w:right w:val="none" w:sz="0" w:space="0" w:color="auto"/>
                      </w:divBdr>
                      <w:divsChild>
                        <w:div w:id="1504122788">
                          <w:marLeft w:val="0"/>
                          <w:marRight w:val="0"/>
                          <w:marTop w:val="0"/>
                          <w:marBottom w:val="0"/>
                          <w:divBdr>
                            <w:top w:val="none" w:sz="0" w:space="0" w:color="auto"/>
                            <w:left w:val="none" w:sz="0" w:space="0" w:color="auto"/>
                            <w:bottom w:val="none" w:sz="0" w:space="0" w:color="auto"/>
                            <w:right w:val="none" w:sz="0" w:space="0" w:color="auto"/>
                          </w:divBdr>
                          <w:divsChild>
                            <w:div w:id="107822183">
                              <w:marLeft w:val="0"/>
                              <w:marRight w:val="0"/>
                              <w:marTop w:val="0"/>
                              <w:marBottom w:val="0"/>
                              <w:divBdr>
                                <w:top w:val="none" w:sz="0" w:space="0" w:color="auto"/>
                                <w:left w:val="none" w:sz="0" w:space="0" w:color="auto"/>
                                <w:bottom w:val="none" w:sz="0" w:space="0" w:color="auto"/>
                                <w:right w:val="none" w:sz="0" w:space="0" w:color="auto"/>
                              </w:divBdr>
                              <w:divsChild>
                                <w:div w:id="16567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6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92810">
      <w:bodyDiv w:val="1"/>
      <w:marLeft w:val="0"/>
      <w:marRight w:val="0"/>
      <w:marTop w:val="0"/>
      <w:marBottom w:val="0"/>
      <w:divBdr>
        <w:top w:val="none" w:sz="0" w:space="0" w:color="auto"/>
        <w:left w:val="none" w:sz="0" w:space="0" w:color="auto"/>
        <w:bottom w:val="none" w:sz="0" w:space="0" w:color="auto"/>
        <w:right w:val="none" w:sz="0" w:space="0" w:color="auto"/>
      </w:divBdr>
    </w:div>
    <w:div w:id="1683047815">
      <w:bodyDiv w:val="1"/>
      <w:marLeft w:val="0"/>
      <w:marRight w:val="0"/>
      <w:marTop w:val="0"/>
      <w:marBottom w:val="0"/>
      <w:divBdr>
        <w:top w:val="none" w:sz="0" w:space="0" w:color="auto"/>
        <w:left w:val="none" w:sz="0" w:space="0" w:color="auto"/>
        <w:bottom w:val="none" w:sz="0" w:space="0" w:color="auto"/>
        <w:right w:val="none" w:sz="0" w:space="0" w:color="auto"/>
      </w:divBdr>
    </w:div>
    <w:div w:id="1739354506">
      <w:bodyDiv w:val="1"/>
      <w:marLeft w:val="0"/>
      <w:marRight w:val="0"/>
      <w:marTop w:val="0"/>
      <w:marBottom w:val="0"/>
      <w:divBdr>
        <w:top w:val="none" w:sz="0" w:space="0" w:color="auto"/>
        <w:left w:val="none" w:sz="0" w:space="0" w:color="auto"/>
        <w:bottom w:val="none" w:sz="0" w:space="0" w:color="auto"/>
        <w:right w:val="none" w:sz="0" w:space="0" w:color="auto"/>
      </w:divBdr>
      <w:divsChild>
        <w:div w:id="468278771">
          <w:marLeft w:val="660"/>
          <w:marRight w:val="660"/>
          <w:marTop w:val="0"/>
          <w:marBottom w:val="0"/>
          <w:divBdr>
            <w:top w:val="none" w:sz="0" w:space="0" w:color="auto"/>
            <w:left w:val="none" w:sz="0" w:space="0" w:color="auto"/>
            <w:bottom w:val="none" w:sz="0" w:space="0" w:color="auto"/>
            <w:right w:val="none" w:sz="0" w:space="0" w:color="auto"/>
          </w:divBdr>
          <w:divsChild>
            <w:div w:id="324211410">
              <w:marLeft w:val="0"/>
              <w:marRight w:val="0"/>
              <w:marTop w:val="0"/>
              <w:marBottom w:val="0"/>
              <w:divBdr>
                <w:top w:val="none" w:sz="0" w:space="0" w:color="auto"/>
                <w:left w:val="none" w:sz="0" w:space="0" w:color="auto"/>
                <w:bottom w:val="none" w:sz="0" w:space="0" w:color="auto"/>
                <w:right w:val="none" w:sz="0" w:space="0" w:color="auto"/>
              </w:divBdr>
              <w:divsChild>
                <w:div w:id="1184251008">
                  <w:marLeft w:val="0"/>
                  <w:marRight w:val="0"/>
                  <w:marTop w:val="0"/>
                  <w:marBottom w:val="0"/>
                  <w:divBdr>
                    <w:top w:val="none" w:sz="0" w:space="0" w:color="auto"/>
                    <w:left w:val="none" w:sz="0" w:space="0" w:color="auto"/>
                    <w:bottom w:val="none" w:sz="0" w:space="0" w:color="auto"/>
                    <w:right w:val="none" w:sz="0" w:space="0" w:color="auto"/>
                  </w:divBdr>
                  <w:divsChild>
                    <w:div w:id="1389383317">
                      <w:marLeft w:val="0"/>
                      <w:marRight w:val="0"/>
                      <w:marTop w:val="0"/>
                      <w:marBottom w:val="0"/>
                      <w:divBdr>
                        <w:top w:val="none" w:sz="0" w:space="0" w:color="auto"/>
                        <w:left w:val="none" w:sz="0" w:space="0" w:color="auto"/>
                        <w:bottom w:val="none" w:sz="0" w:space="0" w:color="auto"/>
                        <w:right w:val="none" w:sz="0" w:space="0" w:color="auto"/>
                      </w:divBdr>
                      <w:divsChild>
                        <w:div w:id="587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415613">
      <w:bodyDiv w:val="1"/>
      <w:marLeft w:val="0"/>
      <w:marRight w:val="0"/>
      <w:marTop w:val="0"/>
      <w:marBottom w:val="0"/>
      <w:divBdr>
        <w:top w:val="none" w:sz="0" w:space="0" w:color="auto"/>
        <w:left w:val="none" w:sz="0" w:space="0" w:color="auto"/>
        <w:bottom w:val="none" w:sz="0" w:space="0" w:color="auto"/>
        <w:right w:val="none" w:sz="0" w:space="0" w:color="auto"/>
      </w:divBdr>
    </w:div>
    <w:div w:id="2033264773">
      <w:bodyDiv w:val="1"/>
      <w:marLeft w:val="0"/>
      <w:marRight w:val="0"/>
      <w:marTop w:val="0"/>
      <w:marBottom w:val="0"/>
      <w:divBdr>
        <w:top w:val="none" w:sz="0" w:space="0" w:color="auto"/>
        <w:left w:val="none" w:sz="0" w:space="0" w:color="auto"/>
        <w:bottom w:val="none" w:sz="0" w:space="0" w:color="auto"/>
        <w:right w:val="none" w:sz="0" w:space="0" w:color="auto"/>
      </w:divBdr>
      <w:divsChild>
        <w:div w:id="552813473">
          <w:marLeft w:val="0"/>
          <w:marRight w:val="0"/>
          <w:marTop w:val="0"/>
          <w:marBottom w:val="0"/>
          <w:divBdr>
            <w:top w:val="none" w:sz="0" w:space="0" w:color="auto"/>
            <w:left w:val="none" w:sz="0" w:space="0" w:color="auto"/>
            <w:bottom w:val="none" w:sz="0" w:space="0" w:color="auto"/>
            <w:right w:val="none" w:sz="0" w:space="0" w:color="auto"/>
          </w:divBdr>
        </w:div>
        <w:div w:id="517620922">
          <w:blockQuote w:val="1"/>
          <w:marLeft w:val="0"/>
          <w:marRight w:val="0"/>
          <w:marTop w:val="240"/>
          <w:marBottom w:val="0"/>
          <w:divBdr>
            <w:top w:val="none" w:sz="0" w:space="0" w:color="auto"/>
            <w:left w:val="single" w:sz="12" w:space="11" w:color="ADB2B8"/>
            <w:bottom w:val="none" w:sz="0" w:space="0" w:color="auto"/>
            <w:right w:val="none" w:sz="0" w:space="0" w:color="auto"/>
          </w:divBdr>
        </w:div>
        <w:div w:id="1055158287">
          <w:blockQuote w:val="1"/>
          <w:marLeft w:val="0"/>
          <w:marRight w:val="0"/>
          <w:marTop w:val="240"/>
          <w:marBottom w:val="0"/>
          <w:divBdr>
            <w:top w:val="none" w:sz="0" w:space="0" w:color="auto"/>
            <w:left w:val="single" w:sz="12" w:space="11" w:color="ADB2B8"/>
            <w:bottom w:val="none" w:sz="0" w:space="0" w:color="auto"/>
            <w:right w:val="none" w:sz="0" w:space="0" w:color="auto"/>
          </w:divBdr>
        </w:div>
        <w:div w:id="314262987">
          <w:blockQuote w:val="1"/>
          <w:marLeft w:val="0"/>
          <w:marRight w:val="0"/>
          <w:marTop w:val="240"/>
          <w:marBottom w:val="0"/>
          <w:divBdr>
            <w:top w:val="none" w:sz="0" w:space="0" w:color="auto"/>
            <w:left w:val="single" w:sz="12" w:space="11" w:color="ADB2B8"/>
            <w:bottom w:val="none" w:sz="0" w:space="0" w:color="auto"/>
            <w:right w:val="none" w:sz="0" w:space="0" w:color="auto"/>
          </w:divBdr>
        </w:div>
        <w:div w:id="711267251">
          <w:blockQuote w:val="1"/>
          <w:marLeft w:val="0"/>
          <w:marRight w:val="0"/>
          <w:marTop w:val="240"/>
          <w:marBottom w:val="0"/>
          <w:divBdr>
            <w:top w:val="none" w:sz="0" w:space="0" w:color="auto"/>
            <w:left w:val="single" w:sz="12" w:space="11" w:color="ADB2B8"/>
            <w:bottom w:val="none" w:sz="0" w:space="0" w:color="auto"/>
            <w:right w:val="none" w:sz="0" w:space="0" w:color="auto"/>
          </w:divBdr>
        </w:div>
        <w:div w:id="1373386590">
          <w:blockQuote w:val="1"/>
          <w:marLeft w:val="0"/>
          <w:marRight w:val="0"/>
          <w:marTop w:val="240"/>
          <w:marBottom w:val="0"/>
          <w:divBdr>
            <w:top w:val="none" w:sz="0" w:space="0" w:color="auto"/>
            <w:left w:val="single" w:sz="12" w:space="11" w:color="ADB2B8"/>
            <w:bottom w:val="none" w:sz="0" w:space="0" w:color="auto"/>
            <w:right w:val="none" w:sz="0" w:space="0" w:color="auto"/>
          </w:divBdr>
        </w:div>
        <w:div w:id="820847784">
          <w:blockQuote w:val="1"/>
          <w:marLeft w:val="0"/>
          <w:marRight w:val="0"/>
          <w:marTop w:val="240"/>
          <w:marBottom w:val="0"/>
          <w:divBdr>
            <w:top w:val="none" w:sz="0" w:space="0" w:color="auto"/>
            <w:left w:val="single" w:sz="12" w:space="11" w:color="ADB2B8"/>
            <w:bottom w:val="none" w:sz="0" w:space="0" w:color="auto"/>
            <w:right w:val="none" w:sz="0" w:space="0" w:color="auto"/>
          </w:divBdr>
        </w:div>
        <w:div w:id="109858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45/2939672.2939785" TargetMode="External"/><Relationship Id="rId21" Type="http://schemas.openxmlformats.org/officeDocument/2006/relationships/hyperlink" Target="https://doi.org/10.1016/j.jep.2011.11.008" TargetMode="External"/><Relationship Id="rId34" Type="http://schemas.openxmlformats.org/officeDocument/2006/relationships/hyperlink" Target="https://doi.org/10.1038/s41564-023-01487-6" TargetMode="External"/><Relationship Id="rId42" Type="http://schemas.openxmlformats.org/officeDocument/2006/relationships/hyperlink" Target="https://malariaworld.org/scientific-articles/resurgence-of-malaria-in-ethiopia-a-national-landscape-analysis-of-systemic-and-operational-gaps" TargetMode="External"/><Relationship Id="rId47" Type="http://schemas.openxmlformats.org/officeDocument/2006/relationships/hyperlink" Target="https://www.nature.com/articles/s41598-025-33344-5" TargetMode="External"/><Relationship Id="rId50" Type="http://schemas.openxmlformats.org/officeDocument/2006/relationships/hyperlink" Target="https://doi.org/10.1016/j.jep.2010.08.049" TargetMode="External"/><Relationship Id="rId55" Type="http://schemas.openxmlformats.org/officeDocument/2006/relationships/hyperlink" Target="https://doi.org/10.1016/j.ijnurstu.2008.08.006" TargetMode="External"/><Relationship Id="rId63" Type="http://schemas.openxmlformats.org/officeDocument/2006/relationships/hyperlink" Target="https://www.who.int/news/item/04-12-2025-new-tools-saved-a-million-lives-from-malaria-last-year-but-progress-under-threat-as-drug-resistance-rises"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doi.org/10.1155/jotm/3144857" TargetMode="External"/><Relationship Id="rId29" Type="http://schemas.openxmlformats.org/officeDocument/2006/relationships/hyperlink" Target="https://doi.org/10.1186/s12936-024-05126-3" TargetMode="External"/><Relationship Id="rId11" Type="http://schemas.openxmlformats.org/officeDocument/2006/relationships/image" Target="media/image6.png"/><Relationship Id="rId24" Type="http://schemas.openxmlformats.org/officeDocument/2006/relationships/hyperlink" Target="https://doi.org/10.1023/A:1010933404324" TargetMode="External"/><Relationship Id="rId32" Type="http://schemas.openxmlformats.org/officeDocument/2006/relationships/hyperlink" Target="https://doi.org/10.1002/qj.3244" TargetMode="External"/><Relationship Id="rId37" Type="http://schemas.openxmlformats.org/officeDocument/2006/relationships/hyperlink" Target="https://pubmed.ncbi.nlm.nih.gov/38872169/" TargetMode="External"/><Relationship Id="rId40" Type="http://schemas.openxmlformats.org/officeDocument/2006/relationships/hyperlink" Target="https://doi.org/10.2307/2529310" TargetMode="External"/><Relationship Id="rId45" Type="http://schemas.openxmlformats.org/officeDocument/2006/relationships/hyperlink" Target="https://doi.org/10.1186/1475-2875-11-165" TargetMode="External"/><Relationship Id="rId53" Type="http://schemas.openxmlformats.org/officeDocument/2006/relationships/hyperlink" Target="https://doi.org/10.1177/21582440241288634" TargetMode="External"/><Relationship Id="rId58" Type="http://schemas.openxmlformats.org/officeDocument/2006/relationships/hyperlink" Target="https://doi.org/10.1093/intqhc/mzm042" TargetMode="External"/><Relationship Id="rId5" Type="http://schemas.openxmlformats.org/officeDocument/2006/relationships/webSettings" Target="webSettings.xml"/><Relationship Id="rId61" Type="http://schemas.openxmlformats.org/officeDocument/2006/relationships/hyperlink" Target="https://doi.org/10.3390/rs12050784" TargetMode="External"/><Relationship Id="rId19" Type="http://schemas.openxmlformats.org/officeDocument/2006/relationships/hyperlink" Target="https://doi.org/10.1016/j.ins.2011.12.028" TargetMode="External"/><Relationship Id="rId14" Type="http://schemas.openxmlformats.org/officeDocument/2006/relationships/image" Target="media/image9.png"/><Relationship Id="rId22" Type="http://schemas.openxmlformats.org/officeDocument/2006/relationships/hyperlink" Target="https://doi.org/10.1016/j.amepre.2009.02.002" TargetMode="External"/><Relationship Id="rId27" Type="http://schemas.openxmlformats.org/officeDocument/2006/relationships/hyperlink" Target="https://ieeexplore.ieee.org/document/8907130" TargetMode="External"/><Relationship Id="rId30" Type="http://schemas.openxmlformats.org/officeDocument/2006/relationships/hyperlink" Target="https://doi.org/10.2307/2531595" TargetMode="External"/><Relationship Id="rId35" Type="http://schemas.openxmlformats.org/officeDocument/2006/relationships/hyperlink" Target="https://doi.org/10.1038/sdata.2015.66" TargetMode="External"/><Relationship Id="rId43" Type="http://schemas.openxmlformats.org/officeDocument/2006/relationships/hyperlink" Target="https://doi.org/10.4314/thrb.v11i4.50191" TargetMode="External"/><Relationship Id="rId48" Type="http://schemas.openxmlformats.org/officeDocument/2006/relationships/hyperlink" Target="https://doi.org/10.3390/ijerph192315764" TargetMode="External"/><Relationship Id="rId56" Type="http://schemas.openxmlformats.org/officeDocument/2006/relationships/hyperlink" Target="https://doi.org/10.1016/j.jep.2017.10.034" TargetMode="External"/><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doi.org/10.1097/MS9.0000000000004259"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hyperlink" Target="https://www.sciencedirect.com/science/article/pii/S2352914824003458" TargetMode="External"/><Relationship Id="rId25" Type="http://schemas.openxmlformats.org/officeDocument/2006/relationships/hyperlink" Target="https://doi.org/10.2174/1874613601105010111" TargetMode="External"/><Relationship Id="rId33" Type="http://schemas.openxmlformats.org/officeDocument/2006/relationships/hyperlink" Target="https://doi.org/10.1016/j.sciaf.2025.e02963" TargetMode="External"/><Relationship Id="rId38" Type="http://schemas.openxmlformats.org/officeDocument/2006/relationships/hyperlink" Target="https://doi.org/10.5194/isprs-annals-X-4-2024-123-2024" TargetMode="External"/><Relationship Id="rId46" Type="http://schemas.openxmlformats.org/officeDocument/2006/relationships/hyperlink" Target="https://doi.org/10.1111/ele.12015" TargetMode="External"/><Relationship Id="rId59" Type="http://schemas.openxmlformats.org/officeDocument/2006/relationships/hyperlink" Target="https://doi.org/10.18637/jss.v045.i03" TargetMode="External"/><Relationship Id="rId20" Type="http://schemas.openxmlformats.org/officeDocument/2006/relationships/hyperlink" Target="https://pure.ug.edu.gh/en/publications/mobile-phone-based-interactive-voice-response-as-a-tool-for-improv" TargetMode="External"/><Relationship Id="rId41" Type="http://schemas.openxmlformats.org/officeDocument/2006/relationships/hyperlink" Target="https://journals.plos.org/globalpublichealth/article?id=10.1371/journal.pgph.0003320" TargetMode="External"/><Relationship Id="rId54" Type="http://schemas.openxmlformats.org/officeDocument/2006/relationships/hyperlink" Target="https://doi.org/10.1177/1558689815575861" TargetMode="External"/><Relationship Id="rId62" Type="http://schemas.openxmlformats.org/officeDocument/2006/relationships/hyperlink" Target="https://doi.org/10.1186/1475-2875-11-27"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doi.org/10.1191/1478088706qp063oa" TargetMode="External"/><Relationship Id="rId28" Type="http://schemas.openxmlformats.org/officeDocument/2006/relationships/hyperlink" Target="https://doi.org/10.1109/CEEC.2018.8674210" TargetMode="External"/><Relationship Id="rId36" Type="http://schemas.openxmlformats.org/officeDocument/2006/relationships/hyperlink" Target="https://doi.org/10.1016/j.socscimed.2021.114523" TargetMode="External"/><Relationship Id="rId49" Type="http://schemas.openxmlformats.org/officeDocument/2006/relationships/hyperlink" Target="https://doi.org/10.1371/journal.pone.0301874" TargetMode="External"/><Relationship Id="rId57" Type="http://schemas.openxmlformats.org/officeDocument/2006/relationships/hyperlink" Target="https://doi.org/10.1101/2022.10.29.22281647" TargetMode="External"/><Relationship Id="rId10" Type="http://schemas.openxmlformats.org/officeDocument/2006/relationships/image" Target="media/image5.png"/><Relationship Id="rId31" Type="http://schemas.openxmlformats.org/officeDocument/2006/relationships/hyperlink" Target="https://dhis2.org/" TargetMode="External"/><Relationship Id="rId44" Type="http://schemas.openxmlformats.org/officeDocument/2006/relationships/hyperlink" Target="https://doi.org/10.1016/j.jep.2011.11.008" TargetMode="External"/><Relationship Id="rId52" Type="http://schemas.openxmlformats.org/officeDocument/2006/relationships/hyperlink" Target="https://doi.org/10.1007/978-3-031-63999-9_9" TargetMode="External"/><Relationship Id="rId60" Type="http://schemas.openxmlformats.org/officeDocument/2006/relationships/hyperlink" Target="https://doi.org/10.1186/s13071-025-06981-y"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repository.covenantuniversity.edu.ng/handle/123456789/3785" TargetMode="External"/><Relationship Id="rId39" Type="http://schemas.openxmlformats.org/officeDocument/2006/relationships/hyperlink" Target="https://doi.org/10.1101/2024.12.16.243191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884</TotalTime>
  <Pages>45</Pages>
  <Words>17221</Words>
  <Characters>98166</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qwert</cp:lastModifiedBy>
  <cp:revision>8</cp:revision>
  <dcterms:created xsi:type="dcterms:W3CDTF">2026-05-07T15:56:00Z</dcterms:created>
  <dcterms:modified xsi:type="dcterms:W3CDTF">2026-05-11T15:24:00Z</dcterms:modified>
</cp:coreProperties>
</file>