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0D7BC"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The Mediating Role of Strategic Competence Between </w:t>
      </w:r>
    </w:p>
    <w:p w14:paraId="7A90D7BD"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Procedural Fluency and Conceptual </w:t>
      </w:r>
    </w:p>
    <w:p w14:paraId="7A90D7BE"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Understanding in Mathematics</w:t>
      </w:r>
    </w:p>
    <w:p w14:paraId="7A90D7BF" w14:textId="4CB5F471" w:rsidR="00557C13" w:rsidRDefault="0091218B" w:rsidP="00557C13">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b/>
          <w:bCs/>
          <w:color w:val="000000"/>
        </w:rPr>
        <w:br/>
      </w:r>
      <w:bookmarkStart w:id="0" w:name="_GoBack"/>
      <w:bookmarkEnd w:id="0"/>
    </w:p>
    <w:p w14:paraId="7A90D7C1" w14:textId="00BDAD3A" w:rsidR="00CC19F6" w:rsidRDefault="00CC19F6">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p>
    <w:p w14:paraId="7A90D7C2" w14:textId="77777777" w:rsidR="00CC19F6" w:rsidRDefault="00CC19F6">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p>
    <w:p w14:paraId="7A90D7C3" w14:textId="77777777" w:rsidR="00CC19F6" w:rsidRDefault="00CC19F6">
      <w:pPr>
        <w:pBdr>
          <w:top w:val="nil"/>
          <w:left w:val="nil"/>
          <w:bottom w:val="nil"/>
          <w:right w:val="nil"/>
          <w:between w:val="nil"/>
        </w:pBdr>
        <w:spacing w:after="0" w:line="240" w:lineRule="auto"/>
        <w:jc w:val="center"/>
        <w:rPr>
          <w:rFonts w:ascii="Times New Roman" w:eastAsia="Times New Roman" w:hAnsi="Times New Roman" w:cs="Times New Roman"/>
          <w:b/>
          <w:bCs/>
          <w:i/>
          <w:iCs/>
          <w:color w:val="000000"/>
        </w:rPr>
      </w:pPr>
    </w:p>
    <w:p w14:paraId="7A90D7C4"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ABSTRACT</w:t>
      </w:r>
    </w:p>
    <w:p w14:paraId="7A90D7C5" w14:textId="77777777" w:rsidR="00CC19F6" w:rsidRDefault="00CC19F6">
      <w:pPr>
        <w:spacing w:after="0" w:line="240" w:lineRule="auto"/>
        <w:jc w:val="center"/>
        <w:rPr>
          <w:rFonts w:ascii="Times New Roman" w:eastAsia="Times New Roman" w:hAnsi="Times New Roman" w:cs="Times New Roman"/>
          <w:b/>
          <w:bCs/>
        </w:rPr>
      </w:pPr>
    </w:p>
    <w:p w14:paraId="7A90D7C6" w14:textId="77777777" w:rsidR="00CC19F6" w:rsidRDefault="00CC19F6">
      <w:pPr>
        <w:spacing w:after="0" w:line="240" w:lineRule="auto"/>
        <w:jc w:val="center"/>
        <w:rPr>
          <w:rFonts w:ascii="Times New Roman" w:eastAsia="Times New Roman" w:hAnsi="Times New Roman" w:cs="Times New Roman"/>
          <w:b/>
          <w:bCs/>
        </w:rPr>
      </w:pPr>
    </w:p>
    <w:p w14:paraId="7A90D7C7"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Mathematics learning becomes meaningful when students not only perform procedures accurately but also understand concepts and apply effective problem-solving strategies. This study examined the relationship between procedural fluency and conceptual understanding in mathematics learning, focusing on the mediating role of strategic competence among junior high school students in one of the basic education in Ozamiz City during the school year 2025–2026. A quantitative explanatory correlational design with mediation analysis was employed. The respondents consisted of 180 junior high school students, selected from a population of 337 through stratified random sampling, from a private non-sectarian educational institution in Ozamiz City, Misamis Occidental, Philippines. Data were gathered using three researcher-made instruments: the Procedural Fluency Questionnaire (PFQ), Conceptual Understanding Questionnaire (CUQ), and Strategic Competence Questionnaire (SCQ). </w:t>
      </w:r>
      <w:r>
        <w:rPr>
          <w:rFonts w:ascii="Times New Roman" w:eastAsia="Times New Roman" w:hAnsi="Times New Roman" w:cs="Times New Roman"/>
          <w:i/>
          <w:iCs/>
          <w:color w:val="0E101A"/>
        </w:rPr>
        <w:t>Mean and standard deviation, Spearman's rank-order correlation, stepwise multiple regression analysis, and general linear mediation analysis</w:t>
      </w:r>
      <w:r>
        <w:rPr>
          <w:rFonts w:ascii="Times New Roman" w:eastAsia="Times New Roman" w:hAnsi="Times New Roman" w:cs="Times New Roman"/>
        </w:rPr>
        <w:t xml:space="preserve"> were used to analyze the data. Results showed that students demonstrated high levels of procedural fluency, strategic competence, and conceptual understanding. Significant positive relationships existed among students' procedural fluency, strategic competence, and conceptual understanding. Efficiency in problem solving, flexibility in applying procedures, appropriateness of procedures, problem representation, strategy formulation, evaluation, and justification were predictive of conceptual understanding. Strategic competence significantly mediated the relationship between procedural fluency and conceptual understanding, indicating a partial mediation effect.   The findings highlight that students demonstrated high levels of procedural fluency, strategic competence, and conceptual understanding in mathematics, with significant positive relationships among these variables, where problem-solving efficiency and related skills predicted conceptual understanding, and strategic competence partially mediated the link between procedural fluency and conceptual understanding. Mathematics instructors may promote the balanced development of procedural accuracy, conceptual reasoning, and strategic problem-solving to support students' holistic mathematical proficiency.</w:t>
      </w:r>
    </w:p>
    <w:p w14:paraId="7A90D7C8" w14:textId="77777777" w:rsidR="00CC19F6" w:rsidRDefault="0091218B">
      <w:pPr>
        <w:spacing w:line="240"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Keywords: </w:t>
      </w:r>
      <w:r>
        <w:rPr>
          <w:rFonts w:ascii="Times New Roman" w:eastAsia="Times New Roman" w:hAnsi="Times New Roman" w:cs="Times New Roman"/>
          <w:i/>
          <w:iCs/>
        </w:rPr>
        <w:t>conceptual understanding, mathematics learning, mediation analysis, procedural fluency, strategic competence</w:t>
      </w:r>
    </w:p>
    <w:p w14:paraId="7A90D7C9"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INTRODUCTION</w:t>
      </w:r>
    </w:p>
    <w:p w14:paraId="7A90D7CA"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Mathematics education is increasingly viewed as a process that extends beyond mastering computational procedures towards the development of meaningful understanding and problem-solving ability. Research has consistently emphasized that effective mathematics learning </w:t>
      </w:r>
      <w:r>
        <w:rPr>
          <w:rFonts w:ascii="Times New Roman" w:eastAsia="Times New Roman" w:hAnsi="Times New Roman" w:cs="Times New Roman"/>
          <w:color w:val="0E101A"/>
        </w:rPr>
        <w:lastRenderedPageBreak/>
        <w:t>requires integrating interrelated competencies, particularly procedural fluency, conceptual understanding, and strategic competence (Diputra et al., 2025). However, despite curriculum revisions and pedagogical advances, many learners continue to exhibit fragmented mathematical proficiency, defined by procedural accuracy without deep conceptual meaning or flexible problem-solving skills (Corrêa, 2021). Educators and researchers have questioned the effectiveness of current instructional practices in promoting holistic mathematical learning due to this persistent imbalance.</w:t>
      </w:r>
    </w:p>
    <w:p w14:paraId="7A90D7CB"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Procedural fluency refers to students' ability to carry out mathematical procedures accurately, efficiently, and flexibly. Research findings indicate that many students demonstrate acceptable procedural performance, particularly on familiar tasks and structured exercises (Andal, 2022). However, several studies reveal that procedural fluency is frequently developed by rote learning and repetitive practice, leaving students unable to rationalize solutions or adapt procedures to new situations (Annurwanda, 2022). Further evidence indicates that students often possess more procedural than conceptual knowledge, suggesting that procedural fluency alone does not ensure meaningful understanding (Manandhar, 2022). </w:t>
      </w:r>
    </w:p>
    <w:p w14:paraId="7A90D7CC"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Conceptual understanding involves comprehending mathematical concepts, relationships, and representations, allowing learners to explain ideas, make connections, and apply knowledge across contexts. Research consistently shows that students with a solid foundation of conceptual understanding perform better on problem-solving and reasoning tasks (Kholid, 2021). However, research also shows that conceptual understanding is often lacking among students, particularly in algebraic and abstract topics, due to instructional approaches that prioritize procedural accuracy over conceptual meaning (Copur-Gencturk, 2021). Research further confirms a strong relationship between procedural fluency and conceptual understanding, yet highlights that this relationship is not automatic and requires sufficient cognitive and instructional support (Cabuquin, 2024). </w:t>
      </w:r>
    </w:p>
    <w:p w14:paraId="7A90D7CD"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Strategic competence has emerged as a crucial factor in addressing this gap, as it involves the ability to formulate, represent, and solve mathematical problems effectively. Strategic competence enables students to select appropriate procedures, adapt strategies, and translate real-world situations into mathematical representations (Schulz, 2024). Research findings indicate that students who demonstrate strong strategic competence exhibit greater flexibility in strategy application and improved problem-solving performance (Verschaffel, 2024). </w:t>
      </w:r>
    </w:p>
    <w:p w14:paraId="7A90D7CE"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In this context, the concept of a mediating role is essential for understanding how these variables interact. A mediating variable is a variable that explains the mechanism or process by which one variable influences another. In this study, strategic competence is hypothesized to mediate the relationship between procedural fluency and conceptual understanding, meaning that procedural fluency may not directly lead to conceptual understanding unless it is supported by students' ability to use strategies effectively (Supriadi &amp; Suherman, 2024). This perspective shifts the focus from merely identifying relationships to explaining </w:t>
      </w:r>
      <w:r>
        <w:rPr>
          <w:rFonts w:ascii="Times New Roman" w:eastAsia="Times New Roman" w:hAnsi="Times New Roman" w:cs="Times New Roman"/>
          <w:i/>
          <w:iCs/>
          <w:color w:val="0E101A"/>
        </w:rPr>
        <w:t>how and why</w:t>
      </w:r>
      <w:r>
        <w:rPr>
          <w:rFonts w:ascii="Times New Roman" w:eastAsia="Times New Roman" w:hAnsi="Times New Roman" w:cs="Times New Roman"/>
          <w:color w:val="0E101A"/>
        </w:rPr>
        <w:t xml:space="preserve"> they occur, providing a deeper understanding of the learning process.</w:t>
      </w:r>
    </w:p>
    <w:p w14:paraId="7A90D7CF"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Moreover, studies on mathematical proficiency reveal that students with stronger strategic competence are better able to integrate procedural knowledge with conceptual understanding, thereby justifying their solutions and drawing meaningful connections among mathematical ideas (Mohamed Elsayed, 2022). Empirical evidence suggests that strategic competence plays a significant role in distinguishing high-achieving students from their peers. Research on primary and secondary learners revealed that strategy variety and flexibility are major determinants of mathematical achievement (Bakker, 2022). Similarly, assessments of </w:t>
      </w:r>
      <w:r>
        <w:rPr>
          <w:rFonts w:ascii="Times New Roman" w:eastAsia="Times New Roman" w:hAnsi="Times New Roman" w:cs="Times New Roman"/>
          <w:color w:val="0E101A"/>
        </w:rPr>
        <w:lastRenderedPageBreak/>
        <w:t>prospective teachers revealed that difficulties in mathematical performance were often linked to deficiencies in integrating procedures with strategic reasoning rather than to procedural errors alone (Elvi, 2025). These findings suggest that strategic competence serves as a cognitive bridge, transforming procedural execution into conceptual insight.</w:t>
      </w:r>
    </w:p>
    <w:p w14:paraId="7A90D7D0"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Although numerous studies have examined procedural fluency, conceptual understanding, and strategic competence as components of mathematical proficiency, most existing research has focused either on their direct relationships or on treating them as parallel entities. Limited empirical studies have directly examined how strategic competence functions as a mediating variable between procedural fluency and conceptual understanding (Corrêa, 2021). Recent findings acknowledge the relevance of strategic competence, but its role in explaining how procedural skills translate into conceptual understanding remains unclear (Khaerunnisa, 2025). This gap underscores the need for a quantitative mediation study examining the indirect effect of procedural fluency on conceptual understanding via strategic competence, particularly in secondary mathematics contexts where conceptual difficulties are most evident.</w:t>
      </w:r>
    </w:p>
    <w:p w14:paraId="7A90D7D1"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This study is grounded in the need to address the persistent imbalance between procedural performance and conceptual understanding in mathematics learning. Research findings consistently reveal that students' difficulties in problem representation, strategy selection, and solution evaluation hinder their ability to develop deep conceptual understanding, even when procedural skills are present (Hariri, 2025). By examining strategic competence as a mediating variable, this study seeks to explain how procedural fluency contributes to conceptual understanding. Understanding this mechanism is essential for designing instructional practices that go beyond memorization and promote meaningful mathematical learning. </w:t>
      </w:r>
    </w:p>
    <w:p w14:paraId="7A90D7D2"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The purpose of this study is to determine whether strategic competence mediates the relationship between procedural fluency and conceptual understanding among mathematics students. The study aims to assess students' procedural fluency through routine and adaptive computational tasks, assess conceptual understanding through problem-solving and explanation tasks, and evaluate strategic competence through tasks that require strategy selection, planning, and the flexible application of procedures. A correlational-mediation research design is employed to explore the interconnections among the three variables in authentic learning contexts.</w:t>
      </w:r>
    </w:p>
    <w:p w14:paraId="7A90D7D3"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This study is significant because it provides educators with a deeper understanding of how procedural fluency and conceptual understanding interact through strategic competence. Insights from this research can inform teaching practices, curriculum design, and assessment strategies that foster a more balanced development of mathematical proficiency. Additionally, findings may guide teacher training programs to emphasize the cultivation of strategic competence alongside procedural and conceptual skills.</w:t>
      </w:r>
    </w:p>
    <w:p w14:paraId="7A90D7D4" w14:textId="77777777" w:rsidR="00CC19F6" w:rsidRDefault="00CC19F6">
      <w:pPr>
        <w:spacing w:after="0" w:line="240" w:lineRule="auto"/>
        <w:ind w:firstLine="720"/>
        <w:jc w:val="both"/>
        <w:rPr>
          <w:rFonts w:ascii="Times New Roman" w:eastAsia="Times New Roman" w:hAnsi="Times New Roman" w:cs="Times New Roman"/>
        </w:rPr>
      </w:pPr>
    </w:p>
    <w:p w14:paraId="7A90D7D5"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Statement of the Problem</w:t>
      </w:r>
    </w:p>
    <w:p w14:paraId="7A90D7D6" w14:textId="77777777" w:rsidR="00CC19F6" w:rsidRDefault="0091218B">
      <w:pP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This study aimed to explore procedural fluency and conceptual understanding in mathematics learning, with a focus on the mediating role of strategic competence. The study was conducted in junior high education during the school year 2025-2026. </w:t>
      </w:r>
    </w:p>
    <w:p w14:paraId="7A90D7D7" w14:textId="77777777" w:rsidR="00CC19F6" w:rsidRDefault="0091218B">
      <w:pP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Specifically, it sought answers to the following questions:</w:t>
      </w:r>
    </w:p>
    <w:p w14:paraId="7A90D7D8" w14:textId="77777777" w:rsidR="00CC19F6" w:rsidRDefault="0091218B">
      <w:pPr>
        <w:numPr>
          <w:ilvl w:val="0"/>
          <w:numId w:val="1"/>
        </w:numPr>
        <w:tabs>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What is the level of students' procedural fluency in mathematics learning in terms of accuracy, flexibility, efficiency, and appropriateness?</w:t>
      </w:r>
    </w:p>
    <w:p w14:paraId="7A90D7D9"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lastRenderedPageBreak/>
        <w:t>What is the level of students' strategic competence in mathematics learning in terms of problem representation, strategy formulation, adaptation of methods, and evaluation and justification of solutions?</w:t>
      </w:r>
    </w:p>
    <w:p w14:paraId="7A90D7DA"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What is the level of students' conceptual understanding in mathematics learning in terms of comprehension of principles, application of concepts, connections across topics, and reasoning and justification?</w:t>
      </w:r>
    </w:p>
    <w:p w14:paraId="7A90D7DB"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Is there a significant relationship between students' procedural fluency and their strategic competence?</w:t>
      </w:r>
    </w:p>
    <w:p w14:paraId="7A90D7DC"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Is there a significant relationship between students' strategic competence and their conceptual understanding?</w:t>
      </w:r>
    </w:p>
    <w:p w14:paraId="7A90D7DD"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Is there a significant relationship between students' procedural fluency and conceptual understanding in mathematics learning?</w:t>
      </w:r>
    </w:p>
    <w:p w14:paraId="7A90D7DE"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Which aspects of the variables significantly predict students' conceptual understanding of mathematics learning?</w:t>
      </w:r>
    </w:p>
    <w:p w14:paraId="7A90D7DF"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What is the mediating effect of strategic competence on the relationship between procedural fluency and conceptual understanding in mathematics learning?</w:t>
      </w:r>
    </w:p>
    <w:p w14:paraId="7A90D7E0" w14:textId="77777777" w:rsidR="00CC19F6" w:rsidRDefault="00CC19F6">
      <w:pPr>
        <w:tabs>
          <w:tab w:val="left" w:pos="709"/>
          <w:tab w:val="left" w:pos="1276"/>
        </w:tabs>
        <w:spacing w:after="0" w:line="240" w:lineRule="auto"/>
        <w:jc w:val="both"/>
        <w:rPr>
          <w:rFonts w:ascii="Times New Roman" w:eastAsia="Times New Roman" w:hAnsi="Times New Roman" w:cs="Times New Roman"/>
          <w:color w:val="0E101A"/>
        </w:rPr>
      </w:pPr>
    </w:p>
    <w:p w14:paraId="7A90D7E1" w14:textId="77777777" w:rsidR="00CC19F6" w:rsidRDefault="0091218B">
      <w:pPr>
        <w:tabs>
          <w:tab w:val="left" w:pos="709"/>
          <w:tab w:val="left" w:pos="1276"/>
        </w:tabs>
        <w:spacing w:after="0" w:line="240" w:lineRule="auto"/>
        <w:jc w:val="center"/>
        <w:rPr>
          <w:rFonts w:ascii="Times New Roman" w:eastAsia="Times New Roman" w:hAnsi="Times New Roman" w:cs="Times New Roman"/>
          <w:color w:val="0E101A"/>
        </w:rPr>
      </w:pPr>
      <w:r>
        <w:rPr>
          <w:b/>
          <w:bCs/>
          <w:color w:val="000000"/>
        </w:rPr>
        <w:t>RESEARCH METHODOLOGY</w:t>
      </w:r>
    </w:p>
    <w:p w14:paraId="7A90D7E2"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Design</w:t>
      </w:r>
    </w:p>
    <w:p w14:paraId="7A90D7E3"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This quantitative study employed an explanatory correlational design with mediation analysis to examine the relationships among procedural fluency, conceptual understanding, and strategic competence in mathematics learning. Correlational research designs were used to describe and explain relationships among variables using naturally occurring data without manipulation (Creswell, 2012).  This design was appropriate as it enables the researcher to determine the degree and direction of relationships among the identified variables and to examine how they interact within an actual educational setting.  The inclusion of strategic competence was supported by the literature, which indicated that the presence of a third variable provided a clearer, more elaborated understanding of the relationship between an independent and a dependent variable by explaining how the association operated (Sidhu et al., 2021). The design was appropriate for the present study because it focuses on identifying significant relationships among the variables and clarifying the role of strategic competence within the relationship between procedural fluency and conceptual understanding in mathematics.</w:t>
      </w:r>
    </w:p>
    <w:p w14:paraId="7A90D7E4" w14:textId="77777777" w:rsidR="00CC19F6" w:rsidRDefault="00CC19F6">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p>
    <w:p w14:paraId="7A90D7E5"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Setting</w:t>
      </w:r>
    </w:p>
    <w:p w14:paraId="7A90D7E6"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The study took place in a private, non-sectarian higher education institution located in Ozamiz City, Misamis Occidental, Philippines. In 2024, the institution earned ISO 21001:2018 certification and was recognized as the only Autonomous Higher Education Institution in Misamis Occidental and Northwestern Mindanao. It was widely acknowledged for its commitment to academic excellence, inclusivity, and continuous quality enhancement. With its strong adoption of educational technologies in mathematics instruction and its focus on holistic student development, the institution provided an appropriate setting to investigate the roles of procedural fluency and conceptual understanding, as well as the mediating influence of strategic competence in mathematics learning.</w:t>
      </w:r>
    </w:p>
    <w:p w14:paraId="7A90D7E7" w14:textId="77777777" w:rsidR="00CC19F6" w:rsidRDefault="00CC19F6">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p>
    <w:p w14:paraId="7A90D7E8"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Respondents</w:t>
      </w:r>
    </w:p>
    <w:p w14:paraId="7A90D7E9"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lastRenderedPageBreak/>
        <w:t>The respondents in this study were 180 students from a junior high school. They were selected from a total population of 337 junior high school students enrolled in a private, non-sectarian institution during the school year 2025–2026. The sample size of 180 respondents was determined using the Raosoft sample size calculator, with a 95% confidence level and a 5% margin of error. To ensure adequate representation across grade levels, stratified random sampling was employed, grouping the population by grade level. The inclusion criteria are as follows: (1) students were officially enrolled during the specified school year; (2) they were enrolled in Junior High School; and (3) they provided voluntary assent with corresponding parental or guardian consent. Prior to data collection, the researcher verified that all selected respondents met these criteria to ensure the validity and reliability of the study.</w:t>
      </w:r>
    </w:p>
    <w:p w14:paraId="7A90D7EA" w14:textId="77777777" w:rsidR="00CC19F6" w:rsidRDefault="00CC19F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A90D7EB"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Instruments</w:t>
      </w:r>
    </w:p>
    <w:p w14:paraId="7A90D7EC"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A. Procedural Fluency Questionnaire (PFQ). The researcher-made instrument was designed to assess procedural fluency in Mathematics among junior high school students. It was anchored on the DepEd MATATAG Mathematics Curriculum Guide for Key Stage 3. It measured procedural fluency in terms of accuracy, efficiency, flexibility, and appropriateness of procedures using a five-point Likert scale ranging from 1 (Very High) to 5 (Very Low). The instrument was intended for junior high school students and aligned with competencies taught during the fourth grading period. Prior to administration, the questionnaire underwent content and face validation by Mathematics education experts to ensure curricular conformity, clarity, and relevance. Pilot testing was then conducted, yielding a Cronbach’s Alpha of 0.939, confirming the instrument’s high reliability for this study.</w:t>
      </w:r>
    </w:p>
    <w:p w14:paraId="7A90D7ED"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assessing the level of procedural fluency, the following scale was used:</w:t>
      </w:r>
    </w:p>
    <w:tbl>
      <w:tblPr>
        <w:tblStyle w:val="a"/>
        <w:tblW w:w="8359" w:type="dxa"/>
        <w:jc w:val="center"/>
        <w:tblInd w:w="0" w:type="dxa"/>
        <w:tblLayout w:type="fixed"/>
        <w:tblLook w:val="0400" w:firstRow="0" w:lastRow="0" w:firstColumn="0" w:lastColumn="0" w:noHBand="0" w:noVBand="1"/>
      </w:tblPr>
      <w:tblGrid>
        <w:gridCol w:w="3114"/>
        <w:gridCol w:w="2410"/>
        <w:gridCol w:w="2835"/>
      </w:tblGrid>
      <w:tr w:rsidR="00CC19F6" w14:paraId="7A90D7F1" w14:textId="77777777">
        <w:trPr>
          <w:trHeight w:val="610"/>
          <w:jc w:val="center"/>
        </w:trPr>
        <w:tc>
          <w:tcPr>
            <w:tcW w:w="3114" w:type="dxa"/>
          </w:tcPr>
          <w:p w14:paraId="7A90D7EE"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Responses</w:t>
            </w:r>
          </w:p>
        </w:tc>
        <w:tc>
          <w:tcPr>
            <w:tcW w:w="2410" w:type="dxa"/>
          </w:tcPr>
          <w:p w14:paraId="7A90D7EF"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Continuum</w:t>
            </w:r>
          </w:p>
        </w:tc>
        <w:tc>
          <w:tcPr>
            <w:tcW w:w="2835" w:type="dxa"/>
          </w:tcPr>
          <w:p w14:paraId="7A90D7F0"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CC19F6" w14:paraId="7A90D7F5" w14:textId="77777777">
        <w:trPr>
          <w:trHeight w:val="317"/>
          <w:jc w:val="center"/>
        </w:trPr>
        <w:tc>
          <w:tcPr>
            <w:tcW w:w="3114" w:type="dxa"/>
          </w:tcPr>
          <w:p w14:paraId="7A90D7F2"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5 – Strongly Agree (SA)</w:t>
            </w:r>
          </w:p>
        </w:tc>
        <w:tc>
          <w:tcPr>
            <w:tcW w:w="2410" w:type="dxa"/>
            <w:vAlign w:val="center"/>
          </w:tcPr>
          <w:p w14:paraId="7A90D7F3"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4.20 – 5.00</w:t>
            </w:r>
          </w:p>
        </w:tc>
        <w:tc>
          <w:tcPr>
            <w:tcW w:w="2835" w:type="dxa"/>
            <w:vAlign w:val="center"/>
          </w:tcPr>
          <w:p w14:paraId="7A90D7F4"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High (VH)</w:t>
            </w:r>
          </w:p>
        </w:tc>
      </w:tr>
      <w:tr w:rsidR="00CC19F6" w14:paraId="7A90D7F9" w14:textId="77777777">
        <w:trPr>
          <w:trHeight w:val="634"/>
          <w:jc w:val="center"/>
        </w:trPr>
        <w:tc>
          <w:tcPr>
            <w:tcW w:w="3114" w:type="dxa"/>
          </w:tcPr>
          <w:p w14:paraId="7A90D7F6"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4 – Agree (A)</w:t>
            </w:r>
          </w:p>
        </w:tc>
        <w:tc>
          <w:tcPr>
            <w:tcW w:w="2410" w:type="dxa"/>
            <w:vAlign w:val="center"/>
          </w:tcPr>
          <w:p w14:paraId="7A90D7F7"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3.40 – 4.19</w:t>
            </w:r>
          </w:p>
        </w:tc>
        <w:tc>
          <w:tcPr>
            <w:tcW w:w="2835" w:type="dxa"/>
            <w:vAlign w:val="center"/>
          </w:tcPr>
          <w:p w14:paraId="7A90D7F8"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(H)</w:t>
            </w:r>
          </w:p>
        </w:tc>
      </w:tr>
      <w:tr w:rsidR="00CC19F6" w14:paraId="7A90D7FD" w14:textId="77777777">
        <w:trPr>
          <w:trHeight w:val="646"/>
          <w:jc w:val="center"/>
        </w:trPr>
        <w:tc>
          <w:tcPr>
            <w:tcW w:w="3114" w:type="dxa"/>
          </w:tcPr>
          <w:p w14:paraId="7A90D7FA"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3 –Neutral (N)</w:t>
            </w:r>
          </w:p>
        </w:tc>
        <w:tc>
          <w:tcPr>
            <w:tcW w:w="2410" w:type="dxa"/>
            <w:vAlign w:val="center"/>
          </w:tcPr>
          <w:p w14:paraId="7A90D7FB"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2.60 – 3.39</w:t>
            </w:r>
          </w:p>
        </w:tc>
        <w:tc>
          <w:tcPr>
            <w:tcW w:w="2835" w:type="dxa"/>
            <w:vAlign w:val="center"/>
          </w:tcPr>
          <w:p w14:paraId="7A90D7FC"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(M)</w:t>
            </w:r>
          </w:p>
        </w:tc>
      </w:tr>
      <w:tr w:rsidR="00CC19F6" w14:paraId="7A90D801" w14:textId="77777777">
        <w:trPr>
          <w:trHeight w:val="485"/>
          <w:jc w:val="center"/>
        </w:trPr>
        <w:tc>
          <w:tcPr>
            <w:tcW w:w="3114" w:type="dxa"/>
          </w:tcPr>
          <w:p w14:paraId="7A90D7FE"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2 –Disagree (D)</w:t>
            </w:r>
          </w:p>
        </w:tc>
        <w:tc>
          <w:tcPr>
            <w:tcW w:w="2410" w:type="dxa"/>
            <w:vAlign w:val="center"/>
          </w:tcPr>
          <w:p w14:paraId="7A90D7FF"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1.80 – 2.59</w:t>
            </w:r>
          </w:p>
        </w:tc>
        <w:tc>
          <w:tcPr>
            <w:tcW w:w="2835" w:type="dxa"/>
            <w:vAlign w:val="center"/>
          </w:tcPr>
          <w:p w14:paraId="7A90D800"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Low (L)</w:t>
            </w:r>
          </w:p>
        </w:tc>
      </w:tr>
      <w:tr w:rsidR="00CC19F6" w14:paraId="7A90D805" w14:textId="77777777">
        <w:trPr>
          <w:trHeight w:val="425"/>
          <w:jc w:val="center"/>
        </w:trPr>
        <w:tc>
          <w:tcPr>
            <w:tcW w:w="3114" w:type="dxa"/>
          </w:tcPr>
          <w:p w14:paraId="7A90D802"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1 –Strongly Disagree (SD)</w:t>
            </w:r>
          </w:p>
        </w:tc>
        <w:tc>
          <w:tcPr>
            <w:tcW w:w="2410" w:type="dxa"/>
            <w:vAlign w:val="center"/>
          </w:tcPr>
          <w:p w14:paraId="7A90D803"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1.0 – 1.79</w:t>
            </w:r>
          </w:p>
        </w:tc>
        <w:tc>
          <w:tcPr>
            <w:tcW w:w="2835" w:type="dxa"/>
            <w:vAlign w:val="center"/>
          </w:tcPr>
          <w:p w14:paraId="7A90D804"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Low (VL)</w:t>
            </w:r>
          </w:p>
        </w:tc>
      </w:tr>
    </w:tbl>
    <w:p w14:paraId="7A90D806"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B. The researcher-made instrument was designed to assess learners’ level of strategic competence in mathematics and was anchored on the DepEd MATATAG Mathematics Curriculum Guide for Key Stage 3. It measured strategic competence in terms of the problem representation, strategy formulation, adaptation and flexibility, and evaluation and justifications, using a five-point Likert scale ranging from 1 (Very Low) to 5 (Very High). The instrument was intended for junior high school students and aligned with competencies taught during the fourth grading period. Prior to administration, the questionnaire will undergo content and face validation by Mathematics education experts to ensure curricular conformity, clarity, and relevance. Pilot testing was then conducted, yielding a Cronbach’s Alpha of 0.941, confirming the instrument’s high reliability for this study.</w:t>
      </w:r>
    </w:p>
    <w:p w14:paraId="7A90D807" w14:textId="77777777" w:rsidR="00CC19F6" w:rsidRDefault="00CC19F6">
      <w:pPr>
        <w:spacing w:line="240" w:lineRule="auto"/>
        <w:ind w:firstLine="720"/>
        <w:jc w:val="both"/>
        <w:rPr>
          <w:rFonts w:ascii="Times New Roman" w:eastAsia="Times New Roman" w:hAnsi="Times New Roman" w:cs="Times New Roman"/>
        </w:rPr>
      </w:pPr>
    </w:p>
    <w:p w14:paraId="7A90D808" w14:textId="77777777" w:rsidR="00CC19F6" w:rsidRDefault="00CC19F6">
      <w:pPr>
        <w:spacing w:line="240" w:lineRule="auto"/>
        <w:ind w:firstLine="720"/>
        <w:jc w:val="both"/>
        <w:rPr>
          <w:rFonts w:ascii="Times New Roman" w:eastAsia="Times New Roman" w:hAnsi="Times New Roman" w:cs="Times New Roman"/>
        </w:rPr>
      </w:pPr>
    </w:p>
    <w:p w14:paraId="7A90D809" w14:textId="77777777" w:rsidR="00CC19F6" w:rsidRDefault="00CC19F6">
      <w:pPr>
        <w:spacing w:line="240" w:lineRule="auto"/>
        <w:ind w:firstLine="720"/>
        <w:jc w:val="both"/>
        <w:rPr>
          <w:rFonts w:ascii="Times New Roman" w:eastAsia="Times New Roman" w:hAnsi="Times New Roman" w:cs="Times New Roman"/>
        </w:rPr>
      </w:pPr>
    </w:p>
    <w:p w14:paraId="7A90D80A" w14:textId="77777777" w:rsidR="00CC19F6" w:rsidRDefault="00CC19F6">
      <w:pPr>
        <w:spacing w:line="240" w:lineRule="auto"/>
        <w:ind w:firstLine="720"/>
        <w:jc w:val="both"/>
        <w:rPr>
          <w:rFonts w:ascii="Times New Roman" w:eastAsia="Times New Roman" w:hAnsi="Times New Roman" w:cs="Times New Roman"/>
        </w:rPr>
      </w:pPr>
    </w:p>
    <w:p w14:paraId="7A90D80B"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assessing the level of strategic competence, the following scale was used:</w:t>
      </w:r>
    </w:p>
    <w:tbl>
      <w:tblPr>
        <w:tblStyle w:val="a0"/>
        <w:tblW w:w="8931" w:type="dxa"/>
        <w:jc w:val="center"/>
        <w:tblInd w:w="0" w:type="dxa"/>
        <w:tblLayout w:type="fixed"/>
        <w:tblLook w:val="0400" w:firstRow="0" w:lastRow="0" w:firstColumn="0" w:lastColumn="0" w:noHBand="0" w:noVBand="1"/>
      </w:tblPr>
      <w:tblGrid>
        <w:gridCol w:w="3114"/>
        <w:gridCol w:w="2410"/>
        <w:gridCol w:w="3407"/>
      </w:tblGrid>
      <w:tr w:rsidR="00CC19F6" w14:paraId="7A90D80F" w14:textId="77777777">
        <w:trPr>
          <w:trHeight w:val="610"/>
          <w:jc w:val="center"/>
        </w:trPr>
        <w:tc>
          <w:tcPr>
            <w:tcW w:w="3114" w:type="dxa"/>
          </w:tcPr>
          <w:p w14:paraId="7A90D80C"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Responses</w:t>
            </w:r>
          </w:p>
        </w:tc>
        <w:tc>
          <w:tcPr>
            <w:tcW w:w="2410" w:type="dxa"/>
          </w:tcPr>
          <w:p w14:paraId="7A90D80D"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Continuum</w:t>
            </w:r>
          </w:p>
        </w:tc>
        <w:tc>
          <w:tcPr>
            <w:tcW w:w="3407" w:type="dxa"/>
          </w:tcPr>
          <w:p w14:paraId="7A90D80E"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CC19F6" w14:paraId="7A90D813" w14:textId="77777777">
        <w:trPr>
          <w:trHeight w:val="317"/>
          <w:jc w:val="center"/>
        </w:trPr>
        <w:tc>
          <w:tcPr>
            <w:tcW w:w="3114" w:type="dxa"/>
          </w:tcPr>
          <w:p w14:paraId="7A90D810"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5 – Strongly Agree (SA)</w:t>
            </w:r>
          </w:p>
        </w:tc>
        <w:tc>
          <w:tcPr>
            <w:tcW w:w="2410" w:type="dxa"/>
            <w:vAlign w:val="center"/>
          </w:tcPr>
          <w:p w14:paraId="7A90D811"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4.20 – 5.00</w:t>
            </w:r>
          </w:p>
        </w:tc>
        <w:tc>
          <w:tcPr>
            <w:tcW w:w="3407" w:type="dxa"/>
            <w:vAlign w:val="center"/>
          </w:tcPr>
          <w:p w14:paraId="7A90D812"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High (VH)</w:t>
            </w:r>
          </w:p>
        </w:tc>
      </w:tr>
      <w:tr w:rsidR="00CC19F6" w14:paraId="7A90D817" w14:textId="77777777">
        <w:trPr>
          <w:trHeight w:val="634"/>
          <w:jc w:val="center"/>
        </w:trPr>
        <w:tc>
          <w:tcPr>
            <w:tcW w:w="3114" w:type="dxa"/>
          </w:tcPr>
          <w:p w14:paraId="7A90D814"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4 – Agree (A)</w:t>
            </w:r>
          </w:p>
        </w:tc>
        <w:tc>
          <w:tcPr>
            <w:tcW w:w="2410" w:type="dxa"/>
            <w:vAlign w:val="center"/>
          </w:tcPr>
          <w:p w14:paraId="7A90D815"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3.40 – 4.19</w:t>
            </w:r>
          </w:p>
        </w:tc>
        <w:tc>
          <w:tcPr>
            <w:tcW w:w="3407" w:type="dxa"/>
            <w:vAlign w:val="center"/>
          </w:tcPr>
          <w:p w14:paraId="7A90D816"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(H)</w:t>
            </w:r>
          </w:p>
        </w:tc>
      </w:tr>
      <w:tr w:rsidR="00CC19F6" w14:paraId="7A90D81B" w14:textId="77777777">
        <w:trPr>
          <w:trHeight w:val="646"/>
          <w:jc w:val="center"/>
        </w:trPr>
        <w:tc>
          <w:tcPr>
            <w:tcW w:w="3114" w:type="dxa"/>
          </w:tcPr>
          <w:p w14:paraId="7A90D818"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3 –Neutral (N)</w:t>
            </w:r>
          </w:p>
        </w:tc>
        <w:tc>
          <w:tcPr>
            <w:tcW w:w="2410" w:type="dxa"/>
            <w:vAlign w:val="center"/>
          </w:tcPr>
          <w:p w14:paraId="7A90D819"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2.60 – 3.39</w:t>
            </w:r>
          </w:p>
        </w:tc>
        <w:tc>
          <w:tcPr>
            <w:tcW w:w="3407" w:type="dxa"/>
            <w:vAlign w:val="center"/>
          </w:tcPr>
          <w:p w14:paraId="7A90D81A"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(M)</w:t>
            </w:r>
          </w:p>
        </w:tc>
      </w:tr>
      <w:tr w:rsidR="00CC19F6" w14:paraId="7A90D81F" w14:textId="77777777">
        <w:trPr>
          <w:trHeight w:val="485"/>
          <w:jc w:val="center"/>
        </w:trPr>
        <w:tc>
          <w:tcPr>
            <w:tcW w:w="3114" w:type="dxa"/>
          </w:tcPr>
          <w:p w14:paraId="7A90D81C"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2 –Disagree (D)</w:t>
            </w:r>
          </w:p>
        </w:tc>
        <w:tc>
          <w:tcPr>
            <w:tcW w:w="2410" w:type="dxa"/>
            <w:vAlign w:val="center"/>
          </w:tcPr>
          <w:p w14:paraId="7A90D81D"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1.80 – 2.59</w:t>
            </w:r>
          </w:p>
        </w:tc>
        <w:tc>
          <w:tcPr>
            <w:tcW w:w="3407" w:type="dxa"/>
            <w:vAlign w:val="center"/>
          </w:tcPr>
          <w:p w14:paraId="7A90D81E"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Low (L)</w:t>
            </w:r>
          </w:p>
        </w:tc>
      </w:tr>
      <w:tr w:rsidR="00CC19F6" w14:paraId="7A90D823" w14:textId="77777777">
        <w:trPr>
          <w:trHeight w:val="425"/>
          <w:jc w:val="center"/>
        </w:trPr>
        <w:tc>
          <w:tcPr>
            <w:tcW w:w="3114" w:type="dxa"/>
          </w:tcPr>
          <w:p w14:paraId="7A90D820"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1 –Strongly Disagree (SD)</w:t>
            </w:r>
          </w:p>
        </w:tc>
        <w:tc>
          <w:tcPr>
            <w:tcW w:w="2410" w:type="dxa"/>
            <w:vAlign w:val="center"/>
          </w:tcPr>
          <w:p w14:paraId="7A90D821"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1.0 – 1.79</w:t>
            </w:r>
          </w:p>
        </w:tc>
        <w:tc>
          <w:tcPr>
            <w:tcW w:w="3407" w:type="dxa"/>
            <w:vAlign w:val="center"/>
          </w:tcPr>
          <w:p w14:paraId="7A90D822"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Low (VL)</w:t>
            </w:r>
          </w:p>
        </w:tc>
      </w:tr>
    </w:tbl>
    <w:p w14:paraId="7A90D82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 Conceptual Understanding Questionnaire (CUQ). The researcher-made instrument was designed to assess the level of procedural fluency in Mathematics among junior high school students. It was anchored on the DepEd MATATAG Mathematics Curriculum Guide for Key Stage 3. It measured procedural fluency in terms of accuracy, efficiency, flexibility, and appropriateness of procedures using a five-point Likert scale ranging from 1 (Very High) to 5 (Very Low). The instrument was intended for junior high school students and aligned with competencies taught during the fourth grading period. Prior to administration, the questionnaire underwent content and face validation by Mathematics education experts to ensure curricular conformity, clarity, and relevance. Pilot testing was then conducted, yielding a Cronbach’s Alpha of 0.953, confirming the instrument’s high reliability for this study.</w:t>
      </w:r>
    </w:p>
    <w:p w14:paraId="7A90D82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evaluating the level of conceptual understanding, the following scale was used:</w:t>
      </w:r>
    </w:p>
    <w:tbl>
      <w:tblPr>
        <w:tblStyle w:val="a1"/>
        <w:tblW w:w="8359" w:type="dxa"/>
        <w:jc w:val="center"/>
        <w:tblInd w:w="0" w:type="dxa"/>
        <w:tblLayout w:type="fixed"/>
        <w:tblLook w:val="0400" w:firstRow="0" w:lastRow="0" w:firstColumn="0" w:lastColumn="0" w:noHBand="0" w:noVBand="1"/>
      </w:tblPr>
      <w:tblGrid>
        <w:gridCol w:w="3114"/>
        <w:gridCol w:w="2410"/>
        <w:gridCol w:w="2835"/>
      </w:tblGrid>
      <w:tr w:rsidR="00CC19F6" w14:paraId="7A90D829" w14:textId="77777777">
        <w:trPr>
          <w:trHeight w:val="610"/>
          <w:jc w:val="center"/>
        </w:trPr>
        <w:tc>
          <w:tcPr>
            <w:tcW w:w="3114" w:type="dxa"/>
          </w:tcPr>
          <w:p w14:paraId="7A90D826"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Responses</w:t>
            </w:r>
          </w:p>
        </w:tc>
        <w:tc>
          <w:tcPr>
            <w:tcW w:w="2410" w:type="dxa"/>
          </w:tcPr>
          <w:p w14:paraId="7A90D827"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Continuum</w:t>
            </w:r>
          </w:p>
        </w:tc>
        <w:tc>
          <w:tcPr>
            <w:tcW w:w="2835" w:type="dxa"/>
          </w:tcPr>
          <w:p w14:paraId="7A90D828"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CC19F6" w14:paraId="7A90D82D" w14:textId="77777777">
        <w:trPr>
          <w:trHeight w:val="317"/>
          <w:jc w:val="center"/>
        </w:trPr>
        <w:tc>
          <w:tcPr>
            <w:tcW w:w="3114" w:type="dxa"/>
          </w:tcPr>
          <w:p w14:paraId="7A90D82A"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5 – Strongly Agree (SA)</w:t>
            </w:r>
          </w:p>
        </w:tc>
        <w:tc>
          <w:tcPr>
            <w:tcW w:w="2410" w:type="dxa"/>
            <w:vAlign w:val="center"/>
          </w:tcPr>
          <w:p w14:paraId="7A90D82B"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4.20 – 5.00</w:t>
            </w:r>
          </w:p>
        </w:tc>
        <w:tc>
          <w:tcPr>
            <w:tcW w:w="2835" w:type="dxa"/>
            <w:vAlign w:val="center"/>
          </w:tcPr>
          <w:p w14:paraId="7A90D82C"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High (VH)</w:t>
            </w:r>
          </w:p>
        </w:tc>
      </w:tr>
      <w:tr w:rsidR="00CC19F6" w14:paraId="7A90D831" w14:textId="77777777">
        <w:trPr>
          <w:trHeight w:val="634"/>
          <w:jc w:val="center"/>
        </w:trPr>
        <w:tc>
          <w:tcPr>
            <w:tcW w:w="3114" w:type="dxa"/>
          </w:tcPr>
          <w:p w14:paraId="7A90D82E"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4 – Agree (A)</w:t>
            </w:r>
          </w:p>
        </w:tc>
        <w:tc>
          <w:tcPr>
            <w:tcW w:w="2410" w:type="dxa"/>
            <w:vAlign w:val="center"/>
          </w:tcPr>
          <w:p w14:paraId="7A90D82F"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3.40 – 4.19</w:t>
            </w:r>
          </w:p>
        </w:tc>
        <w:tc>
          <w:tcPr>
            <w:tcW w:w="2835" w:type="dxa"/>
            <w:vAlign w:val="center"/>
          </w:tcPr>
          <w:p w14:paraId="7A90D830"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(H)</w:t>
            </w:r>
          </w:p>
        </w:tc>
      </w:tr>
      <w:tr w:rsidR="00CC19F6" w14:paraId="7A90D835" w14:textId="77777777">
        <w:trPr>
          <w:trHeight w:val="646"/>
          <w:jc w:val="center"/>
        </w:trPr>
        <w:tc>
          <w:tcPr>
            <w:tcW w:w="3114" w:type="dxa"/>
          </w:tcPr>
          <w:p w14:paraId="7A90D832"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3 –Neutral (N)</w:t>
            </w:r>
          </w:p>
        </w:tc>
        <w:tc>
          <w:tcPr>
            <w:tcW w:w="2410" w:type="dxa"/>
            <w:vAlign w:val="center"/>
          </w:tcPr>
          <w:p w14:paraId="7A90D833"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2.60 – 3.39</w:t>
            </w:r>
          </w:p>
        </w:tc>
        <w:tc>
          <w:tcPr>
            <w:tcW w:w="2835" w:type="dxa"/>
            <w:vAlign w:val="center"/>
          </w:tcPr>
          <w:p w14:paraId="7A90D834"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(M)</w:t>
            </w:r>
          </w:p>
        </w:tc>
      </w:tr>
      <w:tr w:rsidR="00CC19F6" w14:paraId="7A90D839" w14:textId="77777777">
        <w:trPr>
          <w:trHeight w:val="485"/>
          <w:jc w:val="center"/>
        </w:trPr>
        <w:tc>
          <w:tcPr>
            <w:tcW w:w="3114" w:type="dxa"/>
          </w:tcPr>
          <w:p w14:paraId="7A90D836"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2 –Disagree (D)</w:t>
            </w:r>
          </w:p>
        </w:tc>
        <w:tc>
          <w:tcPr>
            <w:tcW w:w="2410" w:type="dxa"/>
            <w:vAlign w:val="center"/>
          </w:tcPr>
          <w:p w14:paraId="7A90D837"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1.80 – 2.59</w:t>
            </w:r>
          </w:p>
        </w:tc>
        <w:tc>
          <w:tcPr>
            <w:tcW w:w="2835" w:type="dxa"/>
            <w:vAlign w:val="center"/>
          </w:tcPr>
          <w:p w14:paraId="7A90D838"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Low (L)</w:t>
            </w:r>
          </w:p>
        </w:tc>
      </w:tr>
      <w:tr w:rsidR="00CC19F6" w14:paraId="7A90D83D" w14:textId="77777777">
        <w:trPr>
          <w:trHeight w:val="425"/>
          <w:jc w:val="center"/>
        </w:trPr>
        <w:tc>
          <w:tcPr>
            <w:tcW w:w="3114" w:type="dxa"/>
          </w:tcPr>
          <w:p w14:paraId="7A90D83A"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1 –Strongly Disagree (SD)</w:t>
            </w:r>
          </w:p>
        </w:tc>
        <w:tc>
          <w:tcPr>
            <w:tcW w:w="2410" w:type="dxa"/>
            <w:vAlign w:val="center"/>
          </w:tcPr>
          <w:p w14:paraId="7A90D83B"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1.0 – 1.79</w:t>
            </w:r>
          </w:p>
        </w:tc>
        <w:tc>
          <w:tcPr>
            <w:tcW w:w="2835" w:type="dxa"/>
            <w:vAlign w:val="center"/>
          </w:tcPr>
          <w:p w14:paraId="7A90D83C"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Low (VL)</w:t>
            </w:r>
          </w:p>
        </w:tc>
      </w:tr>
    </w:tbl>
    <w:p w14:paraId="7A90D83E" w14:textId="77777777" w:rsidR="00CC19F6" w:rsidRDefault="00CC19F6" w:rsidP="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A90D83F"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Data Gathering Procedure</w:t>
      </w:r>
    </w:p>
    <w:p w14:paraId="7A90D84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Prior to data collection, the researcher sought approval from the Dean of the Graduate School, followed by authorization from the Vice President for Academic Affairs, a formal letter </w:t>
      </w:r>
      <w:r>
        <w:rPr>
          <w:rFonts w:ascii="Times New Roman" w:eastAsia="Times New Roman" w:hAnsi="Times New Roman" w:cs="Times New Roman"/>
        </w:rPr>
        <w:lastRenderedPageBreak/>
        <w:t>from the Student Affairs Director, and permission from the Principal of the Basic Education department to conduct the study within the school premises. After securing all approvals, potential respondents, including both mathematics teachers and students, were screened for eligibility, and informed consent was obtained to ensure voluntary participation. Data were collected personally by the researcher through the distribution of questionnaires, which were retrieved immediately after completion. The gathered data were organized, encoded, and subjected to statistical analysis, followed by interpretation of the findings.</w:t>
      </w:r>
    </w:p>
    <w:p w14:paraId="7A90D841" w14:textId="77777777" w:rsidR="00CC19F6" w:rsidRDefault="00CC19F6">
      <w:pPr>
        <w:spacing w:after="0" w:line="240" w:lineRule="auto"/>
        <w:jc w:val="both"/>
        <w:rPr>
          <w:rFonts w:ascii="Times New Roman" w:eastAsia="Times New Roman" w:hAnsi="Times New Roman" w:cs="Times New Roman"/>
        </w:rPr>
      </w:pPr>
    </w:p>
    <w:p w14:paraId="7A90D842"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Ethical Consideration</w:t>
      </w:r>
    </w:p>
    <w:p w14:paraId="7A90D843"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obtained approval from the Misamis University Research Ethics Committee (MUREC) prior to its commencement. The well-being of respondents was prioritized, ensuring their safety, dignity, and comfort throughout the study. Since the respondents were minors, both assent forms and informed consent forms were secured before data collection. The assent form was given to the respondents, while written consent was obtained from their parents or legal guardians. These documents clearly explained the study’s purpose, procedures, potential risks, and benefits. Participation was strictly voluntary, and respondents could withdraw at any time without any negative consequences. To avoid disruption of academic activities, the survey was conducted beyond regular class hours at a time convenient for the respondents.</w:t>
      </w:r>
    </w:p>
    <w:p w14:paraId="7A90D844"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Confidentiality was strictly maintained by anonymizing respondents’ identities and by securely storing all collected data in a location accessible only to the researcher. The data were retained for a specified period, such as one year after the study's completion, and were disposed of properly thereafter. The study remained transparent in its objectives and procedures, with no form of deception involved. While there are no monetary incentives or payments for participation, respondents could benefit from increased awareness and understanding of the research topic. All ethical guidelines were strictly followed to ensure the integrity and credibility of the study.</w:t>
      </w:r>
    </w:p>
    <w:p w14:paraId="7A90D845" w14:textId="77777777" w:rsidR="00CC19F6" w:rsidRDefault="00CC19F6">
      <w:pPr>
        <w:pBdr>
          <w:top w:val="nil"/>
          <w:left w:val="nil"/>
          <w:bottom w:val="nil"/>
          <w:right w:val="nil"/>
          <w:between w:val="nil"/>
        </w:pBdr>
        <w:spacing w:after="0" w:line="240" w:lineRule="auto"/>
        <w:ind w:firstLine="720"/>
        <w:jc w:val="both"/>
        <w:rPr>
          <w:rFonts w:ascii="Times New Roman" w:eastAsia="Times New Roman" w:hAnsi="Times New Roman" w:cs="Times New Roman"/>
        </w:rPr>
      </w:pPr>
    </w:p>
    <w:p w14:paraId="7A90D846"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Data Analysis</w:t>
      </w:r>
    </w:p>
    <w:p w14:paraId="7A90D847" w14:textId="77777777" w:rsidR="00CC19F6" w:rsidRDefault="0091218B">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The study used the following statistical tools in analyzing the data gathered:  </w:t>
      </w:r>
    </w:p>
    <w:p w14:paraId="7A90D848"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i/>
          <w:iCs/>
          <w:color w:val="0E101A"/>
        </w:rPr>
        <w:t>Mean and Standard Deviation</w:t>
      </w:r>
      <w:r>
        <w:rPr>
          <w:rFonts w:ascii="Times New Roman" w:eastAsia="Times New Roman" w:hAnsi="Times New Roman" w:cs="Times New Roman"/>
          <w:color w:val="0E101A"/>
        </w:rPr>
        <w:t>. These tools were used to assess students' procedural fluency, conceptual understanding, and strategic competence in mathematics.</w:t>
      </w:r>
    </w:p>
    <w:p w14:paraId="7A90D849"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r>
        <w:rPr>
          <w:rFonts w:ascii="Times New Roman" w:eastAsia="Times New Roman" w:hAnsi="Times New Roman" w:cs="Times New Roman"/>
          <w:i/>
          <w:iCs/>
          <w:color w:val="0E101A"/>
        </w:rPr>
        <w:t>Spearman’s Rank-Order Correlation.</w:t>
      </w:r>
      <w:r>
        <w:rPr>
          <w:rFonts w:ascii="Times New Roman" w:eastAsia="Times New Roman" w:hAnsi="Times New Roman" w:cs="Times New Roman"/>
          <w:color w:val="0E101A"/>
        </w:rPr>
        <w:t xml:space="preserve"> This tool was used to explore the significant relationships among procedural fluency and conceptual understanding, procedural fluency and strategic competence, and strategic competence and conceptual understanding in mathematics learning.</w:t>
      </w:r>
    </w:p>
    <w:p w14:paraId="7A90D84A"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r>
        <w:rPr>
          <w:rFonts w:ascii="Times New Roman" w:eastAsia="Times New Roman" w:hAnsi="Times New Roman" w:cs="Times New Roman"/>
          <w:i/>
          <w:iCs/>
          <w:color w:val="0E101A"/>
        </w:rPr>
        <w:t>Stepwise Multiple Regression Analysis.</w:t>
      </w:r>
      <w:r>
        <w:rPr>
          <w:rFonts w:ascii="Times New Roman" w:eastAsia="Times New Roman" w:hAnsi="Times New Roman" w:cs="Times New Roman"/>
          <w:color w:val="0E101A"/>
        </w:rPr>
        <w:t xml:space="preserve"> This tool was utilized to identify which aspect of procedural competence significantly predicts conceptual understanding in mathematics learning.</w:t>
      </w:r>
    </w:p>
    <w:p w14:paraId="7A90D84B"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i/>
          <w:iCs/>
          <w:color w:val="0E101A"/>
        </w:rPr>
        <w:t>General Linear Mediation Analysis</w:t>
      </w:r>
      <w:r>
        <w:rPr>
          <w:rFonts w:ascii="Times New Roman" w:eastAsia="Times New Roman" w:hAnsi="Times New Roman" w:cs="Times New Roman"/>
          <w:color w:val="0E101A"/>
        </w:rPr>
        <w:t>. This tool was used to test the mediating effect of strategic competence on the relationship between procedural fluency and conceptual understanding in mathematics learning.</w:t>
      </w:r>
    </w:p>
    <w:p w14:paraId="7A90D84C" w14:textId="77777777" w:rsidR="00CC19F6" w:rsidRDefault="00CC19F6">
      <w:pPr>
        <w:spacing w:line="240" w:lineRule="auto"/>
        <w:jc w:val="center"/>
        <w:rPr>
          <w:rFonts w:ascii="Times New Roman" w:eastAsia="Times New Roman" w:hAnsi="Times New Roman" w:cs="Times New Roman"/>
          <w:b/>
          <w:bCs/>
        </w:rPr>
      </w:pPr>
    </w:p>
    <w:p w14:paraId="7A90D84D"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RESULTS AND DISCUSSION</w:t>
      </w:r>
    </w:p>
    <w:p w14:paraId="7A90D84E"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Level of Students’ Procedural Fluency</w:t>
      </w:r>
    </w:p>
    <w:p w14:paraId="7A90D84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Table 1 presents students’ procedural fluency in mathematics, indicating overall high performance (M = 3.60, SD = 0.70). This indicates that students generally demonstrate </w:t>
      </w:r>
      <w:r>
        <w:rPr>
          <w:rFonts w:ascii="Times New Roman" w:eastAsia="Times New Roman" w:hAnsi="Times New Roman" w:cs="Times New Roman"/>
        </w:rPr>
        <w:lastRenderedPageBreak/>
        <w:t>competence in executing mathematical procedures, reflecting their ability to calculate and solve problems effectively. The relatively small standard deviation suggests moderately consistent performance among students, indicating a shared baseline in procedural skills. While foundational abilities are strong, improvement is needed in applying procedures to more complex or unfamiliar problem contexts.</w:t>
      </w:r>
    </w:p>
    <w:p w14:paraId="7A90D85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Procedural fluency demonstrates students' ability to accurately carry out mathematical procedures, complete solutions in a reasonable time, and adapt or select appropriate strategies when faced with different kinds of problems. Strong procedural fluency enables students to follow algorithms step-by-step, apply them meaningfully, and adapt their approaches to the job at hand. As a result, evaluating procedural fluency enables teachers to pinpoint students' strengths and weaknesses in performing mathematical operations, which can help them create targeted instructional strategies that improve students' overall mathematical proficiency and enhance learning outcomes.</w:t>
      </w:r>
    </w:p>
    <w:p w14:paraId="7A90D85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accuracy in solving mathematical problems was high (M = 3.74, SD = 0.73). This suggests that students typically complete tasks accurately, with few mistakes. This degree of accuracy appears consistent across students, as indicated by the comparatively low standard deviation. Students can perform computations with confidence and accuracy because they have a strong grasp of basic procedures. They can reduce errors and ensure accuracy in their solutions by performing mathematical calculations with precision. This degree of precision also facilitates more efficient problem-solving, since accurate initial stages provide a solid basis for subsequent processes. This finding suggests that students have strong procedural skills, which greatly enhance their overall proficiency in mathematics.</w:t>
      </w:r>
    </w:p>
    <w:p w14:paraId="7A90D85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procedural appropriateness was practiced at a high level (M = 3.64, SD = 0.83). This suggests that students can generally accomplish mathematical tasks promptly without sacrificing accuracy. However, the significantly higher standard deviation indicates performance variability, implying that some students can answer problems more rapidly than others, requiring more time and guidance. Efficient students can balance speed and precision, making it easier for them to complete multi-step mathematical tasks. Through this ability, they can effectively manage their time while preserving the quality of their solutions. This finding implies that, even though many students are proficient at solving problems, there is still a need to assist individuals who need help controlling both speed and accuracy in mathematical tasks.</w:t>
      </w:r>
    </w:p>
    <w:p w14:paraId="7A90D85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problem-solving efficiency was high (M = 3.54, SD = 1.03). This suggests that students can generally accomplish mathematical tasks promptly without sacrificing accuracy. However, the significantly higher standard deviation indicates performance variability, implying that some students can answer problems more rapidly than others, requiring more time and guidance. Efficient students can balance speed and precision, making it easier for them to complete multi-step mathematical tasks. Through this ability, they can effectively manage their time while preserving the quality of their solutions. This finding implies that, even though many students are proficient at solving problems, there is still a need to assist individuals who need help controlling both speed and accuracy in mathematical tasks.</w:t>
      </w:r>
    </w:p>
    <w:p w14:paraId="7A90D85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Students’ flexibility in applying procedures was moderate (M = 3.49, SD = 0.82). This indicates that while students are capable of using multiple strategies, adapting procedures to unfamiliar or novel problems may still be challenging. The moderate standard deviation suggests variability in students’ ability to transfer or modify procedural knowledge, with some students demonstrating greater adaptability than others. Developing flexibility is essential for connecting procedural skills to effective problem-solving and for fostering innovation, as it enables students </w:t>
      </w:r>
      <w:r>
        <w:rPr>
          <w:rFonts w:ascii="Times New Roman" w:eastAsia="Times New Roman" w:hAnsi="Times New Roman" w:cs="Times New Roman"/>
        </w:rPr>
        <w:lastRenderedPageBreak/>
        <w:t>to respond confidently to new and complex mathematical challenges. This result highlights the need to further support students in applying procedures flexibly across different problem contexts.</w:t>
      </w:r>
    </w:p>
    <w:p w14:paraId="7A90D85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Procedural fluency is widely recognized by experts as a critical component of mathematical performance, particularly for predicting accuracy and efficiency levels (Vanderheyden &amp; Solomon, 2023). Higher fluency results in more suitable and effective approaches, which align with the high scores found (Skylark, 2021). The slightly lower mean for this construct is consistent with the fact that flexibility develops more slowly than accuracy and efficiency (Hong et al., 2023). Procedural skills are the foundation for conceptual understanding (Hurrel, 2021), and secondary learners demonstrated strong overall fluency, supporting these findings (Landreth &amp; Young, 2021).</w:t>
      </w:r>
    </w:p>
    <w:p w14:paraId="7A90D85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possess strong procedural skills overall, particularly in accuracy and appropriateness, though their flexibility is significantly lower. Therefore, the focus of instruction should be on helping students become more adept at adapting processes to new or challenging circumstances. This can be accomplished through tasks that call for a variety of problem-solving approaches, problem variation, and reflective exercises that push students to think beyond standard procedures. In addition to improving adaptive problem-solving, strengthening flexibility ensures that students can effectively apply their knowledge across a variety of circumstances by bridging procedural knowledge with deeper conceptual understanding.</w:t>
      </w:r>
    </w:p>
    <w:p w14:paraId="7A90D857"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1</w:t>
      </w:r>
    </w:p>
    <w:p w14:paraId="7A90D858"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Level of Students’ Procedural Fluency</w:t>
      </w:r>
    </w:p>
    <w:p w14:paraId="7A90D859" w14:textId="77777777" w:rsidR="00CC19F6" w:rsidRDefault="00CC19F6">
      <w:pPr>
        <w:spacing w:after="0" w:line="240" w:lineRule="auto"/>
        <w:jc w:val="both"/>
        <w:rPr>
          <w:rFonts w:ascii="Times New Roman" w:eastAsia="Times New Roman" w:hAnsi="Times New Roman" w:cs="Times New Roman"/>
        </w:rPr>
      </w:pPr>
    </w:p>
    <w:tbl>
      <w:tblPr>
        <w:tblStyle w:val="a2"/>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70"/>
        <w:gridCol w:w="990"/>
        <w:gridCol w:w="884"/>
        <w:gridCol w:w="1996"/>
      </w:tblGrid>
      <w:tr w:rsidR="00CC19F6" w14:paraId="7A90D85E" w14:textId="77777777">
        <w:tc>
          <w:tcPr>
            <w:tcW w:w="4770" w:type="dxa"/>
            <w:tcBorders>
              <w:top w:val="single" w:sz="4" w:space="0" w:color="000000"/>
              <w:bottom w:val="single" w:sz="4" w:space="0" w:color="000000"/>
            </w:tcBorders>
          </w:tcPr>
          <w:p w14:paraId="7A90D85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Constructs</w:t>
            </w:r>
          </w:p>
        </w:tc>
        <w:tc>
          <w:tcPr>
            <w:tcW w:w="990" w:type="dxa"/>
            <w:tcBorders>
              <w:top w:val="single" w:sz="4" w:space="0" w:color="000000"/>
              <w:bottom w:val="single" w:sz="4" w:space="0" w:color="000000"/>
            </w:tcBorders>
          </w:tcPr>
          <w:p w14:paraId="7A90D85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w:t>
            </w:r>
          </w:p>
        </w:tc>
        <w:tc>
          <w:tcPr>
            <w:tcW w:w="884" w:type="dxa"/>
            <w:tcBorders>
              <w:top w:val="single" w:sz="4" w:space="0" w:color="000000"/>
              <w:bottom w:val="single" w:sz="4" w:space="0" w:color="000000"/>
            </w:tcBorders>
          </w:tcPr>
          <w:p w14:paraId="7A90D85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996" w:type="dxa"/>
            <w:tcBorders>
              <w:top w:val="single" w:sz="4" w:space="0" w:color="000000"/>
              <w:bottom w:val="single" w:sz="4" w:space="0" w:color="000000"/>
            </w:tcBorders>
          </w:tcPr>
          <w:p w14:paraId="7A90D85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CC19F6" w14:paraId="7A90D863" w14:textId="77777777">
        <w:tc>
          <w:tcPr>
            <w:tcW w:w="4770" w:type="dxa"/>
            <w:tcBorders>
              <w:top w:val="single" w:sz="4" w:space="0" w:color="000000"/>
            </w:tcBorders>
          </w:tcPr>
          <w:p w14:paraId="7A90D85F"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Accuracy in Solving Procedures</w:t>
            </w:r>
          </w:p>
        </w:tc>
        <w:tc>
          <w:tcPr>
            <w:tcW w:w="990" w:type="dxa"/>
            <w:tcBorders>
              <w:top w:val="single" w:sz="4" w:space="0" w:color="000000"/>
            </w:tcBorders>
          </w:tcPr>
          <w:p w14:paraId="7A90D86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3.74</w:t>
            </w:r>
          </w:p>
        </w:tc>
        <w:tc>
          <w:tcPr>
            <w:tcW w:w="884" w:type="dxa"/>
            <w:tcBorders>
              <w:top w:val="single" w:sz="4" w:space="0" w:color="000000"/>
            </w:tcBorders>
          </w:tcPr>
          <w:p w14:paraId="7A90D86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0.73</w:t>
            </w:r>
          </w:p>
        </w:tc>
        <w:tc>
          <w:tcPr>
            <w:tcW w:w="1996" w:type="dxa"/>
            <w:tcBorders>
              <w:top w:val="single" w:sz="4" w:space="0" w:color="000000"/>
            </w:tcBorders>
          </w:tcPr>
          <w:p w14:paraId="7A90D86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68" w14:textId="77777777">
        <w:tc>
          <w:tcPr>
            <w:tcW w:w="4770" w:type="dxa"/>
          </w:tcPr>
          <w:p w14:paraId="7A90D864"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Efficiency in Problem Solving</w:t>
            </w:r>
          </w:p>
        </w:tc>
        <w:tc>
          <w:tcPr>
            <w:tcW w:w="990" w:type="dxa"/>
          </w:tcPr>
          <w:p w14:paraId="7A90D86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3.54</w:t>
            </w:r>
          </w:p>
        </w:tc>
        <w:tc>
          <w:tcPr>
            <w:tcW w:w="884" w:type="dxa"/>
          </w:tcPr>
          <w:p w14:paraId="7A90D86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w:t>
            </w:r>
          </w:p>
        </w:tc>
        <w:tc>
          <w:tcPr>
            <w:tcW w:w="1996" w:type="dxa"/>
          </w:tcPr>
          <w:p w14:paraId="7A90D86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6D" w14:textId="77777777">
        <w:tc>
          <w:tcPr>
            <w:tcW w:w="4770" w:type="dxa"/>
          </w:tcPr>
          <w:p w14:paraId="7A90D869"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Flexibility in Applying Procedures</w:t>
            </w:r>
          </w:p>
        </w:tc>
        <w:tc>
          <w:tcPr>
            <w:tcW w:w="990" w:type="dxa"/>
          </w:tcPr>
          <w:p w14:paraId="7A90D86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3.49</w:t>
            </w:r>
          </w:p>
        </w:tc>
        <w:tc>
          <w:tcPr>
            <w:tcW w:w="884" w:type="dxa"/>
          </w:tcPr>
          <w:p w14:paraId="7A90D86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w:t>
            </w:r>
          </w:p>
        </w:tc>
        <w:tc>
          <w:tcPr>
            <w:tcW w:w="1996" w:type="dxa"/>
          </w:tcPr>
          <w:p w14:paraId="7A90D86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72" w14:textId="77777777">
        <w:tc>
          <w:tcPr>
            <w:tcW w:w="4770" w:type="dxa"/>
            <w:tcBorders>
              <w:bottom w:val="single" w:sz="4" w:space="0" w:color="000000"/>
            </w:tcBorders>
          </w:tcPr>
          <w:p w14:paraId="7A90D86E"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990" w:type="dxa"/>
            <w:tcBorders>
              <w:bottom w:val="single" w:sz="4" w:space="0" w:color="000000"/>
            </w:tcBorders>
          </w:tcPr>
          <w:p w14:paraId="7A90D86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3.64</w:t>
            </w:r>
          </w:p>
        </w:tc>
        <w:tc>
          <w:tcPr>
            <w:tcW w:w="884" w:type="dxa"/>
            <w:tcBorders>
              <w:bottom w:val="single" w:sz="4" w:space="0" w:color="000000"/>
            </w:tcBorders>
          </w:tcPr>
          <w:p w14:paraId="7A90D87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0.83</w:t>
            </w:r>
          </w:p>
        </w:tc>
        <w:tc>
          <w:tcPr>
            <w:tcW w:w="1996" w:type="dxa"/>
            <w:tcBorders>
              <w:bottom w:val="single" w:sz="4" w:space="0" w:color="000000"/>
            </w:tcBorders>
          </w:tcPr>
          <w:p w14:paraId="7A90D87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77" w14:textId="77777777">
        <w:tc>
          <w:tcPr>
            <w:tcW w:w="4770" w:type="dxa"/>
            <w:tcBorders>
              <w:top w:val="single" w:sz="4" w:space="0" w:color="000000"/>
              <w:bottom w:val="single" w:sz="4" w:space="0" w:color="000000"/>
            </w:tcBorders>
          </w:tcPr>
          <w:p w14:paraId="7A90D873"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Overall Level of Students’ Procedural Fluency </w:t>
            </w:r>
          </w:p>
        </w:tc>
        <w:tc>
          <w:tcPr>
            <w:tcW w:w="990" w:type="dxa"/>
            <w:tcBorders>
              <w:top w:val="single" w:sz="4" w:space="0" w:color="000000"/>
              <w:bottom w:val="single" w:sz="4" w:space="0" w:color="000000"/>
            </w:tcBorders>
          </w:tcPr>
          <w:p w14:paraId="7A90D87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3.60</w:t>
            </w:r>
          </w:p>
        </w:tc>
        <w:tc>
          <w:tcPr>
            <w:tcW w:w="884" w:type="dxa"/>
            <w:tcBorders>
              <w:top w:val="single" w:sz="4" w:space="0" w:color="000000"/>
              <w:bottom w:val="single" w:sz="4" w:space="0" w:color="000000"/>
            </w:tcBorders>
          </w:tcPr>
          <w:p w14:paraId="7A90D87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0.70</w:t>
            </w:r>
          </w:p>
        </w:tc>
        <w:tc>
          <w:tcPr>
            <w:tcW w:w="1996" w:type="dxa"/>
            <w:tcBorders>
              <w:top w:val="single" w:sz="4" w:space="0" w:color="000000"/>
              <w:bottom w:val="single" w:sz="4" w:space="0" w:color="000000"/>
            </w:tcBorders>
          </w:tcPr>
          <w:p w14:paraId="7A90D87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bl>
    <w:p w14:paraId="7A90D878"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Scale:</w:t>
      </w:r>
      <w:r>
        <w:rPr>
          <w:rFonts w:ascii="Times New Roman" w:eastAsia="Times New Roman" w:hAnsi="Times New Roman" w:cs="Times New Roman"/>
        </w:rPr>
        <w:t xml:space="preserve"> </w:t>
      </w:r>
      <w:r>
        <w:rPr>
          <w:rFonts w:ascii="Times New Roman" w:eastAsia="Times New Roman" w:hAnsi="Times New Roman" w:cs="Times New Roman"/>
          <w:i/>
          <w:iCs/>
        </w:rPr>
        <w:t>4.20-5.00(Very High); 3.40-4.19 (High); 2.60-3.39 (Moderate); 1.80-2.59 (Low);1.0-1.79 (Very Low)</w:t>
      </w:r>
    </w:p>
    <w:p w14:paraId="7A90D879" w14:textId="77777777" w:rsidR="00CC19F6" w:rsidRDefault="00CC19F6">
      <w:pPr>
        <w:spacing w:after="0" w:line="240" w:lineRule="auto"/>
        <w:jc w:val="both"/>
        <w:rPr>
          <w:rFonts w:ascii="Times New Roman" w:eastAsia="Times New Roman" w:hAnsi="Times New Roman" w:cs="Times New Roman"/>
          <w:b/>
          <w:bCs/>
        </w:rPr>
      </w:pPr>
    </w:p>
    <w:p w14:paraId="7A90D87A"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Level of the Students’ Strategic Competence</w:t>
      </w:r>
    </w:p>
    <w:p w14:paraId="7A90D87B"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Table 2 presents the level of students’ strategic competence in mathematics, indicating overall high performance (M = 3.65, SD = 0.69). This indicates that students generally demonstrate strong competence in using strategies that support effective problem-solving. The relatively small standard deviation suggests moderately consistent performance among students, indicating a shared proficiency in strategic skills. While the overall level is high, continued development of strategic processes, such as problem representation and solution evaluation, can further enrich students’ mathematical reasoning and decision-making.</w:t>
      </w:r>
    </w:p>
    <w:p w14:paraId="7A90D87C"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Strategic competence highlights students' ability to comprehend the structure of a problem, convert it into mathematical form, and devise relevant tactics to achieve an effective solution. When challenges arise, students who exhibit strong strategic competence can adjust their strategies, choose multiple approaches, and evaluate whether their solutions are reasonable and logically supported. As a result, assessing strategic competence provides teachers with important information on how well students combine procedural knowledge and conceptual </w:t>
      </w:r>
      <w:r>
        <w:rPr>
          <w:rFonts w:ascii="Times New Roman" w:eastAsia="Times New Roman" w:hAnsi="Times New Roman" w:cs="Times New Roman"/>
        </w:rPr>
        <w:lastRenderedPageBreak/>
        <w:t>understanding, enabling them to foster problem-solving abilities that support the development of holistic mathematical ability.</w:t>
      </w:r>
    </w:p>
    <w:p w14:paraId="7A90D87D"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adaptation and flexibility was interpreted as being practiced to a very high extent (M = 3.70, SD = 0.81). This implies that when their initial plans are inadequate, students are highly capable of modifying techniques or approaches. This adaptability shows a high degree of metacognitive awareness, as students monitor how they solve problems and adjust as needed. When students adjust well, they show resilience and self-assurance in managing challenging tasks, which promotes success across a variety of mathematical problems. This flexibility improves students' general problem-solving skills and equips them to react strategically to new or unforeseen circumstances.</w:t>
      </w:r>
    </w:p>
    <w:p w14:paraId="7A90D87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Likewise, evaluation and justification was interpreted as being practiced to a very high extent (M = 3.69, SD = 0.88). This shows that students can evaluate the precision of their answers and justify the strategies they select. This ability is essential for verifying the validity of results, reflecting on problem-solving procedures, and strengthening deeper mathematical understanding, even though students differ in how they express or defend their reasoning. Students with strong evaluation and justification skills are better able to make deliberate choices and enhance the quality of their mathematical reasoning.</w:t>
      </w:r>
    </w:p>
    <w:p w14:paraId="7A90D87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Strategy formulation was interpreted as being practiced to a very high extent (M = 3.63, SD = 0.82). This result demonstrates how proficient students are in devising strategies and solutions to given problems. To solve problems effectively and successfully across a variety of mathematical contexts, students must be able to create plans tailored to the specific demands of each situation. This skill helps students approach challenges systematically and boosts their confidence in applying appropriate strategies.</w:t>
      </w:r>
    </w:p>
    <w:p w14:paraId="7A90D88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Problem representation was interpreted as being practiced to a very high extent (M = 3.58, SD = 0.86). This suggests that students are generally competent at interpreting and organizing information in mathematical tasks. Some students may need assistance in transforming problems into mathematical formats or visual representations, even though most students can accurately represent them. Competence in problem representation serves as a basis for systematic problem-solving and supports students in selecting and using appropriate strategies.</w:t>
      </w:r>
    </w:p>
    <w:p w14:paraId="7A90D88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Contemporary research underscores the importance of strategic competence in mathematics. For instance, strong problem representation abilities allow students to better frame problems, resulting in clearer solution pathways (Dood &amp; Watts, 2022). Explicit strategy formulation activities have been found to improve students' performance in a variety of problem scenarios (Teng, 2022). Research emphasizes that flexibility in strategy use is closely linked to metacognitive regulation, enabling learners to adjust their approaches when initial plans fail (Bürgler et al., 2021). Additionally, students' mathematical argumentation and reasoning are improved by evaluation and justification skills, which promote deeper learning and reflective competency (Santosa et al., 2025). Collectively, these studies affirm that strategic processes are central to mathematical success and align with the high levels of strategic competence observed in this study.</w:t>
      </w:r>
    </w:p>
    <w:p w14:paraId="7A90D88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Students demonstrate high strategic competence across all areas, with flexibility and adaptation slightly ahead. Instructional strategies should emphasize problem representation, strategy formulation, and evaluation skills while retaining flexibility to continue to build on this strength. Students' strategic decision-making can be further improved by assigning them demanding, real-world problem-solving tasks that call for strategy development, monitoring, and </w:t>
      </w:r>
      <w:r>
        <w:rPr>
          <w:rFonts w:ascii="Times New Roman" w:eastAsia="Times New Roman" w:hAnsi="Times New Roman" w:cs="Times New Roman"/>
        </w:rPr>
        <w:lastRenderedPageBreak/>
        <w:t>adjustment. Strengthening these areas promotes independent, flexible, and reflective mathematical thinking by ensuring that students not only carry out efficient problem-solving procedures but also critically assess and defend their strategies.</w:t>
      </w:r>
    </w:p>
    <w:p w14:paraId="7A90D883" w14:textId="77777777" w:rsidR="00CC19F6" w:rsidRDefault="00CC19F6">
      <w:pPr>
        <w:spacing w:after="0" w:line="240" w:lineRule="auto"/>
        <w:ind w:firstLine="720"/>
        <w:jc w:val="both"/>
        <w:rPr>
          <w:rFonts w:ascii="Times New Roman" w:eastAsia="Times New Roman" w:hAnsi="Times New Roman" w:cs="Times New Roman"/>
        </w:rPr>
      </w:pPr>
    </w:p>
    <w:p w14:paraId="7A90D884" w14:textId="77777777" w:rsidR="00CC19F6" w:rsidRDefault="00CC19F6">
      <w:pPr>
        <w:spacing w:after="0" w:line="240" w:lineRule="auto"/>
        <w:ind w:firstLine="720"/>
        <w:jc w:val="both"/>
        <w:rPr>
          <w:rFonts w:ascii="Times New Roman" w:eastAsia="Times New Roman" w:hAnsi="Times New Roman" w:cs="Times New Roman"/>
        </w:rPr>
      </w:pPr>
    </w:p>
    <w:p w14:paraId="7A90D885" w14:textId="77777777" w:rsidR="00CC19F6" w:rsidRDefault="00CC19F6">
      <w:pPr>
        <w:spacing w:after="0" w:line="240" w:lineRule="auto"/>
        <w:ind w:firstLine="720"/>
        <w:jc w:val="both"/>
        <w:rPr>
          <w:rFonts w:ascii="Times New Roman" w:eastAsia="Times New Roman" w:hAnsi="Times New Roman" w:cs="Times New Roman"/>
        </w:rPr>
      </w:pPr>
    </w:p>
    <w:p w14:paraId="7A90D886" w14:textId="77777777" w:rsidR="00CC19F6" w:rsidRDefault="00CC19F6">
      <w:pPr>
        <w:spacing w:after="0" w:line="240" w:lineRule="auto"/>
        <w:ind w:firstLine="720"/>
        <w:jc w:val="both"/>
        <w:rPr>
          <w:rFonts w:ascii="Times New Roman" w:eastAsia="Times New Roman" w:hAnsi="Times New Roman" w:cs="Times New Roman"/>
        </w:rPr>
      </w:pPr>
    </w:p>
    <w:p w14:paraId="7A90D887" w14:textId="77777777" w:rsidR="00CC19F6" w:rsidRDefault="00CC19F6">
      <w:pPr>
        <w:spacing w:after="0" w:line="240" w:lineRule="auto"/>
        <w:ind w:firstLine="720"/>
        <w:jc w:val="both"/>
        <w:rPr>
          <w:rFonts w:ascii="Times New Roman" w:eastAsia="Times New Roman" w:hAnsi="Times New Roman" w:cs="Times New Roman"/>
        </w:rPr>
      </w:pPr>
    </w:p>
    <w:p w14:paraId="7A90D888" w14:textId="77777777" w:rsidR="00CC19F6" w:rsidRDefault="00CC19F6">
      <w:pPr>
        <w:spacing w:after="0" w:line="240" w:lineRule="auto"/>
        <w:ind w:firstLine="720"/>
        <w:jc w:val="both"/>
        <w:rPr>
          <w:rFonts w:ascii="Times New Roman" w:eastAsia="Times New Roman" w:hAnsi="Times New Roman" w:cs="Times New Roman"/>
        </w:rPr>
      </w:pPr>
    </w:p>
    <w:p w14:paraId="7A90D889" w14:textId="77777777" w:rsidR="00CC19F6" w:rsidRDefault="00CC19F6">
      <w:pPr>
        <w:spacing w:after="0" w:line="240" w:lineRule="auto"/>
        <w:ind w:firstLine="720"/>
        <w:jc w:val="both"/>
        <w:rPr>
          <w:rFonts w:ascii="Times New Roman" w:eastAsia="Times New Roman" w:hAnsi="Times New Roman" w:cs="Times New Roman"/>
        </w:rPr>
      </w:pPr>
    </w:p>
    <w:p w14:paraId="7A90D88A" w14:textId="77777777" w:rsidR="00CC19F6" w:rsidRDefault="00CC19F6">
      <w:pPr>
        <w:spacing w:after="0" w:line="240" w:lineRule="auto"/>
        <w:ind w:firstLine="720"/>
        <w:jc w:val="both"/>
        <w:rPr>
          <w:rFonts w:ascii="Times New Roman" w:eastAsia="Times New Roman" w:hAnsi="Times New Roman" w:cs="Times New Roman"/>
        </w:rPr>
      </w:pPr>
    </w:p>
    <w:p w14:paraId="7A90D88B" w14:textId="77777777" w:rsidR="00CC19F6" w:rsidRDefault="00CC19F6">
      <w:pPr>
        <w:spacing w:after="0" w:line="240" w:lineRule="auto"/>
        <w:ind w:firstLine="720"/>
        <w:jc w:val="both"/>
        <w:rPr>
          <w:rFonts w:ascii="Times New Roman" w:eastAsia="Times New Roman" w:hAnsi="Times New Roman" w:cs="Times New Roman"/>
        </w:rPr>
      </w:pPr>
    </w:p>
    <w:p w14:paraId="7A90D88C" w14:textId="77777777" w:rsidR="00CC19F6" w:rsidRDefault="00CC19F6">
      <w:pPr>
        <w:spacing w:after="0" w:line="240" w:lineRule="auto"/>
        <w:ind w:firstLine="720"/>
        <w:jc w:val="both"/>
        <w:rPr>
          <w:rFonts w:ascii="Times New Roman" w:eastAsia="Times New Roman" w:hAnsi="Times New Roman" w:cs="Times New Roman"/>
        </w:rPr>
      </w:pPr>
    </w:p>
    <w:p w14:paraId="7A90D88D"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2</w:t>
      </w:r>
    </w:p>
    <w:p w14:paraId="7A90D88E"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Level of Students’ Strategic Competence</w:t>
      </w:r>
    </w:p>
    <w:p w14:paraId="7A90D88F" w14:textId="77777777" w:rsidR="00CC19F6" w:rsidRDefault="00CC19F6">
      <w:pPr>
        <w:spacing w:after="0" w:line="240" w:lineRule="auto"/>
        <w:jc w:val="both"/>
        <w:rPr>
          <w:rFonts w:ascii="Times New Roman" w:eastAsia="Times New Roman" w:hAnsi="Times New Roman" w:cs="Times New Roman"/>
        </w:rPr>
      </w:pPr>
    </w:p>
    <w:tbl>
      <w:tblPr>
        <w:tblStyle w:val="a3"/>
        <w:tblW w:w="86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0"/>
        <w:gridCol w:w="880"/>
        <w:gridCol w:w="990"/>
        <w:gridCol w:w="2430"/>
      </w:tblGrid>
      <w:tr w:rsidR="00CC19F6" w14:paraId="7A90D894" w14:textId="77777777">
        <w:tc>
          <w:tcPr>
            <w:tcW w:w="4320" w:type="dxa"/>
            <w:tcBorders>
              <w:top w:val="single" w:sz="4" w:space="0" w:color="000000"/>
              <w:bottom w:val="single" w:sz="4" w:space="0" w:color="000000"/>
            </w:tcBorders>
          </w:tcPr>
          <w:p w14:paraId="7A90D89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Constructs</w:t>
            </w:r>
          </w:p>
        </w:tc>
        <w:tc>
          <w:tcPr>
            <w:tcW w:w="880" w:type="dxa"/>
            <w:tcBorders>
              <w:top w:val="single" w:sz="4" w:space="0" w:color="000000"/>
              <w:bottom w:val="single" w:sz="4" w:space="0" w:color="000000"/>
            </w:tcBorders>
          </w:tcPr>
          <w:p w14:paraId="7A90D89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w:t>
            </w:r>
          </w:p>
        </w:tc>
        <w:tc>
          <w:tcPr>
            <w:tcW w:w="990" w:type="dxa"/>
            <w:tcBorders>
              <w:top w:val="single" w:sz="4" w:space="0" w:color="000000"/>
              <w:bottom w:val="single" w:sz="4" w:space="0" w:color="000000"/>
            </w:tcBorders>
          </w:tcPr>
          <w:p w14:paraId="7A90D89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2430" w:type="dxa"/>
            <w:tcBorders>
              <w:top w:val="single" w:sz="4" w:space="0" w:color="000000"/>
              <w:bottom w:val="single" w:sz="4" w:space="0" w:color="000000"/>
            </w:tcBorders>
          </w:tcPr>
          <w:p w14:paraId="7A90D89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CC19F6" w14:paraId="7A90D899" w14:textId="77777777">
        <w:tc>
          <w:tcPr>
            <w:tcW w:w="4320" w:type="dxa"/>
            <w:tcBorders>
              <w:top w:val="single" w:sz="4" w:space="0" w:color="000000"/>
            </w:tcBorders>
          </w:tcPr>
          <w:p w14:paraId="7A90D895"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Problem Representation</w:t>
            </w:r>
          </w:p>
        </w:tc>
        <w:tc>
          <w:tcPr>
            <w:tcW w:w="880" w:type="dxa"/>
            <w:tcBorders>
              <w:top w:val="single" w:sz="4" w:space="0" w:color="000000"/>
            </w:tcBorders>
          </w:tcPr>
          <w:p w14:paraId="7A90D89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3.58</w:t>
            </w:r>
          </w:p>
        </w:tc>
        <w:tc>
          <w:tcPr>
            <w:tcW w:w="990" w:type="dxa"/>
            <w:tcBorders>
              <w:top w:val="single" w:sz="4" w:space="0" w:color="000000"/>
            </w:tcBorders>
          </w:tcPr>
          <w:p w14:paraId="7A90D89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0.86</w:t>
            </w:r>
          </w:p>
        </w:tc>
        <w:tc>
          <w:tcPr>
            <w:tcW w:w="2430" w:type="dxa"/>
            <w:tcBorders>
              <w:top w:val="single" w:sz="4" w:space="0" w:color="000000"/>
            </w:tcBorders>
          </w:tcPr>
          <w:p w14:paraId="7A90D89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9E" w14:textId="77777777">
        <w:tc>
          <w:tcPr>
            <w:tcW w:w="4320" w:type="dxa"/>
          </w:tcPr>
          <w:p w14:paraId="7A90D89A"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Strategy Formulation</w:t>
            </w:r>
          </w:p>
        </w:tc>
        <w:tc>
          <w:tcPr>
            <w:tcW w:w="880" w:type="dxa"/>
          </w:tcPr>
          <w:p w14:paraId="7A90D89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3.63</w:t>
            </w:r>
          </w:p>
        </w:tc>
        <w:tc>
          <w:tcPr>
            <w:tcW w:w="990" w:type="dxa"/>
          </w:tcPr>
          <w:p w14:paraId="7A90D89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w:t>
            </w:r>
          </w:p>
        </w:tc>
        <w:tc>
          <w:tcPr>
            <w:tcW w:w="2430" w:type="dxa"/>
          </w:tcPr>
          <w:p w14:paraId="7A90D89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A3" w14:textId="77777777">
        <w:tc>
          <w:tcPr>
            <w:tcW w:w="4320" w:type="dxa"/>
          </w:tcPr>
          <w:p w14:paraId="7A90D89F"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Adaptation and Flexibility</w:t>
            </w:r>
          </w:p>
        </w:tc>
        <w:tc>
          <w:tcPr>
            <w:tcW w:w="880" w:type="dxa"/>
          </w:tcPr>
          <w:p w14:paraId="7A90D8A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3.70</w:t>
            </w:r>
          </w:p>
        </w:tc>
        <w:tc>
          <w:tcPr>
            <w:tcW w:w="990" w:type="dxa"/>
          </w:tcPr>
          <w:p w14:paraId="7A90D8A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0.81</w:t>
            </w:r>
          </w:p>
        </w:tc>
        <w:tc>
          <w:tcPr>
            <w:tcW w:w="2430" w:type="dxa"/>
          </w:tcPr>
          <w:p w14:paraId="7A90D8A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A8" w14:textId="77777777">
        <w:tc>
          <w:tcPr>
            <w:tcW w:w="4320" w:type="dxa"/>
            <w:tcBorders>
              <w:bottom w:val="single" w:sz="4" w:space="0" w:color="000000"/>
            </w:tcBorders>
          </w:tcPr>
          <w:p w14:paraId="7A90D8A4"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Evaluation and Justification</w:t>
            </w:r>
          </w:p>
        </w:tc>
        <w:tc>
          <w:tcPr>
            <w:tcW w:w="880" w:type="dxa"/>
            <w:tcBorders>
              <w:bottom w:val="single" w:sz="4" w:space="0" w:color="000000"/>
            </w:tcBorders>
          </w:tcPr>
          <w:p w14:paraId="7A90D8A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3.69</w:t>
            </w:r>
          </w:p>
        </w:tc>
        <w:tc>
          <w:tcPr>
            <w:tcW w:w="990" w:type="dxa"/>
            <w:tcBorders>
              <w:bottom w:val="single" w:sz="4" w:space="0" w:color="000000"/>
            </w:tcBorders>
          </w:tcPr>
          <w:p w14:paraId="7A90D8A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0.88</w:t>
            </w:r>
          </w:p>
        </w:tc>
        <w:tc>
          <w:tcPr>
            <w:tcW w:w="2430" w:type="dxa"/>
            <w:tcBorders>
              <w:bottom w:val="single" w:sz="4" w:space="0" w:color="000000"/>
            </w:tcBorders>
          </w:tcPr>
          <w:p w14:paraId="7A90D8A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AD" w14:textId="77777777">
        <w:tc>
          <w:tcPr>
            <w:tcW w:w="4320" w:type="dxa"/>
            <w:tcBorders>
              <w:top w:val="single" w:sz="4" w:space="0" w:color="000000"/>
              <w:bottom w:val="single" w:sz="4" w:space="0" w:color="000000"/>
            </w:tcBorders>
          </w:tcPr>
          <w:p w14:paraId="7A90D8A9"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Overall Level of Competence</w:t>
            </w:r>
          </w:p>
        </w:tc>
        <w:tc>
          <w:tcPr>
            <w:tcW w:w="880" w:type="dxa"/>
            <w:tcBorders>
              <w:top w:val="single" w:sz="4" w:space="0" w:color="000000"/>
              <w:bottom w:val="single" w:sz="4" w:space="0" w:color="000000"/>
            </w:tcBorders>
          </w:tcPr>
          <w:p w14:paraId="7A90D8A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3.65</w:t>
            </w:r>
          </w:p>
        </w:tc>
        <w:tc>
          <w:tcPr>
            <w:tcW w:w="990" w:type="dxa"/>
            <w:tcBorders>
              <w:top w:val="single" w:sz="4" w:space="0" w:color="000000"/>
              <w:bottom w:val="single" w:sz="4" w:space="0" w:color="000000"/>
            </w:tcBorders>
          </w:tcPr>
          <w:p w14:paraId="7A90D8A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0.69</w:t>
            </w:r>
          </w:p>
        </w:tc>
        <w:tc>
          <w:tcPr>
            <w:tcW w:w="2430" w:type="dxa"/>
            <w:tcBorders>
              <w:top w:val="single" w:sz="4" w:space="0" w:color="000000"/>
              <w:bottom w:val="single" w:sz="4" w:space="0" w:color="000000"/>
            </w:tcBorders>
          </w:tcPr>
          <w:p w14:paraId="7A90D8A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bl>
    <w:p w14:paraId="7A90D8AE"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Scale:</w:t>
      </w:r>
      <w:r>
        <w:rPr>
          <w:rFonts w:ascii="Times New Roman" w:eastAsia="Times New Roman" w:hAnsi="Times New Roman" w:cs="Times New Roman"/>
        </w:rPr>
        <w:t xml:space="preserve"> </w:t>
      </w:r>
      <w:r>
        <w:rPr>
          <w:rFonts w:ascii="Times New Roman" w:eastAsia="Times New Roman" w:hAnsi="Times New Roman" w:cs="Times New Roman"/>
          <w:i/>
          <w:iCs/>
        </w:rPr>
        <w:t>4.20-5.00(Very High); 3.40-4.19 (High); 2.60-3.39 (Moderate); 1.80-2.59 (Low);1.0-1.79 (Very Low)</w:t>
      </w:r>
    </w:p>
    <w:p w14:paraId="7A90D8AF" w14:textId="77777777" w:rsidR="00CC19F6" w:rsidRDefault="00CC19F6">
      <w:pPr>
        <w:spacing w:after="0" w:line="240" w:lineRule="auto"/>
        <w:jc w:val="both"/>
        <w:rPr>
          <w:rFonts w:ascii="Times New Roman" w:eastAsia="Times New Roman" w:hAnsi="Times New Roman" w:cs="Times New Roman"/>
          <w:b/>
          <w:bCs/>
        </w:rPr>
      </w:pPr>
    </w:p>
    <w:p w14:paraId="7A90D8B0"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Level of the Students’ Conceptual Understanding</w:t>
      </w:r>
    </w:p>
    <w:p w14:paraId="7A90D8B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Table 3 presents the level of students’ conceptual understanding in mathematics, indicating overall high performance (M= 3.47, SD = 0.75). This indicates that students generally demonstrate competence in understanding and applying mathematical concepts, reflecting their ability to reason, make connections, and solve problems effectively. The relatively small standard deviation suggests moderately consistent performance among students, indicating a shared baseline in conceptual skills. While students demonstrate a high level of understanding, there is room for improvement in higher-order reasoning and justification, particularly when linking concepts across different problem contexts.</w:t>
      </w:r>
    </w:p>
    <w:p w14:paraId="7A90D8B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Conceptual understanding emphasizes students' capacity to comprehend the meaning underlying mathematical concepts rather than simply memorizing processes or formulas. Strong conceptual understanding enables students to apply their knowledge to new or real-world scenarios, explain why specific strategies work, and analyze mathematical relationships. As a result, evaluating conceptual understanding enables educators to gauge the depth of students' mathematical thinking and to develop instructional strategies that strengthen reasoning abilities, foster meaningful connections between concepts, and promote deeper, longer-lasting learning.</w:t>
      </w:r>
    </w:p>
    <w:p w14:paraId="7A90D8B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application of problem-solving concepts was interpreted as practiced to a high extent (M = 3.53, SD = 0.81). This result suggests that students can typically use the mathematical concepts they have learned to solve problems effectively. This level of application allows students to integrate their conceptual understanding into practical solutions and engage in meaningful problem-solving tasks. They can relate mathematical concepts to real-world </w:t>
      </w:r>
      <w:r>
        <w:rPr>
          <w:rFonts w:ascii="Times New Roman" w:eastAsia="Times New Roman" w:hAnsi="Times New Roman" w:cs="Times New Roman"/>
        </w:rPr>
        <w:lastRenderedPageBreak/>
        <w:t>circumstances and procedural processes, helping them to approach challenges with greater confidence and flexibility. As a result, students have improved analytical abilities and are better equipped to handle a variety of mathematical challenges. This ability to put ideas into practice promotes deeper learning and strengthens the integration of mathematical knowledge and skills.</w:t>
      </w:r>
    </w:p>
    <w:p w14:paraId="7A90D8B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Closely following this, comprehension of mathematical concepts was interpreted as being practiced to a high extent (M = 3.52, SD = 0.80). This result suggests that students typically exhibit a solid understanding of basic mathematical concepts and ideas. Students can recognize, explain, and comprehend essential concepts, which enhances their capacity to engage in meaningful mathematical reasoning. This level of understanding enables students to connect new and existing knowledge, thereby developing a deeper understanding of mathematical relationships. Students are therefore better equipped to apply their knowledge to problem-solving and tackle increasingly difficult mathematics tasks. This level of conceptual understanding fosters higher-order mathematical thinking and provides a solid foundation for continuous learning.</w:t>
      </w:r>
    </w:p>
    <w:p w14:paraId="7A90D8B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Making connections across topics was interpreted as being practiced to a high extent (M = 3.47, SD = 0.85). This result suggests that students can generally relate mathematical concepts across and between topics, while this skill may be difficult for some individuals. Through this approach, students begin to recognize connections among mathematical ideas, helping them develop a more structured, cohesive grasp of the subject. Deeper understanding and retention are supported by their ability to connect previously taught material with new material. As a result, students progressively gain a more comprehensive understanding of mathematics, improving their capacity for critical thought and problem-solving. Developing this ability is crucial for encouraging comprehensive mathematical reasoning and creating a more fulfilling educational experience.</w:t>
      </w:r>
    </w:p>
    <w:p w14:paraId="7A90D8B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Lastly, reasoning and justification was likewise interpreted as being practiced to a moderate extent (M = 3.36, SD = 0.95). This result suggests that students have greater difficulties expressing their problem-solving steps, presenting clear justifications, and creating logical mathematical arguments. This makes it clear that many students lack the confidence to articulate the reasoning behind their answers, which could limit the depth of their understanding. As a result, students may rely more on steps than on solid explanations of mathematical concepts. Because it allows students to relate their information to logical explanations, strengthening reasoning and justification is crucial for promoting deeper conceptual understanding. Additionally, this ability is crucial for fostering higher-order thinking and bridging the gap between procedural fluency and deep mathematical understanding.</w:t>
      </w:r>
    </w:p>
    <w:p w14:paraId="7A90D8B7"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Research indicates that conceptual knowledge is crucial for effective learning in mathematics, as it enables pupils to apply concepts across a variety of situations and problems (Naz &amp; Qayyum, 2025).  Stronger conceptual skills improve students’ problem-solving performance and engagement, supporting the high levels of comprehension and application observed in this study (Siregar, 2025). Concept-based instructional approaches improve learners' knowledge of key mathematical concepts, as evidenced by observable comprehension and application (Ncube and Luneta, 2025).</w:t>
      </w:r>
    </w:p>
    <w:p w14:paraId="7A90D8B8"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Students’ ability to shift between representations improves reasoning and connections across topics, which relates to the moderate but growing scores in making connections (Haque, 2024). Furthermore, context-based instruction encourages reasoning and justification, emphasizing the need to focus on these skills (Nurtamam &amp; Jannah, 2025), which recorded the lowest mean in this study. Collectively, these results highlight the significance of targeted </w:t>
      </w:r>
      <w:r>
        <w:rPr>
          <w:rFonts w:ascii="Times New Roman" w:eastAsia="Times New Roman" w:hAnsi="Times New Roman" w:cs="Times New Roman"/>
        </w:rPr>
        <w:lastRenderedPageBreak/>
        <w:t>instructional strategies to strengthening reasoning and justification skills while preserving high levels of understanding, application, and conceptual connections.</w:t>
      </w:r>
    </w:p>
    <w:p w14:paraId="7A90D8B9"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Although the overall level of students’ conceptual understanding is interpreted as high, the result for reasoning and justification falls within the moderate range, suggesting a relative weakness. Instruction should focus on activities that require students to articulate their thought processes, justify solutions, and make connections across topics. Integrating reflective discussions, problem-based tasks, and cross-topic exercises can help students deepen their reasoning skills while maintaining strengths in comprehension, application, and conceptual connections. Enhancing reasoning and justification fosters critical thinking and ensures that students can not only solve problems but also explain, analyze, and generalize mathematical concepts.</w:t>
      </w:r>
    </w:p>
    <w:p w14:paraId="7A90D8BA" w14:textId="77777777" w:rsidR="00CC19F6" w:rsidRDefault="00CC19F6">
      <w:pPr>
        <w:spacing w:after="0" w:line="240" w:lineRule="auto"/>
        <w:ind w:firstLine="720"/>
        <w:jc w:val="both"/>
        <w:rPr>
          <w:rFonts w:ascii="Times New Roman" w:eastAsia="Times New Roman" w:hAnsi="Times New Roman" w:cs="Times New Roman"/>
        </w:rPr>
      </w:pPr>
    </w:p>
    <w:p w14:paraId="7A90D8BB"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3</w:t>
      </w:r>
    </w:p>
    <w:p w14:paraId="7A90D8B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Level of Students’ Conceptual Understanding</w:t>
      </w:r>
    </w:p>
    <w:p w14:paraId="7A90D8BD" w14:textId="77777777" w:rsidR="00CC19F6" w:rsidRDefault="00CC19F6">
      <w:pPr>
        <w:spacing w:after="0" w:line="240" w:lineRule="auto"/>
        <w:jc w:val="both"/>
        <w:rPr>
          <w:rFonts w:ascii="Times New Roman" w:eastAsia="Times New Roman" w:hAnsi="Times New Roman" w:cs="Times New Roman"/>
          <w:i/>
          <w:iCs/>
        </w:rPr>
      </w:pPr>
    </w:p>
    <w:tbl>
      <w:tblPr>
        <w:tblStyle w:val="a4"/>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62"/>
        <w:gridCol w:w="978"/>
        <w:gridCol w:w="720"/>
        <w:gridCol w:w="1980"/>
      </w:tblGrid>
      <w:tr w:rsidR="00CC19F6" w14:paraId="7A90D8C2" w14:textId="77777777">
        <w:tc>
          <w:tcPr>
            <w:tcW w:w="4962" w:type="dxa"/>
            <w:tcBorders>
              <w:top w:val="single" w:sz="4" w:space="0" w:color="000000"/>
              <w:bottom w:val="single" w:sz="4" w:space="0" w:color="000000"/>
            </w:tcBorders>
          </w:tcPr>
          <w:p w14:paraId="7A90D8B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Constructs</w:t>
            </w:r>
          </w:p>
        </w:tc>
        <w:tc>
          <w:tcPr>
            <w:tcW w:w="978" w:type="dxa"/>
            <w:tcBorders>
              <w:top w:val="single" w:sz="4" w:space="0" w:color="000000"/>
              <w:bottom w:val="single" w:sz="4" w:space="0" w:color="000000"/>
            </w:tcBorders>
          </w:tcPr>
          <w:p w14:paraId="7A90D8B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w:t>
            </w:r>
          </w:p>
        </w:tc>
        <w:tc>
          <w:tcPr>
            <w:tcW w:w="720" w:type="dxa"/>
            <w:tcBorders>
              <w:top w:val="single" w:sz="4" w:space="0" w:color="000000"/>
              <w:bottom w:val="single" w:sz="4" w:space="0" w:color="000000"/>
            </w:tcBorders>
          </w:tcPr>
          <w:p w14:paraId="7A90D8C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980" w:type="dxa"/>
            <w:tcBorders>
              <w:top w:val="single" w:sz="4" w:space="0" w:color="000000"/>
              <w:bottom w:val="single" w:sz="4" w:space="0" w:color="000000"/>
            </w:tcBorders>
          </w:tcPr>
          <w:p w14:paraId="7A90D8C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CC19F6" w14:paraId="7A90D8C7" w14:textId="77777777">
        <w:tc>
          <w:tcPr>
            <w:tcW w:w="4962" w:type="dxa"/>
            <w:tcBorders>
              <w:top w:val="single" w:sz="4" w:space="0" w:color="000000"/>
            </w:tcBorders>
          </w:tcPr>
          <w:p w14:paraId="7A90D8C3"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Comprehension of Mathematical Concepts</w:t>
            </w:r>
          </w:p>
        </w:tc>
        <w:tc>
          <w:tcPr>
            <w:tcW w:w="978" w:type="dxa"/>
            <w:tcBorders>
              <w:top w:val="single" w:sz="4" w:space="0" w:color="000000"/>
            </w:tcBorders>
          </w:tcPr>
          <w:p w14:paraId="7A90D8C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3.52</w:t>
            </w:r>
          </w:p>
        </w:tc>
        <w:tc>
          <w:tcPr>
            <w:tcW w:w="720" w:type="dxa"/>
            <w:tcBorders>
              <w:top w:val="single" w:sz="4" w:space="0" w:color="000000"/>
            </w:tcBorders>
          </w:tcPr>
          <w:p w14:paraId="7A90D8C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0.80</w:t>
            </w:r>
          </w:p>
        </w:tc>
        <w:tc>
          <w:tcPr>
            <w:tcW w:w="1980" w:type="dxa"/>
            <w:tcBorders>
              <w:top w:val="single" w:sz="4" w:space="0" w:color="000000"/>
            </w:tcBorders>
          </w:tcPr>
          <w:p w14:paraId="7A90D8C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CC" w14:textId="77777777">
        <w:tc>
          <w:tcPr>
            <w:tcW w:w="4962" w:type="dxa"/>
          </w:tcPr>
          <w:p w14:paraId="7A90D8C8" w14:textId="77777777" w:rsidR="00CC19F6" w:rsidRDefault="0091218B">
            <w:pPr>
              <w:tabs>
                <w:tab w:val="left" w:pos="1440"/>
              </w:tabs>
              <w:spacing w:after="0" w:line="240" w:lineRule="auto"/>
              <w:rPr>
                <w:rFonts w:ascii="Times New Roman" w:eastAsia="Times New Roman" w:hAnsi="Times New Roman" w:cs="Times New Roman"/>
              </w:rPr>
            </w:pPr>
            <w:r>
              <w:rPr>
                <w:rFonts w:ascii="Times New Roman" w:eastAsia="Times New Roman" w:hAnsi="Times New Roman" w:cs="Times New Roman"/>
              </w:rPr>
              <w:t>Application of Concepts in Problem-Solving</w:t>
            </w:r>
          </w:p>
        </w:tc>
        <w:tc>
          <w:tcPr>
            <w:tcW w:w="978" w:type="dxa"/>
          </w:tcPr>
          <w:p w14:paraId="7A90D8C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3.53</w:t>
            </w:r>
          </w:p>
        </w:tc>
        <w:tc>
          <w:tcPr>
            <w:tcW w:w="720" w:type="dxa"/>
          </w:tcPr>
          <w:p w14:paraId="7A90D8C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0.81</w:t>
            </w:r>
          </w:p>
        </w:tc>
        <w:tc>
          <w:tcPr>
            <w:tcW w:w="1980" w:type="dxa"/>
          </w:tcPr>
          <w:p w14:paraId="7A90D8C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D1" w14:textId="77777777">
        <w:tc>
          <w:tcPr>
            <w:tcW w:w="4962" w:type="dxa"/>
          </w:tcPr>
          <w:p w14:paraId="7A90D8CD" w14:textId="77777777" w:rsidR="00CC19F6" w:rsidRDefault="0091218B">
            <w:pPr>
              <w:tabs>
                <w:tab w:val="left" w:pos="1440"/>
              </w:tabs>
              <w:spacing w:after="0" w:line="240" w:lineRule="auto"/>
              <w:rPr>
                <w:rFonts w:ascii="Times New Roman" w:eastAsia="Times New Roman" w:hAnsi="Times New Roman" w:cs="Times New Roman"/>
              </w:rPr>
            </w:pPr>
            <w:r>
              <w:rPr>
                <w:rFonts w:ascii="Times New Roman" w:eastAsia="Times New Roman" w:hAnsi="Times New Roman" w:cs="Times New Roman"/>
              </w:rPr>
              <w:t>Making Connections Across Topics</w:t>
            </w:r>
          </w:p>
        </w:tc>
        <w:tc>
          <w:tcPr>
            <w:tcW w:w="978" w:type="dxa"/>
          </w:tcPr>
          <w:p w14:paraId="7A90D8C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3.47</w:t>
            </w:r>
          </w:p>
        </w:tc>
        <w:tc>
          <w:tcPr>
            <w:tcW w:w="720" w:type="dxa"/>
          </w:tcPr>
          <w:p w14:paraId="7A90D8C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0.85</w:t>
            </w:r>
          </w:p>
        </w:tc>
        <w:tc>
          <w:tcPr>
            <w:tcW w:w="1980" w:type="dxa"/>
          </w:tcPr>
          <w:p w14:paraId="7A90D8D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D6" w14:textId="77777777">
        <w:tc>
          <w:tcPr>
            <w:tcW w:w="4962" w:type="dxa"/>
            <w:tcBorders>
              <w:bottom w:val="single" w:sz="4" w:space="0" w:color="000000"/>
            </w:tcBorders>
          </w:tcPr>
          <w:p w14:paraId="7A90D8D2" w14:textId="77777777" w:rsidR="00CC19F6" w:rsidRDefault="0091218B">
            <w:pPr>
              <w:tabs>
                <w:tab w:val="left" w:pos="1440"/>
              </w:tabs>
              <w:spacing w:after="0" w:line="240" w:lineRule="auto"/>
              <w:rPr>
                <w:rFonts w:ascii="Times New Roman" w:eastAsia="Times New Roman" w:hAnsi="Times New Roman" w:cs="Times New Roman"/>
              </w:rPr>
            </w:pPr>
            <w:r>
              <w:rPr>
                <w:rFonts w:ascii="Times New Roman" w:eastAsia="Times New Roman" w:hAnsi="Times New Roman" w:cs="Times New Roman"/>
              </w:rPr>
              <w:t>Reasoning and Justification</w:t>
            </w:r>
          </w:p>
        </w:tc>
        <w:tc>
          <w:tcPr>
            <w:tcW w:w="978" w:type="dxa"/>
            <w:tcBorders>
              <w:bottom w:val="single" w:sz="4" w:space="0" w:color="000000"/>
            </w:tcBorders>
          </w:tcPr>
          <w:p w14:paraId="7A90D8D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3.36</w:t>
            </w:r>
          </w:p>
        </w:tc>
        <w:tc>
          <w:tcPr>
            <w:tcW w:w="720" w:type="dxa"/>
            <w:tcBorders>
              <w:bottom w:val="single" w:sz="4" w:space="0" w:color="000000"/>
            </w:tcBorders>
          </w:tcPr>
          <w:p w14:paraId="7A90D8D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w:t>
            </w:r>
          </w:p>
        </w:tc>
        <w:tc>
          <w:tcPr>
            <w:tcW w:w="1980" w:type="dxa"/>
            <w:tcBorders>
              <w:bottom w:val="single" w:sz="4" w:space="0" w:color="000000"/>
            </w:tcBorders>
          </w:tcPr>
          <w:p w14:paraId="7A90D8D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Moderate</w:t>
            </w:r>
          </w:p>
        </w:tc>
      </w:tr>
      <w:tr w:rsidR="00CC19F6" w14:paraId="7A90D8DB" w14:textId="77777777">
        <w:tc>
          <w:tcPr>
            <w:tcW w:w="4962" w:type="dxa"/>
            <w:tcBorders>
              <w:top w:val="single" w:sz="4" w:space="0" w:color="000000"/>
              <w:bottom w:val="single" w:sz="4" w:space="0" w:color="000000"/>
            </w:tcBorders>
          </w:tcPr>
          <w:p w14:paraId="7A90D8D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Overall Level of Understanding</w:t>
            </w:r>
          </w:p>
        </w:tc>
        <w:tc>
          <w:tcPr>
            <w:tcW w:w="978" w:type="dxa"/>
            <w:tcBorders>
              <w:top w:val="single" w:sz="4" w:space="0" w:color="000000"/>
              <w:bottom w:val="single" w:sz="4" w:space="0" w:color="000000"/>
            </w:tcBorders>
          </w:tcPr>
          <w:p w14:paraId="7A90D8D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3.47</w:t>
            </w:r>
          </w:p>
        </w:tc>
        <w:tc>
          <w:tcPr>
            <w:tcW w:w="720" w:type="dxa"/>
            <w:tcBorders>
              <w:top w:val="single" w:sz="4" w:space="0" w:color="000000"/>
              <w:bottom w:val="single" w:sz="4" w:space="0" w:color="000000"/>
            </w:tcBorders>
          </w:tcPr>
          <w:p w14:paraId="7A90D8D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0.75</w:t>
            </w:r>
          </w:p>
        </w:tc>
        <w:tc>
          <w:tcPr>
            <w:tcW w:w="1980" w:type="dxa"/>
            <w:tcBorders>
              <w:top w:val="single" w:sz="4" w:space="0" w:color="000000"/>
              <w:bottom w:val="single" w:sz="4" w:space="0" w:color="000000"/>
            </w:tcBorders>
          </w:tcPr>
          <w:p w14:paraId="7A90D8D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bl>
    <w:p w14:paraId="7A90D8D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Scale:</w:t>
      </w:r>
      <w:r>
        <w:rPr>
          <w:rFonts w:ascii="Times New Roman" w:eastAsia="Times New Roman" w:hAnsi="Times New Roman" w:cs="Times New Roman"/>
        </w:rPr>
        <w:t xml:space="preserve"> </w:t>
      </w:r>
      <w:r>
        <w:rPr>
          <w:rFonts w:ascii="Times New Roman" w:eastAsia="Times New Roman" w:hAnsi="Times New Roman" w:cs="Times New Roman"/>
          <w:i/>
          <w:iCs/>
        </w:rPr>
        <w:t>4.20-5.00(Very High); 3.40-4.19 (High); 2.60-3.39 (Moderate); 1.80-2.59 (Low);</w:t>
      </w:r>
    </w:p>
    <w:p w14:paraId="7A90D8DD" w14:textId="77777777" w:rsidR="00CC19F6" w:rsidRDefault="0091218B">
      <w:pPr>
        <w:spacing w:after="0" w:line="240" w:lineRule="auto"/>
        <w:ind w:left="142"/>
        <w:jc w:val="both"/>
        <w:rPr>
          <w:rFonts w:ascii="Times New Roman" w:eastAsia="Times New Roman" w:hAnsi="Times New Roman" w:cs="Times New Roman"/>
          <w:i/>
          <w:iCs/>
        </w:rPr>
      </w:pPr>
      <w:r>
        <w:rPr>
          <w:rFonts w:ascii="Times New Roman" w:eastAsia="Times New Roman" w:hAnsi="Times New Roman" w:cs="Times New Roman"/>
          <w:i/>
          <w:iCs/>
        </w:rPr>
        <w:t xml:space="preserve">           1.0-1.79 (Very Low)</w:t>
      </w:r>
    </w:p>
    <w:p w14:paraId="7A90D8DE" w14:textId="77777777" w:rsidR="00CC19F6" w:rsidRDefault="00CC19F6">
      <w:pPr>
        <w:spacing w:after="0" w:line="240" w:lineRule="auto"/>
        <w:jc w:val="both"/>
        <w:rPr>
          <w:rFonts w:ascii="Times New Roman" w:eastAsia="Times New Roman" w:hAnsi="Times New Roman" w:cs="Times New Roman"/>
          <w:i/>
          <w:iCs/>
        </w:rPr>
      </w:pPr>
    </w:p>
    <w:p w14:paraId="7A90D8DF"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Significant Relationship between Students’ Procedural </w:t>
      </w:r>
    </w:p>
    <w:p w14:paraId="7A90D8E0"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Fluency and Strategic Competence</w:t>
      </w:r>
    </w:p>
    <w:p w14:paraId="7A90D8E1" w14:textId="77777777" w:rsidR="00CC19F6" w:rsidRDefault="00CC19F6">
      <w:pPr>
        <w:spacing w:after="0" w:line="240" w:lineRule="auto"/>
        <w:jc w:val="both"/>
        <w:rPr>
          <w:rFonts w:ascii="Times New Roman" w:eastAsia="Times New Roman" w:hAnsi="Times New Roman" w:cs="Times New Roman"/>
          <w:b/>
          <w:bCs/>
        </w:rPr>
      </w:pPr>
    </w:p>
    <w:p w14:paraId="7A90D8E2"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4 presents the relationships between students’ procedural fluency and strategic competence in mathematics, revealing strong, highly significant correlations across all constructs. Spearman’s rho values range from 0.473 to 0.644 (p &lt; .001), indicating that students who demonstrate higher accuracy, efficiency, flexibility, and appropriateness in procedural execution also exhibit higher levels of problem representation, strategy formulation, adaptation, and flexibility, and evaluation and justification. The data highlight that procedural fluency forms a foundational platform for strategic thinking, enabling learners to plan, adapt, and evaluate their mathematical approaches effectively.</w:t>
      </w:r>
    </w:p>
    <w:p w14:paraId="7A90D8E3"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Procedural fluency serves as a cognitive foundation that enables strategic engagement. Students who can perform procedures accurately, efficiently, and adaptively can devote cognitive resources to analyzing problem structures, planning approaches, and monitoring the effectiveness of their solutions. This relationship suggests that mastery of procedural abilities reduces cognitive burden, allowing pupils to focus on higher-order strategic processes rather than simple computations. Procedural fluency, therefore, acts as a scaffold for developing strategic competence, supporting both efficiency and adaptability in problem-solving.</w:t>
      </w:r>
    </w:p>
    <w:p w14:paraId="7A90D8E4"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Accuracy in solving procedures shows strong, highly significant correlations with problem representation (rₛ = 0.529), strategy formulation (rₛ = 0.474), adaptation and flexibility (rₛ = 0.571), and evaluation and justification (rₛ = 0.477), all p &lt; .001. The strongest relationship is with adaptation and flexibility, indicating that students who follow procedures correctly are </w:t>
      </w:r>
      <w:r>
        <w:rPr>
          <w:rFonts w:ascii="Times New Roman" w:eastAsia="Times New Roman" w:hAnsi="Times New Roman" w:cs="Times New Roman"/>
          <w:color w:val="000000"/>
        </w:rPr>
        <w:lastRenderedPageBreak/>
        <w:t>better able to adjust techniques when handling unfamiliar problems. Accurate procedural execution helps students understand problem structures more clearly, supports effective strategy selection, and enables them to evaluate and justify their solutions with greater confidence.</w:t>
      </w:r>
    </w:p>
    <w:p w14:paraId="7A90D8E5"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Efficiency in problem solving also demonstrates strong and highly significant correlations with problem representation (rₛ = 0.525), strategy formulation (rₛ = 0.473), adaptation and flexibility (rₛ = 0.575), and evaluation and justification (rₛ = 0.563), all with p &lt; .001. The strongest relationships are observed with adaptation and flexibility, as well as with evaluation and justification, suggesting that students who solve problems effectively can better monitor and adjust their strategies. Effective problem solvers focus less on fundamental procedural steps and more on evaluating the effectiveness of their strategies.</w:t>
      </w:r>
    </w:p>
    <w:p w14:paraId="7A90D8E6"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Flexibility in applying procedures shows strong correlations with problem representation (rₛ = 0.526), strategy formulation (rₛ = 0.504), adaptation and flexibility (rₛ = 0.567), and evaluation and justification (rₛ = 0.555), all with p &lt; .001. These results indicate that students who can modify procedures for different problem situations are better able to develop appropriate strategies and assess the effectiveness of their solutions. Procedural flexibility, therefore, supports adaptive thinking and strategic problem solving.</w:t>
      </w:r>
    </w:p>
    <w:p w14:paraId="7A90D8E7"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Appropriateness of procedures exhibits the strongest relationships, particularly with adaptation and flexibility (rₛ = 0.644) and evaluation and justification (rₛ = 0.583), while maintaining strong correlations with problem representation (rₛ = 0.529) and strategy formulation (rₛ = 0.473), all with p &lt; .001. This suggests that selecting suitable procedures helps students adjust their strategies effectively and justify their solutions, highlighting the importance of procedural decision-making in strengthening strategic competence.</w:t>
      </w:r>
    </w:p>
    <w:p w14:paraId="7A90D8E8"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Several studies support these findings. Procedural fluency supports students’ ability to accurately represent problems and develop successful strategies (Andal, 2022). Efficiency and accuracy in procedural execution predict students’ adaptive problem-solving and evaluation skills (Brancaccio et al., 2023). Flexibility in procedural strategies facilitates strategy formulation and critical assessment (Star et al., 2022). Students who select appropriate procedures demonstrate stronger reasoning and justification (Öz &amp; </w:t>
      </w:r>
      <w:r>
        <w:rPr>
          <w:rFonts w:ascii="Times New Roman" w:eastAsia="Times New Roman" w:hAnsi="Times New Roman" w:cs="Times New Roman"/>
        </w:rPr>
        <w:t xml:space="preserve">Işık, </w:t>
      </w:r>
      <w:r>
        <w:rPr>
          <w:rFonts w:ascii="Times New Roman" w:eastAsia="Times New Roman" w:hAnsi="Times New Roman" w:cs="Times New Roman"/>
          <w:color w:val="000000"/>
        </w:rPr>
        <w:t>2024). Integrating procedural mastery with strategic practice enhances problem-solving independence (Singh et al., 2023). Students with well-developed procedural skills can monitor and refine strategies more effectively (Vettriselvan et al., 2025), while procedural fluency is essential for bridging execution with strategic thinking (Applebaum, 2024). Collectively, these studies corroborate the highly significant correlations observed in this study.</w:t>
      </w:r>
    </w:p>
    <w:p w14:paraId="7A90D8E9"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Information Processing Theory (IPT) suggests that students who can efficiently encode, store, and retrieve mathematical procedures develop automaticity in routine calculations (Pratt, 2023). This automaticity reduces cognitive load, allowing students to allocate more mental resources to higher-order thinking processes such as strategy formulation, problem representation, and evaluation (Yassin, 2024). As a result, learners are better able to engage in complex mathematical tasks because they no longer need to devote excessive attention to basic computational steps. In this way, procedural fluency supports the development of more advanced cognitive processes involved in mathematical problem solving.</w:t>
      </w:r>
    </w:p>
    <w:p w14:paraId="7A90D8EA"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Complementing this perspective, the Mathematical Proficiency Framework emphasizes that strategic competence, including problem representation, strategy formulation, adaptation, and evaluation, is essential for flexible, reflective, and effective problem solving (Kilpatrick, Swafford, &amp; Findell, 2001). Procedural fluency and strategic competence, therefore, serve as mutually reinforcing components of mathematical proficiency. Reliable procedural skills provide </w:t>
      </w:r>
      <w:r>
        <w:rPr>
          <w:rFonts w:ascii="Times New Roman" w:eastAsia="Times New Roman" w:hAnsi="Times New Roman" w:cs="Times New Roman"/>
          <w:color w:val="000000"/>
        </w:rPr>
        <w:lastRenderedPageBreak/>
        <w:t>the mental bandwidth required to plan, monitor, and adjust problem-solving approaches, whereas active strategic engagement increases the application and transfer of procedural knowledge (Karatas, 2022). Empirical studies reinforce this relationship, indicating that students with procedural automaticity are more capable of adaptive problem solving and evaluating alternative strategies (Hickendorff, 2022), that strong procedural foundations allow thinking and reflective decision-making (Dingman et al., 2021), and that procedural fluency predicts students’ capacity to generate strategies and adapt approaches in unfamiliar contexts (Schulz, 2024). Collectively, these findings indicate that procedural mastery acts as a cognitive scaffold for the development of strategic competence and overall mathematical proficiency.</w:t>
      </w:r>
    </w:p>
    <w:p w14:paraId="7A90D8EB"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Improving procedural fluency can significantly strengthen students’ strategic competence. Since adaptation, flexibility, and evaluation show the strongest relationships with procedural fluency, instructional strategies should emphasize tasks that require students to select appropriate methods, alter strategies for novel problems, and reflect critically on their solutions. Problem modeling, reflective discussion, and strategy journaling are all activities that can help students improve adaptive thinking, strategy formulation, and evaluation skills. Enhancing procedural flexibility and appropriateness not only promotes proper execution but also fosters independent, efficient, and comprehensive strategic problem-solving across a wide range of mathematical contexts.</w:t>
      </w:r>
    </w:p>
    <w:p w14:paraId="7A90D8E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4</w:t>
      </w:r>
    </w:p>
    <w:p w14:paraId="7A90D8ED"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Significant Relationship between Students’ Procedural Fluency and Strategic Competence</w:t>
      </w:r>
    </w:p>
    <w:p w14:paraId="7A90D8EE" w14:textId="77777777" w:rsidR="00CC19F6" w:rsidRDefault="00CC19F6">
      <w:pPr>
        <w:spacing w:after="0" w:line="240" w:lineRule="auto"/>
        <w:jc w:val="both"/>
        <w:rPr>
          <w:rFonts w:ascii="Times New Roman" w:eastAsia="Times New Roman" w:hAnsi="Times New Roman" w:cs="Times New Roman"/>
        </w:rPr>
      </w:pPr>
    </w:p>
    <w:tbl>
      <w:tblPr>
        <w:tblStyle w:val="a5"/>
        <w:tblW w:w="8642" w:type="dxa"/>
        <w:tblInd w:w="0" w:type="dxa"/>
        <w:tblLayout w:type="fixed"/>
        <w:tblLook w:val="0400" w:firstRow="0" w:lastRow="0" w:firstColumn="0" w:lastColumn="0" w:noHBand="0" w:noVBand="1"/>
      </w:tblPr>
      <w:tblGrid>
        <w:gridCol w:w="2277"/>
        <w:gridCol w:w="506"/>
        <w:gridCol w:w="1314"/>
        <w:gridCol w:w="1857"/>
        <w:gridCol w:w="1244"/>
        <w:gridCol w:w="1444"/>
      </w:tblGrid>
      <w:tr w:rsidR="00CC19F6" w14:paraId="7A90D8F5" w14:textId="77777777">
        <w:trPr>
          <w:trHeight w:val="1210"/>
        </w:trPr>
        <w:tc>
          <w:tcPr>
            <w:tcW w:w="2277" w:type="dxa"/>
            <w:tcBorders>
              <w:top w:val="single" w:sz="4" w:space="0" w:color="000000"/>
              <w:bottom w:val="single" w:sz="4" w:space="0" w:color="000000"/>
            </w:tcBorders>
            <w:vAlign w:val="center"/>
          </w:tcPr>
          <w:p w14:paraId="7A90D8E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Variables</w:t>
            </w:r>
          </w:p>
        </w:tc>
        <w:tc>
          <w:tcPr>
            <w:tcW w:w="506" w:type="dxa"/>
            <w:tcBorders>
              <w:top w:val="single" w:sz="4" w:space="0" w:color="000000"/>
              <w:bottom w:val="single" w:sz="4" w:space="0" w:color="000000"/>
            </w:tcBorders>
            <w:vAlign w:val="center"/>
          </w:tcPr>
          <w:p w14:paraId="7A90D8F0" w14:textId="77777777" w:rsidR="00CC19F6" w:rsidRDefault="00CC19F6">
            <w:pPr>
              <w:spacing w:after="0" w:line="240" w:lineRule="auto"/>
              <w:jc w:val="both"/>
              <w:rPr>
                <w:rFonts w:ascii="Times New Roman" w:eastAsia="Times New Roman" w:hAnsi="Times New Roman" w:cs="Times New Roman"/>
                <w:i/>
                <w:iCs/>
              </w:rPr>
            </w:pPr>
          </w:p>
        </w:tc>
        <w:tc>
          <w:tcPr>
            <w:tcW w:w="1314" w:type="dxa"/>
            <w:tcBorders>
              <w:top w:val="single" w:sz="4" w:space="0" w:color="000000"/>
              <w:bottom w:val="single" w:sz="4" w:space="0" w:color="000000"/>
            </w:tcBorders>
            <w:vAlign w:val="center"/>
          </w:tcPr>
          <w:p w14:paraId="7A90D8F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Problem Representation</w:t>
            </w:r>
          </w:p>
        </w:tc>
        <w:tc>
          <w:tcPr>
            <w:tcW w:w="1857" w:type="dxa"/>
            <w:tcBorders>
              <w:top w:val="single" w:sz="4" w:space="0" w:color="000000"/>
              <w:bottom w:val="single" w:sz="4" w:space="0" w:color="000000"/>
            </w:tcBorders>
            <w:vAlign w:val="center"/>
          </w:tcPr>
          <w:p w14:paraId="7A90D8F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Strategy Formulation Efficiency in Problem Solving</w:t>
            </w:r>
          </w:p>
        </w:tc>
        <w:tc>
          <w:tcPr>
            <w:tcW w:w="1244" w:type="dxa"/>
            <w:tcBorders>
              <w:top w:val="single" w:sz="4" w:space="0" w:color="000000"/>
              <w:bottom w:val="single" w:sz="4" w:space="0" w:color="000000"/>
            </w:tcBorders>
            <w:vAlign w:val="center"/>
          </w:tcPr>
          <w:p w14:paraId="7A90D8F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Adaptation and Flexibility</w:t>
            </w:r>
          </w:p>
        </w:tc>
        <w:tc>
          <w:tcPr>
            <w:tcW w:w="1444" w:type="dxa"/>
            <w:tcBorders>
              <w:top w:val="single" w:sz="4" w:space="0" w:color="000000"/>
              <w:bottom w:val="single" w:sz="4" w:space="0" w:color="000000"/>
            </w:tcBorders>
            <w:vAlign w:val="center"/>
          </w:tcPr>
          <w:p w14:paraId="7A90D8F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Evaluation and Justification</w:t>
            </w:r>
          </w:p>
        </w:tc>
      </w:tr>
      <w:tr w:rsidR="00CC19F6" w14:paraId="7A90D8FC" w14:textId="77777777">
        <w:trPr>
          <w:trHeight w:val="306"/>
        </w:trPr>
        <w:tc>
          <w:tcPr>
            <w:tcW w:w="2277" w:type="dxa"/>
            <w:vMerge w:val="restart"/>
            <w:tcBorders>
              <w:top w:val="single" w:sz="4" w:space="0" w:color="000000"/>
            </w:tcBorders>
            <w:vAlign w:val="center"/>
          </w:tcPr>
          <w:p w14:paraId="7A90D8F6"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Accuracy in Solving Procedures </w:t>
            </w:r>
          </w:p>
        </w:tc>
        <w:tc>
          <w:tcPr>
            <w:tcW w:w="506" w:type="dxa"/>
            <w:tcBorders>
              <w:top w:val="single" w:sz="4" w:space="0" w:color="000000"/>
            </w:tcBorders>
            <w:vAlign w:val="center"/>
          </w:tcPr>
          <w:p w14:paraId="7A90D8F7"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tcBorders>
              <w:top w:val="single" w:sz="4" w:space="0" w:color="000000"/>
            </w:tcBorders>
            <w:vAlign w:val="center"/>
          </w:tcPr>
          <w:p w14:paraId="7A90D8F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0.529 ***</w:t>
            </w:r>
          </w:p>
        </w:tc>
        <w:tc>
          <w:tcPr>
            <w:tcW w:w="1857" w:type="dxa"/>
            <w:tcBorders>
              <w:top w:val="single" w:sz="4" w:space="0" w:color="000000"/>
            </w:tcBorders>
            <w:vAlign w:val="center"/>
          </w:tcPr>
          <w:p w14:paraId="7A90D8F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0.474 ***</w:t>
            </w:r>
          </w:p>
        </w:tc>
        <w:tc>
          <w:tcPr>
            <w:tcW w:w="1244" w:type="dxa"/>
            <w:tcBorders>
              <w:top w:val="single" w:sz="4" w:space="0" w:color="000000"/>
            </w:tcBorders>
            <w:vAlign w:val="center"/>
          </w:tcPr>
          <w:p w14:paraId="7A90D8F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0.571 ***</w:t>
            </w:r>
          </w:p>
        </w:tc>
        <w:tc>
          <w:tcPr>
            <w:tcW w:w="1444" w:type="dxa"/>
            <w:tcBorders>
              <w:top w:val="single" w:sz="4" w:space="0" w:color="000000"/>
            </w:tcBorders>
            <w:vAlign w:val="center"/>
          </w:tcPr>
          <w:p w14:paraId="7A90D8F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0.477 ***</w:t>
            </w:r>
          </w:p>
        </w:tc>
      </w:tr>
      <w:tr w:rsidR="00CC19F6" w14:paraId="7A90D903" w14:textId="77777777">
        <w:trPr>
          <w:trHeight w:val="306"/>
        </w:trPr>
        <w:tc>
          <w:tcPr>
            <w:tcW w:w="2277" w:type="dxa"/>
            <w:vMerge/>
            <w:tcBorders>
              <w:top w:val="single" w:sz="4" w:space="0" w:color="000000"/>
            </w:tcBorders>
            <w:vAlign w:val="center"/>
          </w:tcPr>
          <w:p w14:paraId="7A90D8FD"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vAlign w:val="center"/>
          </w:tcPr>
          <w:p w14:paraId="7A90D8FE"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vAlign w:val="center"/>
          </w:tcPr>
          <w:p w14:paraId="7A90D8F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vAlign w:val="center"/>
          </w:tcPr>
          <w:p w14:paraId="7A90D90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vAlign w:val="center"/>
          </w:tcPr>
          <w:p w14:paraId="7A90D90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vAlign w:val="center"/>
          </w:tcPr>
          <w:p w14:paraId="7A90D90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0A" w14:textId="77777777">
        <w:trPr>
          <w:trHeight w:val="306"/>
        </w:trPr>
        <w:tc>
          <w:tcPr>
            <w:tcW w:w="2277" w:type="dxa"/>
            <w:vMerge w:val="restart"/>
            <w:vAlign w:val="center"/>
          </w:tcPr>
          <w:p w14:paraId="7A90D904"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Efficiency in Problem Solving</w:t>
            </w:r>
          </w:p>
        </w:tc>
        <w:tc>
          <w:tcPr>
            <w:tcW w:w="506" w:type="dxa"/>
            <w:vAlign w:val="center"/>
          </w:tcPr>
          <w:p w14:paraId="7A90D905"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vAlign w:val="center"/>
          </w:tcPr>
          <w:p w14:paraId="7A90D90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0.525 ***</w:t>
            </w:r>
          </w:p>
        </w:tc>
        <w:tc>
          <w:tcPr>
            <w:tcW w:w="1857" w:type="dxa"/>
            <w:vAlign w:val="center"/>
          </w:tcPr>
          <w:p w14:paraId="7A90D90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0.473 ***</w:t>
            </w:r>
          </w:p>
        </w:tc>
        <w:tc>
          <w:tcPr>
            <w:tcW w:w="1244" w:type="dxa"/>
            <w:vAlign w:val="center"/>
          </w:tcPr>
          <w:p w14:paraId="7A90D90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0.575 ***</w:t>
            </w:r>
          </w:p>
        </w:tc>
        <w:tc>
          <w:tcPr>
            <w:tcW w:w="1444" w:type="dxa"/>
            <w:vAlign w:val="center"/>
          </w:tcPr>
          <w:p w14:paraId="7A90D90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0.563 ***</w:t>
            </w:r>
          </w:p>
        </w:tc>
      </w:tr>
      <w:tr w:rsidR="00CC19F6" w14:paraId="7A90D911" w14:textId="77777777">
        <w:trPr>
          <w:trHeight w:val="306"/>
        </w:trPr>
        <w:tc>
          <w:tcPr>
            <w:tcW w:w="2277" w:type="dxa"/>
            <w:vMerge/>
            <w:vAlign w:val="center"/>
          </w:tcPr>
          <w:p w14:paraId="7A90D90B"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vAlign w:val="center"/>
          </w:tcPr>
          <w:p w14:paraId="7A90D90C"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vAlign w:val="center"/>
          </w:tcPr>
          <w:p w14:paraId="7A90D90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vAlign w:val="center"/>
          </w:tcPr>
          <w:p w14:paraId="7A90D90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vAlign w:val="center"/>
          </w:tcPr>
          <w:p w14:paraId="7A90D90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vAlign w:val="center"/>
          </w:tcPr>
          <w:p w14:paraId="7A90D91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18" w14:textId="77777777">
        <w:trPr>
          <w:trHeight w:val="292"/>
        </w:trPr>
        <w:tc>
          <w:tcPr>
            <w:tcW w:w="2277" w:type="dxa"/>
            <w:vMerge w:val="restart"/>
            <w:vAlign w:val="center"/>
          </w:tcPr>
          <w:p w14:paraId="7A90D91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Flexibility in Applying Procedures </w:t>
            </w:r>
          </w:p>
        </w:tc>
        <w:tc>
          <w:tcPr>
            <w:tcW w:w="506" w:type="dxa"/>
            <w:vAlign w:val="center"/>
          </w:tcPr>
          <w:p w14:paraId="7A90D913"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vAlign w:val="center"/>
          </w:tcPr>
          <w:p w14:paraId="7A90D91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0.526 ***</w:t>
            </w:r>
          </w:p>
        </w:tc>
        <w:tc>
          <w:tcPr>
            <w:tcW w:w="1857" w:type="dxa"/>
            <w:vAlign w:val="center"/>
          </w:tcPr>
          <w:p w14:paraId="7A90D91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0.504 ***</w:t>
            </w:r>
          </w:p>
        </w:tc>
        <w:tc>
          <w:tcPr>
            <w:tcW w:w="1244" w:type="dxa"/>
            <w:vAlign w:val="center"/>
          </w:tcPr>
          <w:p w14:paraId="7A90D91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0.567 ***</w:t>
            </w:r>
          </w:p>
        </w:tc>
        <w:tc>
          <w:tcPr>
            <w:tcW w:w="1444" w:type="dxa"/>
            <w:vAlign w:val="center"/>
          </w:tcPr>
          <w:p w14:paraId="7A90D91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0.555 ***</w:t>
            </w:r>
          </w:p>
        </w:tc>
      </w:tr>
      <w:tr w:rsidR="00CC19F6" w14:paraId="7A90D91F" w14:textId="77777777">
        <w:trPr>
          <w:trHeight w:val="306"/>
        </w:trPr>
        <w:tc>
          <w:tcPr>
            <w:tcW w:w="2277" w:type="dxa"/>
            <w:vMerge/>
            <w:vAlign w:val="center"/>
          </w:tcPr>
          <w:p w14:paraId="7A90D919"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vAlign w:val="center"/>
          </w:tcPr>
          <w:p w14:paraId="7A90D91A"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vAlign w:val="center"/>
          </w:tcPr>
          <w:p w14:paraId="7A90D91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vAlign w:val="center"/>
          </w:tcPr>
          <w:p w14:paraId="7A90D91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vAlign w:val="center"/>
          </w:tcPr>
          <w:p w14:paraId="7A90D91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vAlign w:val="center"/>
          </w:tcPr>
          <w:p w14:paraId="7A90D91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26" w14:textId="77777777">
        <w:trPr>
          <w:trHeight w:val="306"/>
        </w:trPr>
        <w:tc>
          <w:tcPr>
            <w:tcW w:w="2277" w:type="dxa"/>
            <w:vMerge w:val="restart"/>
            <w:vAlign w:val="center"/>
          </w:tcPr>
          <w:p w14:paraId="7A90D92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506" w:type="dxa"/>
            <w:vAlign w:val="center"/>
          </w:tcPr>
          <w:p w14:paraId="7A90D921"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vAlign w:val="center"/>
          </w:tcPr>
          <w:p w14:paraId="7A90D92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0.529 ***</w:t>
            </w:r>
          </w:p>
        </w:tc>
        <w:tc>
          <w:tcPr>
            <w:tcW w:w="1857" w:type="dxa"/>
            <w:vAlign w:val="center"/>
          </w:tcPr>
          <w:p w14:paraId="7A90D92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0.473 ***</w:t>
            </w:r>
          </w:p>
        </w:tc>
        <w:tc>
          <w:tcPr>
            <w:tcW w:w="1244" w:type="dxa"/>
            <w:vAlign w:val="center"/>
          </w:tcPr>
          <w:p w14:paraId="7A90D92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0.644 ***</w:t>
            </w:r>
          </w:p>
        </w:tc>
        <w:tc>
          <w:tcPr>
            <w:tcW w:w="1444" w:type="dxa"/>
            <w:vAlign w:val="center"/>
          </w:tcPr>
          <w:p w14:paraId="7A90D92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0.583 ***</w:t>
            </w:r>
          </w:p>
        </w:tc>
      </w:tr>
      <w:tr w:rsidR="00CC19F6" w14:paraId="7A90D92D" w14:textId="77777777">
        <w:trPr>
          <w:trHeight w:val="306"/>
        </w:trPr>
        <w:tc>
          <w:tcPr>
            <w:tcW w:w="2277" w:type="dxa"/>
            <w:vMerge/>
            <w:vAlign w:val="center"/>
          </w:tcPr>
          <w:p w14:paraId="7A90D927"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tcBorders>
              <w:bottom w:val="single" w:sz="4" w:space="0" w:color="000000"/>
            </w:tcBorders>
            <w:vAlign w:val="center"/>
          </w:tcPr>
          <w:p w14:paraId="7A90D928"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tcBorders>
              <w:bottom w:val="single" w:sz="4" w:space="0" w:color="000000"/>
            </w:tcBorders>
            <w:vAlign w:val="center"/>
          </w:tcPr>
          <w:p w14:paraId="7A90D92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tcBorders>
              <w:bottom w:val="single" w:sz="4" w:space="0" w:color="000000"/>
            </w:tcBorders>
            <w:vAlign w:val="center"/>
          </w:tcPr>
          <w:p w14:paraId="7A90D92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tcBorders>
              <w:bottom w:val="single" w:sz="4" w:space="0" w:color="000000"/>
            </w:tcBorders>
            <w:vAlign w:val="center"/>
          </w:tcPr>
          <w:p w14:paraId="7A90D92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tcBorders>
              <w:bottom w:val="single" w:sz="4" w:space="0" w:color="000000"/>
            </w:tcBorders>
            <w:vAlign w:val="center"/>
          </w:tcPr>
          <w:p w14:paraId="7A90D92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7A90D92E"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Notes: Ho: There is no significant relationship between students’ procedural fluency and  </w:t>
      </w:r>
    </w:p>
    <w:p w14:paraId="7A90D92F"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their strategic competence in mathematics learning.</w:t>
      </w:r>
    </w:p>
    <w:p w14:paraId="7A90D930"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Probability V</w:t>
      </w:r>
      <w:r>
        <w:rPr>
          <w:rFonts w:ascii="Times New Roman" w:eastAsia="Times New Roman" w:hAnsi="Times New Roman" w:cs="Times New Roman"/>
        </w:rPr>
        <w:t xml:space="preserve">alue </w:t>
      </w:r>
      <w:r>
        <w:rPr>
          <w:rFonts w:ascii="Times New Roman" w:eastAsia="Times New Roman" w:hAnsi="Times New Roman" w:cs="Times New Roman"/>
          <w:i/>
          <w:iCs/>
        </w:rPr>
        <w:t>Scale:</w:t>
      </w:r>
      <w:r>
        <w:rPr>
          <w:rFonts w:ascii="Times New Roman" w:eastAsia="Times New Roman" w:hAnsi="Times New Roman" w:cs="Times New Roman"/>
        </w:rPr>
        <w:t xml:space="preserve"> *** p &lt; .001</w:t>
      </w:r>
      <w:r>
        <w:rPr>
          <w:rFonts w:ascii="Times New Roman" w:eastAsia="Times New Roman" w:hAnsi="Times New Roman" w:cs="Times New Roman"/>
          <w:i/>
          <w:iCs/>
        </w:rPr>
        <w:t xml:space="preserve"> (Highly Significant); **p&lt;0.01 (Highly   </w:t>
      </w:r>
    </w:p>
    <w:p w14:paraId="7A90D931" w14:textId="77777777" w:rsidR="00CC19F6" w:rsidRDefault="0091218B">
      <w:pPr>
        <w:spacing w:after="0" w:line="240" w:lineRule="auto"/>
        <w:ind w:left="720"/>
        <w:jc w:val="both"/>
        <w:rPr>
          <w:rFonts w:ascii="Times New Roman" w:eastAsia="Times New Roman" w:hAnsi="Times New Roman" w:cs="Times New Roman"/>
          <w:i/>
          <w:iCs/>
        </w:rPr>
      </w:pPr>
      <w:r>
        <w:rPr>
          <w:rFonts w:ascii="Times New Roman" w:eastAsia="Times New Roman" w:hAnsi="Times New Roman" w:cs="Times New Roman"/>
          <w:i/>
          <w:iCs/>
        </w:rPr>
        <w:t xml:space="preserve">      Significant); *p&lt;0.05 (Significant); p&gt;0.05 (Not significant) </w:t>
      </w:r>
    </w:p>
    <w:p w14:paraId="7A90D932" w14:textId="77777777" w:rsidR="00CC19F6" w:rsidRDefault="00CC19F6">
      <w:pPr>
        <w:spacing w:after="0" w:line="240" w:lineRule="auto"/>
        <w:ind w:left="720"/>
        <w:jc w:val="both"/>
        <w:rPr>
          <w:rFonts w:ascii="Times New Roman" w:eastAsia="Times New Roman" w:hAnsi="Times New Roman" w:cs="Times New Roman"/>
        </w:rPr>
      </w:pPr>
    </w:p>
    <w:p w14:paraId="7A90D933"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Relationship between Students’ Strategic Competence</w:t>
      </w:r>
    </w:p>
    <w:p w14:paraId="7A90D934"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and Conceptual Understanding</w:t>
      </w:r>
    </w:p>
    <w:p w14:paraId="7A90D935" w14:textId="77777777" w:rsidR="00CC19F6" w:rsidRDefault="00CC19F6">
      <w:pPr>
        <w:spacing w:after="0" w:line="240" w:lineRule="auto"/>
        <w:jc w:val="both"/>
        <w:rPr>
          <w:rFonts w:ascii="Times New Roman" w:eastAsia="Times New Roman" w:hAnsi="Times New Roman" w:cs="Times New Roman"/>
          <w:b/>
          <w:bCs/>
        </w:rPr>
      </w:pPr>
    </w:p>
    <w:p w14:paraId="7A90D936"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Table 5 presents the relationship between students’ strategic competence and their conceptual understanding in mathematics, revealing strong and highly significant correlations across all constructs. Spearman’s rho values range from 0.488 to 0.656 (p &lt; .001), indicating that learners who demonstrate higher levels of problem representation, strategy formulation, </w:t>
      </w:r>
      <w:r>
        <w:rPr>
          <w:rFonts w:ascii="Times New Roman" w:eastAsia="Times New Roman" w:hAnsi="Times New Roman" w:cs="Times New Roman"/>
        </w:rPr>
        <w:lastRenderedPageBreak/>
        <w:t>adaptation and flexibility, and evaluation and justification also exhibit stronger comprehension, application, connections across topics, and reasoning. The results underscore the importance of strategic competence in fostering conceptual understanding, highlighting that students’ ability to plan, monitor, and adjust their problem-solving approaches enhances their grasp of mathematical concepts.</w:t>
      </w:r>
    </w:p>
    <w:p w14:paraId="7A90D937"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Strategic competence provides a cognitive framework that supports conceptual processing. Students are better equipped to internalize mathematical concepts, identify relevant procedures and ideas, and apply them in a variety of contests when they engage in effective problem representation, carefully formulate strategies, adapt flexibly, and evaluate their solutions. By guiding attention to structure, strategy, and justification, strategic competence lessens cognitive overload, allowing students to focus on reasoning, connecting concepts, and transferring knowledge to new situations.</w:t>
      </w:r>
    </w:p>
    <w:p w14:paraId="7A90D938"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Problem representation shows strong, highly significant correlations with comprehension of mathematical concepts (rₛ = 0.543), application of concepts in problem-solving (rₛ = 0.596), making connections across topics (rₛ = 0.641), and reasoning and justification (rₛ = 0.597), all with p &lt; .001. The strongest relationship occurs with making connections across topics, demonstrating that students who clearly interpret problem situations are better able to relate mathematical ideas across different contexts. Accurate problem representation helps learners identify relevant information and organize their understanding, thereby supporting conceptual reasoning and the logical explanation of solutions.</w:t>
      </w:r>
    </w:p>
    <w:p w14:paraId="7A90D939"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Strategy formulation also demonstrates strong correlations with comprehension (rₛ = 0.579), application (rₛ = 0.576), making connections across topics (rₛ = 0.655), and reasoning and justification (rₛ = 0.565), all with p &lt; .001. The strongest correlation with making connections across topics suggests that students who effectively plan and organize their problem-solving approaches are better able to link mathematical concepts. Developing clear strategies enables learners to select appropriate methods and to structure their reasoning, thereby strengthening their conceptual understanding.</w:t>
      </w:r>
    </w:p>
    <w:p w14:paraId="7A90D93A"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Adaptation and flexibility show strong correlations with comprehension (rₛ = 0.498), application (rₛ = 0.552), making connections across topics (rₛ = 0.653), and reasoning and justification (rₛ = 0.550), all with p &lt; .001. The strongest relationship with making connections across topics suggests that students who can adapt their strategies when encountering new problems are better able to transfer and apply mathematical concepts in different situations. This adaptability supports deeper conceptual engagement and flexible thinking in problem-solving.</w:t>
      </w:r>
    </w:p>
    <w:p w14:paraId="7A90D93B"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Evaluation and justification exhibits strong and highly significant correlations with comprehension (rₛ = 0.527), application (rₛ = 0.488), making connections across topics (rₛ = 0.656), and reasoning and justification (rₛ = 0.636), all with p &lt; .001. The strongest associations are with making connections, reasoning, and justification, suggesting that students who critically assess their solutions and explain their reasoning demonstrate stronger conceptual understanding. Reflective evaluation encourages learners to verify results, justify procedures, and connect mathematical ideas more meaningfully.</w:t>
      </w:r>
    </w:p>
    <w:p w14:paraId="7A90D93C"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Recent research supports the strong relationship between strategic competence and conceptual understanding. Students with well-developed problem representation skills can organize and relate mathematical information, facilitating deeper conceptual connections (Torres-Peña et al., 2025). Strategy formulation predicts higher comprehension and application, enabling learners to plan solution pathways and anticipate problem demands (Brod, 2021). Adaptation and flexibility in the use of strategies allow learners to transfer knowledge to new </w:t>
      </w:r>
      <w:r>
        <w:rPr>
          <w:rFonts w:ascii="Times New Roman" w:eastAsia="Times New Roman" w:hAnsi="Times New Roman" w:cs="Times New Roman"/>
        </w:rPr>
        <w:lastRenderedPageBreak/>
        <w:t>contexts, strengthening integrated understanding across topics (Sharma, 2024). Evaluation and justification enhance reasoning and promote conceptual coherence through reflective problem-solving (Sümen, 2023). Strategic competence bridges procedural execution and higher-order thinking, allowing learners to apply learned procedures meaningfully (Thoe et al., 2022). Collectively, these studies reinforce the highly significant correlations observed in this study and highlight the importance of developing strategic skills to improve conceptual understanding.</w:t>
      </w:r>
    </w:p>
    <w:p w14:paraId="7A90D93D" w14:textId="164026FC" w:rsidR="00CC19F6" w:rsidRDefault="0091218B">
      <w:pPr>
        <w:spacing w:after="0" w:line="240" w:lineRule="auto"/>
        <w:ind w:firstLine="720"/>
        <w:jc w:val="both"/>
        <w:rPr>
          <w:rFonts w:ascii="Times New Roman" w:eastAsia="Times New Roman" w:hAnsi="Times New Roman" w:cs="Times New Roman"/>
        </w:rPr>
      </w:pPr>
      <w:bookmarkStart w:id="1" w:name="_p5h6hxy6lyg3" w:colFirst="0" w:colLast="0"/>
      <w:bookmarkEnd w:id="1"/>
      <w:r>
        <w:rPr>
          <w:rFonts w:ascii="Times New Roman" w:eastAsia="Times New Roman" w:hAnsi="Times New Roman" w:cs="Times New Roman"/>
        </w:rPr>
        <w:t xml:space="preserve">The relationship between strategic competence and conceptual understanding can be explained through Information Processing Theory and the Mathematical Proficiency Framework. </w:t>
      </w:r>
      <w:r w:rsidRPr="001D5796">
        <w:rPr>
          <w:rFonts w:ascii="Times New Roman" w:eastAsia="Times New Roman" w:hAnsi="Times New Roman" w:cs="Times New Roman"/>
          <w:color w:val="000000" w:themeColor="text1"/>
        </w:rPr>
        <w:t>Efficient encoding, storage, and retrieval of procedures frees cognitive resources for higher-order strategic tasks, such as planning, monitoring, and evaluating solutions (</w:t>
      </w:r>
      <w:r w:rsidR="001D5796" w:rsidRPr="001D5796">
        <w:rPr>
          <w:rFonts w:ascii="Times New Roman" w:hAnsi="Times New Roman" w:cs="Times New Roman"/>
          <w:color w:val="000000" w:themeColor="text1"/>
          <w:szCs w:val="20"/>
          <w:shd w:val="clear" w:color="auto" w:fill="FFFFFF"/>
        </w:rPr>
        <w:t xml:space="preserve">Sridhar &amp; Balamurugan, </w:t>
      </w:r>
      <w:r w:rsidR="001D5796" w:rsidRPr="001D5796">
        <w:rPr>
          <w:rFonts w:ascii="Times New Roman" w:eastAsia="Times New Roman" w:hAnsi="Times New Roman" w:cs="Times New Roman"/>
          <w:color w:val="000000" w:themeColor="text1"/>
        </w:rPr>
        <w:t>2025</w:t>
      </w:r>
      <w:r w:rsidRPr="001D5796">
        <w:rPr>
          <w:rFonts w:ascii="Times New Roman" w:eastAsia="Times New Roman" w:hAnsi="Times New Roman" w:cs="Times New Roman"/>
          <w:color w:val="000000" w:themeColor="text1"/>
        </w:rPr>
        <w:t xml:space="preserve">). </w:t>
      </w:r>
      <w:r>
        <w:rPr>
          <w:rFonts w:ascii="Times New Roman" w:eastAsia="Times New Roman" w:hAnsi="Times New Roman" w:cs="Times New Roman"/>
        </w:rPr>
        <w:t xml:space="preserve">Strategic competence, including problem representation, strategy formulation, adaptation, and evaluation, is critical for flexible and reflective problem-solving (Kilpatrick, 2001). Procedural fluency reduces cognitive load, allowing learners to focus on strategy use, which in turn promotes conceptual reasoning, connections, and justification (Kusuma &amp; </w:t>
      </w:r>
      <w:r w:rsidRPr="0091218B">
        <w:rPr>
          <w:rFonts w:ascii="Times New Roman" w:hAnsi="Times New Roman" w:cs="Times New Roman"/>
          <w:color w:val="222222"/>
          <w:szCs w:val="20"/>
          <w:shd w:val="clear" w:color="auto" w:fill="FFFFFF"/>
        </w:rPr>
        <w:t>Retnowati</w:t>
      </w:r>
      <w:r>
        <w:rPr>
          <w:rFonts w:ascii="Times New Roman" w:eastAsia="Times New Roman" w:hAnsi="Times New Roman" w:cs="Times New Roman"/>
        </w:rPr>
        <w:t>, 2021). Through effective strategies, learners can analyze mathematical situations, make connections among concepts, and justify their reasoning (Sarumaha &amp; Rizkianto, 2022). Empirical studies indicate that students who demonstrate strong strategic competence tend to exhibit deeper conceptual understanding, improved problem-solving ability, and stronger integration of mathematical ideas across contexts (Amalia et al., 2024). These perspectives highlight the important role of strategic competence in supporting and strengthening students’ conceptual understanding in mathematics.</w:t>
      </w:r>
    </w:p>
    <w:p w14:paraId="7A90D93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Given that making connections, evaluation, and adaptation exhibit the strongest correlations with strategic competence, educators should implement activities that encourage students to represent problems clearly, formulate effective strategies, adjust approaches for novel tasks, and justify their solutions. Strategies such as reflective problem-solving, strategy journals, guided peer discussions, and real-world problem modeling can foster adaptive thinking, strategic planning, and critical evaluation. By strengthening strategic competence, students not only enhance their procedural application but also develop deeper conceptual understanding, supporting holistic mathematical proficiency across diverse problem contexts.</w:t>
      </w:r>
    </w:p>
    <w:p w14:paraId="7A90D93F" w14:textId="77777777" w:rsidR="00CC19F6" w:rsidRDefault="00CC19F6">
      <w:pPr>
        <w:spacing w:after="0" w:line="240" w:lineRule="auto"/>
        <w:jc w:val="both"/>
        <w:rPr>
          <w:rFonts w:ascii="Times New Roman" w:eastAsia="Times New Roman" w:hAnsi="Times New Roman" w:cs="Times New Roman"/>
        </w:rPr>
      </w:pPr>
    </w:p>
    <w:p w14:paraId="7A90D94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5</w:t>
      </w:r>
    </w:p>
    <w:p w14:paraId="7A90D941"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Significant Relationship between Students’ Strategic Competence</w:t>
      </w:r>
    </w:p>
    <w:p w14:paraId="7A90D94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and their Conceptual Understanding</w:t>
      </w:r>
    </w:p>
    <w:p w14:paraId="7A90D943" w14:textId="77777777" w:rsidR="00CC19F6" w:rsidRDefault="00CC19F6">
      <w:pPr>
        <w:spacing w:after="0" w:line="240" w:lineRule="auto"/>
        <w:jc w:val="both"/>
        <w:rPr>
          <w:rFonts w:ascii="Times New Roman" w:eastAsia="Times New Roman" w:hAnsi="Times New Roman" w:cs="Times New Roman"/>
        </w:rPr>
      </w:pPr>
    </w:p>
    <w:tbl>
      <w:tblPr>
        <w:tblStyle w:val="a6"/>
        <w:tblW w:w="868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02"/>
        <w:gridCol w:w="428"/>
        <w:gridCol w:w="1578"/>
        <w:gridCol w:w="1428"/>
        <w:gridCol w:w="1401"/>
        <w:gridCol w:w="1447"/>
      </w:tblGrid>
      <w:tr w:rsidR="00CC19F6" w14:paraId="7A90D94A" w14:textId="77777777">
        <w:trPr>
          <w:trHeight w:val="910"/>
        </w:trPr>
        <w:tc>
          <w:tcPr>
            <w:tcW w:w="2402" w:type="dxa"/>
            <w:tcBorders>
              <w:top w:val="single" w:sz="4" w:space="0" w:color="000000"/>
            </w:tcBorders>
            <w:vAlign w:val="center"/>
          </w:tcPr>
          <w:p w14:paraId="7A90D94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Variables</w:t>
            </w:r>
          </w:p>
        </w:tc>
        <w:tc>
          <w:tcPr>
            <w:tcW w:w="428" w:type="dxa"/>
            <w:tcBorders>
              <w:top w:val="single" w:sz="4" w:space="0" w:color="000000"/>
            </w:tcBorders>
          </w:tcPr>
          <w:p w14:paraId="7A90D945" w14:textId="77777777" w:rsidR="00CC19F6" w:rsidRDefault="00CC19F6">
            <w:pPr>
              <w:spacing w:after="0" w:line="240" w:lineRule="auto"/>
              <w:jc w:val="both"/>
              <w:rPr>
                <w:rFonts w:ascii="Times New Roman" w:eastAsia="Times New Roman" w:hAnsi="Times New Roman" w:cs="Times New Roman"/>
                <w:i/>
                <w:iCs/>
              </w:rPr>
            </w:pPr>
          </w:p>
        </w:tc>
        <w:tc>
          <w:tcPr>
            <w:tcW w:w="1578" w:type="dxa"/>
            <w:tcBorders>
              <w:top w:val="single" w:sz="4" w:space="0" w:color="000000"/>
            </w:tcBorders>
            <w:vAlign w:val="center"/>
          </w:tcPr>
          <w:p w14:paraId="7A90D94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Problem Representation</w:t>
            </w:r>
          </w:p>
        </w:tc>
        <w:tc>
          <w:tcPr>
            <w:tcW w:w="1428" w:type="dxa"/>
            <w:tcBorders>
              <w:top w:val="single" w:sz="4" w:space="0" w:color="000000"/>
            </w:tcBorders>
            <w:vAlign w:val="center"/>
          </w:tcPr>
          <w:p w14:paraId="7A90D94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Strategy Formulation</w:t>
            </w:r>
          </w:p>
        </w:tc>
        <w:tc>
          <w:tcPr>
            <w:tcW w:w="1401" w:type="dxa"/>
            <w:tcBorders>
              <w:top w:val="single" w:sz="4" w:space="0" w:color="000000"/>
            </w:tcBorders>
            <w:vAlign w:val="center"/>
          </w:tcPr>
          <w:p w14:paraId="7A90D94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Adaptation and Flexibility</w:t>
            </w:r>
          </w:p>
        </w:tc>
        <w:tc>
          <w:tcPr>
            <w:tcW w:w="1447" w:type="dxa"/>
            <w:tcBorders>
              <w:top w:val="single" w:sz="4" w:space="0" w:color="000000"/>
            </w:tcBorders>
            <w:vAlign w:val="center"/>
          </w:tcPr>
          <w:p w14:paraId="7A90D94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Evaluation and Justification</w:t>
            </w:r>
          </w:p>
        </w:tc>
      </w:tr>
      <w:tr w:rsidR="00CC19F6" w14:paraId="7A90D951" w14:textId="77777777">
        <w:trPr>
          <w:trHeight w:val="308"/>
        </w:trPr>
        <w:tc>
          <w:tcPr>
            <w:tcW w:w="2402" w:type="dxa"/>
            <w:vMerge w:val="restart"/>
            <w:tcBorders>
              <w:top w:val="single" w:sz="4" w:space="0" w:color="000000"/>
            </w:tcBorders>
            <w:vAlign w:val="center"/>
          </w:tcPr>
          <w:p w14:paraId="7A90D94B"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Comprehension of Mathematical Concepts</w:t>
            </w:r>
          </w:p>
        </w:tc>
        <w:tc>
          <w:tcPr>
            <w:tcW w:w="428" w:type="dxa"/>
            <w:tcBorders>
              <w:top w:val="single" w:sz="4" w:space="0" w:color="000000"/>
            </w:tcBorders>
          </w:tcPr>
          <w:p w14:paraId="7A90D94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tcBorders>
              <w:top w:val="single" w:sz="4" w:space="0" w:color="000000"/>
            </w:tcBorders>
            <w:vAlign w:val="center"/>
          </w:tcPr>
          <w:p w14:paraId="7A90D94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0.543 ***</w:t>
            </w:r>
          </w:p>
        </w:tc>
        <w:tc>
          <w:tcPr>
            <w:tcW w:w="1428" w:type="dxa"/>
            <w:tcBorders>
              <w:top w:val="single" w:sz="4" w:space="0" w:color="000000"/>
            </w:tcBorders>
            <w:vAlign w:val="center"/>
          </w:tcPr>
          <w:p w14:paraId="7A90D94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0.579 ***</w:t>
            </w:r>
          </w:p>
        </w:tc>
        <w:tc>
          <w:tcPr>
            <w:tcW w:w="1401" w:type="dxa"/>
            <w:tcBorders>
              <w:top w:val="single" w:sz="4" w:space="0" w:color="000000"/>
            </w:tcBorders>
            <w:vAlign w:val="center"/>
          </w:tcPr>
          <w:p w14:paraId="7A90D94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0.498 ***</w:t>
            </w:r>
          </w:p>
        </w:tc>
        <w:tc>
          <w:tcPr>
            <w:tcW w:w="1447" w:type="dxa"/>
            <w:tcBorders>
              <w:top w:val="single" w:sz="4" w:space="0" w:color="000000"/>
            </w:tcBorders>
            <w:vAlign w:val="center"/>
          </w:tcPr>
          <w:p w14:paraId="7A90D95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0.527 ***</w:t>
            </w:r>
          </w:p>
        </w:tc>
      </w:tr>
      <w:tr w:rsidR="00CC19F6" w14:paraId="7A90D958" w14:textId="77777777">
        <w:trPr>
          <w:trHeight w:val="308"/>
        </w:trPr>
        <w:tc>
          <w:tcPr>
            <w:tcW w:w="2402" w:type="dxa"/>
            <w:vMerge/>
            <w:tcBorders>
              <w:top w:val="single" w:sz="4" w:space="0" w:color="000000"/>
            </w:tcBorders>
            <w:vAlign w:val="center"/>
          </w:tcPr>
          <w:p w14:paraId="7A90D952"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Pr>
          <w:p w14:paraId="7A90D95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vAlign w:val="center"/>
          </w:tcPr>
          <w:p w14:paraId="7A90D95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vAlign w:val="center"/>
          </w:tcPr>
          <w:p w14:paraId="7A90D95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vAlign w:val="center"/>
          </w:tcPr>
          <w:p w14:paraId="7A90D95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vAlign w:val="center"/>
          </w:tcPr>
          <w:p w14:paraId="7A90D95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5F" w14:textId="77777777">
        <w:trPr>
          <w:trHeight w:val="308"/>
        </w:trPr>
        <w:tc>
          <w:tcPr>
            <w:tcW w:w="2402" w:type="dxa"/>
            <w:vMerge w:val="restart"/>
            <w:vAlign w:val="center"/>
          </w:tcPr>
          <w:p w14:paraId="7A90D95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Application of Concepts in Problem Solving</w:t>
            </w:r>
          </w:p>
        </w:tc>
        <w:tc>
          <w:tcPr>
            <w:tcW w:w="428" w:type="dxa"/>
          </w:tcPr>
          <w:p w14:paraId="7A90D95A"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vAlign w:val="center"/>
          </w:tcPr>
          <w:p w14:paraId="7A90D95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0.596 ***</w:t>
            </w:r>
          </w:p>
        </w:tc>
        <w:tc>
          <w:tcPr>
            <w:tcW w:w="1428" w:type="dxa"/>
            <w:vAlign w:val="center"/>
          </w:tcPr>
          <w:p w14:paraId="7A90D95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0.576 ***</w:t>
            </w:r>
          </w:p>
        </w:tc>
        <w:tc>
          <w:tcPr>
            <w:tcW w:w="1401" w:type="dxa"/>
            <w:vAlign w:val="center"/>
          </w:tcPr>
          <w:p w14:paraId="7A90D95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0.552 ***</w:t>
            </w:r>
          </w:p>
        </w:tc>
        <w:tc>
          <w:tcPr>
            <w:tcW w:w="1447" w:type="dxa"/>
            <w:vAlign w:val="center"/>
          </w:tcPr>
          <w:p w14:paraId="7A90D95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0.488 ***</w:t>
            </w:r>
          </w:p>
        </w:tc>
      </w:tr>
      <w:tr w:rsidR="00CC19F6" w14:paraId="7A90D966" w14:textId="77777777">
        <w:trPr>
          <w:trHeight w:val="615"/>
        </w:trPr>
        <w:tc>
          <w:tcPr>
            <w:tcW w:w="2402" w:type="dxa"/>
            <w:vMerge/>
            <w:vAlign w:val="center"/>
          </w:tcPr>
          <w:p w14:paraId="7A90D960"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Pr>
          <w:p w14:paraId="7A90D961"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vAlign w:val="center"/>
          </w:tcPr>
          <w:p w14:paraId="7A90D96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vAlign w:val="center"/>
          </w:tcPr>
          <w:p w14:paraId="7A90D96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vAlign w:val="center"/>
          </w:tcPr>
          <w:p w14:paraId="7A90D96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vAlign w:val="center"/>
          </w:tcPr>
          <w:p w14:paraId="7A90D96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6D" w14:textId="77777777">
        <w:trPr>
          <w:trHeight w:val="295"/>
        </w:trPr>
        <w:tc>
          <w:tcPr>
            <w:tcW w:w="2402" w:type="dxa"/>
            <w:vMerge w:val="restart"/>
            <w:vAlign w:val="center"/>
          </w:tcPr>
          <w:p w14:paraId="7A90D96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Making Connections Across Topics</w:t>
            </w:r>
          </w:p>
        </w:tc>
        <w:tc>
          <w:tcPr>
            <w:tcW w:w="428" w:type="dxa"/>
          </w:tcPr>
          <w:p w14:paraId="7A90D968"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vAlign w:val="center"/>
          </w:tcPr>
          <w:p w14:paraId="7A90D96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0.641 ***</w:t>
            </w:r>
          </w:p>
        </w:tc>
        <w:tc>
          <w:tcPr>
            <w:tcW w:w="1428" w:type="dxa"/>
            <w:vAlign w:val="center"/>
          </w:tcPr>
          <w:p w14:paraId="7A90D96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0.655 ***</w:t>
            </w:r>
          </w:p>
        </w:tc>
        <w:tc>
          <w:tcPr>
            <w:tcW w:w="1401" w:type="dxa"/>
            <w:vAlign w:val="center"/>
          </w:tcPr>
          <w:p w14:paraId="7A90D96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0.653 ***</w:t>
            </w:r>
          </w:p>
        </w:tc>
        <w:tc>
          <w:tcPr>
            <w:tcW w:w="1447" w:type="dxa"/>
            <w:vAlign w:val="center"/>
          </w:tcPr>
          <w:p w14:paraId="7A90D96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0.656 ***</w:t>
            </w:r>
          </w:p>
        </w:tc>
      </w:tr>
      <w:tr w:rsidR="00CC19F6" w14:paraId="7A90D974" w14:textId="77777777">
        <w:trPr>
          <w:trHeight w:val="308"/>
        </w:trPr>
        <w:tc>
          <w:tcPr>
            <w:tcW w:w="2402" w:type="dxa"/>
            <w:vMerge/>
            <w:vAlign w:val="center"/>
          </w:tcPr>
          <w:p w14:paraId="7A90D96E"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Pr>
          <w:p w14:paraId="7A90D96F"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vAlign w:val="center"/>
          </w:tcPr>
          <w:p w14:paraId="7A90D97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vAlign w:val="center"/>
          </w:tcPr>
          <w:p w14:paraId="7A90D97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vAlign w:val="center"/>
          </w:tcPr>
          <w:p w14:paraId="7A90D97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vAlign w:val="center"/>
          </w:tcPr>
          <w:p w14:paraId="7A90D97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7B" w14:textId="77777777">
        <w:trPr>
          <w:trHeight w:val="308"/>
        </w:trPr>
        <w:tc>
          <w:tcPr>
            <w:tcW w:w="2402" w:type="dxa"/>
            <w:vMerge w:val="restart"/>
            <w:vAlign w:val="center"/>
          </w:tcPr>
          <w:p w14:paraId="7A90D975"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Reasoning and Justification</w:t>
            </w:r>
          </w:p>
        </w:tc>
        <w:tc>
          <w:tcPr>
            <w:tcW w:w="428" w:type="dxa"/>
          </w:tcPr>
          <w:p w14:paraId="7A90D976"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vAlign w:val="center"/>
          </w:tcPr>
          <w:p w14:paraId="7A90D97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0.597 ***</w:t>
            </w:r>
          </w:p>
        </w:tc>
        <w:tc>
          <w:tcPr>
            <w:tcW w:w="1428" w:type="dxa"/>
            <w:vAlign w:val="center"/>
          </w:tcPr>
          <w:p w14:paraId="7A90D97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0.565 ***</w:t>
            </w:r>
          </w:p>
        </w:tc>
        <w:tc>
          <w:tcPr>
            <w:tcW w:w="1401" w:type="dxa"/>
            <w:vAlign w:val="center"/>
          </w:tcPr>
          <w:p w14:paraId="7A90D97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0.550 ***</w:t>
            </w:r>
          </w:p>
        </w:tc>
        <w:tc>
          <w:tcPr>
            <w:tcW w:w="1447" w:type="dxa"/>
            <w:vAlign w:val="center"/>
          </w:tcPr>
          <w:p w14:paraId="7A90D97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0.636 ***</w:t>
            </w:r>
          </w:p>
        </w:tc>
      </w:tr>
      <w:tr w:rsidR="00CC19F6" w14:paraId="7A90D982" w14:textId="77777777">
        <w:trPr>
          <w:trHeight w:val="308"/>
        </w:trPr>
        <w:tc>
          <w:tcPr>
            <w:tcW w:w="2402" w:type="dxa"/>
            <w:vMerge/>
            <w:vAlign w:val="center"/>
          </w:tcPr>
          <w:p w14:paraId="7A90D97C"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Borders>
              <w:bottom w:val="single" w:sz="4" w:space="0" w:color="000000"/>
            </w:tcBorders>
          </w:tcPr>
          <w:p w14:paraId="7A90D97D"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tcBorders>
              <w:bottom w:val="single" w:sz="4" w:space="0" w:color="000000"/>
            </w:tcBorders>
            <w:vAlign w:val="center"/>
          </w:tcPr>
          <w:p w14:paraId="7A90D97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tcBorders>
              <w:bottom w:val="single" w:sz="4" w:space="0" w:color="000000"/>
            </w:tcBorders>
            <w:vAlign w:val="center"/>
          </w:tcPr>
          <w:p w14:paraId="7A90D97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tcBorders>
              <w:bottom w:val="single" w:sz="4" w:space="0" w:color="000000"/>
            </w:tcBorders>
            <w:vAlign w:val="center"/>
          </w:tcPr>
          <w:p w14:paraId="7A90D98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tcBorders>
              <w:bottom w:val="single" w:sz="4" w:space="0" w:color="000000"/>
            </w:tcBorders>
            <w:vAlign w:val="center"/>
          </w:tcPr>
          <w:p w14:paraId="7A90D98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7A90D98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Notes: Ho: There is no significant relationship between students’ strategic competence and  </w:t>
      </w:r>
    </w:p>
    <w:p w14:paraId="7A90D984"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conceptual understanding in mathematics learning.</w:t>
      </w:r>
    </w:p>
    <w:p w14:paraId="7A90D985"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Probability V</w:t>
      </w:r>
      <w:r>
        <w:rPr>
          <w:rFonts w:ascii="Times New Roman" w:eastAsia="Times New Roman" w:hAnsi="Times New Roman" w:cs="Times New Roman"/>
        </w:rPr>
        <w:t xml:space="preserve">alue </w:t>
      </w:r>
      <w:r>
        <w:rPr>
          <w:rFonts w:ascii="Times New Roman" w:eastAsia="Times New Roman" w:hAnsi="Times New Roman" w:cs="Times New Roman"/>
          <w:i/>
          <w:iCs/>
        </w:rPr>
        <w:t>Scale:</w:t>
      </w:r>
      <w:r>
        <w:rPr>
          <w:rFonts w:ascii="Times New Roman" w:eastAsia="Times New Roman" w:hAnsi="Times New Roman" w:cs="Times New Roman"/>
        </w:rPr>
        <w:t xml:space="preserve"> *** p &lt; .001</w:t>
      </w:r>
      <w:r>
        <w:rPr>
          <w:rFonts w:ascii="Times New Roman" w:eastAsia="Times New Roman" w:hAnsi="Times New Roman" w:cs="Times New Roman"/>
          <w:i/>
          <w:iCs/>
        </w:rPr>
        <w:t xml:space="preserve"> (Highly Significant); **p&lt;0.01 (Highly   </w:t>
      </w:r>
    </w:p>
    <w:p w14:paraId="7A90D986" w14:textId="77777777" w:rsidR="00CC19F6" w:rsidRDefault="0091218B">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i/>
          <w:iCs/>
        </w:rPr>
        <w:t xml:space="preserve">      Significant); *p&lt;0.05 (Significant); p&gt;0.05 (Not significant) </w:t>
      </w:r>
    </w:p>
    <w:p w14:paraId="7A90D987" w14:textId="77777777" w:rsidR="00CC19F6" w:rsidRDefault="00CC19F6">
      <w:pPr>
        <w:spacing w:after="0" w:line="240" w:lineRule="auto"/>
        <w:jc w:val="both"/>
        <w:rPr>
          <w:rFonts w:ascii="Times New Roman" w:eastAsia="Times New Roman" w:hAnsi="Times New Roman" w:cs="Times New Roman"/>
          <w:b/>
          <w:bCs/>
        </w:rPr>
      </w:pPr>
    </w:p>
    <w:p w14:paraId="7A90D988" w14:textId="77777777" w:rsidR="00CC19F6" w:rsidRDefault="00CC19F6">
      <w:pPr>
        <w:spacing w:after="0" w:line="240" w:lineRule="auto"/>
        <w:jc w:val="both"/>
        <w:rPr>
          <w:rFonts w:ascii="Times New Roman" w:eastAsia="Times New Roman" w:hAnsi="Times New Roman" w:cs="Times New Roman"/>
          <w:b/>
          <w:bCs/>
        </w:rPr>
      </w:pPr>
    </w:p>
    <w:p w14:paraId="7A90D989" w14:textId="77777777" w:rsidR="00CC19F6" w:rsidRDefault="00CC19F6">
      <w:pPr>
        <w:spacing w:after="0" w:line="240" w:lineRule="auto"/>
        <w:jc w:val="both"/>
        <w:rPr>
          <w:rFonts w:ascii="Times New Roman" w:eastAsia="Times New Roman" w:hAnsi="Times New Roman" w:cs="Times New Roman"/>
          <w:b/>
          <w:bCs/>
        </w:rPr>
      </w:pPr>
    </w:p>
    <w:p w14:paraId="7A90D98A" w14:textId="77777777" w:rsidR="00CC19F6" w:rsidRDefault="00CC19F6">
      <w:pPr>
        <w:spacing w:after="0" w:line="240" w:lineRule="auto"/>
        <w:jc w:val="both"/>
        <w:rPr>
          <w:rFonts w:ascii="Times New Roman" w:eastAsia="Times New Roman" w:hAnsi="Times New Roman" w:cs="Times New Roman"/>
          <w:b/>
          <w:bCs/>
        </w:rPr>
      </w:pPr>
    </w:p>
    <w:p w14:paraId="7A90D98B"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Significant Relationship between Students’ Procedural Fluency </w:t>
      </w:r>
    </w:p>
    <w:p w14:paraId="7A90D98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and Conceptual Understanding </w:t>
      </w:r>
    </w:p>
    <w:p w14:paraId="7A90D98D" w14:textId="77777777" w:rsidR="00CC19F6" w:rsidRDefault="00CC19F6">
      <w:pPr>
        <w:spacing w:after="0" w:line="240" w:lineRule="auto"/>
        <w:jc w:val="both"/>
        <w:rPr>
          <w:rFonts w:ascii="Times New Roman" w:eastAsia="Times New Roman" w:hAnsi="Times New Roman" w:cs="Times New Roman"/>
          <w:b/>
          <w:bCs/>
        </w:rPr>
      </w:pPr>
    </w:p>
    <w:p w14:paraId="7A90D98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Table 6 presents the relationship between students’ procedural fluency and conceptual understanding in mathematics, showing strong and highly significant correlations across all constructs. Spearman’s rho values range from 0.507 to 0.709 (p &lt; .001), indicating that students who demonstrate higher accuracy, efficiency, flexibility, and appropriateness in their procedural execution also exhibit higher levels of comprehension, application, connections across topics, and reasoning. These results highlight that procedural fluency provides a foundational platform for cognitive engagement, supporting conceptual mastery and demonstrating the interdependent nature of procedural skills and conceptual understanding in mathematics learning.</w:t>
      </w:r>
    </w:p>
    <w:p w14:paraId="7A90D98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Procedural fluency in this study encompasses accuracy in following procedures, efficiency in problem-solving, flexibility in applying procedures, and appropriateness of methods. Conceptual understanding includes comprehension of mathematical concepts, application in problem-solving, making connections across topics, and reasoning and justification. The analysis shows that students’ ability to perform operations correctly and adaptively underpins their capacity to internalize mathematical ideas and transfer knowledge to new problem contexts. This relationship aligns with cognitive theories suggesting that efficient processing of procedural steps enhances memory encoding, problem representation, and knowledge transfer, thereby facilitating deeper conceptual understanding.</w:t>
      </w:r>
    </w:p>
    <w:p w14:paraId="7A90D99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Accuracy in solving procedures shows strong and highly significant correlations with all dimensions of conceptual understanding, including comprehension of mathematical concepts (rₛ = 0.594), application of concepts in problem-solving (rₛ = 0.709), making connections across topics (rₛ = 0.633), and reasoning and justification (rₛ = 0.593), all with p &lt; .001. The strongest relationship occurs with the application of concepts, indicating that students who execute procedures accurately are more capable of applying mathematical ideas effectively when solving problems. Accurate procedural performance helps ensure that solution steps are correct, allowing learners to focus on understanding relationships among concepts and explaining their reasoning.</w:t>
      </w:r>
    </w:p>
    <w:p w14:paraId="7A90D99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Efficiency in problem solving also demonstrates strong and highly significant correlations with comprehension (rₛ = 0.546), application (rₛ = 0.572), making connections across topics (rₛ = 0.565), and reasoning and justification (rₛ = 0.557), all with p &lt; .001. These findings suggest that students who solve problems efficiently, balancing speed and accuracy, can process mathematical tasks more effectively and devote greater attention to interpreting results and connecting ideas. Efficient procedural performance, therefore, supports both conceptual comprehension and logical reasoning in mathematics.</w:t>
      </w:r>
    </w:p>
    <w:p w14:paraId="7A90D99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Flexibility in applying procedures shows moderate-to-strong correlations with comprehension (rₛ = 0.507) and application (rₛ = 0.521), and stronger relationships with making connections across topics (rₛ = 0.640) and reasoning and justification (rₛ = 0.682), all with p &lt; .001. The highest correlation with reasoning and justification indicates that students who can adapt procedures to different situations are better able to explain their thinking and justify their solutions. Procedural flexibility encourages deeper conceptual engagement, as learners must understand how and why different procedures work across varying contexts.</w:t>
      </w:r>
    </w:p>
    <w:p w14:paraId="7A90D99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appropriateness of procedures demonstrates strong, highly significant correlations with comprehension (rₛ = 0.539), application (rₛ = 0.621), making connections across topics (rₛ = 0.652), and reasoning and justification (rₛ = 0.663), all with p &lt; .001. The strongest associations occur with making connections and reasoning, suggesting that selecting the most suitable procedure for a problem strengthens students’ ability to relate concepts and justify their solutions. Choosing appropriate methods reflects deeper mathematical understanding because learners must evaluate problem conditions and determine which strategies best support accurate and meaningful solutions.</w:t>
      </w:r>
    </w:p>
    <w:p w14:paraId="7A90D99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Recent studies support these findings. Procedural fluency facilitates higher-order conceptual understanding, particularly when students adapt strategies to diverse problems (Gradini et al., 2025). Accurate and efficient procedural execution predicts stronger problem-solving application and reasoning skills (Zhang et al., 2022). Flexibility in procedural strategies enhances learners’ capacity to connect concepts, while the appropriate selection of procedures supports comprehension and justification (Rukshana, 2025). Students with well-developed procedural skills internalize concepts more effectively (Rif'at, 2024), and integrating procedural and conceptual practice fosters holistic mathematical competence (Siregar, 2025).</w:t>
      </w:r>
    </w:p>
    <w:p w14:paraId="7A90D99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Information Processing Theory (Atkinson &amp; Shiffrin, 1968) posits that cognitive processes involve encoding, storing, and retrieving information, and procedural fluency enhances memory encoding, retrieval efficiency, and cognitive automation. Students who execute mathematical procedures accurately and efficiently can focus cognitive resources on understanding underlying principles. Constructivist Learning Theory (Piaget, 1972) suggests that learners actively construct knowledge by integrating new information with prior understanding. Conceptual understanding develops as students internalize mathematical concepts, make connections, and justify solutions (Biber, 2023). Together, these theories explain how procedural fluency (cognitive scaffolding) supports conceptual understanding (active knowledge construction) (Zeng, 2025). Recent studies further emphasize that procedural mastery enhances conceptual reasoning and promotes active engagement with problem-solving (Naz, 2025).</w:t>
      </w:r>
    </w:p>
    <w:p w14:paraId="7A90D99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Procedural fluency is critical for developing students’ conceptual understanding, particularly in higher-order constructs like flexibility, appropriateness, reasoning, and making connections. Instructional strategies should focus on cultivating adaptive problem-solving and contextually appropriate procedures, alongside reflective activities that require justification and strategic application. By strengthening these procedural dimensions, educators can bridge the gap between performing mathematical operations and internalizing concepts, fostering holistic mathematical competence, and preparing students for complex problem-solving scenarios and the underlying mathematical concepts.</w:t>
      </w:r>
    </w:p>
    <w:p w14:paraId="7A90D997" w14:textId="77777777" w:rsidR="00CC19F6" w:rsidRDefault="00CC19F6">
      <w:pPr>
        <w:spacing w:after="0" w:line="240" w:lineRule="auto"/>
        <w:ind w:firstLine="720"/>
        <w:jc w:val="both"/>
        <w:rPr>
          <w:rFonts w:ascii="Times New Roman" w:eastAsia="Times New Roman" w:hAnsi="Times New Roman" w:cs="Times New Roman"/>
        </w:rPr>
      </w:pPr>
    </w:p>
    <w:p w14:paraId="7A90D998" w14:textId="77777777" w:rsidR="00CC19F6" w:rsidRDefault="00CC19F6">
      <w:pPr>
        <w:spacing w:after="0" w:line="240" w:lineRule="auto"/>
        <w:ind w:firstLine="720"/>
        <w:jc w:val="both"/>
        <w:rPr>
          <w:rFonts w:ascii="Times New Roman" w:eastAsia="Times New Roman" w:hAnsi="Times New Roman" w:cs="Times New Roman"/>
        </w:rPr>
      </w:pPr>
    </w:p>
    <w:p w14:paraId="7A90D999" w14:textId="77777777" w:rsidR="00CC19F6" w:rsidRDefault="00CC19F6">
      <w:pPr>
        <w:spacing w:after="0" w:line="240" w:lineRule="auto"/>
        <w:ind w:firstLine="720"/>
        <w:jc w:val="both"/>
        <w:rPr>
          <w:rFonts w:ascii="Times New Roman" w:eastAsia="Times New Roman" w:hAnsi="Times New Roman" w:cs="Times New Roman"/>
        </w:rPr>
      </w:pPr>
    </w:p>
    <w:p w14:paraId="7A90D99A" w14:textId="77777777" w:rsidR="00CC19F6" w:rsidRDefault="00CC19F6">
      <w:pPr>
        <w:spacing w:after="0" w:line="240" w:lineRule="auto"/>
        <w:ind w:firstLine="720"/>
        <w:jc w:val="both"/>
        <w:rPr>
          <w:rFonts w:ascii="Times New Roman" w:eastAsia="Times New Roman" w:hAnsi="Times New Roman" w:cs="Times New Roman"/>
        </w:rPr>
      </w:pPr>
    </w:p>
    <w:p w14:paraId="7A90D99B" w14:textId="77777777" w:rsidR="00CC19F6" w:rsidRDefault="00CC19F6">
      <w:pPr>
        <w:spacing w:after="0" w:line="240" w:lineRule="auto"/>
        <w:ind w:firstLine="720"/>
        <w:jc w:val="both"/>
        <w:rPr>
          <w:rFonts w:ascii="Times New Roman" w:eastAsia="Times New Roman" w:hAnsi="Times New Roman" w:cs="Times New Roman"/>
        </w:rPr>
      </w:pPr>
    </w:p>
    <w:p w14:paraId="7A90D99C" w14:textId="77777777" w:rsidR="00CC19F6" w:rsidRDefault="00CC19F6">
      <w:pPr>
        <w:spacing w:after="0" w:line="240" w:lineRule="auto"/>
        <w:ind w:firstLine="720"/>
        <w:jc w:val="both"/>
        <w:rPr>
          <w:rFonts w:ascii="Times New Roman" w:eastAsia="Times New Roman" w:hAnsi="Times New Roman" w:cs="Times New Roman"/>
        </w:rPr>
      </w:pPr>
    </w:p>
    <w:p w14:paraId="7A90D99D" w14:textId="77777777" w:rsidR="00CC19F6" w:rsidRDefault="00CC19F6">
      <w:pPr>
        <w:spacing w:after="0" w:line="240" w:lineRule="auto"/>
        <w:ind w:firstLine="720"/>
        <w:jc w:val="both"/>
        <w:rPr>
          <w:rFonts w:ascii="Times New Roman" w:eastAsia="Times New Roman" w:hAnsi="Times New Roman" w:cs="Times New Roman"/>
        </w:rPr>
      </w:pPr>
    </w:p>
    <w:p w14:paraId="7A90D99E" w14:textId="77777777" w:rsidR="00CC19F6" w:rsidRDefault="00CC19F6">
      <w:pPr>
        <w:spacing w:after="0" w:line="240" w:lineRule="auto"/>
        <w:ind w:firstLine="720"/>
        <w:jc w:val="both"/>
        <w:rPr>
          <w:rFonts w:ascii="Times New Roman" w:eastAsia="Times New Roman" w:hAnsi="Times New Roman" w:cs="Times New Roman"/>
        </w:rPr>
      </w:pPr>
    </w:p>
    <w:p w14:paraId="7A90D99F" w14:textId="77777777" w:rsidR="00CC19F6" w:rsidRDefault="00CC19F6">
      <w:pPr>
        <w:spacing w:after="0" w:line="240" w:lineRule="auto"/>
        <w:ind w:firstLine="720"/>
        <w:jc w:val="both"/>
        <w:rPr>
          <w:rFonts w:ascii="Times New Roman" w:eastAsia="Times New Roman" w:hAnsi="Times New Roman" w:cs="Times New Roman"/>
        </w:rPr>
      </w:pPr>
    </w:p>
    <w:p w14:paraId="7A90D9A0" w14:textId="77777777" w:rsidR="00CC19F6" w:rsidRDefault="00CC19F6">
      <w:pPr>
        <w:spacing w:after="0" w:line="240" w:lineRule="auto"/>
        <w:ind w:firstLine="720"/>
        <w:jc w:val="both"/>
        <w:rPr>
          <w:rFonts w:ascii="Times New Roman" w:eastAsia="Times New Roman" w:hAnsi="Times New Roman" w:cs="Times New Roman"/>
        </w:rPr>
      </w:pPr>
    </w:p>
    <w:p w14:paraId="7A90D9A5" w14:textId="4AEEB9BF" w:rsidR="00CC19F6" w:rsidRDefault="00CC19F6" w:rsidP="001D5796">
      <w:pPr>
        <w:spacing w:after="0" w:line="240" w:lineRule="auto"/>
        <w:jc w:val="both"/>
        <w:rPr>
          <w:rFonts w:ascii="Times New Roman" w:eastAsia="Times New Roman" w:hAnsi="Times New Roman" w:cs="Times New Roman"/>
        </w:rPr>
      </w:pPr>
    </w:p>
    <w:p w14:paraId="7A90D9A6" w14:textId="77777777" w:rsidR="00CC19F6" w:rsidRDefault="00CC19F6">
      <w:pPr>
        <w:spacing w:after="0" w:line="240" w:lineRule="auto"/>
        <w:ind w:firstLine="720"/>
        <w:jc w:val="both"/>
        <w:rPr>
          <w:rFonts w:ascii="Times New Roman" w:eastAsia="Times New Roman" w:hAnsi="Times New Roman" w:cs="Times New Roman"/>
          <w:b/>
          <w:bCs/>
        </w:rPr>
      </w:pPr>
    </w:p>
    <w:p w14:paraId="7A90D9A7"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6</w:t>
      </w:r>
    </w:p>
    <w:p w14:paraId="7A90D9A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Significant Relationship between Students’ Procedural Fluency </w:t>
      </w:r>
    </w:p>
    <w:p w14:paraId="7A90D9A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and Conceptual Understanding</w:t>
      </w:r>
    </w:p>
    <w:p w14:paraId="7A90D9AA" w14:textId="77777777" w:rsidR="00CC19F6" w:rsidRDefault="00CC19F6">
      <w:pPr>
        <w:spacing w:after="0" w:line="240" w:lineRule="auto"/>
        <w:rPr>
          <w:rFonts w:ascii="Times New Roman" w:eastAsia="Times New Roman" w:hAnsi="Times New Roman" w:cs="Times New Roman"/>
        </w:rPr>
      </w:pPr>
    </w:p>
    <w:tbl>
      <w:tblPr>
        <w:tblStyle w:val="a7"/>
        <w:tblW w:w="87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27"/>
        <w:gridCol w:w="425"/>
        <w:gridCol w:w="1706"/>
        <w:gridCol w:w="1477"/>
        <w:gridCol w:w="1453"/>
        <w:gridCol w:w="1498"/>
      </w:tblGrid>
      <w:tr w:rsidR="00CC19F6" w14:paraId="7A90D9B1" w14:textId="77777777">
        <w:trPr>
          <w:trHeight w:val="1214"/>
        </w:trPr>
        <w:tc>
          <w:tcPr>
            <w:tcW w:w="2228" w:type="dxa"/>
            <w:tcBorders>
              <w:top w:val="single" w:sz="4" w:space="0" w:color="000000"/>
              <w:bottom w:val="single" w:sz="4" w:space="0" w:color="000000"/>
            </w:tcBorders>
            <w:vAlign w:val="center"/>
          </w:tcPr>
          <w:p w14:paraId="7A90D9A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Variables</w:t>
            </w:r>
          </w:p>
        </w:tc>
        <w:tc>
          <w:tcPr>
            <w:tcW w:w="425" w:type="dxa"/>
            <w:tcBorders>
              <w:top w:val="single" w:sz="4" w:space="0" w:color="000000"/>
              <w:bottom w:val="single" w:sz="4" w:space="0" w:color="000000"/>
            </w:tcBorders>
          </w:tcPr>
          <w:p w14:paraId="7A90D9AC" w14:textId="77777777" w:rsidR="00CC19F6" w:rsidRDefault="00CC19F6">
            <w:pPr>
              <w:spacing w:after="0" w:line="240" w:lineRule="auto"/>
              <w:jc w:val="center"/>
              <w:rPr>
                <w:rFonts w:ascii="Times New Roman" w:eastAsia="Times New Roman" w:hAnsi="Times New Roman" w:cs="Times New Roman"/>
              </w:rPr>
            </w:pPr>
          </w:p>
        </w:tc>
        <w:tc>
          <w:tcPr>
            <w:tcW w:w="1706" w:type="dxa"/>
            <w:tcBorders>
              <w:top w:val="single" w:sz="4" w:space="0" w:color="000000"/>
              <w:bottom w:val="single" w:sz="4" w:space="0" w:color="000000"/>
            </w:tcBorders>
            <w:vAlign w:val="center"/>
          </w:tcPr>
          <w:p w14:paraId="7A90D9A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Comprehension of Mathematical Concepts</w:t>
            </w:r>
          </w:p>
        </w:tc>
        <w:tc>
          <w:tcPr>
            <w:tcW w:w="1477" w:type="dxa"/>
            <w:tcBorders>
              <w:top w:val="single" w:sz="4" w:space="0" w:color="000000"/>
              <w:bottom w:val="single" w:sz="4" w:space="0" w:color="000000"/>
            </w:tcBorders>
            <w:vAlign w:val="center"/>
          </w:tcPr>
          <w:p w14:paraId="7A90D9A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Application of Concepts in Problem-Solving</w:t>
            </w:r>
          </w:p>
        </w:tc>
        <w:tc>
          <w:tcPr>
            <w:tcW w:w="1453" w:type="dxa"/>
            <w:tcBorders>
              <w:top w:val="single" w:sz="4" w:space="0" w:color="000000"/>
              <w:bottom w:val="single" w:sz="4" w:space="0" w:color="000000"/>
            </w:tcBorders>
            <w:vAlign w:val="center"/>
          </w:tcPr>
          <w:p w14:paraId="7A90D9A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Making Connections Across Topics</w:t>
            </w:r>
          </w:p>
        </w:tc>
        <w:tc>
          <w:tcPr>
            <w:tcW w:w="1498" w:type="dxa"/>
            <w:tcBorders>
              <w:top w:val="single" w:sz="4" w:space="0" w:color="000000"/>
              <w:bottom w:val="single" w:sz="4" w:space="0" w:color="000000"/>
            </w:tcBorders>
            <w:vAlign w:val="center"/>
          </w:tcPr>
          <w:p w14:paraId="7A90D9B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Reasoning and Justification</w:t>
            </w:r>
          </w:p>
        </w:tc>
      </w:tr>
      <w:tr w:rsidR="00CC19F6" w14:paraId="7A90D9B8" w14:textId="77777777">
        <w:trPr>
          <w:trHeight w:val="307"/>
        </w:trPr>
        <w:tc>
          <w:tcPr>
            <w:tcW w:w="2228" w:type="dxa"/>
            <w:vMerge w:val="restart"/>
            <w:tcBorders>
              <w:top w:val="single" w:sz="4" w:space="0" w:color="000000"/>
            </w:tcBorders>
            <w:vAlign w:val="center"/>
          </w:tcPr>
          <w:p w14:paraId="7A90D9B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Accuracy in Solving Procedures </w:t>
            </w:r>
          </w:p>
        </w:tc>
        <w:tc>
          <w:tcPr>
            <w:tcW w:w="425" w:type="dxa"/>
            <w:tcBorders>
              <w:top w:val="single" w:sz="4" w:space="0" w:color="000000"/>
            </w:tcBorders>
            <w:vAlign w:val="center"/>
          </w:tcPr>
          <w:p w14:paraId="7A90D9B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tcBorders>
              <w:top w:val="single" w:sz="4" w:space="0" w:color="000000"/>
            </w:tcBorders>
            <w:vAlign w:val="center"/>
          </w:tcPr>
          <w:p w14:paraId="7A90D9B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0.594 ***</w:t>
            </w:r>
          </w:p>
        </w:tc>
        <w:tc>
          <w:tcPr>
            <w:tcW w:w="1477" w:type="dxa"/>
            <w:tcBorders>
              <w:top w:val="single" w:sz="4" w:space="0" w:color="000000"/>
            </w:tcBorders>
            <w:vAlign w:val="center"/>
          </w:tcPr>
          <w:p w14:paraId="7A90D9B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0.709 ***</w:t>
            </w:r>
          </w:p>
        </w:tc>
        <w:tc>
          <w:tcPr>
            <w:tcW w:w="1453" w:type="dxa"/>
            <w:tcBorders>
              <w:top w:val="single" w:sz="4" w:space="0" w:color="000000"/>
            </w:tcBorders>
            <w:vAlign w:val="center"/>
          </w:tcPr>
          <w:p w14:paraId="7A90D9B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0.633 ***</w:t>
            </w:r>
          </w:p>
        </w:tc>
        <w:tc>
          <w:tcPr>
            <w:tcW w:w="1498" w:type="dxa"/>
            <w:tcBorders>
              <w:top w:val="single" w:sz="4" w:space="0" w:color="000000"/>
            </w:tcBorders>
            <w:vAlign w:val="center"/>
          </w:tcPr>
          <w:p w14:paraId="7A90D9B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0.593 ***</w:t>
            </w:r>
          </w:p>
        </w:tc>
      </w:tr>
      <w:tr w:rsidR="00CC19F6" w14:paraId="7A90D9BF" w14:textId="77777777">
        <w:trPr>
          <w:trHeight w:val="307"/>
        </w:trPr>
        <w:tc>
          <w:tcPr>
            <w:tcW w:w="2228" w:type="dxa"/>
            <w:vMerge/>
            <w:tcBorders>
              <w:top w:val="single" w:sz="4" w:space="0" w:color="000000"/>
            </w:tcBorders>
            <w:vAlign w:val="center"/>
          </w:tcPr>
          <w:p w14:paraId="7A90D9B9"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vAlign w:val="center"/>
          </w:tcPr>
          <w:p w14:paraId="7A90D9BA"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vAlign w:val="center"/>
          </w:tcPr>
          <w:p w14:paraId="7A90D9B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vAlign w:val="center"/>
          </w:tcPr>
          <w:p w14:paraId="7A90D9B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vAlign w:val="center"/>
          </w:tcPr>
          <w:p w14:paraId="7A90D9B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vAlign w:val="center"/>
          </w:tcPr>
          <w:p w14:paraId="7A90D9B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C6" w14:textId="77777777">
        <w:trPr>
          <w:trHeight w:val="307"/>
        </w:trPr>
        <w:tc>
          <w:tcPr>
            <w:tcW w:w="2228" w:type="dxa"/>
            <w:vMerge w:val="restart"/>
            <w:vAlign w:val="center"/>
          </w:tcPr>
          <w:p w14:paraId="7A90D9C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Efficiency in Problem Solving </w:t>
            </w:r>
          </w:p>
        </w:tc>
        <w:tc>
          <w:tcPr>
            <w:tcW w:w="425" w:type="dxa"/>
            <w:vAlign w:val="center"/>
          </w:tcPr>
          <w:p w14:paraId="7A90D9C1"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vAlign w:val="center"/>
          </w:tcPr>
          <w:p w14:paraId="7A90D9C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0.546 ***</w:t>
            </w:r>
          </w:p>
        </w:tc>
        <w:tc>
          <w:tcPr>
            <w:tcW w:w="1477" w:type="dxa"/>
            <w:vAlign w:val="center"/>
          </w:tcPr>
          <w:p w14:paraId="7A90D9C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0.572 ***</w:t>
            </w:r>
          </w:p>
        </w:tc>
        <w:tc>
          <w:tcPr>
            <w:tcW w:w="1453" w:type="dxa"/>
            <w:vAlign w:val="center"/>
          </w:tcPr>
          <w:p w14:paraId="7A90D9C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0.565 ***</w:t>
            </w:r>
          </w:p>
        </w:tc>
        <w:tc>
          <w:tcPr>
            <w:tcW w:w="1498" w:type="dxa"/>
            <w:vAlign w:val="center"/>
          </w:tcPr>
          <w:p w14:paraId="7A90D9C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0.557 ***</w:t>
            </w:r>
          </w:p>
        </w:tc>
      </w:tr>
      <w:tr w:rsidR="00CC19F6" w14:paraId="7A90D9CD" w14:textId="77777777">
        <w:trPr>
          <w:trHeight w:val="307"/>
        </w:trPr>
        <w:tc>
          <w:tcPr>
            <w:tcW w:w="2228" w:type="dxa"/>
            <w:vMerge/>
            <w:vAlign w:val="center"/>
          </w:tcPr>
          <w:p w14:paraId="7A90D9C7"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vAlign w:val="center"/>
          </w:tcPr>
          <w:p w14:paraId="7A90D9C8"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vAlign w:val="center"/>
          </w:tcPr>
          <w:p w14:paraId="7A90D9C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vAlign w:val="center"/>
          </w:tcPr>
          <w:p w14:paraId="7A90D9C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vAlign w:val="center"/>
          </w:tcPr>
          <w:p w14:paraId="7A90D9C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vAlign w:val="center"/>
          </w:tcPr>
          <w:p w14:paraId="7A90D9C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D4" w14:textId="77777777">
        <w:trPr>
          <w:trHeight w:val="293"/>
        </w:trPr>
        <w:tc>
          <w:tcPr>
            <w:tcW w:w="2228" w:type="dxa"/>
            <w:vMerge w:val="restart"/>
            <w:vAlign w:val="center"/>
          </w:tcPr>
          <w:p w14:paraId="7A90D9CE"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Flexibility in Applying Procedures </w:t>
            </w:r>
          </w:p>
        </w:tc>
        <w:tc>
          <w:tcPr>
            <w:tcW w:w="425" w:type="dxa"/>
            <w:vAlign w:val="center"/>
          </w:tcPr>
          <w:p w14:paraId="7A90D9CF"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vAlign w:val="center"/>
          </w:tcPr>
          <w:p w14:paraId="7A90D9D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0.507 ***</w:t>
            </w:r>
          </w:p>
        </w:tc>
        <w:tc>
          <w:tcPr>
            <w:tcW w:w="1477" w:type="dxa"/>
            <w:vAlign w:val="center"/>
          </w:tcPr>
          <w:p w14:paraId="7A90D9D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0.521 ***</w:t>
            </w:r>
          </w:p>
        </w:tc>
        <w:tc>
          <w:tcPr>
            <w:tcW w:w="1453" w:type="dxa"/>
            <w:vAlign w:val="center"/>
          </w:tcPr>
          <w:p w14:paraId="7A90D9D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0.640 ***</w:t>
            </w:r>
          </w:p>
        </w:tc>
        <w:tc>
          <w:tcPr>
            <w:tcW w:w="1498" w:type="dxa"/>
            <w:vAlign w:val="center"/>
          </w:tcPr>
          <w:p w14:paraId="7A90D9D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0.682 ***</w:t>
            </w:r>
          </w:p>
        </w:tc>
      </w:tr>
      <w:tr w:rsidR="00CC19F6" w14:paraId="7A90D9DB" w14:textId="77777777">
        <w:trPr>
          <w:trHeight w:val="307"/>
        </w:trPr>
        <w:tc>
          <w:tcPr>
            <w:tcW w:w="2228" w:type="dxa"/>
            <w:vMerge/>
            <w:vAlign w:val="center"/>
          </w:tcPr>
          <w:p w14:paraId="7A90D9D5"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vAlign w:val="center"/>
          </w:tcPr>
          <w:p w14:paraId="7A90D9D6"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vAlign w:val="center"/>
          </w:tcPr>
          <w:p w14:paraId="7A90D9D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vAlign w:val="center"/>
          </w:tcPr>
          <w:p w14:paraId="7A90D9D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vAlign w:val="center"/>
          </w:tcPr>
          <w:p w14:paraId="7A90D9D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vAlign w:val="center"/>
          </w:tcPr>
          <w:p w14:paraId="7A90D9D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E2" w14:textId="77777777">
        <w:trPr>
          <w:trHeight w:val="307"/>
        </w:trPr>
        <w:tc>
          <w:tcPr>
            <w:tcW w:w="2228" w:type="dxa"/>
            <w:vMerge w:val="restart"/>
            <w:vAlign w:val="center"/>
          </w:tcPr>
          <w:p w14:paraId="7A90D9D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425" w:type="dxa"/>
            <w:vAlign w:val="center"/>
          </w:tcPr>
          <w:p w14:paraId="7A90D9DD"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vAlign w:val="center"/>
          </w:tcPr>
          <w:p w14:paraId="7A90D9D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0.539 ***</w:t>
            </w:r>
          </w:p>
        </w:tc>
        <w:tc>
          <w:tcPr>
            <w:tcW w:w="1477" w:type="dxa"/>
            <w:vAlign w:val="center"/>
          </w:tcPr>
          <w:p w14:paraId="7A90D9D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0.621 ***</w:t>
            </w:r>
          </w:p>
        </w:tc>
        <w:tc>
          <w:tcPr>
            <w:tcW w:w="1453" w:type="dxa"/>
            <w:vAlign w:val="center"/>
          </w:tcPr>
          <w:p w14:paraId="7A90D9E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0.652 ***</w:t>
            </w:r>
          </w:p>
        </w:tc>
        <w:tc>
          <w:tcPr>
            <w:tcW w:w="1498" w:type="dxa"/>
            <w:vAlign w:val="center"/>
          </w:tcPr>
          <w:p w14:paraId="7A90D9E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0.663 ***</w:t>
            </w:r>
          </w:p>
        </w:tc>
      </w:tr>
      <w:tr w:rsidR="00CC19F6" w14:paraId="7A90D9E9" w14:textId="77777777">
        <w:trPr>
          <w:trHeight w:val="307"/>
        </w:trPr>
        <w:tc>
          <w:tcPr>
            <w:tcW w:w="2228" w:type="dxa"/>
            <w:vMerge/>
            <w:vAlign w:val="center"/>
          </w:tcPr>
          <w:p w14:paraId="7A90D9E3"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tcBorders>
              <w:bottom w:val="single" w:sz="4" w:space="0" w:color="000000"/>
            </w:tcBorders>
            <w:vAlign w:val="center"/>
          </w:tcPr>
          <w:p w14:paraId="7A90D9E4"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tcBorders>
              <w:bottom w:val="single" w:sz="4" w:space="0" w:color="000000"/>
            </w:tcBorders>
            <w:vAlign w:val="center"/>
          </w:tcPr>
          <w:p w14:paraId="7A90D9E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tcBorders>
              <w:bottom w:val="single" w:sz="4" w:space="0" w:color="000000"/>
            </w:tcBorders>
            <w:vAlign w:val="center"/>
          </w:tcPr>
          <w:p w14:paraId="7A90D9E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tcBorders>
              <w:bottom w:val="single" w:sz="4" w:space="0" w:color="000000"/>
            </w:tcBorders>
            <w:vAlign w:val="center"/>
          </w:tcPr>
          <w:p w14:paraId="7A90D9E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tcBorders>
              <w:bottom w:val="single" w:sz="4" w:space="0" w:color="000000"/>
            </w:tcBorders>
            <w:vAlign w:val="center"/>
          </w:tcPr>
          <w:p w14:paraId="7A90D9E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7A90D9EA"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Notes: Ho: There is no significant relationship between students’ procedural fluency and  </w:t>
      </w:r>
    </w:p>
    <w:p w14:paraId="7A90D9EB"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conceptual understanding in mathematics learning.</w:t>
      </w:r>
    </w:p>
    <w:p w14:paraId="7A90D9E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Probability V</w:t>
      </w:r>
      <w:r>
        <w:rPr>
          <w:rFonts w:ascii="Times New Roman" w:eastAsia="Times New Roman" w:hAnsi="Times New Roman" w:cs="Times New Roman"/>
        </w:rPr>
        <w:t xml:space="preserve">alue </w:t>
      </w:r>
      <w:r>
        <w:rPr>
          <w:rFonts w:ascii="Times New Roman" w:eastAsia="Times New Roman" w:hAnsi="Times New Roman" w:cs="Times New Roman"/>
          <w:i/>
          <w:iCs/>
        </w:rPr>
        <w:t>Scale:</w:t>
      </w:r>
      <w:r>
        <w:rPr>
          <w:rFonts w:ascii="Times New Roman" w:eastAsia="Times New Roman" w:hAnsi="Times New Roman" w:cs="Times New Roman"/>
        </w:rPr>
        <w:t xml:space="preserve"> *** p &lt; .001</w:t>
      </w:r>
      <w:r>
        <w:rPr>
          <w:rFonts w:ascii="Times New Roman" w:eastAsia="Times New Roman" w:hAnsi="Times New Roman" w:cs="Times New Roman"/>
          <w:i/>
          <w:iCs/>
        </w:rPr>
        <w:t xml:space="preserve"> (Highly Significant); **p&lt;0.01 (Highly   </w:t>
      </w:r>
    </w:p>
    <w:p w14:paraId="7A90D9ED"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Significant); *p&lt;0.05 (Significant); p&gt;0.05 (Not significant) </w:t>
      </w:r>
    </w:p>
    <w:p w14:paraId="7A90D9EE" w14:textId="77777777" w:rsidR="00CC19F6" w:rsidRDefault="00CC19F6">
      <w:pPr>
        <w:spacing w:after="0" w:line="240" w:lineRule="auto"/>
        <w:ind w:firstLine="720"/>
        <w:jc w:val="both"/>
        <w:rPr>
          <w:rFonts w:ascii="Times New Roman" w:eastAsia="Times New Roman" w:hAnsi="Times New Roman" w:cs="Times New Roman"/>
          <w:i/>
          <w:iCs/>
        </w:rPr>
      </w:pPr>
    </w:p>
    <w:p w14:paraId="7A90D9EF"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Predictor of Students’ Conceptual Understanding in Mathematics</w:t>
      </w:r>
    </w:p>
    <w:p w14:paraId="7A90D9F0" w14:textId="77777777" w:rsidR="00CC19F6" w:rsidRDefault="0091218B">
      <w:pPr>
        <w:spacing w:after="0" w:line="240" w:lineRule="auto"/>
        <w:ind w:firstLine="720"/>
        <w:jc w:val="both"/>
        <w:rPr>
          <w:rFonts w:ascii="Times New Roman" w:eastAsia="Times New Roman" w:hAnsi="Times New Roman" w:cs="Times New Roman"/>
        </w:rPr>
      </w:pPr>
      <w:bookmarkStart w:id="2" w:name="_ocgqkzo06xi5" w:colFirst="0" w:colLast="0"/>
      <w:bookmarkEnd w:id="2"/>
      <w:r>
        <w:rPr>
          <w:rFonts w:ascii="Times New Roman" w:eastAsia="Times New Roman" w:hAnsi="Times New Roman" w:cs="Times New Roman"/>
        </w:rPr>
        <w:t>A multiple linear regression analysis was conducted to determine whether selected dimensions of students’ procedural fluency and strategic competence significantly predict students’ conceptual understanding in mathematics. In this model, efficiency in problem-solving, flexibility in applying procedures, and the appropriateness of procedures represented the procedural fluency variables. In contrast, problem representation, strategy formulation, and evaluation and justification represented components of strategic competence. Students’ conceptual understanding served as the dependent variable. The analysis aimed to examine how these cognitive dimensions collectively influence students’ ability to comprehend mathematical concepts, establish relationships among ideas, and apply knowledge meaningfully.</w:t>
      </w:r>
    </w:p>
    <w:p w14:paraId="7A90D9F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results indicate that the regression model demonstrates a highly significant relationship between the predictors and students’ conceptual understanding. The adjusted R² value of 80.59% shows that approximately 80.59% of the variation in students’ conceptual understanding can be explained by the combined influence of procedural fluency and strategic competence variables. This proportion is considered very high, suggesting that the model has </w:t>
      </w:r>
      <w:r>
        <w:rPr>
          <w:rFonts w:ascii="Times New Roman" w:eastAsia="Times New Roman" w:hAnsi="Times New Roman" w:cs="Times New Roman"/>
        </w:rPr>
        <w:lastRenderedPageBreak/>
        <w:t>strong explanatory power. Furthermore, the model is statistically significant (F = 94.43, p &lt; .001), confirming that the predictors, when taken together, provide a meaningful and reliable explanation of students’ conceptual understanding and that the results are unlikely due to chance.</w:t>
      </w:r>
    </w:p>
    <w:p w14:paraId="7A90D9F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Examining the individual predictors, all variables were found to have a statistically significant, positive influence on students’ conceptual understanding. Among the predictors, appropriateness of procedures emerged as the strongest predictor (β = 0.23, t = 5.27, p &lt; .001). This suggests that students who can select and apply appropriate mathematical procedures are more likely to develop a deeper understanding of the underlying concepts. When learners choose suitable procedures, it reflects not only procedural knowledge but also an awareness of why certain methods are effective, which strengthens conceptual clarity.</w:t>
      </w:r>
    </w:p>
    <w:p w14:paraId="7A90D9F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Problem representation was also identified as a strong predictor (β = 0.20, t = 5.05, p &lt; .001). This indicates that students who can accurately interpret and represent mathematical problems tend to have higher conceptual understanding. The ability to translate problems into mathematical forms, such as diagrams, symbols, or equations, enables learners to organize information and recognize relationships among concepts, thereby enhancing comprehension. Similarly, flexibility in applying procedures showed a significant positive effect (β = 0.16, t = 3.06, p = 0.003), suggesting that students who can adapt their procedures across different contexts are better able to understand mathematical ideas at a deeper level.</w:t>
      </w:r>
    </w:p>
    <w:p w14:paraId="7A90D9F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Efficiency in problem solving (β = 0.12, t = 3.95, p &lt; .001) and strategy formulation (β = 0.12, t = 2.58, p = 0.011) were also significant predictors of conceptual understanding. These findings imply that students who can solve problems efficiently and plan appropriate strategies tend to develop clearer and more structured conceptual knowledge. Efficient problem solvers focus on essential aspects of a task, while effective strategy formulation supports logical thinking and organized reasoning. Evaluation and justification likewise contributed significantly (β = 0.09, t = 2.18, p = 0.030), indicating that students who reflect on and justify their solutions are more likely to solidify their conceptual understanding, as this process requires them to explain and validate the relationships among mathematical ideas.</w:t>
      </w:r>
    </w:p>
    <w:p w14:paraId="7A90D9F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Recent studies in mathematics education strongly support these findings. Research shows that conceptual understanding is enhanced when students engage in meaningful problem-solving processes that require them to select appropriate procedures and justify their reasoning (Fielding &amp; Makar, 2022). A recent study found that students’ conceptual understanding improves when they actively engage in mathematical tasks that involve explanation, representation, and reasoning across multiple topics (Prediger, 2022). Similarly, a systematic review emphasized that conceptual learning is closely linked to students’ ability to analyze, interpret, and apply mathematical ideas flexibly, rather than relying solely on routine procedures (Tañola &amp; Lomibao, 2024).</w:t>
      </w:r>
    </w:p>
    <w:p w14:paraId="7A90D9F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Moreover, related studies highlight the importance of problem representation and strategic processes in developing conceptual understanding (Benedek et al., 2023). According to recent trends in mathematics education, learners’ ability to represent problems using symbolic, graphical, or contextual forms significantly shapes their reasoning and understanding of mathematical concepts (Mutodi &amp; Mosimege, 2021). This supports the present finding that problem representation is one of the strongest predictors of conceptual understanding. In addition, studies on problem-solving models indicate that conceptual understanding develops when students engage in structured problem-solving approaches that integrate reasoning, flexibility, and justification (Elhilal, 2025).</w:t>
      </w:r>
    </w:p>
    <w:p w14:paraId="7A90D9F7"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Furthermore, recent empirical research underscores that procedural fluency and conceptual understanding are interconnected rather than separate constructs (Keazer &amp; Phaiah, 2023). Learners who demonstrate efficiency and flexibility in solving problems tend to develop deeper conceptual knowledge because they can focus on relationships among concepts rather than merely executing steps (Arsyad &amp; Syakhrani, 2024). This explains why efficiency, flexibility, and appropriateness of procedures significantly contributed to conceptual understanding in the present study. Additionally, studies have shown that metacognitive processes, such as evaluating and justifying solutions, play a critical role in strengthening conceptual learning by encouraging students to reflect on their reasoning and validate their understanding (Rivas et al., 2022).</w:t>
      </w:r>
    </w:p>
    <w:p w14:paraId="7A90D9F8"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Overall, the results suggest that students’ conceptual understanding is significantly shaped by both procedural fluency and strategic competence. When students can efficiently solve problems, apply procedures flexibly and appropriately, represent problems clearly, formulate strategies, and justify their solutions, they are more likely to develop a deep and connected understanding of mathematical concepts. These findings highlight that conceptual understanding is not developed in isolation but rather results from the integration of multiple cognitive skills.</w:t>
      </w:r>
    </w:p>
    <w:p w14:paraId="7A90D9F9" w14:textId="77777777" w:rsidR="00CC19F6" w:rsidRDefault="0091218B">
      <w:pPr>
        <w:spacing w:after="0" w:line="240" w:lineRule="auto"/>
        <w:ind w:firstLine="720"/>
        <w:jc w:val="both"/>
      </w:pPr>
      <w:r>
        <w:rPr>
          <w:rFonts w:ascii="Times New Roman" w:eastAsia="Times New Roman" w:hAnsi="Times New Roman" w:cs="Times New Roman"/>
        </w:rPr>
        <w:t>The findings have important implications for mathematics instruction. Teachers should design learning experiences that integrate procedural fluency with strategic thinking skills. Instructional approaches such as problem-based learning, use of multiple representations, guided questioning, and reflective activities can help students strengthen both their procedural and conceptual knowledge. By fostering efficiency, flexibility, and reasoning in problem solving, educators can support the development of deeper conceptual understanding, ultimately improving students’ overall mathematical proficiency.</w:t>
      </w:r>
    </w:p>
    <w:p w14:paraId="7A90D9FA" w14:textId="77777777" w:rsidR="00CC19F6" w:rsidRDefault="00CC19F6">
      <w:pPr>
        <w:spacing w:after="0" w:line="240" w:lineRule="auto"/>
        <w:jc w:val="both"/>
        <w:rPr>
          <w:rFonts w:ascii="Times New Roman" w:eastAsia="Times New Roman" w:hAnsi="Times New Roman" w:cs="Times New Roman"/>
        </w:rPr>
      </w:pPr>
    </w:p>
    <w:p w14:paraId="7A90D9FB"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Table 7 </w:t>
      </w:r>
    </w:p>
    <w:tbl>
      <w:tblPr>
        <w:tblStyle w:val="a8"/>
        <w:tblW w:w="9037"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1"/>
        <w:gridCol w:w="1177"/>
        <w:gridCol w:w="1177"/>
        <w:gridCol w:w="1194"/>
        <w:gridCol w:w="2048"/>
      </w:tblGrid>
      <w:tr w:rsidR="00CC19F6" w14:paraId="7A90DA01"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vAlign w:val="bottom"/>
          </w:tcPr>
          <w:p w14:paraId="7A90D9F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Predictors</w:t>
            </w:r>
          </w:p>
        </w:tc>
        <w:tc>
          <w:tcPr>
            <w:tcW w:w="1177" w:type="dxa"/>
            <w:tcBorders>
              <w:top w:val="nil"/>
              <w:left w:val="nil"/>
              <w:bottom w:val="nil"/>
              <w:right w:val="nil"/>
            </w:tcBorders>
            <w:shd w:val="clear" w:color="auto" w:fill="FFFFFF"/>
            <w:tcMar>
              <w:top w:w="30" w:type="dxa"/>
              <w:left w:w="30" w:type="dxa"/>
              <w:bottom w:w="30" w:type="dxa"/>
              <w:right w:w="30" w:type="dxa"/>
            </w:tcMar>
            <w:vAlign w:val="bottom"/>
          </w:tcPr>
          <w:p w14:paraId="7A90D9FD"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Coef (β)</w:t>
            </w:r>
          </w:p>
        </w:tc>
        <w:tc>
          <w:tcPr>
            <w:tcW w:w="1177" w:type="dxa"/>
            <w:tcBorders>
              <w:top w:val="nil"/>
              <w:left w:val="nil"/>
              <w:bottom w:val="nil"/>
              <w:right w:val="nil"/>
            </w:tcBorders>
            <w:shd w:val="clear" w:color="auto" w:fill="FFFFFF"/>
            <w:tcMar>
              <w:top w:w="30" w:type="dxa"/>
              <w:left w:w="30" w:type="dxa"/>
              <w:bottom w:w="30" w:type="dxa"/>
              <w:right w:w="30" w:type="dxa"/>
            </w:tcMar>
            <w:vAlign w:val="bottom"/>
          </w:tcPr>
          <w:p w14:paraId="7A90D9FE"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SE Coef</w:t>
            </w:r>
          </w:p>
        </w:tc>
        <w:tc>
          <w:tcPr>
            <w:tcW w:w="1194" w:type="dxa"/>
            <w:tcBorders>
              <w:top w:val="nil"/>
              <w:left w:val="nil"/>
              <w:bottom w:val="nil"/>
              <w:right w:val="nil"/>
            </w:tcBorders>
            <w:shd w:val="clear" w:color="auto" w:fill="FFFFFF"/>
            <w:tcMar>
              <w:top w:w="30" w:type="dxa"/>
              <w:left w:w="30" w:type="dxa"/>
              <w:bottom w:w="30" w:type="dxa"/>
              <w:right w:w="30" w:type="dxa"/>
            </w:tcMar>
            <w:vAlign w:val="bottom"/>
          </w:tcPr>
          <w:p w14:paraId="7A90D9FF"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t- value</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00"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p-value</w:t>
            </w:r>
          </w:p>
        </w:tc>
      </w:tr>
      <w:tr w:rsidR="00CC19F6" w14:paraId="7A90DA07" w14:textId="77777777">
        <w:trPr>
          <w:cantSplit/>
          <w:trHeight w:val="233"/>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0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(Constant)</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3"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0.16</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4"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05"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1.124</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06"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0.263</w:t>
            </w:r>
          </w:p>
        </w:tc>
      </w:tr>
      <w:tr w:rsidR="00CC19F6" w14:paraId="7A90DA0D"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0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Efficiency in Problem Solving</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0.12</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A"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0.03</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0B"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3.95</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0C"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CC19F6" w14:paraId="7A90DA13"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0E"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Flexibility in Applying Procedures</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F"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0.16</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0"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0.52</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11"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3.06</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12"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0.003</w:t>
            </w:r>
          </w:p>
        </w:tc>
      </w:tr>
      <w:tr w:rsidR="00CC19F6" w14:paraId="7A90DA19"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14"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5"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0.23</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6"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1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5.27</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1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CC19F6" w14:paraId="7A90DA1F"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1A"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Problem Representation</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B"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0.20</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C"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1D"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5.05</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1E"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CC19F6" w14:paraId="7A90DA25"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20"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Strategy Formulation</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1"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0.12</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2"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0.05</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23"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2.58</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24"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0.011</w:t>
            </w:r>
          </w:p>
        </w:tc>
      </w:tr>
      <w:tr w:rsidR="00CC19F6" w14:paraId="7A90DA2B"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26"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Evaluation and Justification</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0.09</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2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2.18</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2A"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0.030</w:t>
            </w:r>
          </w:p>
        </w:tc>
      </w:tr>
      <w:tr w:rsidR="00CC19F6" w14:paraId="7A90DA2D" w14:textId="77777777">
        <w:trPr>
          <w:cantSplit/>
          <w:trHeight w:val="233"/>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2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Adjusted 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80.59%                                   </w:t>
            </w:r>
          </w:p>
        </w:tc>
      </w:tr>
      <w:tr w:rsidR="00CC19F6" w14:paraId="7A90DA2F" w14:textId="77777777">
        <w:trPr>
          <w:cantSplit/>
          <w:trHeight w:val="233"/>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2E"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 value                     94.43                                  </w:t>
            </w:r>
          </w:p>
        </w:tc>
      </w:tr>
      <w:tr w:rsidR="00CC19F6" w14:paraId="7A90DA31" w14:textId="77777777">
        <w:trPr>
          <w:cantSplit/>
          <w:trHeight w:val="221"/>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3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p-value                   &lt; .001                                   </w:t>
            </w:r>
          </w:p>
        </w:tc>
      </w:tr>
      <w:tr w:rsidR="00CC19F6" w14:paraId="7A90DA33" w14:textId="77777777">
        <w:trPr>
          <w:cantSplit/>
          <w:trHeight w:val="310"/>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32" w14:textId="77777777" w:rsidR="00CC19F6" w:rsidRDefault="0091218B">
            <w:pPr>
              <w:spacing w:after="0" w:line="240" w:lineRule="auto"/>
              <w:ind w:left="3534" w:hanging="3534"/>
              <w:rPr>
                <w:rFonts w:ascii="Times New Roman" w:eastAsia="Times New Roman" w:hAnsi="Times New Roman" w:cs="Times New Roman"/>
              </w:rPr>
            </w:pPr>
            <w:r>
              <w:rPr>
                <w:rFonts w:ascii="Times New Roman" w:eastAsia="Times New Roman" w:hAnsi="Times New Roman" w:cs="Times New Roman"/>
              </w:rPr>
              <w:t>Students’ Conceptual Understanding = 0.16+ 0.12* Efficiency in Problem Solving+0.16* Flexibility in Applying Procedures+0.23*Appropriateness of Procedures+0.20*Problem Representation+0.12*Strategy Formulation+0.09*Strategy Formulation</w:t>
            </w:r>
          </w:p>
        </w:tc>
      </w:tr>
    </w:tbl>
    <w:p w14:paraId="7A90DA34" w14:textId="77777777" w:rsidR="00CC19F6" w:rsidRDefault="00CC19F6">
      <w:pPr>
        <w:spacing w:after="0" w:line="240" w:lineRule="auto"/>
        <w:jc w:val="both"/>
        <w:rPr>
          <w:rFonts w:ascii="Times New Roman" w:eastAsia="Times New Roman" w:hAnsi="Times New Roman" w:cs="Times New Roman"/>
        </w:rPr>
      </w:pPr>
    </w:p>
    <w:p w14:paraId="7A90DA35" w14:textId="77777777" w:rsidR="00CC19F6" w:rsidRDefault="0091218B">
      <w:pPr>
        <w:spacing w:after="0" w:line="240" w:lineRule="auto"/>
        <w:jc w:val="both"/>
        <w:rPr>
          <w:rFonts w:ascii="Times New Roman" w:eastAsia="Times New Roman" w:hAnsi="Times New Roman" w:cs="Times New Roman"/>
          <w:b/>
          <w:bCs/>
        </w:rPr>
      </w:pPr>
      <w:bookmarkStart w:id="3" w:name="_nl9n6trm88rf" w:colFirst="0" w:colLast="0"/>
      <w:bookmarkEnd w:id="3"/>
      <w:r>
        <w:rPr>
          <w:rFonts w:ascii="Times New Roman" w:eastAsia="Times New Roman" w:hAnsi="Times New Roman" w:cs="Times New Roman"/>
          <w:b/>
          <w:bCs/>
        </w:rPr>
        <w:t xml:space="preserve">Mediation Analysis on the Effect of Students’ Strategic Competence in the </w:t>
      </w:r>
    </w:p>
    <w:p w14:paraId="7A90DA36" w14:textId="77777777" w:rsidR="00CC19F6" w:rsidRDefault="0091218B">
      <w:pPr>
        <w:spacing w:after="0" w:line="240" w:lineRule="auto"/>
        <w:jc w:val="both"/>
        <w:rPr>
          <w:rFonts w:ascii="Times New Roman" w:eastAsia="Times New Roman" w:hAnsi="Times New Roman" w:cs="Times New Roman"/>
          <w:b/>
          <w:bCs/>
        </w:rPr>
      </w:pPr>
      <w:bookmarkStart w:id="4" w:name="_sd9pjc84ears" w:colFirst="0" w:colLast="0"/>
      <w:bookmarkEnd w:id="4"/>
      <w:r>
        <w:rPr>
          <w:rFonts w:ascii="Times New Roman" w:eastAsia="Times New Roman" w:hAnsi="Times New Roman" w:cs="Times New Roman"/>
          <w:b/>
          <w:bCs/>
        </w:rPr>
        <w:lastRenderedPageBreak/>
        <w:t xml:space="preserve">Relationship between their Procedural Fluency and Conceptual </w:t>
      </w:r>
    </w:p>
    <w:p w14:paraId="7A90DA37" w14:textId="77777777" w:rsidR="00CC19F6" w:rsidRDefault="0091218B">
      <w:pPr>
        <w:spacing w:after="0" w:line="240" w:lineRule="auto"/>
        <w:jc w:val="both"/>
        <w:rPr>
          <w:rFonts w:ascii="Times New Roman" w:eastAsia="Times New Roman" w:hAnsi="Times New Roman" w:cs="Times New Roman"/>
          <w:b/>
          <w:bCs/>
        </w:rPr>
      </w:pPr>
      <w:bookmarkStart w:id="5" w:name="_hifb8fbv4p06" w:colFirst="0" w:colLast="0"/>
      <w:bookmarkEnd w:id="5"/>
      <w:r>
        <w:rPr>
          <w:rFonts w:ascii="Times New Roman" w:eastAsia="Times New Roman" w:hAnsi="Times New Roman" w:cs="Times New Roman"/>
          <w:b/>
          <w:bCs/>
        </w:rPr>
        <w:t xml:space="preserve">Understanding in Mathematics </w:t>
      </w:r>
    </w:p>
    <w:p w14:paraId="7A90DA38" w14:textId="77777777" w:rsidR="00CC19F6" w:rsidRDefault="00CC19F6">
      <w:pPr>
        <w:spacing w:after="0" w:line="240" w:lineRule="auto"/>
        <w:jc w:val="both"/>
        <w:rPr>
          <w:rFonts w:ascii="Times New Roman" w:eastAsia="Times New Roman" w:hAnsi="Times New Roman" w:cs="Times New Roman"/>
          <w:b/>
          <w:bCs/>
        </w:rPr>
      </w:pPr>
    </w:p>
    <w:p w14:paraId="7A90DA39"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 mediation analysis was conducted to determine whether students’ strategic competence mediates the relationship between procedural fluency and conceptual understanding in mathematics learning (Table 8). The hypothesis tested in this analysis was that strategic competence significantly mediates the relationship between procedural fluency and conceptual understanding among students. The analysis examined whether procedural fluency influences conceptual understanding directly or indirectly through the development of students’ strategic competence. The results revealed that the total effect of procedural fluency on conceptual understanding was statistically significant, [B = 0.900, SE = 0.0419, 95% CI, 0.818, 0.983, Z = 21.48, p &lt; .001]. This indicates that higher levels of procedural fluency are strongly associated with greater conceptual understanding among students in mathematics.</w:t>
      </w:r>
    </w:p>
    <w:p w14:paraId="7A90DA3A"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direct effect of procedural fluency on conceptual understanding remained statistically significant even after controlling for the mediating role of strategic competence, [B = 0.536, SE = 0.0551, 95% CI, 0.428, 0.644, Z = 9.71, p &lt; .001]. This finding suggests that procedural fluency independently contributes to students’ conceptual understanding. Students who can perform mathematical procedures accurately and efficiently are better able to understand underlying principles and apply them in problem-solving situations.</w:t>
      </w:r>
    </w:p>
    <w:p w14:paraId="7A90DA3B"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At the same time, the indirect effect through strategic competence was also statistically significant, [B = 0.365, SE = 0.0480, 95% CI, 0.271, 0.459, Z = 7.60, p &lt; .001]. This indicates that strategic competence significantly mediates the relationship between procedural fluency and conceptual understanding. The mediation results further show that 40.5% of the total effect occurs indirectly through strategic competence, while 59.5% remains direct, indicating a partial mediation effect. This suggests that procedural fluency enhances conceptual understanding not only through direct mastery of mathematical procedures but also by strengthening students’ ability to develop and apply effective problem-solving strategies.</w:t>
      </w:r>
    </w:p>
    <w:p w14:paraId="7A90DA3C"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path estimates further support this mediation relationship. Procedural fluency significantly predicted strategic competence, [B = 0.758, SE = 0.0470, 95% CI, 0.666, 0.850, Z = 16.14, p &lt; .001], indicating that students with stronger procedural skills are more capable of formulating and adapting strategies when solving mathematical problems. In turn, strategic competence significantly predicted conceptual understanding, B = 0.481, SE = 0.0559, 95% CI, 0.372, 0.591, Z = 8.61, p &lt; .001], suggesting that students who can represent problems clearly, plan solution strategies, and evaluate their reasoning tend to demonstrate deeper understanding of mathematical concepts.</w:t>
      </w:r>
    </w:p>
    <w:p w14:paraId="7A90DA3D"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These findings are consistent with recent studies that emphasize the interconnectedness of procedural fluency, strategic competence, and conceptual understanding in mathematics learning. Procedural fluency provides a foundational skill set that allows students to perform mathematical operations accurately and efficiently, enabling them to focus on higher-level reasoning processes (Go et al., 2023). Strategic competence, on the other hand, enables students to formulate strategies, represent mathematical situations, and evaluate solutions, which strengthens their ability to understand and apply mathematical concepts across different contexts (Ukobizaba et al., 2021). Similarly, research indicates that students who engage in strategic problem-solving demonstrate stronger conceptual understanding by actively connecting procedures to underlying mathematical ideas (Vale et al., 2023).</w:t>
      </w:r>
    </w:p>
    <w:p w14:paraId="7A90DA3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Overall, the mediation analysis highlights the important role of strategic competence as a pathway through which procedural fluency contributes to conceptual understanding. While procedural skills directly support conceptual learning, their impact is stronger when students can use them strategically in problem-solving situations. These findings suggest that mathematics instruction should emphasize not only procedural accuracy but also strategic thinking. Learning activities that encourage students to represent problems, formulate strategies, adapt approaches, and justify their reasoning may help strengthen strategic competence and ultimately enhance students’ conceptual understanding of mathematics.</w:t>
      </w:r>
    </w:p>
    <w:p w14:paraId="7A90DA3F" w14:textId="77777777" w:rsidR="00CC19F6" w:rsidRDefault="00CC19F6">
      <w:pPr>
        <w:spacing w:after="0" w:line="240" w:lineRule="auto"/>
        <w:ind w:firstLine="720"/>
        <w:jc w:val="both"/>
        <w:rPr>
          <w:rFonts w:ascii="Times New Roman" w:eastAsia="Times New Roman" w:hAnsi="Times New Roman" w:cs="Times New Roman"/>
        </w:rPr>
      </w:pPr>
    </w:p>
    <w:p w14:paraId="7A90DA40" w14:textId="77777777" w:rsidR="00CC19F6" w:rsidRDefault="00CC19F6">
      <w:pPr>
        <w:spacing w:after="0" w:line="240" w:lineRule="auto"/>
        <w:ind w:firstLine="720"/>
        <w:jc w:val="both"/>
        <w:rPr>
          <w:rFonts w:ascii="Times New Roman" w:eastAsia="Times New Roman" w:hAnsi="Times New Roman" w:cs="Times New Roman"/>
        </w:rPr>
      </w:pPr>
    </w:p>
    <w:p w14:paraId="7A90DA41" w14:textId="77777777" w:rsidR="00CC19F6" w:rsidRDefault="00CC19F6">
      <w:pPr>
        <w:spacing w:after="0" w:line="240" w:lineRule="auto"/>
        <w:ind w:firstLine="720"/>
        <w:jc w:val="both"/>
        <w:rPr>
          <w:rFonts w:ascii="Times New Roman" w:eastAsia="Times New Roman" w:hAnsi="Times New Roman" w:cs="Times New Roman"/>
        </w:rPr>
      </w:pPr>
    </w:p>
    <w:p w14:paraId="7A90DA42"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8</w:t>
      </w:r>
    </w:p>
    <w:p w14:paraId="7A90DA4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Mediation analysis on the effect of students’ strategic competence in the relationship between procedural fluency and conceptual understanding in mathematics learning.</w:t>
      </w:r>
    </w:p>
    <w:p w14:paraId="7A90DA44" w14:textId="77777777" w:rsidR="00CC19F6" w:rsidRDefault="00CC19F6">
      <w:pPr>
        <w:spacing w:after="0" w:line="240" w:lineRule="auto"/>
        <w:jc w:val="both"/>
        <w:rPr>
          <w:rFonts w:ascii="Times New Roman" w:eastAsia="Times New Roman" w:hAnsi="Times New Roman" w:cs="Times New Roman"/>
          <w:i/>
          <w:iCs/>
        </w:rPr>
      </w:pPr>
    </w:p>
    <w:tbl>
      <w:tblPr>
        <w:tblStyle w:val="a9"/>
        <w:tblW w:w="9214"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440"/>
        <w:gridCol w:w="275"/>
        <w:gridCol w:w="928"/>
        <w:gridCol w:w="867"/>
        <w:gridCol w:w="680"/>
        <w:gridCol w:w="810"/>
        <w:gridCol w:w="810"/>
        <w:gridCol w:w="739"/>
        <w:gridCol w:w="701"/>
        <w:gridCol w:w="739"/>
        <w:gridCol w:w="1225"/>
      </w:tblGrid>
      <w:tr w:rsidR="00CC19F6" w14:paraId="7A90DA4D" w14:textId="77777777">
        <w:trPr>
          <w:trHeight w:val="357"/>
        </w:trPr>
        <w:tc>
          <w:tcPr>
            <w:tcW w:w="2643" w:type="dxa"/>
            <w:gridSpan w:val="3"/>
            <w:vMerge w:val="restart"/>
            <w:tcBorders>
              <w:top w:val="single" w:sz="4" w:space="0" w:color="000000"/>
            </w:tcBorders>
            <w:vAlign w:val="center"/>
          </w:tcPr>
          <w:p w14:paraId="7A90DA45"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Effect</w:t>
            </w:r>
          </w:p>
        </w:tc>
        <w:tc>
          <w:tcPr>
            <w:tcW w:w="1547" w:type="dxa"/>
            <w:gridSpan w:val="2"/>
            <w:vMerge w:val="restart"/>
            <w:tcBorders>
              <w:top w:val="single" w:sz="4" w:space="0" w:color="000000"/>
            </w:tcBorders>
            <w:vAlign w:val="center"/>
          </w:tcPr>
          <w:p w14:paraId="7A90DA46"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Label</w:t>
            </w:r>
          </w:p>
          <w:p w14:paraId="7A90DA47"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Estimate</w:t>
            </w:r>
          </w:p>
        </w:tc>
        <w:tc>
          <w:tcPr>
            <w:tcW w:w="810" w:type="dxa"/>
            <w:vMerge w:val="restart"/>
            <w:tcBorders>
              <w:top w:val="single" w:sz="4" w:space="0" w:color="000000"/>
            </w:tcBorders>
          </w:tcPr>
          <w:p w14:paraId="7A90DA48"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SE</w:t>
            </w:r>
          </w:p>
        </w:tc>
        <w:tc>
          <w:tcPr>
            <w:tcW w:w="1549" w:type="dxa"/>
            <w:gridSpan w:val="2"/>
            <w:tcBorders>
              <w:top w:val="single" w:sz="4" w:space="0" w:color="000000"/>
              <w:bottom w:val="nil"/>
            </w:tcBorders>
          </w:tcPr>
          <w:p w14:paraId="7A90DA49"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 Confidence Interval</w:t>
            </w:r>
          </w:p>
        </w:tc>
        <w:tc>
          <w:tcPr>
            <w:tcW w:w="701" w:type="dxa"/>
            <w:tcBorders>
              <w:top w:val="single" w:sz="4" w:space="0" w:color="000000"/>
              <w:bottom w:val="nil"/>
            </w:tcBorders>
          </w:tcPr>
          <w:p w14:paraId="7A90DA4A" w14:textId="77777777" w:rsidR="00CC19F6" w:rsidRDefault="00CC19F6" w:rsidP="0091218B">
            <w:pPr>
              <w:spacing w:line="240" w:lineRule="auto"/>
              <w:jc w:val="center"/>
              <w:rPr>
                <w:rFonts w:ascii="Times New Roman" w:eastAsia="Times New Roman" w:hAnsi="Times New Roman" w:cs="Times New Roman"/>
                <w:b/>
                <w:bCs/>
                <w:sz w:val="16"/>
                <w:szCs w:val="16"/>
              </w:rPr>
            </w:pPr>
          </w:p>
        </w:tc>
        <w:tc>
          <w:tcPr>
            <w:tcW w:w="739" w:type="dxa"/>
            <w:tcBorders>
              <w:top w:val="single" w:sz="4" w:space="0" w:color="000000"/>
              <w:bottom w:val="nil"/>
            </w:tcBorders>
          </w:tcPr>
          <w:p w14:paraId="7A90DA4B" w14:textId="77777777" w:rsidR="00CC19F6" w:rsidRDefault="00CC19F6" w:rsidP="0091218B">
            <w:pPr>
              <w:spacing w:line="240" w:lineRule="auto"/>
              <w:jc w:val="center"/>
              <w:rPr>
                <w:rFonts w:ascii="Times New Roman" w:eastAsia="Times New Roman" w:hAnsi="Times New Roman" w:cs="Times New Roman"/>
                <w:b/>
                <w:bCs/>
                <w:sz w:val="16"/>
                <w:szCs w:val="16"/>
              </w:rPr>
            </w:pPr>
          </w:p>
        </w:tc>
        <w:tc>
          <w:tcPr>
            <w:tcW w:w="1225" w:type="dxa"/>
            <w:tcBorders>
              <w:top w:val="single" w:sz="4" w:space="0" w:color="000000"/>
              <w:bottom w:val="nil"/>
            </w:tcBorders>
          </w:tcPr>
          <w:p w14:paraId="7A90DA4C" w14:textId="77777777" w:rsidR="00CC19F6" w:rsidRDefault="00CC19F6" w:rsidP="0091218B">
            <w:pPr>
              <w:spacing w:line="240" w:lineRule="auto"/>
              <w:jc w:val="center"/>
              <w:rPr>
                <w:rFonts w:ascii="Times New Roman" w:eastAsia="Times New Roman" w:hAnsi="Times New Roman" w:cs="Times New Roman"/>
                <w:b/>
                <w:bCs/>
                <w:sz w:val="16"/>
                <w:szCs w:val="16"/>
              </w:rPr>
            </w:pPr>
          </w:p>
        </w:tc>
      </w:tr>
      <w:tr w:rsidR="00CC19F6" w14:paraId="7A90DA56" w14:textId="77777777">
        <w:trPr>
          <w:trHeight w:val="277"/>
        </w:trPr>
        <w:tc>
          <w:tcPr>
            <w:tcW w:w="2643" w:type="dxa"/>
            <w:gridSpan w:val="3"/>
            <w:vMerge/>
            <w:tcBorders>
              <w:top w:val="single" w:sz="4" w:space="0" w:color="000000"/>
            </w:tcBorders>
            <w:vAlign w:val="center"/>
          </w:tcPr>
          <w:p w14:paraId="7A90DA4E" w14:textId="77777777" w:rsidR="00CC19F6" w:rsidRDefault="00CC19F6" w:rsidP="0091218B">
            <w:pPr>
              <w:widowControl w:val="0"/>
              <w:pBdr>
                <w:top w:val="nil"/>
                <w:left w:val="nil"/>
                <w:bottom w:val="nil"/>
                <w:right w:val="nil"/>
                <w:between w:val="nil"/>
              </w:pBdr>
              <w:spacing w:after="0" w:line="240" w:lineRule="auto"/>
              <w:rPr>
                <w:rFonts w:ascii="Times New Roman" w:eastAsia="Times New Roman" w:hAnsi="Times New Roman" w:cs="Times New Roman"/>
                <w:b/>
                <w:bCs/>
                <w:sz w:val="16"/>
                <w:szCs w:val="16"/>
              </w:rPr>
            </w:pPr>
          </w:p>
        </w:tc>
        <w:tc>
          <w:tcPr>
            <w:tcW w:w="1547" w:type="dxa"/>
            <w:gridSpan w:val="2"/>
            <w:vMerge/>
            <w:tcBorders>
              <w:top w:val="single" w:sz="4" w:space="0" w:color="000000"/>
            </w:tcBorders>
            <w:vAlign w:val="center"/>
          </w:tcPr>
          <w:p w14:paraId="7A90DA4F" w14:textId="77777777" w:rsidR="00CC19F6" w:rsidRDefault="00CC19F6" w:rsidP="0091218B">
            <w:pPr>
              <w:widowControl w:val="0"/>
              <w:pBdr>
                <w:top w:val="nil"/>
                <w:left w:val="nil"/>
                <w:bottom w:val="nil"/>
                <w:right w:val="nil"/>
                <w:between w:val="nil"/>
              </w:pBdr>
              <w:spacing w:after="0" w:line="240" w:lineRule="auto"/>
              <w:rPr>
                <w:rFonts w:ascii="Times New Roman" w:eastAsia="Times New Roman" w:hAnsi="Times New Roman" w:cs="Times New Roman"/>
                <w:b/>
                <w:bCs/>
                <w:sz w:val="16"/>
                <w:szCs w:val="16"/>
              </w:rPr>
            </w:pPr>
          </w:p>
        </w:tc>
        <w:tc>
          <w:tcPr>
            <w:tcW w:w="810" w:type="dxa"/>
            <w:vMerge/>
            <w:tcBorders>
              <w:top w:val="single" w:sz="4" w:space="0" w:color="000000"/>
            </w:tcBorders>
          </w:tcPr>
          <w:p w14:paraId="7A90DA50" w14:textId="77777777" w:rsidR="00CC19F6" w:rsidRDefault="00CC19F6" w:rsidP="0091218B">
            <w:pPr>
              <w:widowControl w:val="0"/>
              <w:pBdr>
                <w:top w:val="nil"/>
                <w:left w:val="nil"/>
                <w:bottom w:val="nil"/>
                <w:right w:val="nil"/>
                <w:between w:val="nil"/>
              </w:pBdr>
              <w:spacing w:after="0" w:line="240" w:lineRule="auto"/>
              <w:rPr>
                <w:rFonts w:ascii="Times New Roman" w:eastAsia="Times New Roman" w:hAnsi="Times New Roman" w:cs="Times New Roman"/>
                <w:b/>
                <w:bCs/>
                <w:sz w:val="16"/>
                <w:szCs w:val="16"/>
              </w:rPr>
            </w:pPr>
          </w:p>
        </w:tc>
        <w:tc>
          <w:tcPr>
            <w:tcW w:w="810" w:type="dxa"/>
            <w:tcBorders>
              <w:top w:val="nil"/>
            </w:tcBorders>
            <w:vAlign w:val="center"/>
          </w:tcPr>
          <w:p w14:paraId="7A90DA51"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Lower</w:t>
            </w:r>
          </w:p>
        </w:tc>
        <w:tc>
          <w:tcPr>
            <w:tcW w:w="739" w:type="dxa"/>
            <w:tcBorders>
              <w:top w:val="nil"/>
            </w:tcBorders>
            <w:vAlign w:val="center"/>
          </w:tcPr>
          <w:p w14:paraId="7A90DA52"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Upper</w:t>
            </w:r>
          </w:p>
        </w:tc>
        <w:tc>
          <w:tcPr>
            <w:tcW w:w="701" w:type="dxa"/>
            <w:tcBorders>
              <w:top w:val="nil"/>
            </w:tcBorders>
          </w:tcPr>
          <w:p w14:paraId="7A90DA53"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Z</w:t>
            </w:r>
          </w:p>
        </w:tc>
        <w:tc>
          <w:tcPr>
            <w:tcW w:w="739" w:type="dxa"/>
            <w:tcBorders>
              <w:top w:val="nil"/>
            </w:tcBorders>
            <w:vAlign w:val="center"/>
          </w:tcPr>
          <w:p w14:paraId="7A90DA54"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w:t>
            </w:r>
          </w:p>
        </w:tc>
        <w:tc>
          <w:tcPr>
            <w:tcW w:w="1225" w:type="dxa"/>
            <w:tcBorders>
              <w:top w:val="nil"/>
            </w:tcBorders>
          </w:tcPr>
          <w:p w14:paraId="7A90DA55"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Mediation</w:t>
            </w:r>
          </w:p>
        </w:tc>
      </w:tr>
      <w:tr w:rsidR="00CC19F6" w14:paraId="7A90DA62" w14:textId="77777777">
        <w:trPr>
          <w:trHeight w:val="277"/>
        </w:trPr>
        <w:tc>
          <w:tcPr>
            <w:tcW w:w="1440" w:type="dxa"/>
            <w:tcBorders>
              <w:top w:val="single" w:sz="4" w:space="0" w:color="000000"/>
            </w:tcBorders>
            <w:vAlign w:val="center"/>
          </w:tcPr>
          <w:p w14:paraId="7A90DA57"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Indirect</w:t>
            </w:r>
          </w:p>
        </w:tc>
        <w:tc>
          <w:tcPr>
            <w:tcW w:w="275" w:type="dxa"/>
            <w:tcBorders>
              <w:top w:val="single" w:sz="4" w:space="0" w:color="000000"/>
            </w:tcBorders>
          </w:tcPr>
          <w:p w14:paraId="7A90DA58" w14:textId="77777777" w:rsidR="00CC19F6" w:rsidRDefault="00CC19F6" w:rsidP="0091218B">
            <w:pPr>
              <w:spacing w:line="240" w:lineRule="auto"/>
              <w:rPr>
                <w:rFonts w:ascii="Times New Roman" w:eastAsia="Times New Roman" w:hAnsi="Times New Roman" w:cs="Times New Roman"/>
                <w:sz w:val="20"/>
                <w:szCs w:val="20"/>
              </w:rPr>
            </w:pPr>
          </w:p>
        </w:tc>
        <w:tc>
          <w:tcPr>
            <w:tcW w:w="928" w:type="dxa"/>
            <w:tcBorders>
              <w:top w:val="single" w:sz="4" w:space="0" w:color="000000"/>
            </w:tcBorders>
          </w:tcPr>
          <w:p w14:paraId="7A90DA59" w14:textId="77777777" w:rsidR="00CC19F6" w:rsidRDefault="00CC19F6" w:rsidP="0091218B">
            <w:pPr>
              <w:spacing w:line="240" w:lineRule="auto"/>
              <w:rPr>
                <w:rFonts w:ascii="Times New Roman" w:eastAsia="Times New Roman" w:hAnsi="Times New Roman" w:cs="Times New Roman"/>
                <w:sz w:val="20"/>
                <w:szCs w:val="20"/>
              </w:rPr>
            </w:pPr>
          </w:p>
        </w:tc>
        <w:tc>
          <w:tcPr>
            <w:tcW w:w="867" w:type="dxa"/>
            <w:tcBorders>
              <w:top w:val="single" w:sz="4" w:space="0" w:color="000000"/>
            </w:tcBorders>
          </w:tcPr>
          <w:p w14:paraId="7A90DA5A"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x b</w:t>
            </w:r>
          </w:p>
        </w:tc>
        <w:tc>
          <w:tcPr>
            <w:tcW w:w="680" w:type="dxa"/>
            <w:tcBorders>
              <w:top w:val="single" w:sz="4" w:space="0" w:color="000000"/>
            </w:tcBorders>
            <w:vAlign w:val="center"/>
          </w:tcPr>
          <w:p w14:paraId="7A90DA5B"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0.365</w:t>
            </w:r>
          </w:p>
        </w:tc>
        <w:tc>
          <w:tcPr>
            <w:tcW w:w="810" w:type="dxa"/>
            <w:tcBorders>
              <w:top w:val="single" w:sz="4" w:space="0" w:color="000000"/>
            </w:tcBorders>
            <w:vAlign w:val="center"/>
          </w:tcPr>
          <w:p w14:paraId="7A90DA5C"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0.0480</w:t>
            </w:r>
          </w:p>
        </w:tc>
        <w:tc>
          <w:tcPr>
            <w:tcW w:w="810" w:type="dxa"/>
            <w:tcBorders>
              <w:top w:val="single" w:sz="4" w:space="0" w:color="000000"/>
            </w:tcBorders>
            <w:vAlign w:val="center"/>
          </w:tcPr>
          <w:p w14:paraId="7A90DA5D"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0.271</w:t>
            </w:r>
          </w:p>
        </w:tc>
        <w:tc>
          <w:tcPr>
            <w:tcW w:w="739" w:type="dxa"/>
            <w:tcBorders>
              <w:top w:val="single" w:sz="4" w:space="0" w:color="000000"/>
            </w:tcBorders>
            <w:vAlign w:val="center"/>
          </w:tcPr>
          <w:p w14:paraId="7A90DA5E"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0.459</w:t>
            </w:r>
          </w:p>
        </w:tc>
        <w:tc>
          <w:tcPr>
            <w:tcW w:w="701" w:type="dxa"/>
            <w:tcBorders>
              <w:top w:val="single" w:sz="4" w:space="0" w:color="000000"/>
            </w:tcBorders>
            <w:vAlign w:val="center"/>
          </w:tcPr>
          <w:p w14:paraId="7A90DA5F"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c>
          <w:tcPr>
            <w:tcW w:w="739" w:type="dxa"/>
            <w:tcBorders>
              <w:top w:val="single" w:sz="4" w:space="0" w:color="000000"/>
            </w:tcBorders>
            <w:vAlign w:val="center"/>
          </w:tcPr>
          <w:p w14:paraId="7A90DA60" w14:textId="77777777" w:rsidR="00CC19F6" w:rsidRDefault="0091218B" w:rsidP="0091218B">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&lt; .001</w:t>
            </w:r>
          </w:p>
        </w:tc>
        <w:tc>
          <w:tcPr>
            <w:tcW w:w="1225" w:type="dxa"/>
            <w:tcBorders>
              <w:top w:val="single" w:sz="4" w:space="0" w:color="000000"/>
            </w:tcBorders>
            <w:vAlign w:val="center"/>
          </w:tcPr>
          <w:p w14:paraId="7A90DA61"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r>
      <w:tr w:rsidR="00CC19F6" w14:paraId="7A90DA6E" w14:textId="77777777">
        <w:trPr>
          <w:trHeight w:val="178"/>
        </w:trPr>
        <w:tc>
          <w:tcPr>
            <w:tcW w:w="1440" w:type="dxa"/>
            <w:vAlign w:val="center"/>
          </w:tcPr>
          <w:p w14:paraId="7A90DA63"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Direct</w:t>
            </w:r>
          </w:p>
        </w:tc>
        <w:tc>
          <w:tcPr>
            <w:tcW w:w="275" w:type="dxa"/>
          </w:tcPr>
          <w:p w14:paraId="7A90DA64"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928" w:type="dxa"/>
          </w:tcPr>
          <w:p w14:paraId="7A90DA65"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67" w:type="dxa"/>
            <w:vAlign w:val="center"/>
          </w:tcPr>
          <w:p w14:paraId="7A90DA6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680" w:type="dxa"/>
            <w:vAlign w:val="center"/>
          </w:tcPr>
          <w:p w14:paraId="7A90DA67"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0.536</w:t>
            </w:r>
          </w:p>
        </w:tc>
        <w:tc>
          <w:tcPr>
            <w:tcW w:w="810" w:type="dxa"/>
            <w:vAlign w:val="center"/>
          </w:tcPr>
          <w:p w14:paraId="7A90DA6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0.0551</w:t>
            </w:r>
          </w:p>
        </w:tc>
        <w:tc>
          <w:tcPr>
            <w:tcW w:w="810" w:type="dxa"/>
            <w:vAlign w:val="center"/>
          </w:tcPr>
          <w:p w14:paraId="7A90DA6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0.428</w:t>
            </w:r>
          </w:p>
        </w:tc>
        <w:tc>
          <w:tcPr>
            <w:tcW w:w="739" w:type="dxa"/>
            <w:vAlign w:val="center"/>
          </w:tcPr>
          <w:p w14:paraId="7A90DA6A"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0.644</w:t>
            </w:r>
          </w:p>
        </w:tc>
        <w:tc>
          <w:tcPr>
            <w:tcW w:w="701" w:type="dxa"/>
            <w:vAlign w:val="center"/>
          </w:tcPr>
          <w:p w14:paraId="7A90DA6B"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9.71</w:t>
            </w:r>
          </w:p>
        </w:tc>
        <w:tc>
          <w:tcPr>
            <w:tcW w:w="739" w:type="dxa"/>
            <w:vAlign w:val="center"/>
          </w:tcPr>
          <w:p w14:paraId="7A90DA6C"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vAlign w:val="center"/>
          </w:tcPr>
          <w:p w14:paraId="7A90DA6D"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59.5</w:t>
            </w:r>
          </w:p>
        </w:tc>
      </w:tr>
      <w:tr w:rsidR="00CC19F6" w14:paraId="7A90DA7A" w14:textId="77777777">
        <w:trPr>
          <w:trHeight w:val="178"/>
        </w:trPr>
        <w:tc>
          <w:tcPr>
            <w:tcW w:w="1440" w:type="dxa"/>
            <w:vAlign w:val="center"/>
          </w:tcPr>
          <w:p w14:paraId="7A90DA6F"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75" w:type="dxa"/>
          </w:tcPr>
          <w:p w14:paraId="7A90DA70"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928" w:type="dxa"/>
          </w:tcPr>
          <w:p w14:paraId="7A90DA71"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67" w:type="dxa"/>
            <w:vAlign w:val="center"/>
          </w:tcPr>
          <w:p w14:paraId="7A90DA72"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 x b</w:t>
            </w:r>
          </w:p>
        </w:tc>
        <w:tc>
          <w:tcPr>
            <w:tcW w:w="680" w:type="dxa"/>
            <w:vAlign w:val="center"/>
          </w:tcPr>
          <w:p w14:paraId="7A90DA73"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0.900</w:t>
            </w:r>
          </w:p>
        </w:tc>
        <w:tc>
          <w:tcPr>
            <w:tcW w:w="810" w:type="dxa"/>
            <w:vAlign w:val="center"/>
          </w:tcPr>
          <w:p w14:paraId="7A90DA74"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0.0419</w:t>
            </w:r>
          </w:p>
        </w:tc>
        <w:tc>
          <w:tcPr>
            <w:tcW w:w="810" w:type="dxa"/>
            <w:vAlign w:val="center"/>
          </w:tcPr>
          <w:p w14:paraId="7A90DA75"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0.818</w:t>
            </w:r>
          </w:p>
        </w:tc>
        <w:tc>
          <w:tcPr>
            <w:tcW w:w="739" w:type="dxa"/>
            <w:vAlign w:val="center"/>
          </w:tcPr>
          <w:p w14:paraId="7A90DA7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c>
          <w:tcPr>
            <w:tcW w:w="701" w:type="dxa"/>
            <w:vAlign w:val="center"/>
          </w:tcPr>
          <w:p w14:paraId="7A90DA77"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21.48</w:t>
            </w:r>
          </w:p>
        </w:tc>
        <w:tc>
          <w:tcPr>
            <w:tcW w:w="739" w:type="dxa"/>
            <w:vAlign w:val="center"/>
          </w:tcPr>
          <w:p w14:paraId="7A90DA7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vAlign w:val="center"/>
          </w:tcPr>
          <w:p w14:paraId="7A90DA7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CC19F6" w14:paraId="7A90DA84" w14:textId="77777777">
        <w:trPr>
          <w:trHeight w:val="178"/>
        </w:trPr>
        <w:tc>
          <w:tcPr>
            <w:tcW w:w="2643" w:type="dxa"/>
            <w:gridSpan w:val="3"/>
            <w:tcBorders>
              <w:top w:val="nil"/>
              <w:bottom w:val="nil"/>
            </w:tcBorders>
            <w:vAlign w:val="center"/>
          </w:tcPr>
          <w:p w14:paraId="7A90DA7B"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Path Estimates</w:t>
            </w:r>
          </w:p>
        </w:tc>
        <w:tc>
          <w:tcPr>
            <w:tcW w:w="867" w:type="dxa"/>
            <w:tcBorders>
              <w:top w:val="nil"/>
              <w:bottom w:val="nil"/>
            </w:tcBorders>
            <w:vAlign w:val="center"/>
          </w:tcPr>
          <w:p w14:paraId="7A90DA7C"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680" w:type="dxa"/>
            <w:tcBorders>
              <w:top w:val="nil"/>
              <w:bottom w:val="nil"/>
            </w:tcBorders>
            <w:vAlign w:val="center"/>
          </w:tcPr>
          <w:p w14:paraId="7A90DA7D"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10" w:type="dxa"/>
            <w:tcBorders>
              <w:top w:val="nil"/>
              <w:bottom w:val="nil"/>
            </w:tcBorders>
          </w:tcPr>
          <w:p w14:paraId="7A90DA7E"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10" w:type="dxa"/>
            <w:tcBorders>
              <w:top w:val="nil"/>
              <w:bottom w:val="nil"/>
            </w:tcBorders>
            <w:vAlign w:val="center"/>
          </w:tcPr>
          <w:p w14:paraId="7A90DA7F"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739" w:type="dxa"/>
            <w:tcBorders>
              <w:top w:val="nil"/>
              <w:bottom w:val="nil"/>
            </w:tcBorders>
            <w:vAlign w:val="center"/>
          </w:tcPr>
          <w:p w14:paraId="7A90DA80"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701" w:type="dxa"/>
            <w:tcBorders>
              <w:top w:val="nil"/>
              <w:bottom w:val="nil"/>
            </w:tcBorders>
            <w:vAlign w:val="center"/>
          </w:tcPr>
          <w:p w14:paraId="7A90DA81"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739" w:type="dxa"/>
            <w:tcBorders>
              <w:top w:val="nil"/>
              <w:bottom w:val="nil"/>
            </w:tcBorders>
            <w:vAlign w:val="center"/>
          </w:tcPr>
          <w:p w14:paraId="7A90DA82"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1225" w:type="dxa"/>
            <w:tcBorders>
              <w:top w:val="nil"/>
              <w:bottom w:val="nil"/>
            </w:tcBorders>
            <w:vAlign w:val="center"/>
          </w:tcPr>
          <w:p w14:paraId="7A90DA83" w14:textId="77777777" w:rsidR="00CC19F6" w:rsidRDefault="00CC19F6" w:rsidP="0091218B">
            <w:pPr>
              <w:spacing w:line="240" w:lineRule="auto"/>
              <w:jc w:val="both"/>
              <w:rPr>
                <w:rFonts w:ascii="Times New Roman" w:eastAsia="Times New Roman" w:hAnsi="Times New Roman" w:cs="Times New Roman"/>
                <w:sz w:val="20"/>
                <w:szCs w:val="20"/>
              </w:rPr>
            </w:pPr>
          </w:p>
        </w:tc>
      </w:tr>
      <w:tr w:rsidR="00CC19F6" w14:paraId="7A90DA90" w14:textId="77777777">
        <w:trPr>
          <w:trHeight w:val="357"/>
        </w:trPr>
        <w:tc>
          <w:tcPr>
            <w:tcW w:w="1440" w:type="dxa"/>
            <w:tcBorders>
              <w:top w:val="nil"/>
              <w:bottom w:val="nil"/>
            </w:tcBorders>
            <w:vAlign w:val="center"/>
          </w:tcPr>
          <w:p w14:paraId="7A90DA85" w14:textId="77777777" w:rsidR="00CC19F6" w:rsidRDefault="0091218B" w:rsidP="0091218B">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Procedural Fluency</w:t>
            </w:r>
          </w:p>
        </w:tc>
        <w:tc>
          <w:tcPr>
            <w:tcW w:w="275" w:type="dxa"/>
            <w:tcBorders>
              <w:top w:val="nil"/>
              <w:bottom w:val="nil"/>
            </w:tcBorders>
            <w:vAlign w:val="center"/>
          </w:tcPr>
          <w:p w14:paraId="7A90DA86"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28" w:type="dxa"/>
            <w:tcBorders>
              <w:top w:val="nil"/>
              <w:bottom w:val="nil"/>
            </w:tcBorders>
            <w:vAlign w:val="center"/>
          </w:tcPr>
          <w:p w14:paraId="7A90DA87"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Procedural Fluency</w:t>
            </w:r>
          </w:p>
        </w:tc>
        <w:tc>
          <w:tcPr>
            <w:tcW w:w="867" w:type="dxa"/>
            <w:tcBorders>
              <w:top w:val="nil"/>
              <w:bottom w:val="nil"/>
            </w:tcBorders>
            <w:vAlign w:val="center"/>
          </w:tcPr>
          <w:p w14:paraId="7A90DA8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680" w:type="dxa"/>
            <w:tcBorders>
              <w:top w:val="nil"/>
              <w:bottom w:val="nil"/>
            </w:tcBorders>
            <w:vAlign w:val="center"/>
          </w:tcPr>
          <w:p w14:paraId="7A90DA8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0.758</w:t>
            </w:r>
          </w:p>
        </w:tc>
        <w:tc>
          <w:tcPr>
            <w:tcW w:w="810" w:type="dxa"/>
            <w:tcBorders>
              <w:top w:val="nil"/>
              <w:bottom w:val="nil"/>
            </w:tcBorders>
            <w:vAlign w:val="center"/>
          </w:tcPr>
          <w:p w14:paraId="7A90DA8A"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0.0470</w:t>
            </w:r>
          </w:p>
        </w:tc>
        <w:tc>
          <w:tcPr>
            <w:tcW w:w="810" w:type="dxa"/>
            <w:tcBorders>
              <w:top w:val="nil"/>
              <w:bottom w:val="nil"/>
            </w:tcBorders>
            <w:vAlign w:val="center"/>
          </w:tcPr>
          <w:p w14:paraId="7A90DA8B"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0.666</w:t>
            </w:r>
          </w:p>
        </w:tc>
        <w:tc>
          <w:tcPr>
            <w:tcW w:w="739" w:type="dxa"/>
            <w:tcBorders>
              <w:top w:val="nil"/>
              <w:bottom w:val="nil"/>
            </w:tcBorders>
            <w:vAlign w:val="center"/>
          </w:tcPr>
          <w:p w14:paraId="7A90DA8C"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00.850</w:t>
            </w:r>
          </w:p>
        </w:tc>
        <w:tc>
          <w:tcPr>
            <w:tcW w:w="701" w:type="dxa"/>
            <w:tcBorders>
              <w:top w:val="nil"/>
              <w:bottom w:val="nil"/>
            </w:tcBorders>
            <w:vAlign w:val="center"/>
          </w:tcPr>
          <w:p w14:paraId="7A90DA8D"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16.14</w:t>
            </w:r>
          </w:p>
        </w:tc>
        <w:tc>
          <w:tcPr>
            <w:tcW w:w="739" w:type="dxa"/>
            <w:tcBorders>
              <w:top w:val="nil"/>
              <w:bottom w:val="nil"/>
            </w:tcBorders>
            <w:vAlign w:val="center"/>
          </w:tcPr>
          <w:p w14:paraId="7A90DA8E"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tcBorders>
              <w:top w:val="nil"/>
              <w:bottom w:val="nil"/>
            </w:tcBorders>
            <w:vAlign w:val="center"/>
          </w:tcPr>
          <w:p w14:paraId="7A90DA8F" w14:textId="77777777" w:rsidR="00CC19F6" w:rsidRDefault="00CC19F6" w:rsidP="0091218B">
            <w:pPr>
              <w:spacing w:line="240" w:lineRule="auto"/>
              <w:jc w:val="both"/>
              <w:rPr>
                <w:rFonts w:ascii="Times New Roman" w:eastAsia="Times New Roman" w:hAnsi="Times New Roman" w:cs="Times New Roman"/>
                <w:sz w:val="20"/>
                <w:szCs w:val="20"/>
              </w:rPr>
            </w:pPr>
          </w:p>
        </w:tc>
      </w:tr>
      <w:tr w:rsidR="00CC19F6" w14:paraId="7A90DA9C" w14:textId="77777777">
        <w:trPr>
          <w:trHeight w:val="357"/>
        </w:trPr>
        <w:tc>
          <w:tcPr>
            <w:tcW w:w="1440" w:type="dxa"/>
            <w:tcBorders>
              <w:top w:val="nil"/>
              <w:bottom w:val="nil"/>
            </w:tcBorders>
            <w:vAlign w:val="center"/>
          </w:tcPr>
          <w:p w14:paraId="7A90DA91" w14:textId="77777777" w:rsidR="00CC19F6" w:rsidRDefault="0091218B" w:rsidP="0091218B">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Conceptual Understanding</w:t>
            </w:r>
          </w:p>
        </w:tc>
        <w:tc>
          <w:tcPr>
            <w:tcW w:w="275" w:type="dxa"/>
            <w:tcBorders>
              <w:top w:val="nil"/>
              <w:bottom w:val="nil"/>
            </w:tcBorders>
            <w:vAlign w:val="center"/>
          </w:tcPr>
          <w:p w14:paraId="7A90DA92"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28" w:type="dxa"/>
            <w:tcBorders>
              <w:top w:val="nil"/>
              <w:bottom w:val="nil"/>
            </w:tcBorders>
            <w:vAlign w:val="center"/>
          </w:tcPr>
          <w:p w14:paraId="7A90DA93"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Conceptual Understanding</w:t>
            </w:r>
          </w:p>
        </w:tc>
        <w:tc>
          <w:tcPr>
            <w:tcW w:w="867" w:type="dxa"/>
            <w:tcBorders>
              <w:top w:val="nil"/>
              <w:bottom w:val="nil"/>
            </w:tcBorders>
            <w:vAlign w:val="center"/>
          </w:tcPr>
          <w:p w14:paraId="7A90DA94"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680" w:type="dxa"/>
            <w:tcBorders>
              <w:top w:val="nil"/>
              <w:bottom w:val="nil"/>
            </w:tcBorders>
            <w:vAlign w:val="center"/>
          </w:tcPr>
          <w:p w14:paraId="7A90DA95"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0.481</w:t>
            </w:r>
          </w:p>
        </w:tc>
        <w:tc>
          <w:tcPr>
            <w:tcW w:w="810" w:type="dxa"/>
            <w:tcBorders>
              <w:top w:val="nil"/>
              <w:bottom w:val="nil"/>
            </w:tcBorders>
            <w:vAlign w:val="center"/>
          </w:tcPr>
          <w:p w14:paraId="7A90DA9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0.0559</w:t>
            </w:r>
          </w:p>
        </w:tc>
        <w:tc>
          <w:tcPr>
            <w:tcW w:w="810" w:type="dxa"/>
            <w:tcBorders>
              <w:top w:val="nil"/>
              <w:bottom w:val="nil"/>
            </w:tcBorders>
            <w:vAlign w:val="center"/>
          </w:tcPr>
          <w:p w14:paraId="7A90DA97"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0.372</w:t>
            </w:r>
          </w:p>
        </w:tc>
        <w:tc>
          <w:tcPr>
            <w:tcW w:w="739" w:type="dxa"/>
            <w:tcBorders>
              <w:top w:val="nil"/>
              <w:bottom w:val="nil"/>
            </w:tcBorders>
            <w:vAlign w:val="center"/>
          </w:tcPr>
          <w:p w14:paraId="7A90DA9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0.591</w:t>
            </w:r>
          </w:p>
        </w:tc>
        <w:tc>
          <w:tcPr>
            <w:tcW w:w="701" w:type="dxa"/>
            <w:tcBorders>
              <w:top w:val="nil"/>
              <w:bottom w:val="nil"/>
            </w:tcBorders>
            <w:vAlign w:val="center"/>
          </w:tcPr>
          <w:p w14:paraId="7A90DA9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8.61</w:t>
            </w:r>
          </w:p>
        </w:tc>
        <w:tc>
          <w:tcPr>
            <w:tcW w:w="739" w:type="dxa"/>
            <w:tcBorders>
              <w:top w:val="nil"/>
              <w:bottom w:val="nil"/>
            </w:tcBorders>
            <w:vAlign w:val="center"/>
          </w:tcPr>
          <w:p w14:paraId="7A90DA9A"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tcBorders>
              <w:top w:val="nil"/>
              <w:bottom w:val="nil"/>
            </w:tcBorders>
            <w:vAlign w:val="center"/>
          </w:tcPr>
          <w:p w14:paraId="7A90DA9B" w14:textId="77777777" w:rsidR="00CC19F6" w:rsidRDefault="00CC19F6" w:rsidP="0091218B">
            <w:pPr>
              <w:spacing w:line="240" w:lineRule="auto"/>
              <w:jc w:val="both"/>
              <w:rPr>
                <w:rFonts w:ascii="Times New Roman" w:eastAsia="Times New Roman" w:hAnsi="Times New Roman" w:cs="Times New Roman"/>
                <w:sz w:val="20"/>
                <w:szCs w:val="20"/>
              </w:rPr>
            </w:pPr>
          </w:p>
        </w:tc>
      </w:tr>
      <w:tr w:rsidR="00CC19F6" w14:paraId="7A90DAA8" w14:textId="77777777">
        <w:trPr>
          <w:trHeight w:val="357"/>
        </w:trPr>
        <w:tc>
          <w:tcPr>
            <w:tcW w:w="1440" w:type="dxa"/>
            <w:tcBorders>
              <w:top w:val="nil"/>
              <w:bottom w:val="single" w:sz="4" w:space="0" w:color="000000"/>
            </w:tcBorders>
            <w:vAlign w:val="center"/>
          </w:tcPr>
          <w:p w14:paraId="7A90DA9D" w14:textId="77777777" w:rsidR="00CC19F6" w:rsidRDefault="0091218B" w:rsidP="0091218B">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Strategic Competence</w:t>
            </w:r>
          </w:p>
        </w:tc>
        <w:tc>
          <w:tcPr>
            <w:tcW w:w="275" w:type="dxa"/>
            <w:tcBorders>
              <w:top w:val="nil"/>
              <w:bottom w:val="single" w:sz="4" w:space="0" w:color="000000"/>
            </w:tcBorders>
            <w:vAlign w:val="center"/>
          </w:tcPr>
          <w:p w14:paraId="7A90DA9E"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28" w:type="dxa"/>
            <w:tcBorders>
              <w:top w:val="nil"/>
              <w:bottom w:val="single" w:sz="4" w:space="0" w:color="000000"/>
            </w:tcBorders>
            <w:vAlign w:val="center"/>
          </w:tcPr>
          <w:p w14:paraId="7A90DA9F"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Strategic Competence</w:t>
            </w:r>
          </w:p>
        </w:tc>
        <w:tc>
          <w:tcPr>
            <w:tcW w:w="867" w:type="dxa"/>
            <w:tcBorders>
              <w:top w:val="nil"/>
              <w:bottom w:val="single" w:sz="4" w:space="0" w:color="000000"/>
            </w:tcBorders>
            <w:vAlign w:val="center"/>
          </w:tcPr>
          <w:p w14:paraId="7A90DAA0"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680" w:type="dxa"/>
            <w:tcBorders>
              <w:top w:val="nil"/>
              <w:bottom w:val="single" w:sz="4" w:space="0" w:color="000000"/>
            </w:tcBorders>
            <w:vAlign w:val="center"/>
          </w:tcPr>
          <w:p w14:paraId="7A90DAA1"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0.536</w:t>
            </w:r>
          </w:p>
        </w:tc>
        <w:tc>
          <w:tcPr>
            <w:tcW w:w="810" w:type="dxa"/>
            <w:tcBorders>
              <w:top w:val="nil"/>
              <w:bottom w:val="single" w:sz="4" w:space="0" w:color="000000"/>
            </w:tcBorders>
            <w:vAlign w:val="center"/>
          </w:tcPr>
          <w:p w14:paraId="7A90DAA2"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0.0551</w:t>
            </w:r>
          </w:p>
        </w:tc>
        <w:tc>
          <w:tcPr>
            <w:tcW w:w="810" w:type="dxa"/>
            <w:tcBorders>
              <w:top w:val="nil"/>
              <w:bottom w:val="single" w:sz="4" w:space="0" w:color="000000"/>
            </w:tcBorders>
            <w:vAlign w:val="center"/>
          </w:tcPr>
          <w:p w14:paraId="7A90DAA3"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0.428</w:t>
            </w:r>
          </w:p>
        </w:tc>
        <w:tc>
          <w:tcPr>
            <w:tcW w:w="739" w:type="dxa"/>
            <w:tcBorders>
              <w:top w:val="nil"/>
              <w:bottom w:val="single" w:sz="4" w:space="0" w:color="000000"/>
            </w:tcBorders>
            <w:vAlign w:val="center"/>
          </w:tcPr>
          <w:p w14:paraId="7A90DAA4"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0.644</w:t>
            </w:r>
          </w:p>
        </w:tc>
        <w:tc>
          <w:tcPr>
            <w:tcW w:w="701" w:type="dxa"/>
            <w:tcBorders>
              <w:top w:val="nil"/>
              <w:bottom w:val="single" w:sz="4" w:space="0" w:color="000000"/>
            </w:tcBorders>
            <w:vAlign w:val="center"/>
          </w:tcPr>
          <w:p w14:paraId="7A90DAA5"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9.71</w:t>
            </w:r>
          </w:p>
        </w:tc>
        <w:tc>
          <w:tcPr>
            <w:tcW w:w="739" w:type="dxa"/>
            <w:tcBorders>
              <w:top w:val="nil"/>
              <w:bottom w:val="single" w:sz="4" w:space="0" w:color="000000"/>
            </w:tcBorders>
            <w:vAlign w:val="center"/>
          </w:tcPr>
          <w:p w14:paraId="7A90DAA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tcBorders>
              <w:top w:val="nil"/>
              <w:bottom w:val="single" w:sz="4" w:space="0" w:color="000000"/>
            </w:tcBorders>
            <w:vAlign w:val="center"/>
          </w:tcPr>
          <w:p w14:paraId="7A90DAA7" w14:textId="77777777" w:rsidR="00CC19F6" w:rsidRDefault="00CC19F6" w:rsidP="0091218B">
            <w:pPr>
              <w:spacing w:line="240" w:lineRule="auto"/>
              <w:jc w:val="both"/>
              <w:rPr>
                <w:rFonts w:ascii="Times New Roman" w:eastAsia="Times New Roman" w:hAnsi="Times New Roman" w:cs="Times New Roman"/>
                <w:sz w:val="20"/>
                <w:szCs w:val="20"/>
              </w:rPr>
            </w:pPr>
          </w:p>
        </w:tc>
      </w:tr>
    </w:tbl>
    <w:p w14:paraId="7A90DAA9" w14:textId="77777777" w:rsidR="00CC19F6" w:rsidRDefault="00CC19F6">
      <w:pPr>
        <w:spacing w:after="0" w:line="240" w:lineRule="auto"/>
        <w:jc w:val="both"/>
        <w:rPr>
          <w:rFonts w:ascii="Times New Roman" w:eastAsia="Times New Roman" w:hAnsi="Times New Roman" w:cs="Times New Roman"/>
          <w:i/>
          <w:iCs/>
        </w:rPr>
      </w:pPr>
    </w:p>
    <w:p w14:paraId="7A90DAAA" w14:textId="77777777" w:rsidR="00CC19F6" w:rsidRDefault="00CC19F6">
      <w:pPr>
        <w:spacing w:after="0" w:line="240" w:lineRule="auto"/>
        <w:jc w:val="both"/>
        <w:rPr>
          <w:rFonts w:ascii="Times New Roman" w:eastAsia="Times New Roman" w:hAnsi="Times New Roman" w:cs="Times New Roman"/>
          <w:i/>
          <w:iCs/>
        </w:rPr>
      </w:pPr>
    </w:p>
    <w:p w14:paraId="7A90DAAB" w14:textId="77777777" w:rsidR="00CC19F6" w:rsidRDefault="00CC19F6">
      <w:pPr>
        <w:spacing w:after="0" w:line="240" w:lineRule="auto"/>
        <w:jc w:val="both"/>
        <w:rPr>
          <w:rFonts w:ascii="Times New Roman" w:eastAsia="Times New Roman" w:hAnsi="Times New Roman" w:cs="Times New Roman"/>
          <w:i/>
          <w:iCs/>
        </w:rPr>
      </w:pPr>
    </w:p>
    <w:p w14:paraId="7A90DAAC" w14:textId="77777777" w:rsidR="00CC19F6" w:rsidRDefault="00CC19F6">
      <w:pPr>
        <w:spacing w:after="0" w:line="240" w:lineRule="auto"/>
        <w:jc w:val="both"/>
        <w:rPr>
          <w:rFonts w:ascii="Times New Roman" w:eastAsia="Times New Roman" w:hAnsi="Times New Roman" w:cs="Times New Roman"/>
          <w:i/>
          <w:iCs/>
        </w:rPr>
      </w:pPr>
    </w:p>
    <w:p w14:paraId="7A90DAAD" w14:textId="77777777" w:rsidR="00CC19F6" w:rsidRDefault="00CC19F6">
      <w:pPr>
        <w:spacing w:after="0" w:line="240" w:lineRule="auto"/>
        <w:jc w:val="both"/>
        <w:rPr>
          <w:rFonts w:ascii="Times New Roman" w:eastAsia="Times New Roman" w:hAnsi="Times New Roman" w:cs="Times New Roman"/>
          <w:i/>
          <w:iCs/>
        </w:rPr>
      </w:pPr>
    </w:p>
    <w:p w14:paraId="7A90DAAE" w14:textId="77777777" w:rsidR="00CC19F6" w:rsidRDefault="0091218B">
      <w:pPr>
        <w:spacing w:after="0" w:line="240" w:lineRule="auto"/>
        <w:jc w:val="both"/>
        <w:rPr>
          <w:rFonts w:ascii="Times New Roman" w:eastAsia="Times New Roman" w:hAnsi="Times New Roman" w:cs="Times New Roman"/>
          <w:i/>
          <w:iCs/>
        </w:rPr>
      </w:pPr>
      <w:r>
        <w:rPr>
          <w:noProof/>
          <w:lang w:val="en-IN" w:eastAsia="en-IN"/>
        </w:rPr>
        <w:lastRenderedPageBreak/>
        <w:drawing>
          <wp:inline distT="0" distB="0" distL="0" distR="0" wp14:anchorId="7A90DB06" wp14:editId="7A90DB07">
            <wp:extent cx="5457767" cy="40933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457767" cy="4093325"/>
                    </a:xfrm>
                    <a:prstGeom prst="rect">
                      <a:avLst/>
                    </a:prstGeom>
                    <a:ln/>
                  </pic:spPr>
                </pic:pic>
              </a:graphicData>
            </a:graphic>
          </wp:inline>
        </w:drawing>
      </w:r>
      <w:r>
        <w:rPr>
          <w:noProof/>
          <w:lang w:val="en-IN" w:eastAsia="en-IN"/>
        </w:rPr>
        <mc:AlternateContent>
          <mc:Choice Requires="wps">
            <w:drawing>
              <wp:anchor distT="45720" distB="45720" distL="114300" distR="114300" simplePos="0" relativeHeight="251658240" behindDoc="0" locked="0" layoutInCell="1" hidden="0" allowOverlap="1" wp14:anchorId="7A90DB08" wp14:editId="7A90DB09">
                <wp:simplePos x="0" y="0"/>
                <wp:positionH relativeFrom="column">
                  <wp:posOffset>1933575</wp:posOffset>
                </wp:positionH>
                <wp:positionV relativeFrom="paragraph">
                  <wp:posOffset>353695</wp:posOffset>
                </wp:positionV>
                <wp:extent cx="1659255" cy="491490"/>
                <wp:effectExtent l="0" t="0" r="17145" b="22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91490"/>
                        </a:xfrm>
                        <a:prstGeom prst="rect">
                          <a:avLst/>
                        </a:prstGeom>
                        <a:solidFill>
                          <a:srgbClr val="FFFFFF"/>
                        </a:solidFill>
                        <a:ln w="9525">
                          <a:solidFill>
                            <a:srgbClr val="000000"/>
                          </a:solidFill>
                          <a:miter lim="800000"/>
                          <a:headEnd/>
                          <a:tailEnd/>
                        </a:ln>
                      </wps:spPr>
                      <wps:txbx>
                        <w:txbxContent>
                          <w:p w14:paraId="7A90DB25"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Strategic Competence</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90DB08" id="_x0000_t202" coordsize="21600,21600" o:spt="202" path="m,l,21600r21600,l21600,xe">
                <v:stroke joinstyle="miter"/>
                <v:path gradientshapeok="t" o:connecttype="rect"/>
              </v:shapetype>
              <v:shape id="_x0000_s1026" type="#_x0000_t202" style="position:absolute;left:0;text-align:left;margin-left:152.25pt;margin-top:27.85pt;width:130.65pt;height:38.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">
                <v:textbox>
                  <w:txbxContent>
                    <w:p w14:paraId="7A90DB25"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Strategic Competence</w:t>
                      </w:r>
                    </w:p>
                  </w:txbxContent>
                </v:textbox>
              </v:shape>
            </w:pict>
          </mc:Fallback>
        </mc:AlternateContent>
      </w:r>
      <w:r>
        <w:rPr>
          <w:noProof/>
          <w:lang w:val="en-IN" w:eastAsia="en-IN"/>
        </w:rPr>
        <mc:AlternateContent>
          <mc:Choice Requires="wps">
            <w:drawing>
              <wp:anchor distT="45720" distB="45720" distL="114300" distR="114300" simplePos="0" relativeHeight="251659264" behindDoc="0" locked="0" layoutInCell="1" hidden="0" allowOverlap="1" wp14:anchorId="7A90DB0A" wp14:editId="7A90DB0B">
                <wp:simplePos x="0" y="0"/>
                <wp:positionH relativeFrom="column">
                  <wp:posOffset>4210050</wp:posOffset>
                </wp:positionH>
                <wp:positionV relativeFrom="paragraph">
                  <wp:posOffset>3242945</wp:posOffset>
                </wp:positionV>
                <wp:extent cx="1659751" cy="491779"/>
                <wp:effectExtent l="0" t="0" r="17145"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751" cy="491779"/>
                        </a:xfrm>
                        <a:prstGeom prst="rect">
                          <a:avLst/>
                        </a:prstGeom>
                        <a:solidFill>
                          <a:srgbClr val="FFFFFF"/>
                        </a:solidFill>
                        <a:ln w="9525">
                          <a:solidFill>
                            <a:srgbClr val="000000"/>
                          </a:solidFill>
                          <a:miter lim="800000"/>
                          <a:headEnd/>
                          <a:tailEnd/>
                        </a:ln>
                      </wps:spPr>
                      <wps:txbx>
                        <w:txbxContent>
                          <w:p w14:paraId="7A90DB26"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Conceptual Understanding</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0DB0A" id="_x0000_s1027" type="#_x0000_t202" style="position:absolute;left:0;text-align:left;margin-left:331.5pt;margin-top:255.35pt;width:130.7pt;height:38.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">
                <v:textbox>
                  <w:txbxContent>
                    <w:p w14:paraId="7A90DB26"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Conceptual Understanding</w:t>
                      </w:r>
                    </w:p>
                  </w:txbxContent>
                </v:textbox>
              </v:shape>
            </w:pict>
          </mc:Fallback>
        </mc:AlternateContent>
      </w:r>
      <w:r>
        <w:rPr>
          <w:noProof/>
          <w:lang w:val="en-IN" w:eastAsia="en-IN"/>
        </w:rPr>
        <mc:AlternateContent>
          <mc:Choice Requires="wps">
            <w:drawing>
              <wp:anchor distT="45720" distB="45720" distL="114300" distR="114300" simplePos="0" relativeHeight="251660288" behindDoc="0" locked="0" layoutInCell="1" hidden="0" allowOverlap="1" wp14:anchorId="7A90DB0C" wp14:editId="7A90DB0D">
                <wp:simplePos x="0" y="0"/>
                <wp:positionH relativeFrom="column">
                  <wp:posOffset>-419098</wp:posOffset>
                </wp:positionH>
                <wp:positionV relativeFrom="paragraph">
                  <wp:posOffset>3216910</wp:posOffset>
                </wp:positionV>
                <wp:extent cx="1659751" cy="491779"/>
                <wp:effectExtent l="0" t="0" r="17145"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751" cy="491779"/>
                        </a:xfrm>
                        <a:prstGeom prst="rect">
                          <a:avLst/>
                        </a:prstGeom>
                        <a:solidFill>
                          <a:srgbClr val="FFFFFF"/>
                        </a:solidFill>
                        <a:ln w="9525">
                          <a:solidFill>
                            <a:srgbClr val="000000"/>
                          </a:solidFill>
                          <a:miter lim="800000"/>
                          <a:headEnd/>
                          <a:tailEnd/>
                        </a:ln>
                      </wps:spPr>
                      <wps:txbx>
                        <w:txbxContent>
                          <w:p w14:paraId="7A90DB27"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Procedural Fluency</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0DB0C" id="_x0000_s1028" type="#_x0000_t202" style="position:absolute;left:0;text-align:left;margin-left:-33pt;margin-top:253.3pt;width:130.7pt;height:38.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">
                <v:textbox>
                  <w:txbxContent>
                    <w:p w14:paraId="7A90DB27"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Procedural Fluency</w:t>
                      </w:r>
                    </w:p>
                  </w:txbxContent>
                </v:textbox>
              </v:shape>
            </w:pict>
          </mc:Fallback>
        </mc:AlternateContent>
      </w:r>
      <w:r>
        <w:rPr>
          <w:noProof/>
          <w:lang w:val="en-IN" w:eastAsia="en-IN"/>
        </w:rPr>
        <mc:AlternateContent>
          <mc:Choice Requires="wps">
            <w:drawing>
              <wp:anchor distT="0" distB="0" distL="114300" distR="114300" simplePos="0" relativeHeight="251661312" behindDoc="0" locked="0" layoutInCell="1" hidden="0" allowOverlap="1" wp14:anchorId="7A90DB0E" wp14:editId="7A90DB0F">
                <wp:simplePos x="0" y="0"/>
                <wp:positionH relativeFrom="column">
                  <wp:posOffset>1022350</wp:posOffset>
                </wp:positionH>
                <wp:positionV relativeFrom="paragraph">
                  <wp:posOffset>863600</wp:posOffset>
                </wp:positionV>
                <wp:extent cx="1587500" cy="2349500"/>
                <wp:effectExtent l="57150" t="38100" r="50800" b="88900"/>
                <wp:wrapNone/>
                <wp:docPr id="7" name="Straight Arrow Connector 7"/>
                <wp:cNvGraphicFramePr/>
                <a:graphic xmlns:a="http://schemas.openxmlformats.org/drawingml/2006/main">
                  <a:graphicData uri="http://schemas.microsoft.com/office/word/2010/wordprocessingShape">
                    <wps:wsp>
                      <wps:cNvCnPr/>
                      <wps:spPr>
                        <a:xfrm flipV="1">
                          <a:off x="0" y="0"/>
                          <a:ext cx="1587500" cy="2349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1022350</wp:posOffset>
                </wp:positionH>
                <wp:positionV relativeFrom="paragraph">
                  <wp:posOffset>863600</wp:posOffset>
                </wp:positionV>
                <wp:extent cx="1695450" cy="2476500"/>
                <wp:effectExtent b="0" l="0" r="0" t="0"/>
                <wp:wrapNone/>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695450" cy="2476500"/>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2336" behindDoc="0" locked="0" layoutInCell="1" hidden="0" allowOverlap="1" wp14:anchorId="7A90DB10" wp14:editId="7A90DB11">
                <wp:simplePos x="0" y="0"/>
                <wp:positionH relativeFrom="column">
                  <wp:posOffset>2846268</wp:posOffset>
                </wp:positionH>
                <wp:positionV relativeFrom="paragraph">
                  <wp:posOffset>845687</wp:posOffset>
                </wp:positionV>
                <wp:extent cx="1590950" cy="2399639"/>
                <wp:effectExtent l="57150" t="19050" r="66675" b="96520"/>
                <wp:wrapNone/>
                <wp:docPr id="2" name="Straight Arrow Connector 2"/>
                <wp:cNvGraphicFramePr/>
                <a:graphic xmlns:a="http://schemas.openxmlformats.org/drawingml/2006/main">
                  <a:graphicData uri="http://schemas.microsoft.com/office/word/2010/wordprocessingShape">
                    <wps:wsp>
                      <wps:cNvCnPr/>
                      <wps:spPr>
                        <a:xfrm>
                          <a:off x="0" y="0"/>
                          <a:ext cx="1590950" cy="239963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2846268</wp:posOffset>
                </wp:positionH>
                <wp:positionV relativeFrom="paragraph">
                  <wp:posOffset>845687</wp:posOffset>
                </wp:positionV>
                <wp:extent cx="1714775" cy="2515209"/>
                <wp:effectExtent b="0" l="0" r="0" t="0"/>
                <wp:wrapNone/>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714775" cy="2515209"/>
                        </a:xfrm>
                        <a:prstGeom prst="rect"/>
                        <a:ln/>
                      </pic:spPr>
                    </pic:pic>
                  </a:graphicData>
                </a:graphic>
              </wp:anchor>
            </w:drawing>
          </mc:Fallback>
        </mc:AlternateContent>
      </w:r>
      <w:r>
        <w:rPr>
          <w:noProof/>
          <w:lang w:val="en-IN" w:eastAsia="en-IN"/>
        </w:rPr>
        <mc:AlternateContent>
          <mc:Choice Requires="wps">
            <w:drawing>
              <wp:anchor distT="0" distB="0" distL="114300" distR="114300" simplePos="0" relativeHeight="251663360" behindDoc="0" locked="0" layoutInCell="1" hidden="0" allowOverlap="1" wp14:anchorId="7A90DB12" wp14:editId="7A90DB13">
                <wp:simplePos x="0" y="0"/>
                <wp:positionH relativeFrom="column">
                  <wp:posOffset>1223604</wp:posOffset>
                </wp:positionH>
                <wp:positionV relativeFrom="paragraph">
                  <wp:posOffset>3393323</wp:posOffset>
                </wp:positionV>
                <wp:extent cx="2986335" cy="21142"/>
                <wp:effectExtent l="38100" t="57150" r="43180" b="131445"/>
                <wp:wrapNone/>
                <wp:docPr id="8" name="Straight Arrow Connector 8"/>
                <wp:cNvGraphicFramePr/>
                <a:graphic xmlns:a="http://schemas.openxmlformats.org/drawingml/2006/main">
                  <a:graphicData uri="http://schemas.microsoft.com/office/word/2010/wordprocessingShape">
                    <wps:wsp>
                      <wps:cNvCnPr/>
                      <wps:spPr>
                        <a:xfrm>
                          <a:off x="0" y="0"/>
                          <a:ext cx="2986335" cy="211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1223604</wp:posOffset>
                </wp:positionH>
                <wp:positionV relativeFrom="paragraph">
                  <wp:posOffset>3393323</wp:posOffset>
                </wp:positionV>
                <wp:extent cx="3067615" cy="209737"/>
                <wp:effectExtent b="0" l="0" r="0" t="0"/>
                <wp:wrapNone/>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67615" cy="209737"/>
                        </a:xfrm>
                        <a:prstGeom prst="rect"/>
                        <a:ln/>
                      </pic:spPr>
                    </pic:pic>
                  </a:graphicData>
                </a:graphic>
              </wp:anchor>
            </w:drawing>
          </mc:Fallback>
        </mc:AlternateContent>
      </w:r>
      <w:r>
        <w:rPr>
          <w:noProof/>
          <w:lang w:val="en-IN" w:eastAsia="en-IN"/>
        </w:rPr>
        <mc:AlternateContent>
          <mc:Choice Requires="wps">
            <w:drawing>
              <wp:anchor distT="45720" distB="45720" distL="114300" distR="114300" simplePos="0" relativeHeight="251664384" behindDoc="0" locked="0" layoutInCell="1" hidden="0" allowOverlap="1" wp14:anchorId="7A90DB14" wp14:editId="7A90DB15">
                <wp:simplePos x="0" y="0"/>
                <wp:positionH relativeFrom="column">
                  <wp:posOffset>1598351</wp:posOffset>
                </wp:positionH>
                <wp:positionV relativeFrom="paragraph">
                  <wp:posOffset>1897303</wp:posOffset>
                </wp:positionV>
                <wp:extent cx="469900" cy="258445"/>
                <wp:effectExtent l="0" t="0" r="2540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8445"/>
                        </a:xfrm>
                        <a:prstGeom prst="rect">
                          <a:avLst/>
                        </a:prstGeom>
                        <a:solidFill>
                          <a:srgbClr val="FFFFFF"/>
                        </a:solidFill>
                        <a:ln w="9525">
                          <a:solidFill>
                            <a:schemeClr val="bg1"/>
                          </a:solidFill>
                          <a:miter lim="800000"/>
                          <a:headEnd/>
                          <a:tailEnd/>
                        </a:ln>
                      </wps:spPr>
                      <wps:txbx>
                        <w:txbxContent>
                          <w:p w14:paraId="7A90DB28" w14:textId="77777777" w:rsidR="0091218B" w:rsidRPr="00D91E4B" w:rsidRDefault="0091218B" w:rsidP="0091218B">
                            <w:pPr>
                              <w:rPr>
                                <w:rFonts w:ascii="Times New Roman" w:hAnsi="Times New Roman" w:cs="Times New Roman"/>
                              </w:rPr>
                            </w:pPr>
                            <w:r w:rsidRPr="00D91E4B">
                              <w:rPr>
                                <w:rFonts w:ascii="Times New Roman" w:hAnsi="Times New Roman" w:cs="Times New Roman"/>
                              </w:rPr>
                              <w:t>0.76</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0DB14" id="_x0000_s1029" type="#_x0000_t202" style="position:absolute;left:0;text-align:left;margin-left:125.85pt;margin-top:149.4pt;width:37pt;height:20.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" strokecolor="white [3212]">
                <v:textbox>
                  <w:txbxContent>
                    <w:p w14:paraId="7A90DB28" w14:textId="77777777" w:rsidR="0091218B" w:rsidRPr="00D91E4B" w:rsidRDefault="0091218B" w:rsidP="0091218B">
                      <w:pPr>
                        <w:rPr>
                          <w:rFonts w:ascii="Times New Roman" w:hAnsi="Times New Roman" w:cs="Times New Roman"/>
                        </w:rPr>
                      </w:pPr>
                      <w:r w:rsidRPr="00D91E4B">
                        <w:rPr>
                          <w:rFonts w:ascii="Times New Roman" w:hAnsi="Times New Roman" w:cs="Times New Roman"/>
                        </w:rPr>
                        <w:t>0.76</w:t>
                      </w:r>
                    </w:p>
                  </w:txbxContent>
                </v:textbox>
              </v:shape>
            </w:pict>
          </mc:Fallback>
        </mc:AlternateContent>
      </w:r>
      <w:r>
        <w:rPr>
          <w:noProof/>
          <w:lang w:val="en-IN" w:eastAsia="en-IN"/>
        </w:rPr>
        <mc:AlternateContent>
          <mc:Choice Requires="wps">
            <w:drawing>
              <wp:anchor distT="45720" distB="45720" distL="114300" distR="114300" simplePos="0" relativeHeight="251665408" behindDoc="0" locked="0" layoutInCell="1" hidden="0" allowOverlap="1" wp14:anchorId="7A90DB16" wp14:editId="7A90DB17">
                <wp:simplePos x="0" y="0"/>
                <wp:positionH relativeFrom="column">
                  <wp:posOffset>3420929</wp:posOffset>
                </wp:positionH>
                <wp:positionV relativeFrom="paragraph">
                  <wp:posOffset>1922926</wp:posOffset>
                </wp:positionV>
                <wp:extent cx="469900" cy="258445"/>
                <wp:effectExtent l="0" t="0" r="25400"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8445"/>
                        </a:xfrm>
                        <a:prstGeom prst="rect">
                          <a:avLst/>
                        </a:prstGeom>
                        <a:solidFill>
                          <a:srgbClr val="FFFFFF"/>
                        </a:solidFill>
                        <a:ln w="9525">
                          <a:solidFill>
                            <a:schemeClr val="bg1"/>
                          </a:solidFill>
                          <a:miter lim="800000"/>
                          <a:headEnd/>
                          <a:tailEnd/>
                        </a:ln>
                      </wps:spPr>
                      <wps:txbx>
                        <w:txbxContent>
                          <w:p w14:paraId="7A90DB29" w14:textId="77777777" w:rsidR="0091218B" w:rsidRPr="00D91E4B" w:rsidRDefault="0091218B" w:rsidP="0091218B">
                            <w:pPr>
                              <w:rPr>
                                <w:rFonts w:ascii="Times New Roman" w:hAnsi="Times New Roman" w:cs="Times New Roman"/>
                              </w:rPr>
                            </w:pPr>
                            <w:r>
                              <w:rPr>
                                <w:rFonts w:ascii="Times New Roman" w:hAnsi="Times New Roman" w:cs="Times New Roman"/>
                              </w:rPr>
                              <w:t>0.48</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0DB16" id="_x0000_s1030" type="#_x0000_t202" style="position:absolute;left:0;text-align:left;margin-left:269.35pt;margin-top:151.4pt;width:37pt;height:20.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" strokecolor="white [3212]">
                <v:textbox>
                  <w:txbxContent>
                    <w:p w14:paraId="7A90DB29" w14:textId="77777777" w:rsidR="0091218B" w:rsidRPr="00D91E4B" w:rsidRDefault="0091218B" w:rsidP="0091218B">
                      <w:pPr>
                        <w:rPr>
                          <w:rFonts w:ascii="Times New Roman" w:hAnsi="Times New Roman" w:cs="Times New Roman"/>
                        </w:rPr>
                      </w:pPr>
                      <w:r>
                        <w:rPr>
                          <w:rFonts w:ascii="Times New Roman" w:hAnsi="Times New Roman" w:cs="Times New Roman"/>
                        </w:rPr>
                        <w:t>0.48</w:t>
                      </w:r>
                    </w:p>
                  </w:txbxContent>
                </v:textbox>
              </v:shape>
            </w:pict>
          </mc:Fallback>
        </mc:AlternateContent>
      </w:r>
      <w:r>
        <w:rPr>
          <w:noProof/>
          <w:lang w:val="en-IN" w:eastAsia="en-IN"/>
        </w:rPr>
        <mc:AlternateContent>
          <mc:Choice Requires="wps">
            <w:drawing>
              <wp:anchor distT="45720" distB="45720" distL="114300" distR="114300" simplePos="0" relativeHeight="251666432" behindDoc="0" locked="0" layoutInCell="1" hidden="0" allowOverlap="1" wp14:anchorId="7A90DB18" wp14:editId="7A90DB19">
                <wp:simplePos x="0" y="0"/>
                <wp:positionH relativeFrom="column">
                  <wp:posOffset>2484120</wp:posOffset>
                </wp:positionH>
                <wp:positionV relativeFrom="paragraph">
                  <wp:posOffset>3259026</wp:posOffset>
                </wp:positionV>
                <wp:extent cx="469900" cy="258445"/>
                <wp:effectExtent l="0" t="0" r="25400" b="273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8445"/>
                        </a:xfrm>
                        <a:prstGeom prst="rect">
                          <a:avLst/>
                        </a:prstGeom>
                        <a:solidFill>
                          <a:srgbClr val="FFFFFF"/>
                        </a:solidFill>
                        <a:ln w="9525">
                          <a:solidFill>
                            <a:schemeClr val="bg1"/>
                          </a:solidFill>
                          <a:miter lim="800000"/>
                          <a:headEnd/>
                          <a:tailEnd/>
                        </a:ln>
                      </wps:spPr>
                      <wps:txbx>
                        <w:txbxContent>
                          <w:p w14:paraId="7A90DB2A" w14:textId="77777777" w:rsidR="0091218B" w:rsidRPr="00D91E4B" w:rsidRDefault="0091218B" w:rsidP="0091218B">
                            <w:pPr>
                              <w:rPr>
                                <w:rFonts w:ascii="Times New Roman" w:hAnsi="Times New Roman" w:cs="Times New Roman"/>
                              </w:rPr>
                            </w:pPr>
                            <w:r>
                              <w:rPr>
                                <w:rFonts w:ascii="Times New Roman" w:hAnsi="Times New Roman" w:cs="Times New Roman"/>
                              </w:rPr>
                              <w:t>0.54</w:t>
                            </w:r>
                          </w:p>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90DB18" id="_x0000_s1031" type="#_x0000_t202" style="position:absolute;left:0;text-align:left;margin-left:195.6pt;margin-top:256.6pt;width:37pt;height:20.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" strokecolor="white [3212]">
                <v:textbox>
                  <w:txbxContent>
                    <w:p w14:paraId="7A90DB2A" w14:textId="77777777" w:rsidR="0091218B" w:rsidRPr="00D91E4B" w:rsidRDefault="0091218B" w:rsidP="0091218B">
                      <w:pPr>
                        <w:rPr>
                          <w:rFonts w:ascii="Times New Roman" w:hAnsi="Times New Roman" w:cs="Times New Roman"/>
                        </w:rPr>
                      </w:pPr>
                      <w:r>
                        <w:rPr>
                          <w:rFonts w:ascii="Times New Roman" w:hAnsi="Times New Roman" w:cs="Times New Roman"/>
                        </w:rPr>
                        <w:t>0.54</w:t>
                      </w:r>
                    </w:p>
                  </w:txbxContent>
                </v:textbox>
              </v:shape>
            </w:pict>
          </mc:Fallback>
        </mc:AlternateContent>
      </w:r>
    </w:p>
    <w:p w14:paraId="7A90DAA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diagram illustrates the mediation model showing the effect of students’ strategic competence on the relationship between procedural fluency and conceptual understanding in mathematics learning. The path coefficients indicate the strength of the relationships among the three variables, providing a clearer explanation of how procedural skills may influence deeper mathematical understanding. These findings imply that while procedural fluency alone contributes to conceptual learning, its effect is stronger when students can strategically apply their procedural knowledge to solve mathematical problems. Therefore, the diagram highlights the important role of strategic competence as a significant pathway in strengthening students’ mathematical understanding.</w:t>
      </w:r>
    </w:p>
    <w:p w14:paraId="7A90DAB0" w14:textId="77777777" w:rsidR="00CC19F6" w:rsidRDefault="00CC19F6">
      <w:pPr>
        <w:spacing w:after="0" w:line="240" w:lineRule="auto"/>
        <w:jc w:val="both"/>
        <w:rPr>
          <w:rFonts w:ascii="Times New Roman" w:eastAsia="Times New Roman" w:hAnsi="Times New Roman" w:cs="Times New Roman"/>
          <w:b/>
          <w:bCs/>
        </w:rPr>
      </w:pPr>
    </w:p>
    <w:p w14:paraId="7A90DAB1" w14:textId="77777777" w:rsidR="00CC19F6" w:rsidRDefault="0091218B">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Conclusions and Recommendations</w:t>
      </w:r>
    </w:p>
    <w:p w14:paraId="7A90DAB2" w14:textId="77777777" w:rsidR="00CC19F6" w:rsidRDefault="0091218B">
      <w:pPr>
        <w:ind w:firstLine="720"/>
        <w:jc w:val="both"/>
        <w:rPr>
          <w:rFonts w:ascii="Times New Roman" w:eastAsia="Times New Roman" w:hAnsi="Times New Roman" w:cs="Times New Roman"/>
        </w:rPr>
      </w:pPr>
      <w:r>
        <w:rPr>
          <w:rFonts w:ascii="Times New Roman" w:eastAsia="Times New Roman" w:hAnsi="Times New Roman" w:cs="Times New Roman"/>
        </w:rPr>
        <w:t xml:space="preserve">Based on the findings of the study, it can be concluded that students generally possess high levels of procedural fluency, conceptual understanding, and strategic competence in mathematics. The results indicate that students are capable of accurately performing mathematical procedures, understanding and applying mathematical concepts, and effectively solving problems through appropriate strategies. Furthermore, the study revealed that procedural fluency is closely associated with deeper conceptual understanding, while strong procedural skills also contribute to higher levels of strategic competence. The findings further suggest that connecting mathematical ideas with accurate procedural performance enhances students’ ability to formulate and evaluate effective problem-solving strategies. Overall, the study highlights that procedural fluency, conceptual understanding, and strategic competence are interconnected and </w:t>
      </w:r>
      <w:r>
        <w:rPr>
          <w:rFonts w:ascii="Times New Roman" w:eastAsia="Times New Roman" w:hAnsi="Times New Roman" w:cs="Times New Roman"/>
        </w:rPr>
        <w:lastRenderedPageBreak/>
        <w:t>collectively contribute to students’ holistic mathematical proficiency. Effective mathematics instruction, therefore, plays a vital role in promoting the balanced development of these essential mathematical skills.</w:t>
      </w:r>
    </w:p>
    <w:p w14:paraId="7A90DAB3"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light of the findings and conclusions of the study, it is recommended that mathematics teachers continue to strengthen students’ procedural fluency through varied practice activities that promote accuracy and efficiency in mathematical procedures. Teachers are also encouraged to incorporate problem-solving activities that develop students’ strategic competence by allowing them to represent problems, formulate strategies, adapt solution methods, and evaluate their answers. Furthermore, instructional strategies that emphasize conceptual explanations, meaningful applications, and a deeper understanding of mathematical principles should be consistently implemented to enhance conceptual understanding. Learning tasks should likewise be designed to integrate procedural skills with strategic problem-solving approaches, enabling students to apply their knowledge effectively. In addition, teachers may encourage students to explain and justify their reasoning in order to further strengthen both conceptual understanding and strategic competence. Finally, classroom instruction should continuously integrate procedural practice with conceptual discussions to support the simultaneous development of procedural fluency and conceptual understanding among learners.</w:t>
      </w:r>
    </w:p>
    <w:p w14:paraId="7A90DAB4"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7A90DAB5" w14:textId="77777777" w:rsidR="00CC19F6" w:rsidRDefault="00CC19F6">
      <w:pPr>
        <w:pBdr>
          <w:between w:val="nil"/>
        </w:pBdr>
        <w:spacing w:after="0" w:line="240" w:lineRule="auto"/>
        <w:ind w:left="709" w:hanging="709"/>
        <w:rPr>
          <w:rFonts w:ascii="Times New Roman" w:eastAsia="Times New Roman" w:hAnsi="Times New Roman" w:cs="Times New Roman"/>
          <w:color w:val="000000"/>
          <w:highlight w:val="white"/>
        </w:rPr>
      </w:pPr>
    </w:p>
    <w:p w14:paraId="7A90DAB6" w14:textId="77777777" w:rsidR="00CC19F6" w:rsidRDefault="0091218B">
      <w:pPr>
        <w:pBdr>
          <w:between w:val="nil"/>
        </w:pBdr>
        <w:spacing w:after="0" w:line="240" w:lineRule="auto"/>
        <w:ind w:left="709" w:hanging="7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Amalia, L., Makmuri, M., &amp; El Hakim, L. (2024). Learning design: To improve mathematical problem-solving skills using a contextual approach. </w:t>
      </w:r>
      <w:r>
        <w:rPr>
          <w:rFonts w:ascii="Times New Roman" w:eastAsia="Times New Roman" w:hAnsi="Times New Roman" w:cs="Times New Roman"/>
          <w:i/>
          <w:iCs/>
          <w:color w:val="000000"/>
          <w:highlight w:val="white"/>
        </w:rPr>
        <w:t>JIIP-Jurnal Ilmiah Ilmu Pendidikan</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7</w:t>
      </w:r>
      <w:r>
        <w:rPr>
          <w:rFonts w:ascii="Times New Roman" w:eastAsia="Times New Roman" w:hAnsi="Times New Roman" w:cs="Times New Roman"/>
          <w:color w:val="000000"/>
          <w:highlight w:val="white"/>
        </w:rPr>
        <w:t xml:space="preserve">(3), 2353-2366. </w:t>
      </w:r>
      <w:hyperlink r:id="rId16">
        <w:r>
          <w:rPr>
            <w:rFonts w:ascii="Times New Roman" w:eastAsia="Times New Roman" w:hAnsi="Times New Roman" w:cs="Times New Roman"/>
            <w:color w:val="000000"/>
            <w:highlight w:val="white"/>
          </w:rPr>
          <w:t>https://www.jiip.stkipyapisdompu.ac.id/jiip/index.php/JIIP/article/view/3455</w:t>
        </w:r>
      </w:hyperlink>
      <w:r>
        <w:rPr>
          <w:rFonts w:ascii="Times New Roman" w:eastAsia="Times New Roman" w:hAnsi="Times New Roman" w:cs="Times New Roman"/>
          <w:color w:val="000000"/>
          <w:highlight w:val="white"/>
        </w:rPr>
        <w:t xml:space="preserve"> </w:t>
      </w:r>
    </w:p>
    <w:p w14:paraId="7A90DAB7"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Andal, S. G. B., &amp; Andrade, R. R. (2022). Exploring students’ procedural fluency and written adaptive reasoning skills in solving open-ended problems. International Journal of Science, Technology, Engineering and Mathematics, 2(1), 1-25. </w:t>
      </w:r>
      <w:hyperlink r:id="rId17">
        <w:r>
          <w:rPr>
            <w:rFonts w:ascii="Times New Roman" w:eastAsia="Times New Roman" w:hAnsi="Times New Roman" w:cs="Times New Roman"/>
            <w:color w:val="000000"/>
          </w:rPr>
          <w:t>https://www.neliti.com/publications/356453/exploring-students-procedural-fluency-and-written-adaptive-reasoning-skills-in-s</w:t>
        </w:r>
      </w:hyperlink>
      <w:r>
        <w:rPr>
          <w:rFonts w:ascii="Times New Roman" w:eastAsia="Times New Roman" w:hAnsi="Times New Roman" w:cs="Times New Roman"/>
          <w:color w:val="000000"/>
        </w:rPr>
        <w:t xml:space="preserve"> </w:t>
      </w:r>
    </w:p>
    <w:p w14:paraId="7A90DAB8" w14:textId="77777777" w:rsidR="00CC19F6" w:rsidRDefault="0091218B">
      <w:pPr>
        <w:ind w:left="709" w:hanging="7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Annurwanda, P., &amp; Friantini, R. N. (2022). Mathematical induction proofing: Procedural fluency reviewed from the creative thinking level of mathematics students. </w:t>
      </w:r>
      <w:r>
        <w:rPr>
          <w:rFonts w:ascii="Times New Roman" w:eastAsia="Times New Roman" w:hAnsi="Times New Roman" w:cs="Times New Roman"/>
          <w:i/>
          <w:iCs/>
          <w:color w:val="000000"/>
          <w:highlight w:val="white"/>
        </w:rPr>
        <w:t>Jurnal Riset Pendidikan Matematika</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9</w:t>
      </w:r>
      <w:r>
        <w:rPr>
          <w:rFonts w:ascii="Times New Roman" w:eastAsia="Times New Roman" w:hAnsi="Times New Roman" w:cs="Times New Roman"/>
          <w:color w:val="000000"/>
          <w:highlight w:val="white"/>
        </w:rPr>
        <w:t xml:space="preserve">(1), 22-35. </w:t>
      </w:r>
      <w:hyperlink r:id="rId18">
        <w:r>
          <w:rPr>
            <w:rFonts w:ascii="Times New Roman" w:eastAsia="Times New Roman" w:hAnsi="Times New Roman" w:cs="Times New Roman"/>
            <w:color w:val="000000"/>
            <w:highlight w:val="white"/>
          </w:rPr>
          <w:t>https://journal.lppmunindra.ac.id/index.php/Formatif/article/view/9907</w:t>
        </w:r>
      </w:hyperlink>
      <w:r>
        <w:rPr>
          <w:rFonts w:ascii="Times New Roman" w:eastAsia="Times New Roman" w:hAnsi="Times New Roman" w:cs="Times New Roman"/>
          <w:color w:val="000000"/>
          <w:highlight w:val="white"/>
        </w:rPr>
        <w:t xml:space="preserve"> </w:t>
      </w:r>
    </w:p>
    <w:p w14:paraId="7A90DAB9"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Applebaum, M. (2024). Enhancing critical thinking in pre-service mathematics teachers: Bridging procedural fluency and conceptual understanding. Математика плюс, 32(3), 58-66. </w:t>
      </w:r>
      <w:hyperlink r:id="rId19">
        <w:r>
          <w:rPr>
            <w:rFonts w:ascii="Times New Roman" w:eastAsia="Times New Roman" w:hAnsi="Times New Roman" w:cs="Times New Roman"/>
            <w:color w:val="000000"/>
          </w:rPr>
          <w:t>https://www.ceeol.com/search/article-detail?id=1276653</w:t>
        </w:r>
      </w:hyperlink>
      <w:r>
        <w:rPr>
          <w:rFonts w:ascii="Times New Roman" w:eastAsia="Times New Roman" w:hAnsi="Times New Roman" w:cs="Times New Roman"/>
          <w:color w:val="000000"/>
        </w:rPr>
        <w:t xml:space="preserve"> </w:t>
      </w:r>
    </w:p>
    <w:p w14:paraId="7A90DABA" w14:textId="77777777" w:rsidR="00CC19F6" w:rsidRDefault="0091218B">
      <w:pPr>
        <w:ind w:left="709" w:hanging="7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Arsyad, M., &amp; Syakhrani, A. W. (2024). The efficiency of using visual learning media in improving the understanding of science concepts in elementary school students. </w:t>
      </w:r>
      <w:r>
        <w:rPr>
          <w:rFonts w:ascii="Times New Roman" w:eastAsia="Times New Roman" w:hAnsi="Times New Roman" w:cs="Times New Roman"/>
          <w:i/>
          <w:iCs/>
          <w:color w:val="000000"/>
          <w:highlight w:val="white"/>
        </w:rPr>
        <w:t>Indonesian Journal of Education (INJOE)</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4</w:t>
      </w:r>
      <w:r>
        <w:rPr>
          <w:rFonts w:ascii="Times New Roman" w:eastAsia="Times New Roman" w:hAnsi="Times New Roman" w:cs="Times New Roman"/>
          <w:color w:val="000000"/>
          <w:highlight w:val="white"/>
        </w:rPr>
        <w:t xml:space="preserve">(1), 775-787. https://felifa.net/index.php/INJOE/article/view/234 </w:t>
      </w:r>
    </w:p>
    <w:p w14:paraId="7A90DABB"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Atkinson, R. C., &amp; Shiffrin, R. M. (1968). Human memory: A proposed system and its control processes. In K. W. Spence &amp; J. T. Spence (Eds.), The psychology of learning and motivation (Vol. 2, pp. 89–195). Academic Press. https://tinyurl.com/39e5dbv5 </w:t>
      </w:r>
    </w:p>
    <w:p w14:paraId="7A90DABC"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Benedek, M., Beaty, R. E., Schacter, D. L., &amp; Kenett, Y. N. (2023). The role of memory in creative ideation. </w:t>
      </w:r>
      <w:r>
        <w:rPr>
          <w:rFonts w:ascii="Times New Roman" w:eastAsia="Times New Roman" w:hAnsi="Times New Roman" w:cs="Times New Roman"/>
          <w:i/>
          <w:iCs/>
          <w:highlight w:val="white"/>
        </w:rPr>
        <w:t>Nature Reviews Psychology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2</w:t>
      </w:r>
      <w:r>
        <w:rPr>
          <w:rFonts w:ascii="Times New Roman" w:eastAsia="Times New Roman" w:hAnsi="Times New Roman" w:cs="Times New Roman"/>
          <w:highlight w:val="white"/>
        </w:rPr>
        <w:t xml:space="preserve">(4), 246-257. http://nature.com/articles/s44159-023-00158-z </w:t>
      </w:r>
    </w:p>
    <w:p w14:paraId="7A90DAB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Biber, M. (2023). Constructing Mental Models: Mathematical Communication and Discourses in Conceptual Understanding. Necmettin Erbakan Üniversitesi Ereğli Eğitim Fakültesi Dergisi, 5(Özel Sayı), 271-305. </w:t>
      </w:r>
      <w:hyperlink r:id="rId20">
        <w:r>
          <w:rPr>
            <w:rFonts w:ascii="Times New Roman" w:eastAsia="Times New Roman" w:hAnsi="Times New Roman" w:cs="Times New Roman"/>
          </w:rPr>
          <w:t>https://dergipark.org.tr/en/pub/neueefd/article/1341680?issue_id=80589</w:t>
        </w:r>
      </w:hyperlink>
    </w:p>
    <w:p w14:paraId="7A90DABE"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Brancaccio, A., De Chiusole, D., &amp; Stefanutti, L. (2023). Algorithms for the adaptive assessment of procedural knowledge and skills. Behavior Research Methods, 55(7), 3929-3951. </w:t>
      </w:r>
      <w:hyperlink r:id="rId21">
        <w:r>
          <w:rPr>
            <w:rFonts w:ascii="Times New Roman" w:eastAsia="Times New Roman" w:hAnsi="Times New Roman" w:cs="Times New Roman"/>
          </w:rPr>
          <w:t>https://link.springer.com/article/10.3758/s13428-022-01998-y</w:t>
        </w:r>
      </w:hyperlink>
      <w:r>
        <w:rPr>
          <w:rFonts w:ascii="Times New Roman" w:eastAsia="Times New Roman" w:hAnsi="Times New Roman" w:cs="Times New Roman"/>
        </w:rPr>
        <w:t xml:space="preserve"> </w:t>
      </w:r>
    </w:p>
    <w:p w14:paraId="7A90DABF" w14:textId="77777777" w:rsidR="00CC19F6" w:rsidRDefault="0091218B">
      <w:pPr>
        <w:ind w:left="709" w:hanging="709"/>
      </w:pPr>
      <w:r>
        <w:rPr>
          <w:rFonts w:ascii="Times New Roman" w:eastAsia="Times New Roman" w:hAnsi="Times New Roman" w:cs="Times New Roman"/>
        </w:rPr>
        <w:t xml:space="preserve">Brod, G. (2021). Predicting as a learning strategy. Psychonomic Bulletin &amp; Review, 28(6), 1839-1847. </w:t>
      </w:r>
      <w:hyperlink r:id="rId22">
        <w:r>
          <w:rPr>
            <w:rFonts w:ascii="Times New Roman" w:eastAsia="Times New Roman" w:hAnsi="Times New Roman" w:cs="Times New Roman"/>
          </w:rPr>
          <w:t>https://link.springer.com/article/10.3758/s13423-021-01904-1</w:t>
        </w:r>
      </w:hyperlink>
    </w:p>
    <w:p w14:paraId="7A90DAC0"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Bürgler, S., Hoyle, R. H., &amp; Hennecke, M. (2021). Flexibility in using self-regulatory strategies to manage self-control conflicts: The role of metacognitive knowledge, strategy repertoire, and feedback monitoring. European Journal of Personality, 35(6), 861-880. </w:t>
      </w:r>
      <w:hyperlink r:id="rId23">
        <w:r>
          <w:rPr>
            <w:rFonts w:ascii="Times New Roman" w:eastAsia="Times New Roman" w:hAnsi="Times New Roman" w:cs="Times New Roman"/>
          </w:rPr>
          <w:t>https://journals.sagepub.com/doi/abs/10.1177/0890207021992907</w:t>
        </w:r>
      </w:hyperlink>
      <w:r>
        <w:rPr>
          <w:rFonts w:ascii="Times New Roman" w:eastAsia="Times New Roman" w:hAnsi="Times New Roman" w:cs="Times New Roman"/>
        </w:rPr>
        <w:t xml:space="preserve"> </w:t>
      </w:r>
    </w:p>
    <w:p w14:paraId="7A90DAC1"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Cabuquin, J., &amp; Abocejo, F. (2024). Conceptual and procedural understanding in the division of algebraic fractions. Recoletos Multidisciplinary Research Journal, 12(1), 225-240. https://tinyurl.com/mwh5en57 </w:t>
      </w:r>
    </w:p>
    <w:p w14:paraId="7A90DAC2"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Copur-Gencturk, Y. (2021). Teachers’ conceptual understanding of fraction operations: results from a national sample of elementary school teachers. Educational Studies in Mathematics, 107(3), 525-545. </w:t>
      </w:r>
      <w:hyperlink r:id="rId24">
        <w:r>
          <w:rPr>
            <w:rFonts w:ascii="Times New Roman" w:eastAsia="Times New Roman" w:hAnsi="Times New Roman" w:cs="Times New Roman"/>
          </w:rPr>
          <w:t>https://link.springer.com/article/10.1007/s10649-021-10033-4</w:t>
        </w:r>
      </w:hyperlink>
      <w:r>
        <w:rPr>
          <w:rFonts w:ascii="Times New Roman" w:eastAsia="Times New Roman" w:hAnsi="Times New Roman" w:cs="Times New Roman"/>
        </w:rPr>
        <w:t xml:space="preserve"> </w:t>
      </w:r>
    </w:p>
    <w:p w14:paraId="7A90DAC3" w14:textId="77777777" w:rsidR="00CC19F6" w:rsidRDefault="0091218B">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Corrêa, P. D., &amp; Haslam, D. (2021). Mathematical Proficiency as the Basis for Assessment: A Literature Review and Its Potentialities. Mathematics Teaching Research Journal, 12(4), 3-20. </w:t>
      </w:r>
      <w:hyperlink r:id="rId25">
        <w:r>
          <w:rPr>
            <w:rFonts w:ascii="Times New Roman" w:eastAsia="Times New Roman" w:hAnsi="Times New Roman" w:cs="Times New Roman"/>
            <w:color w:val="000000"/>
          </w:rPr>
          <w:t>https://tinyurl.com/5epn7n5h</w:t>
        </w:r>
      </w:hyperlink>
      <w:r>
        <w:rPr>
          <w:rFonts w:ascii="Times New Roman" w:eastAsia="Times New Roman" w:hAnsi="Times New Roman" w:cs="Times New Roman"/>
        </w:rPr>
        <w:t xml:space="preserve"> </w:t>
      </w:r>
    </w:p>
    <w:p w14:paraId="7A90DAC4" w14:textId="77777777" w:rsidR="00CC19F6" w:rsidRDefault="00CC19F6">
      <w:pPr>
        <w:spacing w:after="0" w:line="240" w:lineRule="auto"/>
        <w:ind w:left="709" w:hanging="709"/>
        <w:rPr>
          <w:rFonts w:ascii="Times New Roman" w:eastAsia="Times New Roman" w:hAnsi="Times New Roman" w:cs="Times New Roman"/>
        </w:rPr>
      </w:pPr>
    </w:p>
    <w:p w14:paraId="7A90DAC5"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Creswell, J. W. (2012). </w:t>
      </w:r>
      <w:r>
        <w:rPr>
          <w:rFonts w:ascii="Times New Roman" w:eastAsia="Times New Roman" w:hAnsi="Times New Roman" w:cs="Times New Roman"/>
          <w:i/>
          <w:iCs/>
          <w:highlight w:val="white"/>
        </w:rPr>
        <w:t>Educational research: Planning, conducting, and evaluating quantitative and qualitative research</w:t>
      </w:r>
      <w:r>
        <w:rPr>
          <w:rFonts w:ascii="Times New Roman" w:eastAsia="Times New Roman" w:hAnsi="Times New Roman" w:cs="Times New Roman"/>
          <w:highlight w:val="white"/>
        </w:rPr>
        <w:t xml:space="preserve"> (4th ed., p. 337). Pearson Education, Inc. </w:t>
      </w:r>
      <w:hyperlink r:id="rId26">
        <w:r>
          <w:rPr>
            <w:rFonts w:ascii="Times New Roman" w:eastAsia="Times New Roman" w:hAnsi="Times New Roman" w:cs="Times New Roman"/>
            <w:highlight w:val="white"/>
          </w:rPr>
          <w:t>https://www.scribd.com/document/713796239/Creswell-2012-educational-research</w:t>
        </w:r>
      </w:hyperlink>
      <w:r>
        <w:rPr>
          <w:rFonts w:ascii="Times New Roman" w:eastAsia="Times New Roman" w:hAnsi="Times New Roman" w:cs="Times New Roman"/>
          <w:highlight w:val="white"/>
        </w:rPr>
        <w:t xml:space="preserve"> </w:t>
      </w:r>
    </w:p>
    <w:p w14:paraId="7A90DAC6"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Dingman, S., Teuscher, D., Olson, T. A., &amp; Kasmer, L. A. (2021). Conceptualizing curricular reasoning: A framework for examining mathematics teachers’ curricular </w:t>
      </w:r>
      <w:r>
        <w:rPr>
          <w:rFonts w:ascii="Times New Roman" w:eastAsia="Times New Roman" w:hAnsi="Times New Roman" w:cs="Times New Roman"/>
        </w:rPr>
        <w:lastRenderedPageBreak/>
        <w:t xml:space="preserve">decisions. Investigations in Mathematics Learning, 13(4), 267-286. </w:t>
      </w:r>
      <w:hyperlink r:id="rId27">
        <w:r>
          <w:rPr>
            <w:rFonts w:ascii="Times New Roman" w:eastAsia="Times New Roman" w:hAnsi="Times New Roman" w:cs="Times New Roman"/>
          </w:rPr>
          <w:t>https://www.tandfonline.com/doi/abs/10.1080/19477503.2021.1981742</w:t>
        </w:r>
      </w:hyperlink>
      <w:r>
        <w:rPr>
          <w:rFonts w:ascii="Times New Roman" w:eastAsia="Times New Roman" w:hAnsi="Times New Roman" w:cs="Times New Roman"/>
        </w:rPr>
        <w:t xml:space="preserve"> </w:t>
      </w:r>
    </w:p>
    <w:p w14:paraId="7A90DAC7"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Diputra, K. S., Agustika, G. N. S., Utami, I. A. M. I., Julianto, P., &amp; Arifuddin, A. (2025). Investigating mathematical proficiency of elementary school students: A foundation for effective learning models. </w:t>
      </w:r>
      <w:r>
        <w:rPr>
          <w:rFonts w:ascii="Times New Roman" w:eastAsia="Times New Roman" w:hAnsi="Times New Roman" w:cs="Times New Roman"/>
          <w:i/>
          <w:iCs/>
          <w:highlight w:val="white"/>
        </w:rPr>
        <w:t>Edelweiss Applied Science and Technology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9</w:t>
      </w:r>
      <w:r>
        <w:rPr>
          <w:rFonts w:ascii="Times New Roman" w:eastAsia="Times New Roman" w:hAnsi="Times New Roman" w:cs="Times New Roman"/>
          <w:highlight w:val="white"/>
        </w:rPr>
        <w:t xml:space="preserve">(5), 314-323. </w:t>
      </w:r>
      <w:hyperlink r:id="rId28">
        <w:r>
          <w:rPr>
            <w:rFonts w:ascii="Times New Roman" w:eastAsia="Times New Roman" w:hAnsi="Times New Roman" w:cs="Times New Roman"/>
          </w:rPr>
          <w:t>Investigating mathematical proficiency of elementary school students: A foundation for effective learning models</w:t>
        </w:r>
      </w:hyperlink>
    </w:p>
    <w:p w14:paraId="7A90DAC8"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Dood, A. J., &amp; Watts, F. M. (2022). Students’ strategies, struggles, and successes with mechanism problem solving in organic chemistry: a scoping review of the research literature. Journal of Chemical Education, 100(1), 53-68. </w:t>
      </w:r>
      <w:hyperlink r:id="rId29">
        <w:r>
          <w:rPr>
            <w:rFonts w:ascii="Times New Roman" w:eastAsia="Times New Roman" w:hAnsi="Times New Roman" w:cs="Times New Roman"/>
          </w:rPr>
          <w:t>https://pubs.acs.org/doi/abs/10.1021/acs.jchemed.2c00572</w:t>
        </w:r>
      </w:hyperlink>
      <w:r>
        <w:rPr>
          <w:rFonts w:ascii="Times New Roman" w:eastAsia="Times New Roman" w:hAnsi="Times New Roman" w:cs="Times New Roman"/>
        </w:rPr>
        <w:t xml:space="preserve"> </w:t>
      </w:r>
    </w:p>
    <w:p w14:paraId="7A90DAC9"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Elhilal, A. (2025). Digital conceptual mapping for enhancing mathematical concept formation and creative mathematical problem-solving through cognitive flexibility skills: a mixed methods study. </w:t>
      </w:r>
      <w:r>
        <w:rPr>
          <w:rFonts w:ascii="Times New Roman" w:eastAsia="Times New Roman" w:hAnsi="Times New Roman" w:cs="Times New Roman"/>
          <w:i/>
          <w:iCs/>
          <w:highlight w:val="white"/>
        </w:rPr>
        <w:t>Cogent Education</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12</w:t>
      </w:r>
      <w:r>
        <w:rPr>
          <w:rFonts w:ascii="Times New Roman" w:eastAsia="Times New Roman" w:hAnsi="Times New Roman" w:cs="Times New Roman"/>
          <w:highlight w:val="white"/>
        </w:rPr>
        <w:t xml:space="preserve">(1), 2494945.https://www.tandfonline.com/doi/full/10.1080/2331186X.2025.2494945 </w:t>
      </w:r>
    </w:p>
    <w:p w14:paraId="7A90DACA"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highlight w:val="white"/>
        </w:rPr>
        <w:t>Elvi, M. (2025). MATHEMATICAL PROFICIENCY: AN ANALYSIS OF PROSPECTIVE TEACHERS'ABILITY TO SOLVE MATHEMATICAL PROBLEMS. </w:t>
      </w:r>
      <w:r>
        <w:rPr>
          <w:rFonts w:ascii="Times New Roman" w:eastAsia="Times New Roman" w:hAnsi="Times New Roman" w:cs="Times New Roman"/>
          <w:i/>
          <w:iCs/>
          <w:highlight w:val="white"/>
        </w:rPr>
        <w:t>Jurnal Pendidikan Sang Surya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11</w:t>
      </w:r>
      <w:r>
        <w:rPr>
          <w:rFonts w:ascii="Times New Roman" w:eastAsia="Times New Roman" w:hAnsi="Times New Roman" w:cs="Times New Roman"/>
          <w:highlight w:val="white"/>
        </w:rPr>
        <w:t xml:space="preserve">(1), 774-782. </w:t>
      </w:r>
      <w:hyperlink r:id="rId30">
        <w:r>
          <w:rPr>
            <w:rFonts w:ascii="Times New Roman" w:eastAsia="Times New Roman" w:hAnsi="Times New Roman" w:cs="Times New Roman"/>
          </w:rPr>
          <w:t>https://jurnal.umbulukumba.ac.id/index.php/jpss/article/view/449</w:t>
        </w:r>
      </w:hyperlink>
      <w:r>
        <w:rPr>
          <w:rFonts w:ascii="Times New Roman" w:eastAsia="Times New Roman" w:hAnsi="Times New Roman" w:cs="Times New Roman"/>
        </w:rPr>
        <w:t xml:space="preserve"> </w:t>
      </w:r>
    </w:p>
    <w:p w14:paraId="7A90DACB"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Fielding, Jill, and Katie Makar. "Challenging conceptual understanding in a complex system: Supporting young students to address extended mathematical inquiry problems." </w:t>
      </w:r>
      <w:r>
        <w:rPr>
          <w:rFonts w:ascii="Times New Roman" w:eastAsia="Times New Roman" w:hAnsi="Times New Roman" w:cs="Times New Roman"/>
          <w:i/>
          <w:iCs/>
          <w:highlight w:val="white"/>
        </w:rPr>
        <w:t>Instructional Science</w:t>
      </w:r>
      <w:r>
        <w:rPr>
          <w:rFonts w:ascii="Times New Roman" w:eastAsia="Times New Roman" w:hAnsi="Times New Roman" w:cs="Times New Roman"/>
          <w:highlight w:val="white"/>
        </w:rPr>
        <w:t> 50.1 (2022): 35-61. https://link.springer.com/article/10.1007/s11251-021-09564-3</w:t>
      </w:r>
    </w:p>
    <w:p w14:paraId="7A90DACC"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rPr>
        <w:t xml:space="preserve">Go, M. C., Cris, M., &amp; Go, J. (2023). Enhancing mathematical proficiency assessment: Insights from mathematics teachers. Science International, 35(6), 773-780. </w:t>
      </w:r>
      <w:hyperlink r:id="rId31">
        <w:r>
          <w:rPr>
            <w:rFonts w:ascii="Times New Roman" w:eastAsia="Times New Roman" w:hAnsi="Times New Roman" w:cs="Times New Roman"/>
            <w:color w:val="000000"/>
          </w:rPr>
          <w:t>https://www.researchgate.net/profile/Mary-Cris-Go/publication/375828757_ENHANCING_MATHEMATICAL_PROFICIENCY_ASSESSMENT_INSIGHTS_FROM_MATHEMATICS_TEACHERS/links/655e74163fa26f66f420954c/ENHANCING-MATHEMATICAL-PROFICIENCY-ASSESSMENT-INSIGHTS-FROM-MATHEMATICS-TEACHERS.pdf</w:t>
        </w:r>
      </w:hyperlink>
    </w:p>
    <w:p w14:paraId="7A90DAC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Gradini, E., Noviani, J., &amp; Ulya, K. (2025). Fostering higher-order thinking skills in mathematics education: strategies, challenges, and classroom practices. Prisma Sains: Jurnal Pengkajian Ilmu Dan Pembelajaran Matematika Dan IPA IKIP Mataram, 13(2), 135-163. </w:t>
      </w:r>
      <w:hyperlink r:id="rId32">
        <w:r>
          <w:rPr>
            <w:rFonts w:ascii="Times New Roman" w:eastAsia="Times New Roman" w:hAnsi="Times New Roman" w:cs="Times New Roman"/>
          </w:rPr>
          <w:t>https://ojspanel.undikma.ac.id/index.php/prismasains/article/view/15099</w:t>
        </w:r>
      </w:hyperlink>
      <w:r>
        <w:rPr>
          <w:rFonts w:ascii="Times New Roman" w:eastAsia="Times New Roman" w:hAnsi="Times New Roman" w:cs="Times New Roman"/>
        </w:rPr>
        <w:t xml:space="preserve"> </w:t>
      </w:r>
    </w:p>
    <w:p w14:paraId="7A90DACE"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Haque, M. N. (2024). The role of multiple representations and attitudes in enhancing statistical and mathematical learning. Smart Internet of Things, 1(4), 298-312. </w:t>
      </w:r>
      <w:hyperlink r:id="rId33">
        <w:r>
          <w:rPr>
            <w:rFonts w:ascii="Times New Roman" w:eastAsia="Times New Roman" w:hAnsi="Times New Roman" w:cs="Times New Roman"/>
          </w:rPr>
          <w:t>https://www.siot.reapress.com/journal/article/view/52</w:t>
        </w:r>
      </w:hyperlink>
      <w:r>
        <w:rPr>
          <w:rFonts w:ascii="Times New Roman" w:eastAsia="Times New Roman" w:hAnsi="Times New Roman" w:cs="Times New Roman"/>
        </w:rPr>
        <w:t xml:space="preserve"> </w:t>
      </w:r>
    </w:p>
    <w:p w14:paraId="7A90DACF"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Hariri, D. D., &amp; Kania, N. (2025). Mapping Critical Thinking Skills through Newman’s Error Analysis in Secondary Students’ Problem-Solving. </w:t>
      </w:r>
      <w:r>
        <w:rPr>
          <w:rFonts w:ascii="Times New Roman" w:eastAsia="Times New Roman" w:hAnsi="Times New Roman" w:cs="Times New Roman"/>
          <w:i/>
          <w:iCs/>
          <w:highlight w:val="white"/>
        </w:rPr>
        <w:t>Jurnal Pendidikan MIPA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26</w:t>
      </w:r>
      <w:r>
        <w:rPr>
          <w:rFonts w:ascii="Times New Roman" w:eastAsia="Times New Roman" w:hAnsi="Times New Roman" w:cs="Times New Roman"/>
          <w:highlight w:val="white"/>
        </w:rPr>
        <w:t xml:space="preserve">(3), 1464-1478. </w:t>
      </w:r>
      <w:hyperlink r:id="rId34">
        <w:r>
          <w:rPr>
            <w:rFonts w:ascii="Times New Roman" w:eastAsia="Times New Roman" w:hAnsi="Times New Roman" w:cs="Times New Roman"/>
            <w:highlight w:val="white"/>
          </w:rPr>
          <w:t>https://jpmipa.fkip.unila.ac.id/index.php/jpmipa/article/view/782</w:t>
        </w:r>
      </w:hyperlink>
      <w:r>
        <w:rPr>
          <w:rFonts w:ascii="Times New Roman" w:eastAsia="Times New Roman" w:hAnsi="Times New Roman" w:cs="Times New Roman"/>
          <w:highlight w:val="white"/>
        </w:rPr>
        <w:t xml:space="preserve"> </w:t>
      </w:r>
    </w:p>
    <w:p w14:paraId="7A90DAD0" w14:textId="77777777" w:rsidR="00CC19F6" w:rsidRDefault="0091218B">
      <w:pPr>
        <w:ind w:left="709" w:hanging="709"/>
      </w:pPr>
      <w:r>
        <w:rPr>
          <w:rFonts w:ascii="Times New Roman" w:eastAsia="Times New Roman" w:hAnsi="Times New Roman" w:cs="Times New Roman"/>
        </w:rPr>
        <w:t xml:space="preserve">Hickendorff, M. (2022). Flexibility and adaptivity in arithmetic strategy use: What children know and what they show. Journal of Numerical Cognition, 8(3), 367-381. </w:t>
      </w:r>
      <w:hyperlink r:id="rId35">
        <w:r>
          <w:rPr>
            <w:rFonts w:ascii="Times New Roman" w:eastAsia="Times New Roman" w:hAnsi="Times New Roman" w:cs="Times New Roman"/>
          </w:rPr>
          <w:t>https://jnc.psychopen.eu/index.php/jnc/article/view/7277</w:t>
        </w:r>
      </w:hyperlink>
    </w:p>
    <w:p w14:paraId="7A90DAD1"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Hong, W., Star, J. R., Liu, R. D., Jiang, R., &amp; Fu, X. (2023). A systematic review of mathematical flexibility: Concepts, measurements, and related research. Educational Psychology Review, 35(4), 104. </w:t>
      </w:r>
      <w:hyperlink r:id="rId36">
        <w:r>
          <w:rPr>
            <w:rFonts w:ascii="Times New Roman" w:eastAsia="Times New Roman" w:hAnsi="Times New Roman" w:cs="Times New Roman"/>
          </w:rPr>
          <w:t>https://link.springer.com/article/10.1007/s10648-023-09825-2</w:t>
        </w:r>
      </w:hyperlink>
      <w:r>
        <w:rPr>
          <w:rFonts w:ascii="Times New Roman" w:eastAsia="Times New Roman" w:hAnsi="Times New Roman" w:cs="Times New Roman"/>
        </w:rPr>
        <w:t xml:space="preserve">  </w:t>
      </w:r>
      <w:hyperlink r:id="rId37">
        <w:r>
          <w:rPr>
            <w:rFonts w:ascii="Times New Roman" w:eastAsia="Times New Roman" w:hAnsi="Times New Roman" w:cs="Times New Roman"/>
          </w:rPr>
          <w:t>https://tinyurl.com/y84hjhpx</w:t>
        </w:r>
      </w:hyperlink>
      <w:r>
        <w:rPr>
          <w:rFonts w:ascii="Times New Roman" w:eastAsia="Times New Roman" w:hAnsi="Times New Roman" w:cs="Times New Roman"/>
        </w:rPr>
        <w:t xml:space="preserve"> </w:t>
      </w:r>
    </w:p>
    <w:p w14:paraId="7A90DAD2"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Hurrell, D. (2021). Conceptual knowledge or procedural knowledge or conceptual knowledge and procedural knowledge: Why the conjunction is important to teachers. Australian Journal of Teacher Education (Online), 46(2), 57-71. </w:t>
      </w:r>
      <w:hyperlink r:id="rId38">
        <w:r>
          <w:rPr>
            <w:rFonts w:ascii="Times New Roman" w:eastAsia="Times New Roman" w:hAnsi="Times New Roman" w:cs="Times New Roman"/>
          </w:rPr>
          <w:t>https://search.informit.org/doi/abs/10.3316/informit.757709794375494</w:t>
        </w:r>
      </w:hyperlink>
      <w:r>
        <w:rPr>
          <w:rFonts w:ascii="Times New Roman" w:eastAsia="Times New Roman" w:hAnsi="Times New Roman" w:cs="Times New Roman"/>
        </w:rPr>
        <w:t xml:space="preserve"> </w:t>
      </w:r>
    </w:p>
    <w:p w14:paraId="7A90DAD3" w14:textId="77777777" w:rsidR="00CC19F6" w:rsidRDefault="0091218B">
      <w:pPr>
        <w:ind w:left="709" w:hanging="709"/>
      </w:pPr>
      <w:r>
        <w:rPr>
          <w:rFonts w:ascii="Times New Roman" w:eastAsia="Times New Roman" w:hAnsi="Times New Roman" w:cs="Times New Roman"/>
        </w:rPr>
        <w:t xml:space="preserve">Karatas, S. (2022). The Impacts of Supporting Productive Struggle Teaching Practice on Students’ Conceptual Understanding, Procedural Fluency, and Strategic Competence: The Case of Quadratic Functions (Doctoral dissertation, The University of Texas Rio Grande Valley). </w:t>
      </w:r>
      <w:hyperlink r:id="rId39">
        <w:r>
          <w:rPr>
            <w:rFonts w:ascii="Times New Roman" w:eastAsia="Times New Roman" w:hAnsi="Times New Roman" w:cs="Times New Roman"/>
          </w:rPr>
          <w:t>https://link.springer.com/article/10.1007/s10857-023-09590-7</w:t>
        </w:r>
      </w:hyperlink>
    </w:p>
    <w:p w14:paraId="7A90DAD4"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Keazer, L., &amp; Phaiah, J. (2023). Analyzing prospective elementary teachers’ evidence of conceptual understanding and procedural fluency. Investigations in Mathematics Learning, 15(2), 135-148. </w:t>
      </w:r>
      <w:hyperlink r:id="rId40">
        <w:r>
          <w:rPr>
            <w:rFonts w:ascii="Times New Roman" w:eastAsia="Times New Roman" w:hAnsi="Times New Roman" w:cs="Times New Roman"/>
            <w:color w:val="000000"/>
          </w:rPr>
          <w:t>https://www.tandfonline.com/doi/abs/10.1080/19477503.2022.2139112</w:t>
        </w:r>
      </w:hyperlink>
      <w:r>
        <w:rPr>
          <w:rFonts w:ascii="Times New Roman" w:eastAsia="Times New Roman" w:hAnsi="Times New Roman" w:cs="Times New Roman"/>
        </w:rPr>
        <w:t xml:space="preserve"> </w:t>
      </w:r>
    </w:p>
    <w:p w14:paraId="7A90DAD5"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highlight w:val="white"/>
        </w:rPr>
        <w:t>Khaerunnisa, E., Aliyudin, A., Ruhiat, Y., &amp; Santosa, C. A. H. F. (2025). PRODUCTIVE DISPOSITION DEVELOPMENT MODEL BASED ON CONCEPT UNDERSTANDING WITH MEDIATORS OF PROCEDURAL FLUENCY, STRATEGIC COMPETENCE, ADAPTIVE REASONING. </w:t>
      </w:r>
      <w:r>
        <w:rPr>
          <w:rFonts w:ascii="Times New Roman" w:eastAsia="Times New Roman" w:hAnsi="Times New Roman" w:cs="Times New Roman"/>
          <w:i/>
          <w:iCs/>
          <w:highlight w:val="white"/>
        </w:rPr>
        <w:t>AKSIOMA: Jurnal Program Studi Pendidikan Matematika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14</w:t>
      </w:r>
      <w:r>
        <w:rPr>
          <w:rFonts w:ascii="Times New Roman" w:eastAsia="Times New Roman" w:hAnsi="Times New Roman" w:cs="Times New Roman"/>
          <w:highlight w:val="white"/>
        </w:rPr>
        <w:t xml:space="preserve">(1). </w:t>
      </w:r>
      <w:hyperlink r:id="rId41">
        <w:r>
          <w:rPr>
            <w:rFonts w:ascii="Times New Roman" w:eastAsia="Times New Roman" w:hAnsi="Times New Roman" w:cs="Times New Roman"/>
            <w:highlight w:val="white"/>
          </w:rPr>
          <w:t>https://ojs.fkip.ummetro.ac.id/index.php/matematika/article/view/11442</w:t>
        </w:r>
      </w:hyperlink>
    </w:p>
    <w:p w14:paraId="7A90DAD6" w14:textId="7570B35C"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Kholid, M. N., Imawati, A., Swastika, A., Maharani, S., &amp; Pradana, L. N. (2021, February). How are Students’ Conceptual Understanding for Solving Mathematical Problem?. In Journal of Physics: Conference Series (Vol. 1776, No. 1, p. 012018). IOP Publishing. https://tinyurl.com/39vx5zet  </w:t>
      </w:r>
    </w:p>
    <w:p w14:paraId="7F9DC109" w14:textId="15FA8132" w:rsidR="004819A2" w:rsidRDefault="004819A2">
      <w:pPr>
        <w:ind w:left="709" w:hanging="709"/>
        <w:rPr>
          <w:rFonts w:ascii="Times New Roman" w:eastAsia="Times New Roman" w:hAnsi="Times New Roman" w:cs="Times New Roman"/>
        </w:rPr>
      </w:pPr>
    </w:p>
    <w:p w14:paraId="463B269E" w14:textId="0DD5E832" w:rsidR="004819A2" w:rsidRDefault="004819A2">
      <w:pPr>
        <w:ind w:left="709" w:hanging="709"/>
        <w:rPr>
          <w:rFonts w:ascii="Times New Roman" w:eastAsia="Times New Roman" w:hAnsi="Times New Roman" w:cs="Times New Roman"/>
        </w:rPr>
      </w:pPr>
    </w:p>
    <w:p w14:paraId="62398447" w14:textId="77777777" w:rsidR="004819A2" w:rsidRDefault="004819A2">
      <w:pPr>
        <w:ind w:left="709" w:hanging="709"/>
        <w:rPr>
          <w:rFonts w:ascii="Times New Roman" w:eastAsia="Times New Roman" w:hAnsi="Times New Roman" w:cs="Times New Roman"/>
        </w:rPr>
      </w:pPr>
    </w:p>
    <w:p w14:paraId="7A90DAD7" w14:textId="7154C7C2" w:rsidR="00CC19F6" w:rsidRDefault="0091218B">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lastRenderedPageBreak/>
        <w:t xml:space="preserve">Kilpatrick, J., Swafford, J., &amp; Findell, B. (Eds.). (2001). Adding it up: Helping children learn mathematics. National Academy Press. </w:t>
      </w:r>
      <w:hyperlink r:id="rId42">
        <w:r>
          <w:rPr>
            <w:rFonts w:ascii="Times New Roman" w:eastAsia="Times New Roman" w:hAnsi="Times New Roman" w:cs="Times New Roman"/>
          </w:rPr>
          <w:t>https://tinyurl.com/8794628p</w:t>
        </w:r>
      </w:hyperlink>
      <w:r>
        <w:rPr>
          <w:rFonts w:ascii="Times New Roman" w:eastAsia="Times New Roman" w:hAnsi="Times New Roman" w:cs="Times New Roman"/>
        </w:rPr>
        <w:t xml:space="preserve"> </w:t>
      </w:r>
    </w:p>
    <w:p w14:paraId="5C804F5E" w14:textId="77777777" w:rsidR="0091218B" w:rsidRDefault="0091218B">
      <w:pPr>
        <w:spacing w:after="0" w:line="240" w:lineRule="auto"/>
        <w:ind w:left="709" w:hanging="709"/>
        <w:rPr>
          <w:rFonts w:ascii="Times New Roman" w:eastAsia="Times New Roman" w:hAnsi="Times New Roman" w:cs="Times New Roman"/>
        </w:rPr>
      </w:pPr>
    </w:p>
    <w:p w14:paraId="6D2F0321" w14:textId="20B2CF43" w:rsidR="0091218B" w:rsidRDefault="0091218B">
      <w:pPr>
        <w:spacing w:after="0" w:line="240" w:lineRule="auto"/>
        <w:ind w:left="709" w:hanging="709"/>
        <w:rPr>
          <w:rFonts w:ascii="Times New Roman" w:hAnsi="Times New Roman" w:cs="Times New Roman"/>
          <w:color w:val="222222"/>
          <w:szCs w:val="20"/>
          <w:shd w:val="clear" w:color="auto" w:fill="FFFFFF"/>
        </w:rPr>
      </w:pPr>
      <w:r w:rsidRPr="0091218B">
        <w:rPr>
          <w:rFonts w:ascii="Times New Roman" w:hAnsi="Times New Roman" w:cs="Times New Roman"/>
          <w:color w:val="222222"/>
          <w:szCs w:val="20"/>
          <w:shd w:val="clear" w:color="auto" w:fill="FFFFFF"/>
        </w:rPr>
        <w:t>Kusuma, I. A., &amp; Retnowati, E. (2021, March). Designs of faded-example to increase problem solving skills and procedural fluency in algebraic division. In </w:t>
      </w:r>
      <w:r w:rsidRPr="0091218B">
        <w:rPr>
          <w:rFonts w:ascii="Times New Roman" w:hAnsi="Times New Roman" w:cs="Times New Roman"/>
          <w:i/>
          <w:iCs/>
          <w:color w:val="222222"/>
          <w:szCs w:val="20"/>
          <w:shd w:val="clear" w:color="auto" w:fill="FFFFFF"/>
        </w:rPr>
        <w:t>Journal of Physics: Conference Series</w:t>
      </w:r>
      <w:r w:rsidRPr="0091218B">
        <w:rPr>
          <w:rFonts w:ascii="Times New Roman" w:hAnsi="Times New Roman" w:cs="Times New Roman"/>
          <w:color w:val="222222"/>
          <w:szCs w:val="20"/>
          <w:shd w:val="clear" w:color="auto" w:fill="FFFFFF"/>
        </w:rPr>
        <w:t> (Vol. 1806, No. 1, p. 012109). IOP Publishing.</w:t>
      </w:r>
    </w:p>
    <w:p w14:paraId="06C5FCF5" w14:textId="77777777" w:rsidR="0091218B" w:rsidRPr="0091218B" w:rsidRDefault="0091218B">
      <w:pPr>
        <w:spacing w:after="0" w:line="240" w:lineRule="auto"/>
        <w:ind w:left="709" w:hanging="709"/>
        <w:rPr>
          <w:rFonts w:ascii="Times New Roman" w:eastAsia="Times New Roman" w:hAnsi="Times New Roman" w:cs="Times New Roman"/>
          <w:sz w:val="32"/>
        </w:rPr>
      </w:pPr>
    </w:p>
    <w:p w14:paraId="7A90DAD8" w14:textId="77777777" w:rsidR="00CC19F6" w:rsidRDefault="0091218B">
      <w:pPr>
        <w:ind w:left="709" w:hanging="709"/>
      </w:pPr>
      <w:r>
        <w:rPr>
          <w:rFonts w:ascii="Times New Roman" w:eastAsia="Times New Roman" w:hAnsi="Times New Roman" w:cs="Times New Roman"/>
        </w:rPr>
        <w:t xml:space="preserve">Landreth, S. J., &amp; Young, C. (2021). Developing fluency and comprehension with the secondary fluency routine. The Journal of Educational Research, 114(3), 252-262. </w:t>
      </w:r>
      <w:hyperlink r:id="rId43">
        <w:r>
          <w:rPr>
            <w:rFonts w:ascii="Times New Roman" w:eastAsia="Times New Roman" w:hAnsi="Times New Roman" w:cs="Times New Roman"/>
          </w:rPr>
          <w:t>https://www.tandfonline.com/doi/abs/10.1080/00220671.2021.1910475</w:t>
        </w:r>
      </w:hyperlink>
    </w:p>
    <w:p w14:paraId="7A90DAD9"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Landreth, S. J., &amp; Young, C. (2021). Developing fluency and comprehension with the secondary fluency routine. The Journal of Educational Research, 114(3), 252-262. </w:t>
      </w:r>
      <w:hyperlink r:id="rId44">
        <w:r>
          <w:rPr>
            <w:rFonts w:ascii="Times New Roman" w:eastAsia="Times New Roman" w:hAnsi="Times New Roman" w:cs="Times New Roman"/>
          </w:rPr>
          <w:t>https://www.tandfonline.com/doi/abs/10.1080/00220671.2021.1910475</w:t>
        </w:r>
      </w:hyperlink>
      <w:r>
        <w:rPr>
          <w:rFonts w:ascii="Times New Roman" w:eastAsia="Times New Roman" w:hAnsi="Times New Roman" w:cs="Times New Roman"/>
        </w:rPr>
        <w:t xml:space="preserve"> </w:t>
      </w:r>
    </w:p>
    <w:p w14:paraId="7A90DADA"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Manandhar, N. K., Pant, B. P., &amp; Dawadi, S. D. (2022). Conceptual and procedural knowledge of students of Nepal in algebra: A mixed method study. Contemporary Mathematics and Science Education, 3(1), 1-10. </w:t>
      </w:r>
      <w:hyperlink r:id="rId45">
        <w:r>
          <w:rPr>
            <w:rFonts w:ascii="Times New Roman" w:eastAsia="Times New Roman" w:hAnsi="Times New Roman" w:cs="Times New Roman"/>
          </w:rPr>
          <w:t>https://tinyurl.com/4y28bby3</w:t>
        </w:r>
      </w:hyperlink>
      <w:r>
        <w:rPr>
          <w:rFonts w:ascii="Times New Roman" w:eastAsia="Times New Roman" w:hAnsi="Times New Roman" w:cs="Times New Roman"/>
        </w:rPr>
        <w:t xml:space="preserve"> </w:t>
      </w:r>
    </w:p>
    <w:p w14:paraId="7A90DADB"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Mohamed Elsayed, S. A. (2022). The effectiveness of learning mathematics according to the STEM approach in developing the mathematical proficiency of second graders of the intermediate school. Education Research International, 2022(1), 5206476. </w:t>
      </w:r>
      <w:hyperlink r:id="rId46">
        <w:r>
          <w:rPr>
            <w:rFonts w:ascii="Times New Roman" w:eastAsia="Times New Roman" w:hAnsi="Times New Roman" w:cs="Times New Roman"/>
          </w:rPr>
          <w:t>https://tinyurl.com/ymprwmk2</w:t>
        </w:r>
      </w:hyperlink>
      <w:r>
        <w:rPr>
          <w:rFonts w:ascii="Times New Roman" w:eastAsia="Times New Roman" w:hAnsi="Times New Roman" w:cs="Times New Roman"/>
        </w:rPr>
        <w:t xml:space="preserve"> </w:t>
      </w:r>
    </w:p>
    <w:p w14:paraId="7A90DADC"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Mutodi, P., &amp; Mosimege, M. (2021). Learning mathematical symbolization: Conceptual challenges and instructional strategies in secondary schools. </w:t>
      </w:r>
      <w:r>
        <w:rPr>
          <w:rFonts w:ascii="Times New Roman" w:eastAsia="Times New Roman" w:hAnsi="Times New Roman" w:cs="Times New Roman"/>
          <w:i/>
          <w:iCs/>
          <w:highlight w:val="white"/>
        </w:rPr>
        <w:t>Bolema: Boletim de Educação Matemática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35</w:t>
      </w:r>
      <w:r>
        <w:rPr>
          <w:rFonts w:ascii="Times New Roman" w:eastAsia="Times New Roman" w:hAnsi="Times New Roman" w:cs="Times New Roman"/>
          <w:highlight w:val="white"/>
        </w:rPr>
        <w:t xml:space="preserve">, 1180-1199. https://www.scielo.br/j/bolema/a/nHVdpBMTykbcxB4MM7rPD8c/?format=html&amp;lang=en </w:t>
      </w:r>
    </w:p>
    <w:p w14:paraId="7A90DAD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Naz, B., &amp; Qayyum, A. (2025). Effectiveness of Problem-Solving as a Teaching Strategy in Enhancing Students’ Conceptual Understanding and Critical Thinking in Mathematics Education. Research Journal for Social Affairs, 3(6), 693-702. </w:t>
      </w:r>
      <w:hyperlink r:id="rId47">
        <w:r>
          <w:rPr>
            <w:rFonts w:ascii="Times New Roman" w:eastAsia="Times New Roman" w:hAnsi="Times New Roman" w:cs="Times New Roman"/>
          </w:rPr>
          <w:t>https://rjsaonline.com/journals/index.php/rjsa/article/view/500</w:t>
        </w:r>
      </w:hyperlink>
      <w:r>
        <w:rPr>
          <w:rFonts w:ascii="Times New Roman" w:eastAsia="Times New Roman" w:hAnsi="Times New Roman" w:cs="Times New Roman"/>
        </w:rPr>
        <w:t xml:space="preserve"> </w:t>
      </w:r>
    </w:p>
    <w:p w14:paraId="7A90DADE" w14:textId="77777777" w:rsidR="00CC19F6" w:rsidRDefault="0091218B">
      <w:pPr>
        <w:ind w:left="709" w:hanging="709"/>
      </w:pPr>
      <w:r>
        <w:rPr>
          <w:rFonts w:ascii="Times New Roman" w:eastAsia="Times New Roman" w:hAnsi="Times New Roman" w:cs="Times New Roman"/>
        </w:rPr>
        <w:t xml:space="preserve">Ncube, M., &amp; Luneta, K. (2025). Concept-based instruction: Improving learner performance in mathematics through conceptual understanding. Pythagoras-Journal of the Association for Mathematics Education of South Africa, 46(1), 815. </w:t>
      </w:r>
      <w:hyperlink r:id="rId48">
        <w:r>
          <w:rPr>
            <w:rFonts w:ascii="Times New Roman" w:eastAsia="Times New Roman" w:hAnsi="Times New Roman" w:cs="Times New Roman"/>
          </w:rPr>
          <w:t>https://journals.co.za/doi/abs/10.4102/pythagoras.v46i1.815</w:t>
        </w:r>
      </w:hyperlink>
    </w:p>
    <w:p w14:paraId="7A90DADF"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Nurtamam, M. E., &amp; Jannah, A. N. (2025). A systematic qualitative review of teachers’ strategies in enhancing mathematical reasoning in elementary schools. Jurnal Obsesi: Jurnal Pendidikan Anak Usia Dini, 9(2), 553-562. </w:t>
      </w:r>
      <w:hyperlink r:id="rId49">
        <w:r>
          <w:rPr>
            <w:rFonts w:ascii="Times New Roman" w:eastAsia="Times New Roman" w:hAnsi="Times New Roman" w:cs="Times New Roman"/>
          </w:rPr>
          <w:t>https://tinyurl.com/mura6sjx</w:t>
        </w:r>
      </w:hyperlink>
      <w:r>
        <w:rPr>
          <w:rFonts w:ascii="Times New Roman" w:eastAsia="Times New Roman" w:hAnsi="Times New Roman" w:cs="Times New Roman"/>
        </w:rPr>
        <w:t xml:space="preserve"> </w:t>
      </w:r>
    </w:p>
    <w:p w14:paraId="7A90DAE0"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lastRenderedPageBreak/>
        <w:t>Öz, T., &amp; Işık, A. (2024). Exploring mathematical reasoning skills of middle school students. Thinking Skills and Creativity, 53, 101612. https://www.sciencedirect.com/science/article/abs/pii/S1871187124001500</w:t>
      </w:r>
    </w:p>
    <w:p w14:paraId="7A90DAE1"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Piaget, J. (1972). The principles of genetic epistemology. Basic Books. </w:t>
      </w:r>
      <w:hyperlink r:id="rId50">
        <w:r>
          <w:rPr>
            <w:rFonts w:ascii="Times New Roman" w:eastAsia="Times New Roman" w:hAnsi="Times New Roman" w:cs="Times New Roman"/>
          </w:rPr>
          <w:t>https://tinyurl.com/ydr5tnxw</w:t>
        </w:r>
      </w:hyperlink>
      <w:r>
        <w:rPr>
          <w:rFonts w:ascii="Times New Roman" w:eastAsia="Times New Roman" w:hAnsi="Times New Roman" w:cs="Times New Roman"/>
        </w:rPr>
        <w:t xml:space="preserve"> </w:t>
      </w:r>
    </w:p>
    <w:p w14:paraId="7A90DAE2" w14:textId="77777777" w:rsidR="00CC19F6" w:rsidRDefault="0091218B">
      <w:pPr>
        <w:ind w:left="709" w:hanging="709"/>
      </w:pPr>
      <w:r>
        <w:rPr>
          <w:rFonts w:ascii="Times New Roman" w:eastAsia="Times New Roman" w:hAnsi="Times New Roman" w:cs="Times New Roman"/>
        </w:rPr>
        <w:t xml:space="preserve">Pratt, D. J. (2023). The impact of automaticity training in multiplication facts on problem solving ability (Doctoral dissertation, University of Otago). </w:t>
      </w:r>
      <w:hyperlink r:id="rId51">
        <w:r>
          <w:rPr>
            <w:rFonts w:ascii="Times New Roman" w:eastAsia="Times New Roman" w:hAnsi="Times New Roman" w:cs="Times New Roman"/>
          </w:rPr>
          <w:t>https://ourarchive.otago.ac.nz/esploro/outputs/doctoral/The-impact-of-automaticity-training-in/9926478241801891</w:t>
        </w:r>
      </w:hyperlink>
    </w:p>
    <w:p w14:paraId="7A90DAE3"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Prediger, S. (2022, February). Enhancing language for developing conceptual understanding: A research journey connecting different research approaches. In </w:t>
      </w:r>
      <w:r>
        <w:rPr>
          <w:rFonts w:ascii="Times New Roman" w:eastAsia="Times New Roman" w:hAnsi="Times New Roman" w:cs="Times New Roman"/>
          <w:i/>
          <w:iCs/>
          <w:highlight w:val="white"/>
        </w:rPr>
        <w:t>Twelfth Congress of the European Society for Research in Mathematics Education (CERME12)</w:t>
      </w:r>
      <w:r>
        <w:rPr>
          <w:rFonts w:ascii="Times New Roman" w:eastAsia="Times New Roman" w:hAnsi="Times New Roman" w:cs="Times New Roman"/>
          <w:highlight w:val="white"/>
        </w:rPr>
        <w:t xml:space="preserve">. </w:t>
      </w:r>
      <w:hyperlink r:id="rId52">
        <w:r>
          <w:rPr>
            <w:rFonts w:ascii="Times New Roman" w:eastAsia="Times New Roman" w:hAnsi="Times New Roman" w:cs="Times New Roman"/>
            <w:highlight w:val="white"/>
          </w:rPr>
          <w:t>https://hal.science/hal-03756062/</w:t>
        </w:r>
      </w:hyperlink>
      <w:r>
        <w:rPr>
          <w:rFonts w:ascii="Times New Roman" w:eastAsia="Times New Roman" w:hAnsi="Times New Roman" w:cs="Times New Roman"/>
          <w:highlight w:val="white"/>
        </w:rPr>
        <w:t xml:space="preserve"> </w:t>
      </w:r>
    </w:p>
    <w:p w14:paraId="7A90DAE4" w14:textId="77777777" w:rsidR="00CC19F6" w:rsidRDefault="0091218B">
      <w:pPr>
        <w:ind w:left="709" w:hanging="709"/>
      </w:pPr>
      <w:r>
        <w:rPr>
          <w:rFonts w:ascii="Times New Roman" w:eastAsia="Times New Roman" w:hAnsi="Times New Roman" w:cs="Times New Roman"/>
        </w:rPr>
        <w:t xml:space="preserve">Rif'at, M., Sudiansyah, S., &amp; Imama, K. (2024). Role of visual abilities in mathematics learning: An analysis of conceptual representation. Al-Jabar: Jurnal Pendidikan Matematika, 15(1), 87-97. </w:t>
      </w:r>
      <w:hyperlink r:id="rId53">
        <w:r>
          <w:rPr>
            <w:rFonts w:ascii="Times New Roman" w:eastAsia="Times New Roman" w:hAnsi="Times New Roman" w:cs="Times New Roman"/>
          </w:rPr>
          <w:t>https://ejournal.radenintan.ac.id/index.php/al-jabar/article/view/22406</w:t>
        </w:r>
      </w:hyperlink>
    </w:p>
    <w:p w14:paraId="7A90DAE5" w14:textId="77777777" w:rsidR="00CC19F6" w:rsidRDefault="0091218B">
      <w:pPr>
        <w:ind w:left="709" w:hanging="709"/>
        <w:rPr>
          <w:rFonts w:ascii="Times New Roman" w:eastAsia="Times New Roman" w:hAnsi="Times New Roman" w:cs="Times New Roman"/>
          <w:b/>
          <w:bCs/>
          <w:highlight w:val="white"/>
        </w:rPr>
      </w:pPr>
      <w:r>
        <w:rPr>
          <w:rFonts w:ascii="Times New Roman" w:eastAsia="Times New Roman" w:hAnsi="Times New Roman" w:cs="Times New Roman"/>
          <w:highlight w:val="white"/>
        </w:rPr>
        <w:t>Rivas, S. F., Saiz, C., &amp; Ossa, C. (2022). Metacognitive strategies and development of critical thinking in higher education. </w:t>
      </w:r>
      <w:r>
        <w:rPr>
          <w:rFonts w:ascii="Times New Roman" w:eastAsia="Times New Roman" w:hAnsi="Times New Roman" w:cs="Times New Roman"/>
          <w:i/>
          <w:iCs/>
          <w:highlight w:val="white"/>
        </w:rPr>
        <w:t>Frontiers in psychology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13</w:t>
      </w:r>
      <w:r>
        <w:rPr>
          <w:rFonts w:ascii="Times New Roman" w:eastAsia="Times New Roman" w:hAnsi="Times New Roman" w:cs="Times New Roman"/>
          <w:highlight w:val="white"/>
        </w:rPr>
        <w:t xml:space="preserve">, 913219.https://www.frontiersin.org/journals/psychology/articles/10.3389/fpsyg.2022.913219/full?utm_source=chatgpt.com </w:t>
      </w:r>
    </w:p>
    <w:p w14:paraId="7A90DAE6" w14:textId="77777777" w:rsidR="00CC19F6" w:rsidRDefault="0091218B">
      <w:pPr>
        <w:ind w:left="709" w:hanging="709"/>
      </w:pPr>
      <w:r>
        <w:rPr>
          <w:rFonts w:ascii="Times New Roman" w:eastAsia="Times New Roman" w:hAnsi="Times New Roman" w:cs="Times New Roman"/>
        </w:rPr>
        <w:t xml:space="preserve">Rukshana, M. M. M., Gunavathi, M. S., &amp; Prithiyangadevi, M. S. (2025). FROM PROCEDURES TO CONCEPTUAL INSIGHT: A REVIEW OF TEACHING STRATEGIES IN MATHEMATICS. Contemporary Techniques in Math Education, 3. </w:t>
      </w:r>
      <w:hyperlink r:id="rId54" w:anchor="page=147">
        <w:r>
          <w:rPr>
            <w:rFonts w:ascii="Times New Roman" w:eastAsia="Times New Roman" w:hAnsi="Times New Roman" w:cs="Times New Roman"/>
          </w:rPr>
          <w:t>https://www.researchgate.net/profile/A-Dinesh-Kumar-2/publication/391369291_Contemporary_Techniques_in_Math_Education/links/68144683bfbe974b23c1b70d/Contemporary-Techniques-in-Math-Education.pdf#page=147</w:t>
        </w:r>
      </w:hyperlink>
    </w:p>
    <w:p w14:paraId="7A90DAE7" w14:textId="37C8F26E"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Santosa, Y. T., Kholid, M. N., Ishartono, N., Fitriyya, M., &amp; Junaedi, I. (2025). Toward a Theoretical Model of Deep Mathematical Thinking: Integrating Deep Learning and Mathematical Reasoning Frameworks. Journal of Deep Learning, 109-126. </w:t>
      </w:r>
      <w:hyperlink r:id="rId55">
        <w:r>
          <w:rPr>
            <w:rFonts w:ascii="Times New Roman" w:eastAsia="Times New Roman" w:hAnsi="Times New Roman" w:cs="Times New Roman"/>
          </w:rPr>
          <w:t>https://journals2.ums.ac.id/jdl/article/view/11142</w:t>
        </w:r>
      </w:hyperlink>
    </w:p>
    <w:p w14:paraId="3309335D" w14:textId="19BC2351" w:rsidR="00530386" w:rsidRPr="00530386" w:rsidRDefault="00530386" w:rsidP="00530386">
      <w:pPr>
        <w:pBdr>
          <w:top w:val="nil"/>
          <w:left w:val="nil"/>
          <w:bottom w:val="nil"/>
          <w:right w:val="nil"/>
          <w:between w:val="nil"/>
        </w:pBdr>
        <w:spacing w:line="240" w:lineRule="auto"/>
        <w:ind w:left="709" w:hanging="709"/>
        <w:rPr>
          <w:rFonts w:ascii="Times New Roman" w:eastAsia="Times New Roman" w:hAnsi="Times New Roman" w:cs="Times New Roman"/>
          <w:highlight w:val="white"/>
        </w:rPr>
      </w:pPr>
      <w:r w:rsidRPr="007F0C22">
        <w:rPr>
          <w:rFonts w:ascii="Times New Roman" w:eastAsia="Times New Roman" w:hAnsi="Times New Roman" w:cs="Times New Roman"/>
          <w:highlight w:val="white"/>
        </w:rPr>
        <w:t>Sarumaha, Y. A., &amp; Rizkianto, I. (2022). Promoting mathematical justification through realistic mathematics education classroom. </w:t>
      </w:r>
      <w:r w:rsidRPr="007F0C22">
        <w:rPr>
          <w:rFonts w:ascii="Times New Roman" w:eastAsia="Times New Roman" w:hAnsi="Times New Roman" w:cs="Times New Roman"/>
          <w:i/>
          <w:iCs/>
          <w:highlight w:val="white"/>
        </w:rPr>
        <w:t>Jurnal Pendidikan Matematika (JUPITEK)</w:t>
      </w:r>
      <w:r w:rsidRPr="007F0C22">
        <w:rPr>
          <w:rFonts w:ascii="Times New Roman" w:eastAsia="Times New Roman" w:hAnsi="Times New Roman" w:cs="Times New Roman"/>
          <w:highlight w:val="white"/>
        </w:rPr>
        <w:t>, </w:t>
      </w:r>
      <w:r w:rsidRPr="007F0C22">
        <w:rPr>
          <w:rFonts w:ascii="Times New Roman" w:eastAsia="Times New Roman" w:hAnsi="Times New Roman" w:cs="Times New Roman"/>
          <w:i/>
          <w:iCs/>
          <w:highlight w:val="white"/>
        </w:rPr>
        <w:t>5</w:t>
      </w:r>
      <w:r w:rsidRPr="007F0C22">
        <w:rPr>
          <w:rFonts w:ascii="Times New Roman" w:eastAsia="Times New Roman" w:hAnsi="Times New Roman" w:cs="Times New Roman"/>
          <w:highlight w:val="white"/>
        </w:rPr>
        <w:t xml:space="preserve">(2), 83-94. </w:t>
      </w:r>
      <w:hyperlink r:id="rId56">
        <w:r w:rsidRPr="007F0C22">
          <w:rPr>
            <w:rFonts w:ascii="Times New Roman" w:eastAsia="Times New Roman" w:hAnsi="Times New Roman" w:cs="Times New Roman"/>
            <w:highlight w:val="white"/>
          </w:rPr>
          <w:t>https://tinyurl.com/3yejs9c8</w:t>
        </w:r>
      </w:hyperlink>
      <w:r w:rsidRPr="007F0C22">
        <w:rPr>
          <w:rFonts w:ascii="Times New Roman" w:eastAsia="Times New Roman" w:hAnsi="Times New Roman" w:cs="Times New Roman"/>
          <w:highlight w:val="white"/>
        </w:rPr>
        <w:t xml:space="preserve"> </w:t>
      </w:r>
    </w:p>
    <w:p w14:paraId="7A90DAE8" w14:textId="77777777" w:rsidR="00CC19F6" w:rsidRDefault="0091218B">
      <w:pPr>
        <w:ind w:left="709" w:hanging="709"/>
      </w:pPr>
      <w:r>
        <w:rPr>
          <w:rFonts w:ascii="Times New Roman" w:eastAsia="Times New Roman" w:hAnsi="Times New Roman" w:cs="Times New Roman"/>
        </w:rPr>
        <w:t xml:space="preserve">Schulz, A. (2024). Assessing student teachers’ procedural fluency and strategic competence in operating and mathematizing with natural and rational numbers. Journal of Mathematics Teacher Education, 27(6), 981–1008. </w:t>
      </w:r>
      <w:hyperlink r:id="rId57">
        <w:r>
          <w:rPr>
            <w:rFonts w:ascii="Times New Roman" w:eastAsia="Times New Roman" w:hAnsi="Times New Roman" w:cs="Times New Roman"/>
          </w:rPr>
          <w:t>https://tinyurl.com/7tccm79p</w:t>
        </w:r>
      </w:hyperlink>
    </w:p>
    <w:p w14:paraId="7A90DAE9"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lastRenderedPageBreak/>
        <w:t xml:space="preserve">Sharma, S. (2024). Enhancing inclusive learning environments: Strategies for curriculum adaptation and modification. Future of special education in India, 109, 121. </w:t>
      </w:r>
      <w:hyperlink r:id="rId58" w:anchor="page=122">
        <w:r>
          <w:rPr>
            <w:rFonts w:ascii="Times New Roman" w:eastAsia="Times New Roman" w:hAnsi="Times New Roman" w:cs="Times New Roman"/>
          </w:rPr>
          <w:t>https://www.researchgate.net/profile/Geetanjali-Sharma-18/publication/380266832_978-93-5879-742-8_ebook_1/links/66332a4d06ea3d0b741f9b4c/978-93-5879-742-8-ebook-1.pdf#page=122</w:t>
        </w:r>
      </w:hyperlink>
      <w:r>
        <w:rPr>
          <w:rFonts w:ascii="Times New Roman" w:eastAsia="Times New Roman" w:hAnsi="Times New Roman" w:cs="Times New Roman"/>
        </w:rPr>
        <w:t xml:space="preserve"> </w:t>
      </w:r>
    </w:p>
    <w:p w14:paraId="7A90DAEA"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Sidhu, A., Bhalla, P., &amp; Zafar, S. (2021). Mediating effect and review of its statistical measures. </w:t>
      </w:r>
      <w:r>
        <w:rPr>
          <w:rFonts w:ascii="Times New Roman" w:eastAsia="Times New Roman" w:hAnsi="Times New Roman" w:cs="Times New Roman"/>
          <w:i/>
          <w:iCs/>
          <w:highlight w:val="white"/>
        </w:rPr>
        <w:t>Empir Econ Lett</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20</w:t>
      </w:r>
      <w:r>
        <w:rPr>
          <w:rFonts w:ascii="Times New Roman" w:eastAsia="Times New Roman" w:hAnsi="Times New Roman" w:cs="Times New Roman"/>
          <w:highlight w:val="white"/>
        </w:rPr>
        <w:t xml:space="preserve">(4), 29-40. </w:t>
      </w:r>
      <w:hyperlink r:id="rId59">
        <w:r>
          <w:rPr>
            <w:rFonts w:ascii="Times New Roman" w:eastAsia="Times New Roman" w:hAnsi="Times New Roman" w:cs="Times New Roman"/>
          </w:rPr>
          <w:t>Mediating-Effect-and-Review-of-its-Statistical-Measures.pdf</w:t>
        </w:r>
      </w:hyperlink>
      <w:r>
        <w:rPr>
          <w:rFonts w:ascii="Times New Roman" w:eastAsia="Times New Roman" w:hAnsi="Times New Roman" w:cs="Times New Roman"/>
        </w:rPr>
        <w:t xml:space="preserve"> </w:t>
      </w:r>
    </w:p>
    <w:p w14:paraId="7A90DAEB"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Singh, C., Maries, A., Heller, K., &amp; Heller, P. (2023). Instructional strategies that foster effective problem-solving. arXiv preprint arXiv:2304.05585. </w:t>
      </w:r>
      <w:hyperlink r:id="rId60">
        <w:r>
          <w:rPr>
            <w:rFonts w:ascii="Times New Roman" w:eastAsia="Times New Roman" w:hAnsi="Times New Roman" w:cs="Times New Roman"/>
          </w:rPr>
          <w:t>https://arxiv.org/abs/2304.05585</w:t>
        </w:r>
      </w:hyperlink>
      <w:r>
        <w:rPr>
          <w:rFonts w:ascii="Times New Roman" w:eastAsia="Times New Roman" w:hAnsi="Times New Roman" w:cs="Times New Roman"/>
        </w:rPr>
        <w:t xml:space="preserve"> </w:t>
      </w:r>
    </w:p>
    <w:p w14:paraId="7A90DAEC"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Siregar, T. (2025). Integrating GeoGebra in mathematics education: Enhancing pedagogical practices among teachers and lecturers. Yerizon, Integrating GeoGebra in Mathematics Education: Enhancing Pedagogical Practices among Teachers and Lecturers (October 16, 2025). </w:t>
      </w:r>
      <w:hyperlink r:id="rId61">
        <w:r>
          <w:rPr>
            <w:rFonts w:ascii="Times New Roman" w:eastAsia="Times New Roman" w:hAnsi="Times New Roman" w:cs="Times New Roman"/>
          </w:rPr>
          <w:t>https://papers.ssrn.com/sol3/papers.cfm?abstract_id=5613052</w:t>
        </w:r>
      </w:hyperlink>
      <w:r>
        <w:rPr>
          <w:rFonts w:ascii="Times New Roman" w:eastAsia="Times New Roman" w:hAnsi="Times New Roman" w:cs="Times New Roman"/>
        </w:rPr>
        <w:t xml:space="preserve"> </w:t>
      </w:r>
    </w:p>
    <w:p w14:paraId="7A90DAE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Siregar, T. (2025). The effectiveness of the discovery learning model in enhancing students’ mathematical problem-solving skills. </w:t>
      </w:r>
      <w:hyperlink r:id="rId62">
        <w:r>
          <w:rPr>
            <w:rFonts w:ascii="Times New Roman" w:eastAsia="Times New Roman" w:hAnsi="Times New Roman" w:cs="Times New Roman"/>
          </w:rPr>
          <w:t>https://www.preprints.org/manuscript/202510.1549</w:t>
        </w:r>
      </w:hyperlink>
    </w:p>
    <w:p w14:paraId="7A90DAEE" w14:textId="69B3BD59"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Skylark, W. J. (2021). More is easier? Testing the role of fluency in the more-credible effect. Judgment and Decision Making, 16(3), 638-686. https://www.cambridge.org/core/journals/judgment-and-decision-making/article/more-is-easier-testing-the-role-of-fluency-in-the-morecredible-effect/0C28BC1EA5CE6F6DC3C8C3C4FD09BE99 </w:t>
      </w:r>
    </w:p>
    <w:p w14:paraId="2F73DD12" w14:textId="17EDD518" w:rsidR="001D5796" w:rsidRPr="001D5796" w:rsidRDefault="001D5796" w:rsidP="001D5796">
      <w:pPr>
        <w:ind w:left="709" w:hanging="709"/>
        <w:rPr>
          <w:rFonts w:ascii="Times New Roman" w:eastAsia="Times New Roman" w:hAnsi="Times New Roman" w:cs="Times New Roman"/>
          <w:sz w:val="32"/>
        </w:rPr>
      </w:pPr>
      <w:r w:rsidRPr="006D71B7">
        <w:rPr>
          <w:rFonts w:ascii="Times New Roman" w:hAnsi="Times New Roman" w:cs="Times New Roman"/>
          <w:color w:val="222222"/>
          <w:szCs w:val="20"/>
          <w:shd w:val="clear" w:color="auto" w:fill="FFFFFF"/>
        </w:rPr>
        <w:t>Sridhar, M. K., &amp; Balamurugan, M. S. (2025). COGNITIVE GROWTH AND MATHEMATICAL COMPREHENSION: A REVIEW OF CONTEMPORARY EDUCATIONAL THEORIES. </w:t>
      </w:r>
      <w:r w:rsidRPr="006D71B7">
        <w:rPr>
          <w:rFonts w:ascii="Times New Roman" w:hAnsi="Times New Roman" w:cs="Times New Roman"/>
          <w:i/>
          <w:iCs/>
          <w:color w:val="222222"/>
          <w:szCs w:val="20"/>
          <w:shd w:val="clear" w:color="auto" w:fill="FFFFFF"/>
        </w:rPr>
        <w:t>Contemporary Techniques in Math Education</w:t>
      </w:r>
      <w:r w:rsidRPr="006D71B7">
        <w:rPr>
          <w:rFonts w:ascii="Times New Roman" w:hAnsi="Times New Roman" w:cs="Times New Roman"/>
          <w:color w:val="222222"/>
          <w:szCs w:val="20"/>
          <w:shd w:val="clear" w:color="auto" w:fill="FFFFFF"/>
        </w:rPr>
        <w:t>.</w:t>
      </w:r>
      <w:r>
        <w:rPr>
          <w:rFonts w:ascii="Times New Roman" w:hAnsi="Times New Roman" w:cs="Times New Roman"/>
          <w:color w:val="222222"/>
          <w:szCs w:val="20"/>
          <w:shd w:val="clear" w:color="auto" w:fill="FFFFFF"/>
        </w:rPr>
        <w:t xml:space="preserve"> </w:t>
      </w:r>
      <w:r w:rsidRPr="006D71B7">
        <w:rPr>
          <w:rFonts w:ascii="Times New Roman" w:hAnsi="Times New Roman" w:cs="Times New Roman"/>
          <w:color w:val="222222"/>
          <w:szCs w:val="20"/>
          <w:shd w:val="clear" w:color="auto" w:fill="FFFFFF"/>
        </w:rPr>
        <w:t>https://www.researchgate.net/profile/A-Dinesh-Kumar-2/publication/391369291_Contemporary_Techniques_in_Math_Education/links/68144683bfbe974b23c1b70d/Contemporary-Techniques-in-Math-Education.pdf#page=49</w:t>
      </w:r>
    </w:p>
    <w:p w14:paraId="7A90DAEF" w14:textId="77777777" w:rsidR="00CC19F6" w:rsidRDefault="0091218B">
      <w:pPr>
        <w:ind w:left="709" w:hanging="709"/>
      </w:pPr>
      <w:r>
        <w:rPr>
          <w:rFonts w:ascii="Times New Roman" w:eastAsia="Times New Roman" w:hAnsi="Times New Roman" w:cs="Times New Roman"/>
        </w:rPr>
        <w:t xml:space="preserve">Star, J. R., Tuomela, D., Joglar-Prieto, N., Hästö, P., Palkki, R., Abánades, M. Á., ... &amp; Liu, R. D. (2022). Exploring students’ procedural flexibility in three countries. International Journal of STEM Education, 9(1), 4. Öz, T., &amp; Çiftci, Z. (2024). Mathematical Reasoning Activity: Compare, Generalize and Justify. Necatibey Faculty of Education Electronic Journal of Science and Mathematics Education, 18(2), 291-323. </w:t>
      </w:r>
      <w:hyperlink r:id="rId63">
        <w:r>
          <w:rPr>
            <w:rFonts w:ascii="Times New Roman" w:eastAsia="Times New Roman" w:hAnsi="Times New Roman" w:cs="Times New Roman"/>
          </w:rPr>
          <w:t>https://dergipark.org.tr/en/pub/balikesirnef/article/1506921</w:t>
        </w:r>
      </w:hyperlink>
    </w:p>
    <w:p w14:paraId="7A90DAF0"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Sümen, Ö. Ö. (2023). Reflective thinking in the problem-solving process: A model proposal. Sakarya University Journal of Education, 13(1), 6-23. </w:t>
      </w:r>
      <w:hyperlink r:id="rId64">
        <w:r>
          <w:rPr>
            <w:rFonts w:ascii="Times New Roman" w:eastAsia="Times New Roman" w:hAnsi="Times New Roman" w:cs="Times New Roman"/>
          </w:rPr>
          <w:t>https://dergipark.org.tr/en/pub/suje/article/970213</w:t>
        </w:r>
      </w:hyperlink>
      <w:r>
        <w:rPr>
          <w:rFonts w:ascii="Times New Roman" w:eastAsia="Times New Roman" w:hAnsi="Times New Roman" w:cs="Times New Roman"/>
        </w:rPr>
        <w:t xml:space="preserve"> </w:t>
      </w:r>
    </w:p>
    <w:p w14:paraId="7A90DAF1"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highlight w:val="white"/>
        </w:rPr>
        <w:lastRenderedPageBreak/>
        <w:t>Supriadi, N., &amp; Suherman, S. (2024). The role of learning anxiety and mathematical reasoning as predictor of promoting learning motivation: The mediating role of mathematical problem solving. </w:t>
      </w:r>
      <w:r>
        <w:rPr>
          <w:rFonts w:ascii="Times New Roman" w:eastAsia="Times New Roman" w:hAnsi="Times New Roman" w:cs="Times New Roman"/>
          <w:i/>
          <w:iCs/>
          <w:highlight w:val="white"/>
        </w:rPr>
        <w:t>Thinking Skills and Creativity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52</w:t>
      </w:r>
      <w:r>
        <w:rPr>
          <w:rFonts w:ascii="Times New Roman" w:eastAsia="Times New Roman" w:hAnsi="Times New Roman" w:cs="Times New Roman"/>
          <w:highlight w:val="white"/>
        </w:rPr>
        <w:t>, 101497. https://www.sciencedirect.com/science/article/pii/S187118712400035X</w:t>
      </w:r>
    </w:p>
    <w:p w14:paraId="7A90DAF2"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Tañola, M. D., &amp; Lomibao, L. S. (2024). Understanding How Students Learn Mathematics: A systematic literature review of contemporary learning strategies in Mathematics education post-2020. </w:t>
      </w:r>
      <w:r>
        <w:rPr>
          <w:rFonts w:ascii="Times New Roman" w:eastAsia="Times New Roman" w:hAnsi="Times New Roman" w:cs="Times New Roman"/>
          <w:i/>
          <w:iCs/>
          <w:highlight w:val="white"/>
        </w:rPr>
        <w:t>Journal of Innovations in Teaching and Learning</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4</w:t>
      </w:r>
      <w:r>
        <w:rPr>
          <w:rFonts w:ascii="Times New Roman" w:eastAsia="Times New Roman" w:hAnsi="Times New Roman" w:cs="Times New Roman"/>
          <w:highlight w:val="white"/>
        </w:rPr>
        <w:t xml:space="preserve">(1), 66-75. https://www.researchgate.net/profile/Marivic-Tanola/publication/387602695_Understanding_How_Students_Learn_Mathematics_A_Systematic_Literature_Review_of_Contemporary_Learning_Strategies_in_Mathematics_Education_Post-2020/links/67754cce117f340ec3ea7aa6/Understanding-How-Students-Learn-Mathematics-A-Systematic-Literature-Review-of-Contemporary-Learning-Strategies-in-Mathematics-Education-Post-2020.pdf  </w:t>
      </w:r>
    </w:p>
    <w:p w14:paraId="7A90DAF3" w14:textId="77777777" w:rsidR="00CC19F6" w:rsidRDefault="0091218B">
      <w:pPr>
        <w:ind w:left="709" w:hanging="709"/>
      </w:pPr>
      <w:r>
        <w:rPr>
          <w:rFonts w:ascii="Times New Roman" w:eastAsia="Times New Roman" w:hAnsi="Times New Roman" w:cs="Times New Roman"/>
        </w:rPr>
        <w:t xml:space="preserve">Teng, L. S. (2022). Explicit strategy-based instruction in L2 writing contexts: A perspective of self-regulated learning and formative assessment. Assessing Writing, 53, 100645. </w:t>
      </w:r>
      <w:hyperlink r:id="rId65">
        <w:r>
          <w:rPr>
            <w:rFonts w:ascii="Times New Roman" w:eastAsia="Times New Roman" w:hAnsi="Times New Roman" w:cs="Times New Roman"/>
          </w:rPr>
          <w:t>https://www.sciencedirect.com/science/article/abs/pii/S1075293522000411</w:t>
        </w:r>
      </w:hyperlink>
    </w:p>
    <w:p w14:paraId="7A90DAF4"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Thoe, N. K., Jamaludin, J., Pang, Y. J., Choong, C., Lay, Y. F., Ong, E. T., ... &amp; Chin, C. K. (2022). Developing Conceptual and Procedural Knowledge/Skills of Lifelong Learners from Basic to Advance Learning: Exemplars, Challenges and Future Direction. Dinamika Jurnal Ilmiah Pendidikan Dasar, 14(1), 22-35. </w:t>
      </w:r>
      <w:hyperlink r:id="rId66">
        <w:r>
          <w:rPr>
            <w:rFonts w:ascii="Times New Roman" w:eastAsia="Times New Roman" w:hAnsi="Times New Roman" w:cs="Times New Roman"/>
          </w:rPr>
          <w:t>https://jurnalnasional.ump.ac.id/index.php/Dinamika/article/view/13164</w:t>
        </w:r>
      </w:hyperlink>
      <w:r>
        <w:rPr>
          <w:rFonts w:ascii="Times New Roman" w:eastAsia="Times New Roman" w:hAnsi="Times New Roman" w:cs="Times New Roman"/>
        </w:rPr>
        <w:t xml:space="preserve"> </w:t>
      </w:r>
    </w:p>
    <w:p w14:paraId="7A90DAF5"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Torres-Peña, R. C., Peña-González, D., Lara-Orozco, J. L., Ariza, E. A., &amp; Vergara, D. (2025). Enhancing numerical thinking through problem solving: A teaching experience for third-grade mathematics. Education Sciences, 15(6), 667. </w:t>
      </w:r>
      <w:hyperlink r:id="rId67">
        <w:r>
          <w:rPr>
            <w:rFonts w:ascii="Times New Roman" w:eastAsia="Times New Roman" w:hAnsi="Times New Roman" w:cs="Times New Roman"/>
          </w:rPr>
          <w:t>https://www.mdpi.com/2227-7102/15/6/667</w:t>
        </w:r>
      </w:hyperlink>
      <w:r>
        <w:rPr>
          <w:rFonts w:ascii="Times New Roman" w:eastAsia="Times New Roman" w:hAnsi="Times New Roman" w:cs="Times New Roman"/>
        </w:rPr>
        <w:t xml:space="preserve"> </w:t>
      </w:r>
    </w:p>
    <w:p w14:paraId="7A90DAF6"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Ukobizaba, F., Nizeyimana, G., &amp; Mukuka, A. (2021). Assessment Strategies for Enhancing Students' Mathematical Problem-Solving Skills: A Review of Literature. Eurasia Journal of Mathematics, Science and Technology Education, 17(3). </w:t>
      </w:r>
      <w:hyperlink r:id="rId68">
        <w:r>
          <w:rPr>
            <w:rFonts w:ascii="Times New Roman" w:eastAsia="Times New Roman" w:hAnsi="Times New Roman" w:cs="Times New Roman"/>
          </w:rPr>
          <w:t>https://eric.ed.gov/?id=EJ1289246</w:t>
        </w:r>
      </w:hyperlink>
      <w:r>
        <w:rPr>
          <w:rFonts w:ascii="Times New Roman" w:eastAsia="Times New Roman" w:hAnsi="Times New Roman" w:cs="Times New Roman"/>
        </w:rPr>
        <w:t xml:space="preserve"> </w:t>
      </w:r>
    </w:p>
    <w:p w14:paraId="7A90DAF7" w14:textId="77777777" w:rsidR="00CC19F6" w:rsidRDefault="0091218B">
      <w:pPr>
        <w:ind w:left="709" w:hanging="709"/>
      </w:pPr>
      <w:r>
        <w:rPr>
          <w:rFonts w:ascii="Times New Roman" w:eastAsia="Times New Roman" w:hAnsi="Times New Roman" w:cs="Times New Roman"/>
        </w:rPr>
        <w:t xml:space="preserve">Vale, I., &amp; Barbosa, A. (2023). Active learning strategies for an effective mathematics teaching and learning. European Journal of Science and Mathematics Education, 11(3), 573-588. </w:t>
      </w:r>
      <w:hyperlink r:id="rId69">
        <w:r>
          <w:rPr>
            <w:rFonts w:ascii="Times New Roman" w:eastAsia="Times New Roman" w:hAnsi="Times New Roman" w:cs="Times New Roman"/>
          </w:rPr>
          <w:t>https://www.scimath.net/article/active-learning-strategies-for-an-effective-mathematics-teaching-and-learning-13135</w:t>
        </w:r>
      </w:hyperlink>
    </w:p>
    <w:p w14:paraId="7A90DAF8" w14:textId="77777777" w:rsidR="00CC19F6" w:rsidRDefault="0091218B">
      <w:pPr>
        <w:ind w:left="709" w:hanging="709"/>
      </w:pPr>
      <w:r>
        <w:rPr>
          <w:rFonts w:ascii="Times New Roman" w:eastAsia="Times New Roman" w:hAnsi="Times New Roman" w:cs="Times New Roman"/>
        </w:rPr>
        <w:t xml:space="preserve">Vanderheyden, A. M., &amp; Solomon, B. G. (2023). Valid outcomes for screening and progress monitoring: Fluency is superior to accuracy in curriculum-based measurement. School Psychology, 38(3), 160. </w:t>
      </w:r>
      <w:hyperlink r:id="rId70">
        <w:r>
          <w:rPr>
            <w:rFonts w:ascii="Times New Roman" w:eastAsia="Times New Roman" w:hAnsi="Times New Roman" w:cs="Times New Roman"/>
          </w:rPr>
          <w:t>https://psycnet.apa.org/record/2023-72860-003</w:t>
        </w:r>
      </w:hyperlink>
    </w:p>
    <w:p w14:paraId="7A90DAF9" w14:textId="77777777" w:rsidR="00CC19F6" w:rsidRDefault="0091218B">
      <w:pPr>
        <w:ind w:left="709" w:hanging="709"/>
      </w:pPr>
      <w:r>
        <w:rPr>
          <w:rFonts w:ascii="Times New Roman" w:eastAsia="Times New Roman" w:hAnsi="Times New Roman" w:cs="Times New Roman"/>
        </w:rPr>
        <w:lastRenderedPageBreak/>
        <w:t xml:space="preserve">Verschaffel, L. (2024). Strategy flexibility in mathematics. ZDM–Mathematics Education, 56(1), 115–126. </w:t>
      </w:r>
      <w:hyperlink r:id="rId71">
        <w:r>
          <w:rPr>
            <w:rFonts w:ascii="Times New Roman" w:eastAsia="Times New Roman" w:hAnsi="Times New Roman" w:cs="Times New Roman"/>
          </w:rPr>
          <w:t>https://tinyurl.com/5c8b5m4</w:t>
        </w:r>
      </w:hyperlink>
    </w:p>
    <w:p w14:paraId="7A90DAFA"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Vettriselvan, R., Rajesh, D., Subhashini, S., Gajalakshmi, K., &amp; Sakthivel, R. (2025). Developing and applying PCK in diverse subjects: Best practices for mathematics, science, social sciences, and language arts. In Current trends and best practices of pedagogical content knowledge (PCK) (pp. 1-30). IGI Global Scientific Publishing. </w:t>
      </w:r>
      <w:hyperlink r:id="rId72">
        <w:r>
          <w:rPr>
            <w:rFonts w:ascii="Times New Roman" w:eastAsia="Times New Roman" w:hAnsi="Times New Roman" w:cs="Times New Roman"/>
          </w:rPr>
          <w:t>https://www.igi-global.com/chapter/developing-and-applying-pck-in-diverse-subjects/369707</w:t>
        </w:r>
      </w:hyperlink>
      <w:r>
        <w:rPr>
          <w:rFonts w:ascii="Times New Roman" w:eastAsia="Times New Roman" w:hAnsi="Times New Roman" w:cs="Times New Roman"/>
        </w:rPr>
        <w:t xml:space="preserve"> </w:t>
      </w:r>
    </w:p>
    <w:p w14:paraId="7A90DAFB" w14:textId="77777777" w:rsidR="00CC19F6" w:rsidRDefault="0091218B">
      <w:pPr>
        <w:ind w:left="709" w:hanging="709"/>
      </w:pPr>
      <w:r>
        <w:rPr>
          <w:rFonts w:ascii="Times New Roman" w:eastAsia="Times New Roman" w:hAnsi="Times New Roman" w:cs="Times New Roman"/>
        </w:rPr>
        <w:t xml:space="preserve">Yassin, A., &amp; Mabanja, A. (2024, August). Integrating information processing theory with artificial intelligence for enhanced learning outcomes. In International conference on aplied social sciences in education (Vol. 1, No. 1, pp. 1-13). </w:t>
      </w:r>
      <w:hyperlink r:id="rId73">
        <w:r>
          <w:rPr>
            <w:rFonts w:ascii="Times New Roman" w:eastAsia="Times New Roman" w:hAnsi="Times New Roman" w:cs="Times New Roman"/>
          </w:rPr>
          <w:t>https://journal.upy.ac.id/index.php/icasse/article/view/6902</w:t>
        </w:r>
      </w:hyperlink>
    </w:p>
    <w:p w14:paraId="7A90DAFD" w14:textId="1C5EBA8D" w:rsidR="00CC19F6" w:rsidRDefault="0091218B" w:rsidP="0091218B">
      <w:pPr>
        <w:ind w:left="709" w:hanging="709"/>
        <w:rPr>
          <w:rFonts w:ascii="Times New Roman" w:eastAsia="Times New Roman" w:hAnsi="Times New Roman" w:cs="Times New Roman"/>
        </w:rPr>
      </w:pPr>
      <w:r>
        <w:rPr>
          <w:rFonts w:ascii="Times New Roman" w:eastAsia="Times New Roman" w:hAnsi="Times New Roman" w:cs="Times New Roman"/>
        </w:rPr>
        <w:t>Zhang, J., Andres, J. M. A. L., Hutt, S., Baker, R. S., Ocumpaugh, J., Nasiar, N</w:t>
      </w:r>
      <w:r w:rsidR="00601E33">
        <w:rPr>
          <w:rFonts w:ascii="Times New Roman" w:eastAsia="Times New Roman" w:hAnsi="Times New Roman" w:cs="Times New Roman"/>
        </w:rPr>
        <w:t>.,</w:t>
      </w:r>
      <w:r>
        <w:rPr>
          <w:rFonts w:ascii="Times New Roman" w:eastAsia="Times New Roman" w:hAnsi="Times New Roman" w:cs="Times New Roman"/>
        </w:rPr>
        <w:t xml:space="preserve"> &amp; Young, T. (2022). Using machine learning to detect SMART model cognitive operations in mathematical problem-solving process. Journal of Educational Data Mining, 14(3), 76-108. </w:t>
      </w:r>
      <w:hyperlink r:id="rId74">
        <w:r>
          <w:rPr>
            <w:rFonts w:ascii="Times New Roman" w:eastAsia="Times New Roman" w:hAnsi="Times New Roman" w:cs="Times New Roman"/>
          </w:rPr>
          <w:t>https://jedm.educationaldatamining.org/index.php/JEDM/article/view/610</w:t>
        </w:r>
      </w:hyperlink>
      <w:r>
        <w:rPr>
          <w:rFonts w:ascii="Times New Roman" w:eastAsia="Times New Roman" w:hAnsi="Times New Roman" w:cs="Times New Roman"/>
        </w:rPr>
        <w:t xml:space="preserve"> </w:t>
      </w:r>
    </w:p>
    <w:p w14:paraId="7A90DAFE" w14:textId="77777777" w:rsidR="00CC19F6" w:rsidRDefault="00CC19F6">
      <w:pPr>
        <w:ind w:hanging="709"/>
        <w:rPr>
          <w:rFonts w:ascii="Times New Roman" w:eastAsia="Times New Roman" w:hAnsi="Times New Roman" w:cs="Times New Roman"/>
        </w:rPr>
      </w:pPr>
    </w:p>
    <w:p w14:paraId="7A90DAFF" w14:textId="77777777" w:rsidR="00CC19F6" w:rsidRDefault="00CC19F6">
      <w:pPr>
        <w:ind w:hanging="709"/>
        <w:rPr>
          <w:rFonts w:ascii="Times New Roman" w:eastAsia="Times New Roman" w:hAnsi="Times New Roman" w:cs="Times New Roman"/>
          <w:highlight w:val="white"/>
        </w:rPr>
      </w:pPr>
    </w:p>
    <w:p w14:paraId="7A90DB00" w14:textId="77777777" w:rsidR="00CC19F6" w:rsidRDefault="00CC19F6">
      <w:pPr>
        <w:ind w:hanging="709"/>
        <w:rPr>
          <w:rFonts w:ascii="Times New Roman" w:eastAsia="Times New Roman" w:hAnsi="Times New Roman" w:cs="Times New Roman"/>
        </w:rPr>
      </w:pPr>
    </w:p>
    <w:p w14:paraId="7A90DB01" w14:textId="77777777" w:rsidR="00CC19F6" w:rsidRDefault="00CC19F6"/>
    <w:p w14:paraId="7A90DB02" w14:textId="77777777" w:rsidR="00CC19F6" w:rsidRDefault="00CC19F6">
      <w:pPr>
        <w:ind w:hanging="709"/>
        <w:rPr>
          <w:rFonts w:ascii="Times New Roman" w:eastAsia="Times New Roman" w:hAnsi="Times New Roman" w:cs="Times New Roman"/>
          <w:highlight w:val="white"/>
        </w:rPr>
      </w:pPr>
    </w:p>
    <w:p w14:paraId="7A90DB03" w14:textId="77777777" w:rsidR="00CC19F6" w:rsidRDefault="00CC19F6">
      <w:pPr>
        <w:spacing w:line="240" w:lineRule="auto"/>
        <w:ind w:hanging="709"/>
        <w:rPr>
          <w:rFonts w:ascii="Times New Roman" w:eastAsia="Times New Roman" w:hAnsi="Times New Roman" w:cs="Times New Roman"/>
        </w:rPr>
      </w:pPr>
    </w:p>
    <w:p w14:paraId="7A90DB04" w14:textId="77777777" w:rsidR="00CC19F6" w:rsidRDefault="00CC19F6">
      <w:pPr>
        <w:ind w:left="709" w:hanging="709"/>
        <w:rPr>
          <w:rFonts w:ascii="Times New Roman" w:eastAsia="Times New Roman" w:hAnsi="Times New Roman" w:cs="Times New Roman"/>
        </w:rPr>
      </w:pPr>
    </w:p>
    <w:p w14:paraId="7A90DB05" w14:textId="77777777" w:rsidR="00CC19F6" w:rsidRDefault="00CC19F6">
      <w:pPr>
        <w:ind w:left="709" w:hanging="709"/>
        <w:rPr>
          <w:rFonts w:ascii="Times New Roman" w:eastAsia="Times New Roman" w:hAnsi="Times New Roman" w:cs="Times New Roman"/>
          <w:b/>
          <w:bCs/>
          <w:color w:val="FF0000"/>
          <w:highlight w:val="white"/>
        </w:rPr>
      </w:pPr>
    </w:p>
    <w:sectPr w:rsidR="00CC19F6">
      <w:footerReference w:type="default" r:id="rId7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BDF6B" w14:textId="77777777" w:rsidR="00B7459E" w:rsidRDefault="00B7459E">
      <w:pPr>
        <w:spacing w:after="0" w:line="240" w:lineRule="auto"/>
      </w:pPr>
      <w:r>
        <w:separator/>
      </w:r>
    </w:p>
  </w:endnote>
  <w:endnote w:type="continuationSeparator" w:id="0">
    <w:p w14:paraId="6BA24BE4" w14:textId="77777777" w:rsidR="00B7459E" w:rsidRDefault="00B74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A44490-80E8-45C9-8EE7-BF6967363C5C}"/>
  </w:font>
  <w:font w:name="Cambria">
    <w:panose1 w:val="02040503050406030204"/>
    <w:charset w:val="00"/>
    <w:family w:val="roman"/>
    <w:pitch w:val="variable"/>
    <w:sig w:usb0="E00006FF" w:usb1="420024FF" w:usb2="02000000" w:usb3="00000000" w:csb0="0000019F" w:csb1="00000000"/>
    <w:embedRegular r:id="rId2" w:fontKey="{EE8C173F-A918-48D7-9213-493BB370E8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0DB1C" w14:textId="10BA0C10" w:rsidR="0091218B" w:rsidRDefault="0091218B">
    <w:pPr>
      <w:spacing w:after="0" w:line="216" w:lineRule="auto"/>
      <w:ind w:left="4477" w:right="4296" w:hanging="4477"/>
    </w:pPr>
    <w:r>
      <w:rPr>
        <w:sz w:val="20"/>
        <w:szCs w:val="20"/>
      </w:rPr>
      <w:t xml:space="preserve"> Page </w:t>
    </w:r>
    <w:r>
      <w:fldChar w:fldCharType="begin"/>
    </w:r>
    <w:r>
      <w:instrText>PAGE</w:instrText>
    </w:r>
    <w:r>
      <w:fldChar w:fldCharType="separate"/>
    </w:r>
    <w:r w:rsidR="00557C13">
      <w:rPr>
        <w:noProof/>
      </w:rPr>
      <w:t>3</w:t>
    </w:r>
    <w:r>
      <w:fldChar w:fldCharType="end"/>
    </w:r>
    <w:r>
      <w:rPr>
        <w:sz w:val="20"/>
        <w:szCs w:val="20"/>
      </w:rPr>
      <w:t xml:space="preserve"> www.rsisinternational.org </w:t>
    </w:r>
    <w:r>
      <w:rPr>
        <w:noProof/>
        <w:lang w:val="en-IN" w:eastAsia="en-IN"/>
      </w:rPr>
      <mc:AlternateContent>
        <mc:Choice Requires="wps">
          <w:drawing>
            <wp:anchor distT="0" distB="0" distL="114300" distR="114300" simplePos="0" relativeHeight="251660288" behindDoc="0" locked="0" layoutInCell="1" hidden="0" allowOverlap="1" wp14:anchorId="7A90DB23" wp14:editId="7A90DB24">
              <wp:simplePos x="0" y="0"/>
              <wp:positionH relativeFrom="column">
                <wp:posOffset>-533399</wp:posOffset>
              </wp:positionH>
              <wp:positionV relativeFrom="paragraph">
                <wp:posOffset>0</wp:posOffset>
              </wp:positionV>
              <wp:extent cx="6838950" cy="17780"/>
              <wp:effectExtent l="0" t="0" r="0" b="0"/>
              <wp:wrapSquare wrapText="bothSides" distT="0" distB="0" distL="114300" distR="114300"/>
              <wp:docPr id="9" name="Group 9"/>
              <wp:cNvGraphicFramePr/>
              <a:graphic xmlns:a="http://schemas.openxmlformats.org/drawingml/2006/main">
                <a:graphicData uri="http://schemas.microsoft.com/office/word/2010/wordprocessingGroup">
                  <wpg:wgp>
                    <wpg:cNvGrpSpPr/>
                    <wpg:grpSpPr>
                      <a:xfrm>
                        <a:off x="0" y="0"/>
                        <a:ext cx="6838950" cy="17780"/>
                        <a:chOff x="0" y="0"/>
                        <a:chExt cx="6838950" cy="17780"/>
                      </a:xfrm>
                    </wpg:grpSpPr>
                    <wps:wsp>
                      <wps:cNvPr id="16" name="Freeform 16"/>
                      <wps:cNvSpPr/>
                      <wps:spPr>
                        <a:xfrm>
                          <a:off x="0" y="0"/>
                          <a:ext cx="6838950" cy="17780"/>
                        </a:xfrm>
                        <a:custGeom>
                          <a:avLst/>
                          <a:gdLst/>
                          <a:ahLst/>
                          <a:cxnLst/>
                          <a:rect l="0" t="0" r="0" b="0"/>
                          <a:pathLst>
                            <a:path w="6838950" h="17780">
                              <a:moveTo>
                                <a:pt x="0" y="0"/>
                              </a:moveTo>
                              <a:lnTo>
                                <a:pt x="6838950" y="0"/>
                              </a:lnTo>
                              <a:lnTo>
                                <a:pt x="6838950" y="17780"/>
                              </a:lnTo>
                              <a:lnTo>
                                <a:pt x="0" y="17780"/>
                              </a:lnTo>
                              <a:lnTo>
                                <a:pt x="0" y="0"/>
                              </a:lnTo>
                            </a:path>
                          </a:pathLst>
                        </a:custGeom>
                        <a:ln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-533399</wp:posOffset>
              </wp:positionH>
              <wp:positionV relativeFrom="paragraph">
                <wp:posOffset>0</wp:posOffset>
              </wp:positionV>
              <wp:extent cx="6838950" cy="17780"/>
              <wp:effectExtent b="0" l="0" r="0" t="0"/>
              <wp:wrapSquare wrapText="bothSides" distB="0" distT="0" distL="114300" distR="114300"/>
              <wp:docPr id="9"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6838950" cy="17780"/>
                      </a:xfrm>
                      <a:prstGeom prst="rect"/>
                      <a:ln/>
                    </pic:spPr>
                  </pic:pic>
                </a:graphicData>
              </a:graphic>
            </wp:anchor>
          </w:drawing>
        </mc:Fallback>
      </mc:AlternateContent>
    </w:r>
  </w:p>
  <w:p w14:paraId="7A90DB1D" w14:textId="77777777" w:rsidR="0091218B" w:rsidRDefault="0091218B">
    <w:pPr>
      <w:pBdr>
        <w:top w:val="nil"/>
        <w:left w:val="nil"/>
        <w:bottom w:val="nil"/>
        <w:right w:val="nil"/>
        <w:between w:val="nil"/>
      </w:pBdr>
      <w:tabs>
        <w:tab w:val="center" w:pos="4680"/>
        <w:tab w:val="right" w:pos="9360"/>
      </w:tabs>
      <w:spacing w:after="0" w:line="240" w:lineRule="auto"/>
      <w:rPr>
        <w:color w:val="000000"/>
      </w:rPr>
    </w:pPr>
  </w:p>
  <w:p w14:paraId="7A90DB1E" w14:textId="77777777" w:rsidR="0091218B" w:rsidRDefault="009121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67641" w14:textId="77777777" w:rsidR="00B7459E" w:rsidRDefault="00B7459E">
      <w:pPr>
        <w:spacing w:after="0" w:line="240" w:lineRule="auto"/>
      </w:pPr>
      <w:r>
        <w:separator/>
      </w:r>
    </w:p>
  </w:footnote>
  <w:footnote w:type="continuationSeparator" w:id="0">
    <w:p w14:paraId="120D8B35" w14:textId="77777777" w:rsidR="00B7459E" w:rsidRDefault="00B74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0263C"/>
    <w:multiLevelType w:val="multilevel"/>
    <w:tmpl w:val="EE0038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9F6"/>
    <w:rsid w:val="001D5796"/>
    <w:rsid w:val="004819A2"/>
    <w:rsid w:val="00530386"/>
    <w:rsid w:val="005402B9"/>
    <w:rsid w:val="00557C13"/>
    <w:rsid w:val="00596676"/>
    <w:rsid w:val="005D507E"/>
    <w:rsid w:val="00601E33"/>
    <w:rsid w:val="006F749C"/>
    <w:rsid w:val="007A33B5"/>
    <w:rsid w:val="007D1D3D"/>
    <w:rsid w:val="0091218B"/>
    <w:rsid w:val="00994886"/>
    <w:rsid w:val="00997056"/>
    <w:rsid w:val="00A47821"/>
    <w:rsid w:val="00A94F4F"/>
    <w:rsid w:val="00B7459E"/>
    <w:rsid w:val="00C505F1"/>
    <w:rsid w:val="00C730DF"/>
    <w:rsid w:val="00CC19F6"/>
    <w:rsid w:val="00F7465E"/>
    <w:rsid w:val="00F764EB"/>
    <w:rsid w:val="00F97B7B"/>
    <w:rsid w:val="00FD019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 w:eastAsia="en-PH"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12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18B"/>
  </w:style>
  <w:style w:type="paragraph" w:styleId="Footer">
    <w:name w:val="footer"/>
    <w:basedOn w:val="Normal"/>
    <w:link w:val="FooterChar"/>
    <w:uiPriority w:val="99"/>
    <w:unhideWhenUsed/>
    <w:rsid w:val="00912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1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 w:eastAsia="en-PH"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12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18B"/>
  </w:style>
  <w:style w:type="paragraph" w:styleId="Footer">
    <w:name w:val="footer"/>
    <w:basedOn w:val="Normal"/>
    <w:link w:val="FooterChar"/>
    <w:uiPriority w:val="99"/>
    <w:unhideWhenUsed/>
    <w:rsid w:val="00912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scribd.com/document/713796239/Creswell-2012-educational-research" TargetMode="External"/><Relationship Id="rId21" Type="http://schemas.openxmlformats.org/officeDocument/2006/relationships/hyperlink" Target="https://link.springer.com/article/10.3758/s13428-022-01998-y" TargetMode="External"/><Relationship Id="rId42" Type="http://schemas.openxmlformats.org/officeDocument/2006/relationships/hyperlink" Target="https://tinyurl.com/8794628p" TargetMode="External"/><Relationship Id="rId47" Type="http://schemas.openxmlformats.org/officeDocument/2006/relationships/hyperlink" Target="https://rjsaonline.com/journals/index.php/rjsa/article/view/500" TargetMode="External"/><Relationship Id="rId63" Type="http://schemas.openxmlformats.org/officeDocument/2006/relationships/hyperlink" Target="https://dergipark.org.tr/en/pub/balikesirnef/article/1506921" TargetMode="External"/><Relationship Id="rId68" Type="http://schemas.openxmlformats.org/officeDocument/2006/relationships/hyperlink" Target="https://eric.ed.gov/?id=EJ1289246" TargetMode="External"/><Relationship Id="rId2" Type="http://schemas.openxmlformats.org/officeDocument/2006/relationships/styles" Target="styles.xml"/><Relationship Id="rId16" Type="http://schemas.openxmlformats.org/officeDocument/2006/relationships/hyperlink" Target="https://www.jiip.stkipyapisdompu.ac.id/jiip/index.php/JIIP/article/view/3455" TargetMode="External"/><Relationship Id="rId29" Type="http://schemas.openxmlformats.org/officeDocument/2006/relationships/hyperlink" Target="https://pubs.acs.org/doi/abs/10.1021/acs.jchemed.2c00572" TargetMode="External"/><Relationship Id="rId24" Type="http://schemas.openxmlformats.org/officeDocument/2006/relationships/hyperlink" Target="https://link.springer.com/article/10.1007/s10649-021-10033-4" TargetMode="External"/><Relationship Id="rId32" Type="http://schemas.openxmlformats.org/officeDocument/2006/relationships/hyperlink" Target="https://ojspanel.undikma.ac.id/index.php/prismasains/article/view/15099" TargetMode="External"/><Relationship Id="rId37" Type="http://schemas.openxmlformats.org/officeDocument/2006/relationships/hyperlink" Target="https://tinyurl.com/y84hjhpx" TargetMode="External"/><Relationship Id="rId40" Type="http://schemas.openxmlformats.org/officeDocument/2006/relationships/hyperlink" Target="https://www.tandfonline.com/doi/abs/10.1080/19477503.2022.2139112" TargetMode="External"/><Relationship Id="rId45" Type="http://schemas.openxmlformats.org/officeDocument/2006/relationships/hyperlink" Target="https://tinyurl.com/4y28bby3" TargetMode="External"/><Relationship Id="rId53" Type="http://schemas.openxmlformats.org/officeDocument/2006/relationships/hyperlink" Target="https://ejournal.radenintan.ac.id/index.php/al-jabar/article/view/22406" TargetMode="External"/><Relationship Id="rId58" Type="http://schemas.openxmlformats.org/officeDocument/2006/relationships/hyperlink" Target="https://www.researchgate.net/profile/Geetanjali-Sharma-18/publication/380266832_978-93-5879-742-8_ebook_1/links/66332a4d06ea3d0b741f9b4c/978-93-5879-742-8-ebook-1.pdf" TargetMode="External"/><Relationship Id="rId66" Type="http://schemas.openxmlformats.org/officeDocument/2006/relationships/hyperlink" Target="https://jurnalnasional.ump.ac.id/index.php/Dinamika/article/view/13164" TargetMode="External"/><Relationship Id="rId74" Type="http://schemas.openxmlformats.org/officeDocument/2006/relationships/hyperlink" Target="https://jedm.educationaldatamining.org/index.php/JEDM/article/view/610" TargetMode="External"/><Relationship Id="rId5" Type="http://schemas.openxmlformats.org/officeDocument/2006/relationships/webSettings" Target="webSettings.xml"/><Relationship Id="rId61" Type="http://schemas.openxmlformats.org/officeDocument/2006/relationships/hyperlink" Target="https://papers.ssrn.com/sol3/papers.cfm?abstract_id=5613052" TargetMode="External"/><Relationship Id="rId19" Type="http://schemas.openxmlformats.org/officeDocument/2006/relationships/hyperlink" Target="https://www.ceeol.com/search/article-detail?id=1276653" TargetMode="External"/><Relationship Id="rId14" Type="http://schemas.openxmlformats.org/officeDocument/2006/relationships/image" Target="media/image3.png"/><Relationship Id="rId22" Type="http://schemas.openxmlformats.org/officeDocument/2006/relationships/hyperlink" Target="https://link.springer.com/article/10.3758/s13423-021-01904-1" TargetMode="External"/><Relationship Id="rId27" Type="http://schemas.openxmlformats.org/officeDocument/2006/relationships/hyperlink" Target="https://www.tandfonline.com/doi/abs/10.1080/19477503.2021.1981742" TargetMode="External"/><Relationship Id="rId30" Type="http://schemas.openxmlformats.org/officeDocument/2006/relationships/hyperlink" Target="https://jurnal.umbulukumba.ac.id/index.php/jpss/article/view/449" TargetMode="External"/><Relationship Id="rId35" Type="http://schemas.openxmlformats.org/officeDocument/2006/relationships/hyperlink" Target="https://jnc.psychopen.eu/index.php/jnc/article/view/7277" TargetMode="External"/><Relationship Id="rId43" Type="http://schemas.openxmlformats.org/officeDocument/2006/relationships/hyperlink" Target="https://www.tandfonline.com/doi/abs/10.1080/00220671.2021.1910475" TargetMode="External"/><Relationship Id="rId48" Type="http://schemas.openxmlformats.org/officeDocument/2006/relationships/hyperlink" Target="https://journals.co.za/doi/abs/10.4102/pythagoras.v46i1.815" TargetMode="External"/><Relationship Id="rId56" Type="http://schemas.openxmlformats.org/officeDocument/2006/relationships/hyperlink" Target="https://tinyurl.com/3yejs9c8" TargetMode="External"/><Relationship Id="rId64" Type="http://schemas.openxmlformats.org/officeDocument/2006/relationships/hyperlink" Target="https://dergipark.org.tr/en/pub/suje/article/970213" TargetMode="External"/><Relationship Id="rId69" Type="http://schemas.openxmlformats.org/officeDocument/2006/relationships/hyperlink" Target="https://www.scimath.net/article/active-learning-strategies-for-an-effective-mathematics-teaching-and-learning-13135"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ourarchive.otago.ac.nz/esploro/outputs/doctoral/The-impact-of-automaticity-training-in/9926478241801891" TargetMode="External"/><Relationship Id="rId72" Type="http://schemas.openxmlformats.org/officeDocument/2006/relationships/hyperlink" Target="https://www.igi-global.com/chapter/developing-and-applying-pck-in-diverse-subjects/369707" TargetMode="External"/><Relationship Id="rId3" Type="http://schemas.microsoft.com/office/2007/relationships/stylesWithEffects" Target="stylesWithEffects.xml"/><Relationship Id="rId17" Type="http://schemas.openxmlformats.org/officeDocument/2006/relationships/hyperlink" Target="https://www.neliti.com/publications/356453/exploring-students-procedural-fluency-and-written-adaptive-reasoning-skills-in-s" TargetMode="External"/><Relationship Id="rId25" Type="http://schemas.openxmlformats.org/officeDocument/2006/relationships/hyperlink" Target="https://tinyurl.com/5epn7n5h" TargetMode="External"/><Relationship Id="rId33" Type="http://schemas.openxmlformats.org/officeDocument/2006/relationships/hyperlink" Target="https://www.siot.reapress.com/journal/article/view/52" TargetMode="External"/><Relationship Id="rId38" Type="http://schemas.openxmlformats.org/officeDocument/2006/relationships/hyperlink" Target="https://search.informit.org/doi/abs/10.3316/informit.757709794375494" TargetMode="External"/><Relationship Id="rId46" Type="http://schemas.openxmlformats.org/officeDocument/2006/relationships/hyperlink" Target="https://tinyurl.com/ymprwmk2" TargetMode="External"/><Relationship Id="rId59" Type="http://schemas.openxmlformats.org/officeDocument/2006/relationships/hyperlink" Target="https://www.researchgate.net/profile/Amrita-Sidhu-2/publication/355376494_Mediating_Effect_and_Review_of_its_Statistical_Measures/links/616d68fc951b3574c65fab9a/Mediating-Effect-and-Review-of-its-Statistical-Measures.pdf" TargetMode="External"/><Relationship Id="rId67" Type="http://schemas.openxmlformats.org/officeDocument/2006/relationships/hyperlink" Target="https://www.mdpi.com/2227-7102/15/6/667" TargetMode="External"/><Relationship Id="rId20" Type="http://schemas.openxmlformats.org/officeDocument/2006/relationships/hyperlink" Target="https://dergipark.org.tr/en/pub/neueefd/article/1341680?issue_id=80589" TargetMode="External"/><Relationship Id="rId41" Type="http://schemas.openxmlformats.org/officeDocument/2006/relationships/hyperlink" Target="https://ojs.fkip.ummetro.ac.id/index.php/matematika/article/view/11442" TargetMode="External"/><Relationship Id="rId54" Type="http://schemas.openxmlformats.org/officeDocument/2006/relationships/hyperlink" Target="https://www.researchgate.net/profile/A-Dinesh-Kumar-2/publication/391369291_Contemporary_Techniques_in_Math_Education/links/68144683bfbe974b23c1b70d/Contemporary-Techniques-in-Math-Education.pdf" TargetMode="External"/><Relationship Id="rId62" Type="http://schemas.openxmlformats.org/officeDocument/2006/relationships/hyperlink" Target="https://www.preprints.org/manuscript/202510.1549" TargetMode="External"/><Relationship Id="rId70" Type="http://schemas.openxmlformats.org/officeDocument/2006/relationships/hyperlink" Target="https://psycnet.apa.org/record/2023-72860-003"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journals.sagepub.com/doi/abs/10.1177/0890207021992907" TargetMode="External"/><Relationship Id="rId28" Type="http://schemas.openxmlformats.org/officeDocument/2006/relationships/hyperlink" Target="https://ideas.repec.org/a/ajp/edwast/v9y2025i5p314-323id6831.html" TargetMode="External"/><Relationship Id="rId36" Type="http://schemas.openxmlformats.org/officeDocument/2006/relationships/hyperlink" Target="https://link.springer.com/article/10.1007/s10648-023-09825-2" TargetMode="External"/><Relationship Id="rId49" Type="http://schemas.openxmlformats.org/officeDocument/2006/relationships/hyperlink" Target="https://tinyurl.com/mura6sjx" TargetMode="External"/><Relationship Id="rId57" Type="http://schemas.openxmlformats.org/officeDocument/2006/relationships/hyperlink" Target="https://tinyurl.com/7tccm79p" TargetMode="External"/><Relationship Id="rId31" Type="http://schemas.openxmlformats.org/officeDocument/2006/relationships/hyperlink" Target="https://www.researchgate.net/profile/Mary-Cris-Go/publication/375828757_ENHANCING_MATHEMATICAL_PROFICIENCY_ASSESSMENT_INSIGHTS_FROM_MATHEMATICS_TEACHERS/links/655e74163fa26f66f420954c/ENHANCING-MATHEMATICAL-PROFICIENCY-ASSESSMENT-INSIGHTS-FROM-MATHEMATICS-TEACHERS.pdf" TargetMode="External"/><Relationship Id="rId44" Type="http://schemas.openxmlformats.org/officeDocument/2006/relationships/hyperlink" Target="https://www.tandfonline.com/doi/abs/10.1080/00220671.2021.1910475" TargetMode="External"/><Relationship Id="rId52" Type="http://schemas.openxmlformats.org/officeDocument/2006/relationships/hyperlink" Target="https://hal.science/hal-03756062/" TargetMode="External"/><Relationship Id="rId60" Type="http://schemas.openxmlformats.org/officeDocument/2006/relationships/hyperlink" Target="https://arxiv.org/abs/2304.05585" TargetMode="External"/><Relationship Id="rId65" Type="http://schemas.openxmlformats.org/officeDocument/2006/relationships/hyperlink" Target="https://www.sciencedirect.com/science/article/abs/pii/S1075293522000411" TargetMode="External"/><Relationship Id="rId73" Type="http://schemas.openxmlformats.org/officeDocument/2006/relationships/hyperlink" Target="https://journal.upy.ac.id/index.php/icasse/article/view/6902" TargetMode="External"/><Relationship Id="rId4" Type="http://schemas.openxmlformats.org/officeDocument/2006/relationships/settings" Target="settings.xml"/><Relationship Id="rId13" Type="http://schemas.openxmlformats.org/officeDocument/2006/relationships/image" Target="media/image8.png"/><Relationship Id="rId18" Type="http://schemas.openxmlformats.org/officeDocument/2006/relationships/hyperlink" Target="https://journal.lppmunindra.ac.id/index.php/Formatif/article/view/9907" TargetMode="External"/><Relationship Id="rId39" Type="http://schemas.openxmlformats.org/officeDocument/2006/relationships/hyperlink" Target="https://link.springer.com/article/10.1007/s10857-023-09590-7" TargetMode="External"/><Relationship Id="rId34" Type="http://schemas.openxmlformats.org/officeDocument/2006/relationships/hyperlink" Target="https://jpmipa.fkip.unila.ac.id/index.php/jpmipa/article/view/782" TargetMode="External"/><Relationship Id="rId50" Type="http://schemas.openxmlformats.org/officeDocument/2006/relationships/hyperlink" Target="https://tinyurl.com/ydr5tnxw" TargetMode="External"/><Relationship Id="rId55" Type="http://schemas.openxmlformats.org/officeDocument/2006/relationships/hyperlink" Target="https://journals2.ums.ac.id/jdl/article/view/11142"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inyurl.com/5c8b5m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34</Pages>
  <Words>16012</Words>
  <Characters>91272</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31</cp:revision>
  <dcterms:created xsi:type="dcterms:W3CDTF">2026-05-10T10:40:00Z</dcterms:created>
  <dcterms:modified xsi:type="dcterms:W3CDTF">2026-05-11T15:42:00Z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c093414e-67c3-4dfa-8427-2c796c9af823</vt:lpwstr>
  </property>
</Properties>
</file>