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61" w:rsidRDefault="00DB43E1">
      <w:pPr>
        <w:spacing w:before="560" w:after="80" w:line="360" w:lineRule="auto"/>
        <w:jc w:val="center"/>
        <w:rPr>
          <w:rFonts w:ascii="Times New Roman" w:hAnsi="Times New Roman" w:cs="Times New Roman"/>
          <w:color w:val="000000" w:themeColor="text1"/>
        </w:rPr>
      </w:pPr>
      <w:r>
        <w:rPr>
          <w:rFonts w:ascii="Times New Roman" w:eastAsia="Arial" w:hAnsi="Times New Roman" w:cs="Times New Roman"/>
          <w:b/>
          <w:bCs/>
          <w:color w:val="000000" w:themeColor="text1"/>
          <w:sz w:val="42"/>
          <w:szCs w:val="42"/>
        </w:rPr>
        <w:t>Employment Patterns and Job Application Trends in India</w:t>
      </w:r>
    </w:p>
    <w:p w:rsidR="00463761" w:rsidRDefault="00463761">
      <w:pPr>
        <w:pBdr>
          <w:bottom w:val="single" w:sz="4" w:space="1" w:color="CCCCCC"/>
        </w:pBdr>
        <w:spacing w:before="180" w:after="180" w:line="360" w:lineRule="auto"/>
        <w:rPr>
          <w:rFonts w:ascii="Times New Roman" w:hAnsi="Times New Roman" w:cs="Times New Roman"/>
        </w:rPr>
      </w:pPr>
    </w:p>
    <w:p w:rsidR="00463761" w:rsidRDefault="00DB43E1">
      <w:pPr>
        <w:spacing w:before="200" w:after="60" w:line="360" w:lineRule="auto"/>
        <w:jc w:val="both"/>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Abstract</w:t>
      </w:r>
    </w:p>
    <w:p w:rsidR="00463761" w:rsidRDefault="00DB43E1">
      <w:pPr>
        <w:spacing w:after="200" w:line="360" w:lineRule="auto"/>
        <w:ind w:left="360" w:right="360"/>
        <w:jc w:val="both"/>
        <w:rPr>
          <w:rFonts w:ascii="Times New Roman" w:hAnsi="Times New Roman" w:cs="Times New Roman"/>
          <w:i/>
          <w:iCs/>
          <w:color w:val="000000" w:themeColor="text1"/>
        </w:rPr>
      </w:pPr>
      <w:r>
        <w:rPr>
          <w:rFonts w:ascii="Times New Roman" w:hAnsi="Times New Roman" w:cs="Times New Roman"/>
          <w:i/>
          <w:iCs/>
          <w:color w:val="000000" w:themeColor="text1"/>
        </w:rPr>
        <w:t xml:space="preserve">This report presents findings from a 4.5-year observational survey of job application responses </w:t>
      </w:r>
      <w:proofErr w:type="gramStart"/>
      <w:r>
        <w:rPr>
          <w:rFonts w:ascii="Times New Roman" w:hAnsi="Times New Roman" w:cs="Times New Roman"/>
          <w:i/>
          <w:iCs/>
          <w:color w:val="000000" w:themeColor="text1"/>
        </w:rPr>
        <w:t>across</w:t>
      </w:r>
      <w:proofErr w:type="gramEnd"/>
      <w:r>
        <w:rPr>
          <w:rFonts w:ascii="Times New Roman" w:hAnsi="Times New Roman" w:cs="Times New Roman"/>
          <w:i/>
          <w:iCs/>
          <w:color w:val="000000" w:themeColor="text1"/>
        </w:rPr>
        <w:t xml:space="preserve"> 36 employment </w:t>
      </w:r>
      <w:r>
        <w:rPr>
          <w:rFonts w:ascii="Times New Roman" w:hAnsi="Times New Roman" w:cs="Times New Roman"/>
          <w:i/>
          <w:iCs/>
          <w:color w:val="000000" w:themeColor="text1"/>
        </w:rPr>
        <w:t>categories in India, conducted between 2019 and 2024. Data were aggregated from eight major recruitment platforms spanning the full range of India's digital hiring ecosystem, from formal white-collar portals to mobile-first vernacular applications. The sur</w:t>
      </w:r>
      <w:r>
        <w:rPr>
          <w:rFonts w:ascii="Times New Roman" w:hAnsi="Times New Roman" w:cs="Times New Roman"/>
          <w:i/>
          <w:iCs/>
          <w:color w:val="000000" w:themeColor="text1"/>
        </w:rPr>
        <w:t>vey documents patterns in applicant demographics, educational distribution, salary sensitivity, geographic mobility, and qualification overlap across approximately 500,000 responses. No causal interpretations are offered. The findings are presented for ope</w:t>
      </w:r>
      <w:r>
        <w:rPr>
          <w:rFonts w:ascii="Times New Roman" w:hAnsi="Times New Roman" w:cs="Times New Roman"/>
          <w:i/>
          <w:iCs/>
          <w:color w:val="000000" w:themeColor="text1"/>
        </w:rPr>
        <w:t>n discussion and independent analysis by researchers, economists, and policy analysts.</w:t>
      </w:r>
    </w:p>
    <w:p w:rsidR="00463761" w:rsidRDefault="00463761">
      <w:pPr>
        <w:spacing w:after="200" w:line="360" w:lineRule="auto"/>
        <w:ind w:left="360" w:right="360"/>
        <w:jc w:val="both"/>
        <w:rPr>
          <w:rFonts w:ascii="Times New Roman" w:hAnsi="Times New Roman" w:cs="Times New Roman"/>
          <w:i/>
          <w:iCs/>
          <w:color w:val="000000" w:themeColor="text1"/>
        </w:rPr>
      </w:pPr>
    </w:p>
    <w:p w:rsidR="00463761" w:rsidRDefault="00DB43E1">
      <w:pPr>
        <w:pStyle w:val="NormalWeb"/>
        <w:spacing w:line="360" w:lineRule="auto"/>
      </w:pPr>
      <w:r>
        <w:t xml:space="preserve">Keywords: </w:t>
      </w:r>
      <w:r>
        <w:t xml:space="preserve">Indian </w:t>
      </w:r>
      <w:proofErr w:type="spellStart"/>
      <w:r>
        <w:t>labour</w:t>
      </w:r>
      <w:proofErr w:type="spellEnd"/>
      <w:r>
        <w:t xml:space="preserve"> market; graduate underemployment; qualification mismatch; occupational downgrading; digital recruitment platforms; wage elasticity; employment </w:t>
      </w:r>
      <w:r>
        <w:t xml:space="preserve">patterns; </w:t>
      </w:r>
      <w:proofErr w:type="spellStart"/>
      <w:r>
        <w:t>labour</w:t>
      </w:r>
      <w:proofErr w:type="spellEnd"/>
      <w:r>
        <w:t xml:space="preserve"> mobility; structural underemployment; post-COVID employment; informal </w:t>
      </w:r>
      <w:proofErr w:type="spellStart"/>
      <w:r>
        <w:t>labour</w:t>
      </w:r>
      <w:proofErr w:type="spellEnd"/>
      <w:r>
        <w:t xml:space="preserve"> market; job application trends; credential inflation; workforce insecurity; online recruitment ecosystems.</w:t>
      </w:r>
    </w:p>
    <w:p w:rsidR="00463761" w:rsidRDefault="00463761">
      <w:pPr>
        <w:spacing w:after="12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1. Background</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 xml:space="preserve">India's </w:t>
      </w:r>
      <w:proofErr w:type="spellStart"/>
      <w:r>
        <w:rPr>
          <w:rFonts w:ascii="Times New Roman" w:hAnsi="Times New Roman" w:cs="Times New Roman"/>
        </w:rPr>
        <w:t>labour</w:t>
      </w:r>
      <w:proofErr w:type="spellEnd"/>
      <w:r>
        <w:rPr>
          <w:rFonts w:ascii="Times New Roman" w:hAnsi="Times New Roman" w:cs="Times New Roman"/>
        </w:rPr>
        <w:t xml:space="preserve"> market has been undergoin</w:t>
      </w:r>
      <w:r>
        <w:rPr>
          <w:rFonts w:ascii="Times New Roman" w:hAnsi="Times New Roman" w:cs="Times New Roman"/>
        </w:rPr>
        <w:t>g a steady but consequential transformation. Beneath headline GDP figures and digital sector growth, a quieter shift has been observable at ground level: a widening gap between the qualifications that job seekers carry into the market and the roles the eco</w:t>
      </w:r>
      <w:r>
        <w:rPr>
          <w:rFonts w:ascii="Times New Roman" w:hAnsi="Times New Roman" w:cs="Times New Roman"/>
        </w:rPr>
        <w:t xml:space="preserve">nomy is generating. A law graduate applying for a driver's position. </w:t>
      </w:r>
      <w:proofErr w:type="gramStart"/>
      <w:r>
        <w:rPr>
          <w:rFonts w:ascii="Times New Roman" w:hAnsi="Times New Roman" w:cs="Times New Roman"/>
        </w:rPr>
        <w:t>A postgraduate applying for a typist role.</w:t>
      </w:r>
      <w:proofErr w:type="gramEnd"/>
      <w:r>
        <w:rPr>
          <w:rFonts w:ascii="Times New Roman" w:hAnsi="Times New Roman" w:cs="Times New Roman"/>
        </w:rPr>
        <w:t xml:space="preserve"> </w:t>
      </w:r>
      <w:proofErr w:type="gramStart"/>
      <w:r>
        <w:rPr>
          <w:rFonts w:ascii="Times New Roman" w:hAnsi="Times New Roman" w:cs="Times New Roman"/>
        </w:rPr>
        <w:t>A homeopathy practitioner seeking physiotherapy support work.</w:t>
      </w:r>
      <w:proofErr w:type="gramEnd"/>
      <w:r>
        <w:rPr>
          <w:rFonts w:ascii="Times New Roman" w:hAnsi="Times New Roman" w:cs="Times New Roman"/>
        </w:rPr>
        <w:t xml:space="preserve"> These are not isolated incidents — they are recurring patterns, documented across </w:t>
      </w:r>
      <w:r>
        <w:rPr>
          <w:rFonts w:ascii="Times New Roman" w:hAnsi="Times New Roman" w:cs="Times New Roman"/>
        </w:rPr>
        <w:t>36 job categories and four and a half years of observation.</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 xml:space="preserve">This report presents the findings of that observation. The survey ran from 2019 to 2024, spanning the pre-COVID period, the disruptions of the pandemic, and the early post-pandemic </w:t>
      </w:r>
      <w:proofErr w:type="spellStart"/>
      <w:r>
        <w:rPr>
          <w:rFonts w:ascii="Times New Roman" w:hAnsi="Times New Roman" w:cs="Times New Roman"/>
        </w:rPr>
        <w:t>labour</w:t>
      </w:r>
      <w:proofErr w:type="spellEnd"/>
      <w:r>
        <w:rPr>
          <w:rFonts w:ascii="Times New Roman" w:hAnsi="Times New Roman" w:cs="Times New Roman"/>
        </w:rPr>
        <w:t xml:space="preserve"> market </w:t>
      </w:r>
      <w:r>
        <w:rPr>
          <w:rFonts w:ascii="Times New Roman" w:hAnsi="Times New Roman" w:cs="Times New Roman"/>
        </w:rPr>
        <w:t xml:space="preserve">reorganization. Approximately 500,000 application responses were collected across eight digital recruitment platforms. The platform set was deliberately chosen to span the full range of India's hiring ecosystem: from </w:t>
      </w:r>
      <w:proofErr w:type="spellStart"/>
      <w:r>
        <w:rPr>
          <w:rFonts w:ascii="Times New Roman" w:hAnsi="Times New Roman" w:cs="Times New Roman"/>
        </w:rPr>
        <w:t>Naukri</w:t>
      </w:r>
      <w:proofErr w:type="spellEnd"/>
      <w:r>
        <w:rPr>
          <w:rFonts w:ascii="Times New Roman" w:hAnsi="Times New Roman" w:cs="Times New Roman"/>
        </w:rPr>
        <w:t xml:space="preserve"> and Monster, which serve primari</w:t>
      </w:r>
      <w:r>
        <w:rPr>
          <w:rFonts w:ascii="Times New Roman" w:hAnsi="Times New Roman" w:cs="Times New Roman"/>
        </w:rPr>
        <w:t xml:space="preserve">ly graduate and postgraduate applicants in the organized sector, to </w:t>
      </w:r>
      <w:proofErr w:type="spellStart"/>
      <w:r>
        <w:rPr>
          <w:rFonts w:ascii="Times New Roman" w:hAnsi="Times New Roman" w:cs="Times New Roman"/>
        </w:rPr>
        <w:t>WorkIndia</w:t>
      </w:r>
      <w:proofErr w:type="spellEnd"/>
      <w:r>
        <w:rPr>
          <w:rFonts w:ascii="Times New Roman" w:hAnsi="Times New Roman" w:cs="Times New Roman"/>
        </w:rPr>
        <w:t xml:space="preserve"> and </w:t>
      </w:r>
      <w:proofErr w:type="spellStart"/>
      <w:r>
        <w:rPr>
          <w:rFonts w:ascii="Times New Roman" w:hAnsi="Times New Roman" w:cs="Times New Roman"/>
        </w:rPr>
        <w:t>Apna</w:t>
      </w:r>
      <w:proofErr w:type="spellEnd"/>
      <w:r>
        <w:rPr>
          <w:rFonts w:ascii="Times New Roman" w:hAnsi="Times New Roman" w:cs="Times New Roman"/>
        </w:rPr>
        <w:t>, which serve blue-collar and semi-skilled workers in Tier-2 and Tier-3 cities.</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 xml:space="preserve">The questions driving this survey were practical: Who is applying for which jobs? How do </w:t>
      </w:r>
      <w:r>
        <w:rPr>
          <w:rFonts w:ascii="Times New Roman" w:hAnsi="Times New Roman" w:cs="Times New Roman"/>
        </w:rPr>
        <w:t>applicant volumes and profiles change when salary levels are raised? What happens when a job listing is opened to Pan-India visibility? The answers, as the data shows, are neither straightforward nor comfortable.</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This report does not draw causal conclusio</w:t>
      </w:r>
      <w:r>
        <w:rPr>
          <w:rFonts w:ascii="Times New Roman" w:hAnsi="Times New Roman" w:cs="Times New Roman"/>
        </w:rPr>
        <w:t>ns. It presents observed patterns with sufficient methodological transparency for independent researchers and analysts to reach their own interpretations. Where the evidence appears to point toward larger structural questions, those possibilities are noted</w:t>
      </w:r>
      <w:r>
        <w:rPr>
          <w:rFonts w:ascii="Times New Roman" w:hAnsi="Times New Roman" w:cs="Times New Roman"/>
        </w:rPr>
        <w:t xml:space="preserve"> carefully and without assertion.</w:t>
      </w:r>
    </w:p>
    <w:p w:rsidR="00463761" w:rsidRDefault="00463761">
      <w:pPr>
        <w:spacing w:after="12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2. Survey Scope and Method</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 xml:space="preserve">The survey was designed to capture response </w:t>
      </w:r>
      <w:proofErr w:type="spellStart"/>
      <w:r>
        <w:rPr>
          <w:rFonts w:ascii="Times New Roman" w:hAnsi="Times New Roman" w:cs="Times New Roman"/>
        </w:rPr>
        <w:t>behaviour</w:t>
      </w:r>
      <w:proofErr w:type="spellEnd"/>
      <w:r>
        <w:rPr>
          <w:rFonts w:ascii="Times New Roman" w:hAnsi="Times New Roman" w:cs="Times New Roman"/>
        </w:rPr>
        <w:t xml:space="preserve"> rather than employment outcomes. Job openings were posted across eight recruitment platforms over the 4.5-year period, with salary levels </w:t>
      </w:r>
      <w:r>
        <w:rPr>
          <w:rFonts w:ascii="Times New Roman" w:hAnsi="Times New Roman" w:cs="Times New Roman"/>
        </w:rPr>
        <w:t>adjusted annually and geographic scope varied systematically, to observe changes in application volume and applicant profile.</w:t>
      </w:r>
    </w:p>
    <w:p w:rsidR="00463761" w:rsidRDefault="00463761">
      <w:pPr>
        <w:spacing w:after="60" w:line="36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63761">
        <w:tc>
          <w:tcPr>
            <w:tcW w:w="312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Parameter</w:t>
            </w:r>
          </w:p>
        </w:tc>
        <w:tc>
          <w:tcPr>
            <w:tcW w:w="312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Detail</w:t>
            </w:r>
          </w:p>
        </w:tc>
        <w:tc>
          <w:tcPr>
            <w:tcW w:w="312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Notes</w:t>
            </w:r>
          </w:p>
        </w:tc>
      </w:tr>
      <w:tr w:rsidR="00463761">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Survey Period</w:t>
            </w:r>
          </w:p>
        </w:tc>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4.5 years (2019–2024)</w:t>
            </w:r>
          </w:p>
        </w:tc>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Pre- and post-COVID coverage</w:t>
            </w:r>
          </w:p>
        </w:tc>
      </w:tr>
      <w:tr w:rsidR="00463761">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Total Responses</w:t>
            </w:r>
          </w:p>
        </w:tc>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~500,000</w:t>
            </w:r>
          </w:p>
        </w:tc>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 xml:space="preserve">Aggregated </w:t>
            </w:r>
            <w:r>
              <w:rPr>
                <w:rFonts w:ascii="Times New Roman" w:hAnsi="Times New Roman" w:cs="Times New Roman"/>
                <w:color w:val="222222"/>
                <w:sz w:val="20"/>
                <w:szCs w:val="20"/>
              </w:rPr>
              <w:t>across all platforms</w:t>
            </w:r>
          </w:p>
        </w:tc>
      </w:tr>
      <w:tr w:rsidR="00463761">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Platforms Used</w:t>
            </w:r>
          </w:p>
        </w:tc>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Eight</w:t>
            </w:r>
          </w:p>
        </w:tc>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See Section 2.2</w:t>
            </w:r>
          </w:p>
        </w:tc>
      </w:tr>
      <w:tr w:rsidR="00463761">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Job Categories</w:t>
            </w:r>
          </w:p>
        </w:tc>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36</w:t>
            </w:r>
          </w:p>
        </w:tc>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Domestic to professional roles</w:t>
            </w:r>
          </w:p>
        </w:tc>
      </w:tr>
      <w:tr w:rsidR="00463761">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Salary Variation</w:t>
            </w:r>
          </w:p>
        </w:tc>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Annual increments</w:t>
            </w:r>
          </w:p>
        </w:tc>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Per-category; systematic</w:t>
            </w:r>
          </w:p>
        </w:tc>
      </w:tr>
      <w:tr w:rsidR="00463761">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lastRenderedPageBreak/>
              <w:t>Geographic Scope</w:t>
            </w:r>
          </w:p>
        </w:tc>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Local to Pan-India</w:t>
            </w:r>
          </w:p>
        </w:tc>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Controlled variation</w:t>
            </w:r>
          </w:p>
        </w:tc>
      </w:tr>
    </w:tbl>
    <w:p w:rsidR="00463761" w:rsidRDefault="00463761">
      <w:pPr>
        <w:spacing w:after="60" w:line="360" w:lineRule="auto"/>
        <w:rPr>
          <w:rFonts w:ascii="Times New Roman" w:hAnsi="Times New Roman" w:cs="Times New Roman"/>
        </w:rPr>
      </w:pP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t xml:space="preserve">Table 1: Survey design </w:t>
      </w:r>
      <w:r>
        <w:rPr>
          <w:rFonts w:ascii="Times New Roman" w:eastAsia="Arial" w:hAnsi="Times New Roman" w:cs="Times New Roman"/>
          <w:i/>
          <w:iCs/>
          <w:color w:val="555555"/>
          <w:sz w:val="18"/>
          <w:szCs w:val="18"/>
        </w:rPr>
        <w:t>summary</w:t>
      </w:r>
    </w:p>
    <w:p w:rsidR="00463761" w:rsidRDefault="00463761">
      <w:pPr>
        <w:spacing w:after="60" w:line="360" w:lineRule="auto"/>
        <w:rPr>
          <w:rFonts w:ascii="Times New Roman" w:hAnsi="Times New Roman" w:cs="Times New Roman"/>
        </w:rPr>
      </w:pPr>
    </w:p>
    <w:p w:rsidR="00463761" w:rsidRDefault="00DB43E1">
      <w:pPr>
        <w:pStyle w:val="Heading2"/>
        <w:spacing w:line="360" w:lineRule="auto"/>
        <w:rPr>
          <w:rFonts w:ascii="Times New Roman" w:hAnsi="Times New Roman" w:cs="Times New Roman"/>
        </w:rPr>
      </w:pPr>
      <w:proofErr w:type="gramStart"/>
      <w:r>
        <w:rPr>
          <w:rFonts w:ascii="Times New Roman" w:hAnsi="Times New Roman" w:cs="Times New Roman"/>
        </w:rPr>
        <w:t>2.1  Salary</w:t>
      </w:r>
      <w:proofErr w:type="gramEnd"/>
      <w:r>
        <w:rPr>
          <w:rFonts w:ascii="Times New Roman" w:hAnsi="Times New Roman" w:cs="Times New Roman"/>
        </w:rPr>
        <w:t xml:space="preserve"> Progression Protocol</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Salary levels were incremented on an annual basis to observe how application volumes and applicant profiles changed at different price points. The table below illustrates the progression used for three representati</w:t>
      </w:r>
      <w:r>
        <w:rPr>
          <w:rFonts w:ascii="Times New Roman" w:hAnsi="Times New Roman" w:cs="Times New Roman"/>
        </w:rPr>
        <w:t>ve categories. Similar protocols were applied across all 36 job categories.</w:t>
      </w:r>
    </w:p>
    <w:p w:rsidR="00463761" w:rsidRDefault="00463761">
      <w:pPr>
        <w:spacing w:after="60" w:line="36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63761">
        <w:tc>
          <w:tcPr>
            <w:tcW w:w="312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Job Category</w:t>
            </w:r>
          </w:p>
        </w:tc>
        <w:tc>
          <w:tcPr>
            <w:tcW w:w="312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Initial Salary (₹)</w:t>
            </w:r>
          </w:p>
        </w:tc>
        <w:tc>
          <w:tcPr>
            <w:tcW w:w="312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Annual Increment (₹)</w:t>
            </w:r>
          </w:p>
        </w:tc>
      </w:tr>
      <w:tr w:rsidR="00463761">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Housemaid</w:t>
            </w:r>
          </w:p>
        </w:tc>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7,000</w:t>
            </w:r>
          </w:p>
        </w:tc>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1,000 per year</w:t>
            </w:r>
          </w:p>
        </w:tc>
      </w:tr>
      <w:tr w:rsidR="00463761">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Driver</w:t>
            </w:r>
          </w:p>
        </w:tc>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12,000</w:t>
            </w:r>
          </w:p>
        </w:tc>
        <w:tc>
          <w:tcPr>
            <w:tcW w:w="31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1,500 per year</w:t>
            </w:r>
          </w:p>
        </w:tc>
      </w:tr>
      <w:tr w:rsidR="00463761">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Home Tutor (Part-time)</w:t>
            </w:r>
          </w:p>
        </w:tc>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2,000</w:t>
            </w:r>
          </w:p>
        </w:tc>
        <w:tc>
          <w:tcPr>
            <w:tcW w:w="312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200 per year</w:t>
            </w:r>
          </w:p>
        </w:tc>
      </w:tr>
    </w:tbl>
    <w:p w:rsidR="00463761" w:rsidRDefault="00463761">
      <w:pPr>
        <w:spacing w:after="60" w:line="360" w:lineRule="auto"/>
        <w:rPr>
          <w:rFonts w:ascii="Times New Roman" w:hAnsi="Times New Roman" w:cs="Times New Roman"/>
        </w:rPr>
      </w:pP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t xml:space="preserve">Table 2: </w:t>
      </w:r>
      <w:r>
        <w:rPr>
          <w:rFonts w:ascii="Times New Roman" w:eastAsia="Arial" w:hAnsi="Times New Roman" w:cs="Times New Roman"/>
          <w:i/>
          <w:iCs/>
          <w:color w:val="555555"/>
          <w:sz w:val="18"/>
          <w:szCs w:val="18"/>
        </w:rPr>
        <w:t>Illustrative salary progression for three representative job categories</w:t>
      </w:r>
    </w:p>
    <w:p w:rsidR="00463761" w:rsidRDefault="00463761">
      <w:pPr>
        <w:spacing w:after="60" w:line="360" w:lineRule="auto"/>
        <w:rPr>
          <w:rFonts w:ascii="Times New Roman" w:hAnsi="Times New Roman" w:cs="Times New Roman"/>
        </w:rPr>
      </w:pPr>
    </w:p>
    <w:p w:rsidR="00463761" w:rsidRDefault="00DB43E1">
      <w:pPr>
        <w:pStyle w:val="Heading2"/>
        <w:spacing w:line="360" w:lineRule="auto"/>
        <w:rPr>
          <w:rFonts w:ascii="Times New Roman" w:hAnsi="Times New Roman" w:cs="Times New Roman"/>
        </w:rPr>
      </w:pPr>
      <w:proofErr w:type="gramStart"/>
      <w:r>
        <w:rPr>
          <w:rFonts w:ascii="Times New Roman" w:hAnsi="Times New Roman" w:cs="Times New Roman"/>
        </w:rPr>
        <w:t>2.2  Platform</w:t>
      </w:r>
      <w:proofErr w:type="gramEnd"/>
      <w:r>
        <w:rPr>
          <w:rFonts w:ascii="Times New Roman" w:hAnsi="Times New Roman" w:cs="Times New Roman"/>
        </w:rPr>
        <w:t xml:space="preserve"> Coverage</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Eight recruitment platforms were used across the survey period. The selection was intentional: by combining platforms with very different user demographics, the</w:t>
      </w:r>
      <w:r>
        <w:rPr>
          <w:rFonts w:ascii="Times New Roman" w:hAnsi="Times New Roman" w:cs="Times New Roman"/>
        </w:rPr>
        <w:t xml:space="preserve"> survey reduces the platform-specific bias that would result from using a single portal. The eight platforms and their approximate primary user profiles are listed below.</w:t>
      </w:r>
    </w:p>
    <w:p w:rsidR="00463761" w:rsidRDefault="00463761">
      <w:pPr>
        <w:spacing w:after="60" w:line="360" w:lineRule="auto"/>
        <w:rPr>
          <w:rFonts w:ascii="Times New Roman" w:hAnsi="Times New Roman" w:cs="Times New Roman"/>
        </w:rPr>
      </w:pPr>
    </w:p>
    <w:p w:rsidR="00463761" w:rsidRDefault="00DB43E1">
      <w:pPr>
        <w:spacing w:before="200" w:after="50" w:line="360" w:lineRule="auto"/>
        <w:jc w:val="center"/>
        <w:rPr>
          <w:rFonts w:ascii="Times New Roman" w:hAnsi="Times New Roman" w:cs="Times New Roman"/>
        </w:rPr>
      </w:pPr>
      <w:r>
        <w:rPr>
          <w:rFonts w:ascii="Times New Roman" w:hAnsi="Times New Roman" w:cs="Times New Roman"/>
          <w:noProof/>
          <w:lang w:val="en-IN" w:eastAsia="en-IN" w:bidi="ar-SA"/>
        </w:rPr>
        <w:lastRenderedPageBreak/>
        <w:drawing>
          <wp:inline distT="0" distB="0" distL="0" distR="0">
            <wp:extent cx="4762500" cy="3524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a:stretch>
                      <a:fillRect/>
                    </a:stretch>
                  </pic:blipFill>
                  <pic:spPr>
                    <a:xfrm>
                      <a:off x="0" y="0"/>
                      <a:ext cx="4762500" cy="3524250"/>
                    </a:xfrm>
                    <a:prstGeom prst="rect">
                      <a:avLst/>
                    </a:prstGeom>
                  </pic:spPr>
                </pic:pic>
              </a:graphicData>
            </a:graphic>
          </wp:inline>
        </w:drawing>
      </w: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t>Figure 7: Platform ecosystem — tier classification across eight recruitment channe</w:t>
      </w:r>
      <w:r>
        <w:rPr>
          <w:rFonts w:ascii="Times New Roman" w:eastAsia="Arial" w:hAnsi="Times New Roman" w:cs="Times New Roman"/>
          <w:i/>
          <w:iCs/>
          <w:color w:val="555555"/>
          <w:sz w:val="18"/>
          <w:szCs w:val="18"/>
        </w:rPr>
        <w:t>ls. Blue tones: formal/white-collar. Orange: broad/semi-formal. Green: mobile-first/informal.</w:t>
      </w:r>
    </w:p>
    <w:p w:rsidR="00463761" w:rsidRDefault="00463761">
      <w:pPr>
        <w:spacing w:after="60" w:line="36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63761">
        <w:tc>
          <w:tcPr>
            <w:tcW w:w="468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Platform</w:t>
            </w:r>
          </w:p>
        </w:tc>
        <w:tc>
          <w:tcPr>
            <w:tcW w:w="468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Primary User Profile</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Naukri.com</w:t>
            </w:r>
          </w:p>
        </w:tc>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Graduate/postgraduate; formal organized sector; metro-centric</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Monster India</w:t>
            </w:r>
          </w:p>
        </w:tc>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 xml:space="preserve">Similar to </w:t>
            </w:r>
            <w:proofErr w:type="spellStart"/>
            <w:r>
              <w:rPr>
                <w:rFonts w:ascii="Times New Roman" w:hAnsi="Times New Roman" w:cs="Times New Roman"/>
                <w:color w:val="222222"/>
                <w:sz w:val="20"/>
                <w:szCs w:val="20"/>
              </w:rPr>
              <w:t>Naukri</w:t>
            </w:r>
            <w:proofErr w:type="spellEnd"/>
            <w:r>
              <w:rPr>
                <w:rFonts w:ascii="Times New Roman" w:hAnsi="Times New Roman" w:cs="Times New Roman"/>
                <w:color w:val="222222"/>
                <w:sz w:val="20"/>
                <w:szCs w:val="20"/>
              </w:rPr>
              <w:t>; IT, finance, management</w:t>
            </w:r>
            <w:r>
              <w:rPr>
                <w:rFonts w:ascii="Times New Roman" w:hAnsi="Times New Roman" w:cs="Times New Roman"/>
                <w:color w:val="222222"/>
                <w:sz w:val="20"/>
                <w:szCs w:val="20"/>
              </w:rPr>
              <w:t xml:space="preserve"> roles</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Times of India Jobs</w:t>
            </w:r>
          </w:p>
        </w:tc>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 xml:space="preserve">Educated urban readership; broad </w:t>
            </w:r>
            <w:proofErr w:type="spellStart"/>
            <w:r>
              <w:rPr>
                <w:rFonts w:ascii="Times New Roman" w:hAnsi="Times New Roman" w:cs="Times New Roman"/>
                <w:color w:val="222222"/>
                <w:sz w:val="20"/>
                <w:szCs w:val="20"/>
              </w:rPr>
              <w:t>sectoral</w:t>
            </w:r>
            <w:proofErr w:type="spellEnd"/>
            <w:r>
              <w:rPr>
                <w:rFonts w:ascii="Times New Roman" w:hAnsi="Times New Roman" w:cs="Times New Roman"/>
                <w:color w:val="222222"/>
                <w:sz w:val="20"/>
                <w:szCs w:val="20"/>
              </w:rPr>
              <w:t xml:space="preserve"> reach</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Indeed India</w:t>
            </w:r>
          </w:p>
        </w:tc>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Cross-</w:t>
            </w:r>
            <w:proofErr w:type="spellStart"/>
            <w:r>
              <w:rPr>
                <w:rFonts w:ascii="Times New Roman" w:hAnsi="Times New Roman" w:cs="Times New Roman"/>
                <w:color w:val="222222"/>
                <w:sz w:val="20"/>
                <w:szCs w:val="20"/>
              </w:rPr>
              <w:t>sectoral</w:t>
            </w:r>
            <w:proofErr w:type="spellEnd"/>
            <w:r>
              <w:rPr>
                <w:rFonts w:ascii="Times New Roman" w:hAnsi="Times New Roman" w:cs="Times New Roman"/>
                <w:color w:val="222222"/>
                <w:sz w:val="20"/>
                <w:szCs w:val="20"/>
              </w:rPr>
              <w:t>; formal and semi-formal applicants</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proofErr w:type="spellStart"/>
            <w:r>
              <w:rPr>
                <w:rFonts w:ascii="Times New Roman" w:hAnsi="Times New Roman" w:cs="Times New Roman"/>
                <w:color w:val="222222"/>
                <w:sz w:val="20"/>
                <w:szCs w:val="20"/>
              </w:rPr>
              <w:t>Quikr</w:t>
            </w:r>
            <w:proofErr w:type="spellEnd"/>
            <w:r>
              <w:rPr>
                <w:rFonts w:ascii="Times New Roman" w:hAnsi="Times New Roman" w:cs="Times New Roman"/>
                <w:color w:val="222222"/>
                <w:sz w:val="20"/>
                <w:szCs w:val="20"/>
              </w:rPr>
              <w:t xml:space="preserve"> Jobs</w:t>
            </w:r>
          </w:p>
        </w:tc>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Blue-collar, domestic and service roles; Tier-2/3 reach</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OLX Jobs</w:t>
            </w:r>
          </w:p>
        </w:tc>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 xml:space="preserve">Informal and semi-skilled; </w:t>
            </w:r>
            <w:r>
              <w:rPr>
                <w:rFonts w:ascii="Times New Roman" w:hAnsi="Times New Roman" w:cs="Times New Roman"/>
                <w:color w:val="222222"/>
                <w:sz w:val="20"/>
                <w:szCs w:val="20"/>
              </w:rPr>
              <w:t>classifieds-origin platform</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proofErr w:type="spellStart"/>
            <w:r>
              <w:rPr>
                <w:rFonts w:ascii="Times New Roman" w:hAnsi="Times New Roman" w:cs="Times New Roman"/>
                <w:color w:val="222222"/>
                <w:sz w:val="20"/>
                <w:szCs w:val="20"/>
              </w:rPr>
              <w:t>WorkIndia</w:t>
            </w:r>
            <w:proofErr w:type="spellEnd"/>
          </w:p>
        </w:tc>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Blue-collar and entry-level; vernacular interface; non-metro reach</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proofErr w:type="spellStart"/>
            <w:r>
              <w:rPr>
                <w:rFonts w:ascii="Times New Roman" w:hAnsi="Times New Roman" w:cs="Times New Roman"/>
                <w:color w:val="222222"/>
                <w:sz w:val="20"/>
                <w:szCs w:val="20"/>
              </w:rPr>
              <w:t>Apna</w:t>
            </w:r>
            <w:proofErr w:type="spellEnd"/>
          </w:p>
        </w:tc>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Mobile-first; semi-skilled workers; younger demographic</w:t>
            </w:r>
          </w:p>
        </w:tc>
      </w:tr>
    </w:tbl>
    <w:p w:rsidR="00463761" w:rsidRDefault="00463761">
      <w:pPr>
        <w:spacing w:after="60" w:line="360" w:lineRule="auto"/>
        <w:rPr>
          <w:rFonts w:ascii="Times New Roman" w:hAnsi="Times New Roman" w:cs="Times New Roman"/>
        </w:rPr>
      </w:pP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lastRenderedPageBreak/>
        <w:t>Table 3: Eight platforms used — tier classification and primary user profiles</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Together, these eight platforms provided coverage across educational attainment levels from below Class 10 to postgraduate, geographic reach from metros to Tier-3 cities, employment formality from organized sector to informal gig work, and digital literacy</w:t>
      </w:r>
      <w:r>
        <w:rPr>
          <w:rFonts w:ascii="Times New Roman" w:hAnsi="Times New Roman" w:cs="Times New Roman"/>
        </w:rPr>
        <w:t xml:space="preserve"> levels from desktop-based professionals to mobile-only users.</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One population is likely underrepresented across all eight platforms: workers without smartphones or reliable internet access, particularly in rural areas and among older informal-sector worke</w:t>
      </w:r>
      <w:r>
        <w:rPr>
          <w:rFonts w:ascii="Times New Roman" w:hAnsi="Times New Roman" w:cs="Times New Roman"/>
        </w:rPr>
        <w:t>rs. This is a standard boundary condition of all digital recruitment research in India and applies equally here.</w:t>
      </w:r>
    </w:p>
    <w:p w:rsidR="00463761" w:rsidRDefault="00463761">
      <w:pPr>
        <w:spacing w:after="120" w:line="360" w:lineRule="auto"/>
        <w:rPr>
          <w:rFonts w:ascii="Times New Roman" w:hAnsi="Times New Roman" w:cs="Times New Roman"/>
        </w:rPr>
      </w:pPr>
    </w:p>
    <w:p w:rsidR="00463761" w:rsidRDefault="00DB43E1">
      <w:pPr>
        <w:pStyle w:val="Heading2"/>
        <w:spacing w:line="360" w:lineRule="auto"/>
        <w:rPr>
          <w:rFonts w:ascii="Times New Roman" w:hAnsi="Times New Roman" w:cs="Times New Roman"/>
        </w:rPr>
      </w:pPr>
      <w:proofErr w:type="gramStart"/>
      <w:r>
        <w:rPr>
          <w:rFonts w:ascii="Times New Roman" w:hAnsi="Times New Roman" w:cs="Times New Roman"/>
        </w:rPr>
        <w:t>2.3  Data</w:t>
      </w:r>
      <w:proofErr w:type="gramEnd"/>
      <w:r>
        <w:rPr>
          <w:rFonts w:ascii="Times New Roman" w:hAnsi="Times New Roman" w:cs="Times New Roman"/>
        </w:rPr>
        <w:t xml:space="preserve"> Integrity, Validation, and </w:t>
      </w:r>
      <w:proofErr w:type="spellStart"/>
      <w:r>
        <w:rPr>
          <w:rFonts w:ascii="Times New Roman" w:hAnsi="Times New Roman" w:cs="Times New Roman"/>
        </w:rPr>
        <w:t>Deduplication</w:t>
      </w:r>
      <w:proofErr w:type="spellEnd"/>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Ensuring the reliability of aggregated multi-platform data required several data management</w:t>
      </w:r>
      <w:r>
        <w:rPr>
          <w:rFonts w:ascii="Times New Roman" w:hAnsi="Times New Roman" w:cs="Times New Roman"/>
        </w:rPr>
        <w:t xml:space="preserve"> steps before responses were included in the survey dataset.</w:t>
      </w:r>
    </w:p>
    <w:p w:rsidR="00463761" w:rsidRDefault="00463761">
      <w:pPr>
        <w:spacing w:after="60" w:line="360" w:lineRule="auto"/>
        <w:rPr>
          <w:rFonts w:ascii="Times New Roman" w:hAnsi="Times New Roman" w:cs="Times New Roman"/>
        </w:rPr>
      </w:pPr>
    </w:p>
    <w:p w:rsidR="00463761" w:rsidRDefault="00DB43E1">
      <w:pPr>
        <w:pStyle w:val="ListParagraph"/>
        <w:numPr>
          <w:ilvl w:val="0"/>
          <w:numId w:val="1"/>
        </w:numPr>
        <w:spacing w:before="60" w:after="60" w:line="360" w:lineRule="auto"/>
        <w:rPr>
          <w:rFonts w:ascii="Times New Roman" w:hAnsi="Times New Roman" w:cs="Times New Roman"/>
        </w:rPr>
      </w:pPr>
      <w:proofErr w:type="spellStart"/>
      <w:r>
        <w:rPr>
          <w:rFonts w:ascii="Times New Roman" w:hAnsi="Times New Roman" w:cs="Times New Roman"/>
        </w:rPr>
        <w:t>Deduplication</w:t>
      </w:r>
      <w:proofErr w:type="spellEnd"/>
      <w:r>
        <w:rPr>
          <w:rFonts w:ascii="Times New Roman" w:hAnsi="Times New Roman" w:cs="Times New Roman"/>
        </w:rPr>
        <w:t>: Responses were cross-checked across platforms to identify and remove duplicate applications from the same applicant to the same listing. Where the same individual appeared to have</w:t>
      </w:r>
      <w:r>
        <w:rPr>
          <w:rFonts w:ascii="Times New Roman" w:hAnsi="Times New Roman" w:cs="Times New Roman"/>
        </w:rPr>
        <w:t xml:space="preserve"> applied via multiple platforms, only one response was counted.</w:t>
      </w: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Spam and bot filtering: Listings occasionally attracted automated or spam submissions. These were identified through response pattern analysis (e.g., identical application text, implausible re</w:t>
      </w:r>
      <w:r>
        <w:rPr>
          <w:rFonts w:ascii="Times New Roman" w:hAnsi="Times New Roman" w:cs="Times New Roman"/>
        </w:rPr>
        <w:t>sponse times) and removed from the dataset.</w:t>
      </w: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 xml:space="preserve">Platform aggregation: Responses from all eight platforms were collected into a unified dataset before analysis. Platform of origin was recorded as a metadata variable to allow platform-level disaggregation where </w:t>
      </w:r>
      <w:r>
        <w:rPr>
          <w:rFonts w:ascii="Times New Roman" w:hAnsi="Times New Roman" w:cs="Times New Roman"/>
        </w:rPr>
        <w:t>relevant.</w:t>
      </w:r>
    </w:p>
    <w:p w:rsidR="00463761" w:rsidRDefault="00DB43E1">
      <w:pPr>
        <w:pStyle w:val="ListParagraph"/>
        <w:numPr>
          <w:ilvl w:val="0"/>
          <w:numId w:val="1"/>
        </w:numPr>
        <w:spacing w:before="60" w:after="60" w:line="360" w:lineRule="auto"/>
        <w:rPr>
          <w:rFonts w:ascii="Times New Roman" w:hAnsi="Times New Roman" w:cs="Times New Roman"/>
        </w:rPr>
      </w:pPr>
      <w:proofErr w:type="spellStart"/>
      <w:r>
        <w:rPr>
          <w:rFonts w:ascii="Times New Roman" w:hAnsi="Times New Roman" w:cs="Times New Roman"/>
        </w:rPr>
        <w:t>Anonymization</w:t>
      </w:r>
      <w:proofErr w:type="spellEnd"/>
      <w:r>
        <w:rPr>
          <w:rFonts w:ascii="Times New Roman" w:hAnsi="Times New Roman" w:cs="Times New Roman"/>
        </w:rPr>
        <w:t>: All personally identifiable information was removed at the point of aggregation. No applicant names, contact details, or identifying information are included in the published dataset or in this report.</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These steps reduce but do no</w:t>
      </w:r>
      <w:r>
        <w:rPr>
          <w:rFonts w:ascii="Times New Roman" w:hAnsi="Times New Roman" w:cs="Times New Roman"/>
        </w:rPr>
        <w:t>t eliminate the risk of measurement error inherent in observational survey data collected across heterogeneous platforms. Analysts using this data for secondary research are advised to treat it as a directional dataset rather than a precise census of appli</w:t>
      </w:r>
      <w:r>
        <w:rPr>
          <w:rFonts w:ascii="Times New Roman" w:hAnsi="Times New Roman" w:cs="Times New Roman"/>
        </w:rPr>
        <w:t xml:space="preserve">cant </w:t>
      </w:r>
      <w:proofErr w:type="spellStart"/>
      <w:r>
        <w:rPr>
          <w:rFonts w:ascii="Times New Roman" w:hAnsi="Times New Roman" w:cs="Times New Roman"/>
        </w:rPr>
        <w:t>behaviour</w:t>
      </w:r>
      <w:proofErr w:type="spellEnd"/>
      <w:r>
        <w:rPr>
          <w:rFonts w:ascii="Times New Roman" w:hAnsi="Times New Roman" w:cs="Times New Roman"/>
        </w:rPr>
        <w:t>.</w:t>
      </w:r>
    </w:p>
    <w:p w:rsidR="00463761" w:rsidRDefault="00463761">
      <w:pPr>
        <w:spacing w:after="120" w:line="360" w:lineRule="auto"/>
        <w:rPr>
          <w:rFonts w:ascii="Times New Roman" w:hAnsi="Times New Roman" w:cs="Times New Roman"/>
        </w:rPr>
      </w:pPr>
    </w:p>
    <w:p w:rsidR="00463761" w:rsidRDefault="00DB43E1">
      <w:pPr>
        <w:pStyle w:val="Heading2"/>
        <w:spacing w:line="360" w:lineRule="auto"/>
        <w:rPr>
          <w:rFonts w:ascii="Times New Roman" w:hAnsi="Times New Roman" w:cs="Times New Roman"/>
        </w:rPr>
      </w:pPr>
      <w:proofErr w:type="gramStart"/>
      <w:r>
        <w:rPr>
          <w:rFonts w:ascii="Times New Roman" w:hAnsi="Times New Roman" w:cs="Times New Roman"/>
        </w:rPr>
        <w:t>2.4  Ethical</w:t>
      </w:r>
      <w:proofErr w:type="gramEnd"/>
      <w:r>
        <w:rPr>
          <w:rFonts w:ascii="Times New Roman" w:hAnsi="Times New Roman" w:cs="Times New Roman"/>
        </w:rPr>
        <w:t xml:space="preserve"> Handling of Applicant Data</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The survey involved the collection of voluntary application responses to genuine job listings. No applicants were recruited as research subjects, and no deception was involved in the posting of listi</w:t>
      </w:r>
      <w:r>
        <w:rPr>
          <w:rFonts w:ascii="Times New Roman" w:hAnsi="Times New Roman" w:cs="Times New Roman"/>
        </w:rPr>
        <w:t>ngs. The following data handling commitments apply to the published report:</w:t>
      </w:r>
    </w:p>
    <w:p w:rsidR="00463761" w:rsidRDefault="00463761">
      <w:pPr>
        <w:spacing w:after="60" w:line="360" w:lineRule="auto"/>
        <w:rPr>
          <w:rFonts w:ascii="Times New Roman" w:hAnsi="Times New Roman" w:cs="Times New Roman"/>
        </w:rPr>
      </w:pP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No personal data published: This report contains no names, contact information, educational institution names, or any other data that could identify individual applicants.</w:t>
      </w: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rPr>
        <w:t xml:space="preserve">applicant identities stored: At the point of aggregation, applicant-level data was </w:t>
      </w:r>
      <w:proofErr w:type="spellStart"/>
      <w:r>
        <w:rPr>
          <w:rFonts w:ascii="Times New Roman" w:hAnsi="Times New Roman" w:cs="Times New Roman"/>
        </w:rPr>
        <w:t>anonymized</w:t>
      </w:r>
      <w:proofErr w:type="spellEnd"/>
      <w:r>
        <w:rPr>
          <w:rFonts w:ascii="Times New Roman" w:hAnsi="Times New Roman" w:cs="Times New Roman"/>
        </w:rPr>
        <w:t xml:space="preserve"> and individual records were not retained in identifiable form.</w:t>
      </w: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Qualification examples are representative types: The specific qualification-overflow examples cited</w:t>
      </w:r>
      <w:r>
        <w:rPr>
          <w:rFonts w:ascii="Times New Roman" w:hAnsi="Times New Roman" w:cs="Times New Roman"/>
        </w:rPr>
        <w:t xml:space="preserve"> in Section 5 (e.g., "law graduate applying for driver role") represent category types observed in the data. They are not traceable to any individual applicant.</w:t>
      </w: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Data aggregation only: This report presents statistical summaries and trend observations. No in</w:t>
      </w:r>
      <w:r>
        <w:rPr>
          <w:rFonts w:ascii="Times New Roman" w:hAnsi="Times New Roman" w:cs="Times New Roman"/>
        </w:rPr>
        <w:t>dividual application is reported, quoted, or identifiable.</w:t>
      </w:r>
    </w:p>
    <w:p w:rsidR="00463761" w:rsidRDefault="00463761">
      <w:pPr>
        <w:spacing w:after="120" w:line="360" w:lineRule="auto"/>
        <w:rPr>
          <w:rFonts w:ascii="Times New Roman" w:hAnsi="Times New Roman" w:cs="Times New Roman"/>
        </w:rPr>
      </w:pPr>
    </w:p>
    <w:p w:rsidR="00463761" w:rsidRDefault="00DB43E1">
      <w:pPr>
        <w:pStyle w:val="Heading2"/>
        <w:spacing w:line="360" w:lineRule="auto"/>
        <w:rPr>
          <w:rFonts w:ascii="Times New Roman" w:hAnsi="Times New Roman" w:cs="Times New Roman"/>
        </w:rPr>
      </w:pPr>
      <w:proofErr w:type="gramStart"/>
      <w:r>
        <w:rPr>
          <w:rFonts w:ascii="Times New Roman" w:hAnsi="Times New Roman" w:cs="Times New Roman"/>
        </w:rPr>
        <w:t>2.5  Geographic</w:t>
      </w:r>
      <w:proofErr w:type="gramEnd"/>
      <w:r>
        <w:rPr>
          <w:rFonts w:ascii="Times New Roman" w:hAnsi="Times New Roman" w:cs="Times New Roman"/>
        </w:rPr>
        <w:t xml:space="preserve"> Coverage</w:t>
      </w:r>
    </w:p>
    <w:p w:rsidR="00463761" w:rsidRDefault="00DB43E1">
      <w:pPr>
        <w:spacing w:before="80" w:after="110" w:line="360" w:lineRule="auto"/>
        <w:jc w:val="both"/>
        <w:rPr>
          <w:rFonts w:ascii="Times New Roman" w:hAnsi="Times New Roman" w:cs="Times New Roman"/>
        </w:rPr>
      </w:pPr>
      <w:proofErr w:type="gramStart"/>
      <w:r>
        <w:rPr>
          <w:rFonts w:ascii="Times New Roman" w:hAnsi="Times New Roman" w:cs="Times New Roman"/>
        </w:rPr>
        <w:t>The survey's geographic coverage varied by platform and listing type.</w:t>
      </w:r>
      <w:proofErr w:type="gramEnd"/>
      <w:r>
        <w:rPr>
          <w:rFonts w:ascii="Times New Roman" w:hAnsi="Times New Roman" w:cs="Times New Roman"/>
        </w:rPr>
        <w:t xml:space="preserve"> For clarity, the following tiers are used throughout this report:</w:t>
      </w:r>
    </w:p>
    <w:p w:rsidR="00463761" w:rsidRDefault="00463761">
      <w:pPr>
        <w:spacing w:after="60" w:line="36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63761">
        <w:tc>
          <w:tcPr>
            <w:tcW w:w="468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Geographic Tier</w:t>
            </w:r>
          </w:p>
        </w:tc>
        <w:tc>
          <w:tcPr>
            <w:tcW w:w="468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 xml:space="preserve">Meaning in This </w:t>
            </w:r>
            <w:r>
              <w:rPr>
                <w:rFonts w:ascii="Times New Roman" w:eastAsia="Arial" w:hAnsi="Times New Roman" w:cs="Times New Roman"/>
                <w:b/>
                <w:bCs/>
                <w:color w:val="FFFFFF"/>
                <w:sz w:val="20"/>
                <w:szCs w:val="20"/>
              </w:rPr>
              <w:t>Report</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Tier-1 Cities</w:t>
            </w:r>
          </w:p>
        </w:tc>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Major metros: Mumbai, Delhi, Kolkata, Chennai, Bengaluru, Hyderabad</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Tier-2 Cities</w:t>
            </w:r>
          </w:p>
        </w:tc>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 xml:space="preserve">Mid-size cities: Pune, Jaipur, </w:t>
            </w:r>
            <w:proofErr w:type="spellStart"/>
            <w:r>
              <w:rPr>
                <w:rFonts w:ascii="Times New Roman" w:hAnsi="Times New Roman" w:cs="Times New Roman"/>
                <w:color w:val="222222"/>
                <w:sz w:val="20"/>
                <w:szCs w:val="20"/>
              </w:rPr>
              <w:t>Lucknow</w:t>
            </w:r>
            <w:proofErr w:type="spellEnd"/>
            <w:r>
              <w:rPr>
                <w:rFonts w:ascii="Times New Roman" w:hAnsi="Times New Roman" w:cs="Times New Roman"/>
                <w:color w:val="222222"/>
                <w:sz w:val="20"/>
                <w:szCs w:val="20"/>
              </w:rPr>
              <w:t xml:space="preserve">, </w:t>
            </w:r>
            <w:proofErr w:type="spellStart"/>
            <w:r>
              <w:rPr>
                <w:rFonts w:ascii="Times New Roman" w:hAnsi="Times New Roman" w:cs="Times New Roman"/>
                <w:color w:val="222222"/>
                <w:sz w:val="20"/>
                <w:szCs w:val="20"/>
              </w:rPr>
              <w:t>Surat</w:t>
            </w:r>
            <w:proofErr w:type="spellEnd"/>
            <w:r>
              <w:rPr>
                <w:rFonts w:ascii="Times New Roman" w:hAnsi="Times New Roman" w:cs="Times New Roman"/>
                <w:color w:val="222222"/>
                <w:sz w:val="20"/>
                <w:szCs w:val="20"/>
              </w:rPr>
              <w:t>, Kochi, Chandigarh etc.</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Tier-3 / Semi-urban</w:t>
            </w:r>
          </w:p>
        </w:tc>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Smaller towns; district headquarters and below</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 xml:space="preserve">Pan-India </w:t>
            </w:r>
            <w:r>
              <w:rPr>
                <w:rFonts w:ascii="Times New Roman" w:hAnsi="Times New Roman" w:cs="Times New Roman"/>
                <w:color w:val="222222"/>
                <w:sz w:val="20"/>
                <w:szCs w:val="20"/>
              </w:rPr>
              <w:t>Listings</w:t>
            </w:r>
          </w:p>
        </w:tc>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Listings with no geographic restriction; visible across all tiers</w:t>
            </w:r>
          </w:p>
        </w:tc>
      </w:tr>
    </w:tbl>
    <w:p w:rsidR="00463761" w:rsidRDefault="00463761">
      <w:pPr>
        <w:spacing w:after="60" w:line="360" w:lineRule="auto"/>
        <w:rPr>
          <w:rFonts w:ascii="Times New Roman" w:hAnsi="Times New Roman" w:cs="Times New Roman"/>
        </w:rPr>
      </w:pP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lastRenderedPageBreak/>
        <w:t>Table 4: Geographic tier definitions used in this report</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Local listings were restricted to a single city or district. Pan-India listings were posted without geographic restrictio</w:t>
      </w:r>
      <w:r>
        <w:rPr>
          <w:rFonts w:ascii="Times New Roman" w:hAnsi="Times New Roman" w:cs="Times New Roman"/>
        </w:rPr>
        <w:t>n, making them visible to applicants across all tiers. The effect of this scope change on response volume is documented in Section 6.</w:t>
      </w:r>
    </w:p>
    <w:p w:rsidR="00463761" w:rsidRDefault="00463761">
      <w:pPr>
        <w:spacing w:after="12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3. Demographic Profile of Respondents</w:t>
      </w:r>
    </w:p>
    <w:p w:rsidR="00463761" w:rsidRDefault="00DB43E1">
      <w:pPr>
        <w:pStyle w:val="Heading2"/>
        <w:spacing w:line="360" w:lineRule="auto"/>
        <w:rPr>
          <w:rFonts w:ascii="Times New Roman" w:hAnsi="Times New Roman" w:cs="Times New Roman"/>
        </w:rPr>
      </w:pPr>
      <w:proofErr w:type="gramStart"/>
      <w:r>
        <w:rPr>
          <w:rFonts w:ascii="Times New Roman" w:hAnsi="Times New Roman" w:cs="Times New Roman"/>
        </w:rPr>
        <w:t>3.1  Gender</w:t>
      </w:r>
      <w:proofErr w:type="gramEnd"/>
      <w:r>
        <w:rPr>
          <w:rFonts w:ascii="Times New Roman" w:hAnsi="Times New Roman" w:cs="Times New Roman"/>
        </w:rPr>
        <w:t xml:space="preserve"> Distribution</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The overall gender distribution across approximately 500,0</w:t>
      </w:r>
      <w:r>
        <w:rPr>
          <w:rFonts w:ascii="Times New Roman" w:hAnsi="Times New Roman" w:cs="Times New Roman"/>
        </w:rPr>
        <w:t xml:space="preserve">00 responses showed </w:t>
      </w:r>
      <w:proofErr w:type="gramStart"/>
      <w:r>
        <w:rPr>
          <w:rFonts w:ascii="Times New Roman" w:hAnsi="Times New Roman" w:cs="Times New Roman"/>
        </w:rPr>
        <w:t>a 70:30 ratio of male</w:t>
      </w:r>
      <w:proofErr w:type="gramEnd"/>
      <w:r>
        <w:rPr>
          <w:rFonts w:ascii="Times New Roman" w:hAnsi="Times New Roman" w:cs="Times New Roman"/>
        </w:rPr>
        <w:t xml:space="preserve"> to female applicants. This ratio is broadly consistent with national </w:t>
      </w:r>
      <w:proofErr w:type="spellStart"/>
      <w:r>
        <w:rPr>
          <w:rFonts w:ascii="Times New Roman" w:hAnsi="Times New Roman" w:cs="Times New Roman"/>
        </w:rPr>
        <w:t>labour</w:t>
      </w:r>
      <w:proofErr w:type="spellEnd"/>
      <w:r>
        <w:rPr>
          <w:rFonts w:ascii="Times New Roman" w:hAnsi="Times New Roman" w:cs="Times New Roman"/>
        </w:rPr>
        <w:t xml:space="preserve"> force participation data for the survey period (World Bank, 2023; CMIE, 2024). However, gender ratios varied substantially by job category</w:t>
      </w:r>
      <w:r>
        <w:rPr>
          <w:rFonts w:ascii="Times New Roman" w:hAnsi="Times New Roman" w:cs="Times New Roman"/>
        </w:rPr>
        <w:t>: domestic, caregiving, and cooking roles showed considerably higher female participation, while driving and technical maintenance roles were almost exclusively male in the applicant pool.</w:t>
      </w:r>
    </w:p>
    <w:p w:rsidR="00463761" w:rsidRDefault="00463761">
      <w:pPr>
        <w:spacing w:after="60" w:line="360" w:lineRule="auto"/>
        <w:rPr>
          <w:rFonts w:ascii="Times New Roman" w:hAnsi="Times New Roman" w:cs="Times New Roman"/>
        </w:rPr>
      </w:pPr>
    </w:p>
    <w:p w:rsidR="00463761" w:rsidRDefault="00DB43E1">
      <w:pPr>
        <w:spacing w:before="200" w:after="50" w:line="360" w:lineRule="auto"/>
        <w:jc w:val="center"/>
        <w:rPr>
          <w:rFonts w:ascii="Times New Roman" w:hAnsi="Times New Roman" w:cs="Times New Roman"/>
        </w:rPr>
      </w:pPr>
      <w:r>
        <w:rPr>
          <w:rFonts w:ascii="Times New Roman" w:hAnsi="Times New Roman" w:cs="Times New Roman"/>
          <w:noProof/>
          <w:lang w:val="en-IN" w:eastAsia="en-IN" w:bidi="ar-SA"/>
        </w:rPr>
        <w:drawing>
          <wp:inline distT="0" distB="0" distL="0" distR="0">
            <wp:extent cx="3524250" cy="2952750"/>
            <wp:effectExtent l="0" t="0" r="0" b="0"/>
            <wp:docPr id="996869584" name="Picture 99686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69584" name="Picture 996869584"/>
                    <pic:cNvPicPr>
                      <a:picLocks noChangeAspect="1" noChangeArrowheads="1"/>
                    </pic:cNvPicPr>
                  </pic:nvPicPr>
                  <pic:blipFill>
                    <a:blip r:embed="rId7"/>
                    <a:srcRect/>
                    <a:stretch>
                      <a:fillRect/>
                    </a:stretch>
                  </pic:blipFill>
                  <pic:spPr>
                    <a:xfrm>
                      <a:off x="0" y="0"/>
                      <a:ext cx="3524250" cy="2952750"/>
                    </a:xfrm>
                    <a:prstGeom prst="rect">
                      <a:avLst/>
                    </a:prstGeom>
                  </pic:spPr>
                </pic:pic>
              </a:graphicData>
            </a:graphic>
          </wp:inline>
        </w:drawing>
      </w: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t xml:space="preserve">Figure 1: Gender distribution of respondents across all </w:t>
      </w:r>
      <w:r>
        <w:rPr>
          <w:rFonts w:ascii="Times New Roman" w:eastAsia="Arial" w:hAnsi="Times New Roman" w:cs="Times New Roman"/>
          <w:i/>
          <w:iCs/>
          <w:color w:val="555555"/>
          <w:sz w:val="18"/>
          <w:szCs w:val="18"/>
        </w:rPr>
        <w:t>platforms and job categories (n ≈ 500,000)</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lastRenderedPageBreak/>
        <w:t xml:space="preserve">The 30% female share reflects both </w:t>
      </w:r>
      <w:proofErr w:type="spellStart"/>
      <w:r>
        <w:rPr>
          <w:rFonts w:ascii="Times New Roman" w:hAnsi="Times New Roman" w:cs="Times New Roman"/>
        </w:rPr>
        <w:t>labour</w:t>
      </w:r>
      <w:proofErr w:type="spellEnd"/>
      <w:r>
        <w:rPr>
          <w:rFonts w:ascii="Times New Roman" w:hAnsi="Times New Roman" w:cs="Times New Roman"/>
        </w:rPr>
        <w:t xml:space="preserve"> market participation patterns and platform access patterns. Mobile-first platforms such as </w:t>
      </w:r>
      <w:proofErr w:type="spellStart"/>
      <w:r>
        <w:rPr>
          <w:rFonts w:ascii="Times New Roman" w:hAnsi="Times New Roman" w:cs="Times New Roman"/>
        </w:rPr>
        <w:t>Apna</w:t>
      </w:r>
      <w:proofErr w:type="spellEnd"/>
      <w:r>
        <w:rPr>
          <w:rFonts w:ascii="Times New Roman" w:hAnsi="Times New Roman" w:cs="Times New Roman"/>
        </w:rPr>
        <w:t xml:space="preserve"> and </w:t>
      </w:r>
      <w:proofErr w:type="spellStart"/>
      <w:r>
        <w:rPr>
          <w:rFonts w:ascii="Times New Roman" w:hAnsi="Times New Roman" w:cs="Times New Roman"/>
        </w:rPr>
        <w:t>WorkIndia</w:t>
      </w:r>
      <w:proofErr w:type="spellEnd"/>
      <w:r>
        <w:rPr>
          <w:rFonts w:ascii="Times New Roman" w:hAnsi="Times New Roman" w:cs="Times New Roman"/>
        </w:rPr>
        <w:t xml:space="preserve"> have been specifically targeting female workers in semi-skil</w:t>
      </w:r>
      <w:r>
        <w:rPr>
          <w:rFonts w:ascii="Times New Roman" w:hAnsi="Times New Roman" w:cs="Times New Roman"/>
        </w:rPr>
        <w:t>led categories, and their inclusion in the platform set likely contributes to a higher female share than would be observed from formal job portals alone.</w:t>
      </w:r>
    </w:p>
    <w:p w:rsidR="00463761" w:rsidRDefault="00463761">
      <w:pPr>
        <w:spacing w:after="120" w:line="360" w:lineRule="auto"/>
        <w:rPr>
          <w:rFonts w:ascii="Times New Roman" w:hAnsi="Times New Roman" w:cs="Times New Roman"/>
        </w:rPr>
      </w:pPr>
    </w:p>
    <w:p w:rsidR="00463761" w:rsidRDefault="00DB43E1">
      <w:pPr>
        <w:pStyle w:val="Heading2"/>
        <w:spacing w:line="360" w:lineRule="auto"/>
        <w:rPr>
          <w:rFonts w:ascii="Times New Roman" w:hAnsi="Times New Roman" w:cs="Times New Roman"/>
        </w:rPr>
      </w:pPr>
      <w:proofErr w:type="gramStart"/>
      <w:r>
        <w:rPr>
          <w:rFonts w:ascii="Times New Roman" w:hAnsi="Times New Roman" w:cs="Times New Roman"/>
        </w:rPr>
        <w:t>3.2  Educational</w:t>
      </w:r>
      <w:proofErr w:type="gramEnd"/>
      <w:r>
        <w:rPr>
          <w:rFonts w:ascii="Times New Roman" w:hAnsi="Times New Roman" w:cs="Times New Roman"/>
        </w:rPr>
        <w:t xml:space="preserve"> Distribution</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Sixty-one percent of respondents had educational attainment below Class</w:t>
      </w:r>
      <w:r>
        <w:rPr>
          <w:rFonts w:ascii="Times New Roman" w:hAnsi="Times New Roman" w:cs="Times New Roman"/>
        </w:rPr>
        <w:t xml:space="preserve"> 12 — consistent with an expected applicant pool for domestic and semi-skilled roles. Twenty-four percent were graduates, and a further 15% held postgraduate qualifications or above. In aggregate, approximately 39% of respondents had completed at minimum a</w:t>
      </w:r>
      <w:r>
        <w:rPr>
          <w:rFonts w:ascii="Times New Roman" w:hAnsi="Times New Roman" w:cs="Times New Roman"/>
        </w:rPr>
        <w:t xml:space="preserve"> three-year undergraduate degree.</w:t>
      </w:r>
    </w:p>
    <w:p w:rsidR="00463761" w:rsidRDefault="00463761">
      <w:pPr>
        <w:spacing w:after="60" w:line="360" w:lineRule="auto"/>
        <w:rPr>
          <w:rFonts w:ascii="Times New Roman" w:hAnsi="Times New Roman" w:cs="Times New Roman"/>
        </w:rPr>
      </w:pPr>
    </w:p>
    <w:p w:rsidR="00463761" w:rsidRDefault="00DB43E1">
      <w:pPr>
        <w:spacing w:before="200" w:after="50" w:line="360" w:lineRule="auto"/>
        <w:jc w:val="center"/>
        <w:rPr>
          <w:rFonts w:ascii="Times New Roman" w:hAnsi="Times New Roman" w:cs="Times New Roman"/>
        </w:rPr>
      </w:pPr>
      <w:r>
        <w:rPr>
          <w:rFonts w:ascii="Times New Roman" w:hAnsi="Times New Roman" w:cs="Times New Roman"/>
          <w:noProof/>
          <w:lang w:val="en-IN" w:eastAsia="en-IN" w:bidi="ar-SA"/>
        </w:rPr>
        <w:drawing>
          <wp:inline distT="0" distB="0" distL="0" distR="0">
            <wp:extent cx="4857750" cy="3048000"/>
            <wp:effectExtent l="0" t="0" r="0" b="0"/>
            <wp:docPr id="1154963256" name="Picture 115496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63256" name="Picture 1154963256"/>
                    <pic:cNvPicPr>
                      <a:picLocks noChangeAspect="1" noChangeArrowheads="1"/>
                    </pic:cNvPicPr>
                  </pic:nvPicPr>
                  <pic:blipFill>
                    <a:blip r:embed="rId8"/>
                    <a:srcRect/>
                    <a:stretch>
                      <a:fillRect/>
                    </a:stretch>
                  </pic:blipFill>
                  <pic:spPr>
                    <a:xfrm>
                      <a:off x="0" y="0"/>
                      <a:ext cx="4857750" cy="3048000"/>
                    </a:xfrm>
                    <a:prstGeom prst="rect">
                      <a:avLst/>
                    </a:prstGeom>
                  </pic:spPr>
                </pic:pic>
              </a:graphicData>
            </a:graphic>
          </wp:inline>
        </w:drawing>
      </w: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t>Figure 2: Educational level distribution across all applicants. The red dashed line marks the 39% graduate-or-above share.</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The significance of this figure lies in what it implies about the types of roles these educated</w:t>
      </w:r>
      <w:r>
        <w:rPr>
          <w:rFonts w:ascii="Times New Roman" w:hAnsi="Times New Roman" w:cs="Times New Roman"/>
        </w:rPr>
        <w:t xml:space="preserve"> applicants were seeking. The 39% who hold graduate or postgraduate qualifications were not, in general, applying for roles commensurate with their education. As documented in Section 5, a substantial portion of these applicants were responding to job list</w:t>
      </w:r>
      <w:r>
        <w:rPr>
          <w:rFonts w:ascii="Times New Roman" w:hAnsi="Times New Roman" w:cs="Times New Roman"/>
        </w:rPr>
        <w:t xml:space="preserve">ings for housemaid, driver, typist, and similar positions. This pattern is consistent </w:t>
      </w:r>
      <w:r>
        <w:rPr>
          <w:rFonts w:ascii="Times New Roman" w:hAnsi="Times New Roman" w:cs="Times New Roman"/>
        </w:rPr>
        <w:lastRenderedPageBreak/>
        <w:t xml:space="preserve">with what </w:t>
      </w:r>
      <w:proofErr w:type="spellStart"/>
      <w:r>
        <w:rPr>
          <w:rFonts w:ascii="Times New Roman" w:hAnsi="Times New Roman" w:cs="Times New Roman"/>
        </w:rPr>
        <w:t>labour</w:t>
      </w:r>
      <w:proofErr w:type="spellEnd"/>
      <w:r>
        <w:rPr>
          <w:rFonts w:ascii="Times New Roman" w:hAnsi="Times New Roman" w:cs="Times New Roman"/>
        </w:rPr>
        <w:t xml:space="preserve"> economists describe as occupational downgrading or structural underemployment (Mehta &amp; </w:t>
      </w:r>
      <w:proofErr w:type="spellStart"/>
      <w:r>
        <w:rPr>
          <w:rFonts w:ascii="Times New Roman" w:hAnsi="Times New Roman" w:cs="Times New Roman"/>
        </w:rPr>
        <w:t>Awasthi</w:t>
      </w:r>
      <w:proofErr w:type="spellEnd"/>
      <w:r>
        <w:rPr>
          <w:rFonts w:ascii="Times New Roman" w:hAnsi="Times New Roman" w:cs="Times New Roman"/>
        </w:rPr>
        <w:t>, 2021).</w:t>
      </w:r>
    </w:p>
    <w:p w:rsidR="00463761" w:rsidRDefault="00463761">
      <w:pPr>
        <w:spacing w:after="12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4. Salary Sensitivity and Response Volume</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 xml:space="preserve">One of </w:t>
      </w:r>
      <w:r>
        <w:rPr>
          <w:rFonts w:ascii="Times New Roman" w:hAnsi="Times New Roman" w:cs="Times New Roman"/>
        </w:rPr>
        <w:t>the clearest patterns in the data concerns the relationship between salary levels and application volume. Across multiple job categories, raising the offered salary produced a consistently disproportionate increase in the number of applications received.</w:t>
      </w:r>
    </w:p>
    <w:p w:rsidR="00463761" w:rsidRDefault="00463761">
      <w:pPr>
        <w:spacing w:after="60" w:line="360" w:lineRule="auto"/>
        <w:rPr>
          <w:rFonts w:ascii="Times New Roman" w:hAnsi="Times New Roman" w:cs="Times New Roman"/>
        </w:rPr>
      </w:pPr>
    </w:p>
    <w:p w:rsidR="00463761" w:rsidRDefault="00DB43E1">
      <w:pPr>
        <w:pBdr>
          <w:left w:val="single" w:sz="12" w:space="12" w:color="2E75B6"/>
        </w:pBdr>
        <w:spacing w:before="160" w:after="160" w:line="360" w:lineRule="auto"/>
        <w:ind w:left="720" w:right="720"/>
        <w:jc w:val="both"/>
        <w:rPr>
          <w:rFonts w:ascii="Times New Roman" w:hAnsi="Times New Roman" w:cs="Times New Roman"/>
        </w:rPr>
      </w:pPr>
      <w:r>
        <w:rPr>
          <w:rFonts w:ascii="Times New Roman" w:hAnsi="Times New Roman" w:cs="Times New Roman"/>
          <w:i/>
          <w:iCs/>
          <w:color w:val="333333"/>
          <w:sz w:val="21"/>
          <w:szCs w:val="21"/>
        </w:rPr>
        <w:t xml:space="preserve">Observed pattern: A 10% increase in offered salary corresponded with approximately a 20% increase in application responses across the surveyed job categories. This may indicate strong </w:t>
      </w:r>
      <w:proofErr w:type="spellStart"/>
      <w:r>
        <w:rPr>
          <w:rFonts w:ascii="Times New Roman" w:hAnsi="Times New Roman" w:cs="Times New Roman"/>
          <w:i/>
          <w:iCs/>
          <w:color w:val="333333"/>
          <w:sz w:val="21"/>
          <w:szCs w:val="21"/>
        </w:rPr>
        <w:t>labour</w:t>
      </w:r>
      <w:proofErr w:type="spellEnd"/>
      <w:r>
        <w:rPr>
          <w:rFonts w:ascii="Times New Roman" w:hAnsi="Times New Roman" w:cs="Times New Roman"/>
          <w:i/>
          <w:iCs/>
          <w:color w:val="333333"/>
          <w:sz w:val="21"/>
          <w:szCs w:val="21"/>
        </w:rPr>
        <w:t xml:space="preserve"> supply responsiveness to wage changes in the observed market segm</w:t>
      </w:r>
      <w:r>
        <w:rPr>
          <w:rFonts w:ascii="Times New Roman" w:hAnsi="Times New Roman" w:cs="Times New Roman"/>
          <w:i/>
          <w:iCs/>
          <w:color w:val="333333"/>
          <w:sz w:val="21"/>
          <w:szCs w:val="21"/>
        </w:rPr>
        <w:t>ents.</w:t>
      </w:r>
    </w:p>
    <w:p w:rsidR="00463761" w:rsidRDefault="00463761">
      <w:pPr>
        <w:spacing w:after="60" w:line="360" w:lineRule="auto"/>
        <w:rPr>
          <w:rFonts w:ascii="Times New Roman" w:hAnsi="Times New Roman" w:cs="Times New Roman"/>
        </w:rPr>
      </w:pPr>
    </w:p>
    <w:p w:rsidR="00463761" w:rsidRDefault="00DB43E1">
      <w:pPr>
        <w:spacing w:before="200" w:after="50" w:line="360" w:lineRule="auto"/>
        <w:jc w:val="center"/>
        <w:rPr>
          <w:rFonts w:ascii="Times New Roman" w:hAnsi="Times New Roman" w:cs="Times New Roman"/>
        </w:rPr>
      </w:pPr>
      <w:r>
        <w:rPr>
          <w:rFonts w:ascii="Times New Roman" w:hAnsi="Times New Roman" w:cs="Times New Roman"/>
          <w:noProof/>
          <w:lang w:val="en-IN" w:eastAsia="en-IN" w:bidi="ar-SA"/>
        </w:rPr>
        <w:drawing>
          <wp:inline distT="0" distB="0" distL="0" distR="0">
            <wp:extent cx="4857750" cy="3048000"/>
            <wp:effectExtent l="0" t="0" r="0" b="0"/>
            <wp:docPr id="1710046720" name="Picture 171004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46720" name="Picture 1710046720"/>
                    <pic:cNvPicPr>
                      <a:picLocks noChangeAspect="1" noChangeArrowheads="1"/>
                    </pic:cNvPicPr>
                  </pic:nvPicPr>
                  <pic:blipFill>
                    <a:blip r:embed="rId9"/>
                    <a:srcRect/>
                    <a:stretch>
                      <a:fillRect/>
                    </a:stretch>
                  </pic:blipFill>
                  <pic:spPr>
                    <a:xfrm>
                      <a:off x="0" y="0"/>
                      <a:ext cx="4857750" cy="3048000"/>
                    </a:xfrm>
                    <a:prstGeom prst="rect">
                      <a:avLst/>
                    </a:prstGeom>
                  </pic:spPr>
                </pic:pic>
              </a:graphicData>
            </a:graphic>
          </wp:inline>
        </w:drawing>
      </w: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t>Figure 3: Salary-response relationship. A 10% salary increase corresponded with approximately 20% more applications across surveyed categories.</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 xml:space="preserve">This ratio — a 2% increase in applications for every 1% increase in salary — was observed with </w:t>
      </w:r>
      <w:r>
        <w:rPr>
          <w:rFonts w:ascii="Times New Roman" w:hAnsi="Times New Roman" w:cs="Times New Roman"/>
        </w:rPr>
        <w:t xml:space="preserve">reasonable consistency across several categories, though the magnitude varied. Categories with conventionally higher </w:t>
      </w:r>
      <w:r>
        <w:rPr>
          <w:rFonts w:ascii="Times New Roman" w:hAnsi="Times New Roman" w:cs="Times New Roman"/>
        </w:rPr>
        <w:lastRenderedPageBreak/>
        <w:t>barriers to entry (such as home-visiting medical roles) showed smaller response changes per salary increment than open categories such as h</w:t>
      </w:r>
      <w:r>
        <w:rPr>
          <w:rFonts w:ascii="Times New Roman" w:hAnsi="Times New Roman" w:cs="Times New Roman"/>
        </w:rPr>
        <w:t>ousehold help or driving, where the applicant pool is broader.</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 xml:space="preserve">What this pattern may indicate is a relatively large pool of available applicants who are sensitive to salary changes — workers who are </w:t>
      </w:r>
      <w:proofErr w:type="gramStart"/>
      <w:r>
        <w:rPr>
          <w:rFonts w:ascii="Times New Roman" w:hAnsi="Times New Roman" w:cs="Times New Roman"/>
        </w:rPr>
        <w:t>either unemployed</w:t>
      </w:r>
      <w:proofErr w:type="gramEnd"/>
      <w:r>
        <w:rPr>
          <w:rFonts w:ascii="Times New Roman" w:hAnsi="Times New Roman" w:cs="Times New Roman"/>
        </w:rPr>
        <w:t>, underemployed, or employed below thei</w:t>
      </w:r>
      <w:r>
        <w:rPr>
          <w:rFonts w:ascii="Times New Roman" w:hAnsi="Times New Roman" w:cs="Times New Roman"/>
        </w:rPr>
        <w:t xml:space="preserve">r preferred conditions and monitoring the market for improvements. Whether this reflects structural </w:t>
      </w:r>
      <w:proofErr w:type="spellStart"/>
      <w:r>
        <w:rPr>
          <w:rFonts w:ascii="Times New Roman" w:hAnsi="Times New Roman" w:cs="Times New Roman"/>
        </w:rPr>
        <w:t>labour</w:t>
      </w:r>
      <w:proofErr w:type="spellEnd"/>
      <w:r>
        <w:rPr>
          <w:rFonts w:ascii="Times New Roman" w:hAnsi="Times New Roman" w:cs="Times New Roman"/>
        </w:rPr>
        <w:t xml:space="preserve"> surplus, high voluntary mobility, or both is a question for analysts to consider in light of the broader data.</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For context, studies of wage elastici</w:t>
      </w:r>
      <w:r>
        <w:rPr>
          <w:rFonts w:ascii="Times New Roman" w:hAnsi="Times New Roman" w:cs="Times New Roman"/>
        </w:rPr>
        <w:t xml:space="preserve">ty in Indian urban </w:t>
      </w:r>
      <w:proofErr w:type="spellStart"/>
      <w:r>
        <w:rPr>
          <w:rFonts w:ascii="Times New Roman" w:hAnsi="Times New Roman" w:cs="Times New Roman"/>
        </w:rPr>
        <w:t>labour</w:t>
      </w:r>
      <w:proofErr w:type="spellEnd"/>
      <w:r>
        <w:rPr>
          <w:rFonts w:ascii="Times New Roman" w:hAnsi="Times New Roman" w:cs="Times New Roman"/>
        </w:rPr>
        <w:t xml:space="preserve"> markets have reported </w:t>
      </w:r>
      <w:proofErr w:type="spellStart"/>
      <w:r>
        <w:rPr>
          <w:rFonts w:ascii="Times New Roman" w:hAnsi="Times New Roman" w:cs="Times New Roman"/>
        </w:rPr>
        <w:t>elasticities</w:t>
      </w:r>
      <w:proofErr w:type="spellEnd"/>
      <w:r>
        <w:rPr>
          <w:rFonts w:ascii="Times New Roman" w:hAnsi="Times New Roman" w:cs="Times New Roman"/>
        </w:rPr>
        <w:t xml:space="preserve"> ranging from 1.2 to 1.8 for semi-skilled roles in pre-2020 data (</w:t>
      </w:r>
      <w:proofErr w:type="spellStart"/>
      <w:r>
        <w:rPr>
          <w:rFonts w:ascii="Times New Roman" w:hAnsi="Times New Roman" w:cs="Times New Roman"/>
        </w:rPr>
        <w:t>Deshpande</w:t>
      </w:r>
      <w:proofErr w:type="spellEnd"/>
      <w:r>
        <w:rPr>
          <w:rFonts w:ascii="Times New Roman" w:hAnsi="Times New Roman" w:cs="Times New Roman"/>
        </w:rPr>
        <w:t xml:space="preserve"> &amp; Singh, 2021). The present survey's observed ratio of approximately 2.0 may partly reflect the economic conditions of t</w:t>
      </w:r>
      <w:r>
        <w:rPr>
          <w:rFonts w:ascii="Times New Roman" w:hAnsi="Times New Roman" w:cs="Times New Roman"/>
        </w:rPr>
        <w:t>he post-COVID period, when formal employment contraction pushed more workers into active job-seeking.</w:t>
      </w:r>
    </w:p>
    <w:p w:rsidR="00463761" w:rsidRDefault="00463761">
      <w:pPr>
        <w:spacing w:after="12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5. Qualification Overlap at Higher Salary Levels</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At certain salary levels, the survey recorded a notable increase in applications from candidates whose f</w:t>
      </w:r>
      <w:r>
        <w:rPr>
          <w:rFonts w:ascii="Times New Roman" w:hAnsi="Times New Roman" w:cs="Times New Roman"/>
        </w:rPr>
        <w:t>ormal qualifications differed substantially from the conventional expectations of the advertised role. This was observed across multiple categories and appeared to become more pronounced as monthly salaries approached and exceeded approximately ₹30,000.</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w:t>
      </w:r>
      <w:r>
        <w:rPr>
          <w:rFonts w:ascii="Times New Roman" w:hAnsi="Times New Roman" w:cs="Times New Roman"/>
        </w:rPr>
        <w:t>he following table lists representative examples of the types of qualification overlap recorded. These examples represent categories of overlap observed in the data; they do not identify any individual applicant.</w:t>
      </w:r>
    </w:p>
    <w:p w:rsidR="00463761" w:rsidRDefault="00463761">
      <w:pPr>
        <w:spacing w:after="60" w:line="36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63761">
        <w:tc>
          <w:tcPr>
            <w:tcW w:w="468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Applicant Qualification (Reported)</w:t>
            </w:r>
          </w:p>
        </w:tc>
        <w:tc>
          <w:tcPr>
            <w:tcW w:w="4680" w:type="dxa"/>
            <w:tcBorders>
              <w:top w:val="single" w:sz="0" w:space="0" w:color="AAAAAA"/>
              <w:left w:val="single" w:sz="0" w:space="0" w:color="AAAAAA"/>
              <w:bottom w:val="single" w:sz="0" w:space="0" w:color="AAAAAA"/>
              <w:right w:val="single" w:sz="0" w:space="0" w:color="AAAAAA"/>
            </w:tcBorders>
            <w:shd w:val="clear" w:color="auto" w:fill="1F4E79"/>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eastAsia="Arial" w:hAnsi="Times New Roman" w:cs="Times New Roman"/>
                <w:b/>
                <w:bCs/>
                <w:color w:val="FFFFFF"/>
                <w:sz w:val="20"/>
                <w:szCs w:val="20"/>
              </w:rPr>
              <w:t>Role Ap</w:t>
            </w:r>
            <w:r>
              <w:rPr>
                <w:rFonts w:ascii="Times New Roman" w:eastAsia="Arial" w:hAnsi="Times New Roman" w:cs="Times New Roman"/>
                <w:b/>
                <w:bCs/>
                <w:color w:val="FFFFFF"/>
                <w:sz w:val="20"/>
                <w:szCs w:val="20"/>
              </w:rPr>
              <w:t>plied For</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Professional chef (culinary certification)</w:t>
            </w:r>
          </w:p>
        </w:tc>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House cook position</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Law graduate (LLB)</w:t>
            </w:r>
          </w:p>
        </w:tc>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Office driver role</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Homeopathy practitioner (BHMS)</w:t>
            </w:r>
          </w:p>
        </w:tc>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Physiotherapy support work</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MSc graduate (science discipline)</w:t>
            </w:r>
          </w:p>
        </w:tc>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Office typist role</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MPhil candidate (humanities)</w:t>
            </w:r>
          </w:p>
        </w:tc>
        <w:tc>
          <w:tcPr>
            <w:tcW w:w="4680" w:type="dxa"/>
            <w:tcBorders>
              <w:top w:val="single" w:sz="0" w:space="0" w:color="AAAAAA"/>
              <w:left w:val="single" w:sz="0" w:space="0" w:color="AAAAAA"/>
              <w:bottom w:val="single" w:sz="0" w:space="0" w:color="AAAAAA"/>
              <w:right w:val="single" w:sz="0" w:space="0" w:color="AAAAAA"/>
            </w:tcBorders>
            <w:shd w:val="clear" w:color="auto" w:fill="EEF4FB"/>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Accounting assistant position</w:t>
            </w:r>
          </w:p>
        </w:tc>
      </w:tr>
      <w:tr w:rsidR="00463761">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lastRenderedPageBreak/>
              <w:t>Engineering graduate (</w:t>
            </w:r>
            <w:proofErr w:type="spellStart"/>
            <w:r>
              <w:rPr>
                <w:rFonts w:ascii="Times New Roman" w:hAnsi="Times New Roman" w:cs="Times New Roman"/>
                <w:color w:val="222222"/>
                <w:sz w:val="20"/>
                <w:szCs w:val="20"/>
              </w:rPr>
              <w:t>B.Tech</w:t>
            </w:r>
            <w:proofErr w:type="spellEnd"/>
            <w:r>
              <w:rPr>
                <w:rFonts w:ascii="Times New Roman" w:hAnsi="Times New Roman" w:cs="Times New Roman"/>
                <w:color w:val="222222"/>
                <w:sz w:val="20"/>
                <w:szCs w:val="20"/>
              </w:rPr>
              <w:t>)</w:t>
            </w:r>
          </w:p>
        </w:tc>
        <w:tc>
          <w:tcPr>
            <w:tcW w:w="468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50" w:type="dxa"/>
              <w:bottom w:w="80" w:type="dxa"/>
              <w:right w:w="150" w:type="dxa"/>
            </w:tcMar>
          </w:tcPr>
          <w:p w:rsidR="00463761" w:rsidRDefault="00DB43E1">
            <w:pPr>
              <w:spacing w:line="360" w:lineRule="auto"/>
              <w:rPr>
                <w:rFonts w:ascii="Times New Roman" w:hAnsi="Times New Roman" w:cs="Times New Roman"/>
              </w:rPr>
            </w:pPr>
            <w:r>
              <w:rPr>
                <w:rFonts w:ascii="Times New Roman" w:hAnsi="Times New Roman" w:cs="Times New Roman"/>
                <w:color w:val="222222"/>
                <w:sz w:val="20"/>
                <w:szCs w:val="20"/>
              </w:rPr>
              <w:t>Ride-hailing driver role</w:t>
            </w:r>
          </w:p>
        </w:tc>
      </w:tr>
    </w:tbl>
    <w:p w:rsidR="00463761" w:rsidRDefault="00463761">
      <w:pPr>
        <w:spacing w:after="60" w:line="360" w:lineRule="auto"/>
        <w:rPr>
          <w:rFonts w:ascii="Times New Roman" w:hAnsi="Times New Roman" w:cs="Times New Roman"/>
        </w:rPr>
      </w:pP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t>Table 5: Representative qualification-overlap examples recorded in survey responses</w:t>
      </w:r>
    </w:p>
    <w:p w:rsidR="00463761" w:rsidRDefault="00463761">
      <w:pPr>
        <w:spacing w:after="60" w:line="360" w:lineRule="auto"/>
        <w:rPr>
          <w:rFonts w:ascii="Times New Roman" w:hAnsi="Times New Roman" w:cs="Times New Roman"/>
        </w:rPr>
      </w:pPr>
    </w:p>
    <w:p w:rsidR="00463761" w:rsidRDefault="00DB43E1">
      <w:pPr>
        <w:spacing w:before="200" w:after="50" w:line="360" w:lineRule="auto"/>
        <w:jc w:val="center"/>
        <w:rPr>
          <w:rFonts w:ascii="Times New Roman" w:hAnsi="Times New Roman" w:cs="Times New Roman"/>
        </w:rPr>
      </w:pPr>
      <w:r>
        <w:rPr>
          <w:rFonts w:ascii="Times New Roman" w:hAnsi="Times New Roman" w:cs="Times New Roman"/>
          <w:noProof/>
          <w:lang w:val="en-IN" w:eastAsia="en-IN" w:bidi="ar-SA"/>
        </w:rPr>
        <w:drawing>
          <wp:inline distT="0" distB="0" distL="0" distR="0">
            <wp:extent cx="5048250" cy="3095625"/>
            <wp:effectExtent l="0" t="0" r="0" b="0"/>
            <wp:docPr id="1486236823" name="Picture 1486236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36823" name="Picture 1486236823"/>
                    <pic:cNvPicPr>
                      <a:picLocks noChangeAspect="1" noChangeArrowheads="1"/>
                    </pic:cNvPicPr>
                  </pic:nvPicPr>
                  <pic:blipFill>
                    <a:blip r:embed="rId10"/>
                    <a:srcRect/>
                    <a:stretch>
                      <a:fillRect/>
                    </a:stretch>
                  </pic:blipFill>
                  <pic:spPr>
                    <a:xfrm>
                      <a:off x="0" y="0"/>
                      <a:ext cx="5048250" cy="3095625"/>
                    </a:xfrm>
                    <a:prstGeom prst="rect">
                      <a:avLst/>
                    </a:prstGeom>
                  </pic:spPr>
                </pic:pic>
              </a:graphicData>
            </a:graphic>
          </wp:inline>
        </w:drawing>
      </w: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t xml:space="preserve">Figure 4: Proportion of applicants with qualifications exceeding conventional </w:t>
      </w:r>
      <w:r>
        <w:rPr>
          <w:rFonts w:ascii="Times New Roman" w:eastAsia="Arial" w:hAnsi="Times New Roman" w:cs="Times New Roman"/>
          <w:i/>
          <w:iCs/>
          <w:color w:val="555555"/>
          <w:sz w:val="18"/>
          <w:szCs w:val="18"/>
        </w:rPr>
        <w:t>role requirements, by salary band. A marked increase is observed above ₹30,000/month.</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The ₹30,000/month threshold appears to be a meaningful boundary in the observed data. Below this level, qualification overlap was present but moderate. Above it, the sha</w:t>
      </w:r>
      <w:r>
        <w:rPr>
          <w:rFonts w:ascii="Times New Roman" w:hAnsi="Times New Roman" w:cs="Times New Roman"/>
        </w:rPr>
        <w:t>re of applicants whose educational credentials exceeded conventional role requirements rose noticeably. One possible explanation is that at this salary level, the financial gap between a formally appropriate role and an informal or semi-formal role narrows</w:t>
      </w:r>
      <w:r>
        <w:rPr>
          <w:rFonts w:ascii="Times New Roman" w:hAnsi="Times New Roman" w:cs="Times New Roman"/>
        </w:rPr>
        <w:t xml:space="preserve"> sufficiently for some applicants to reconsider their options. Whether this reflects genuine economic need, dissatisfaction with formal sector </w:t>
      </w:r>
      <w:proofErr w:type="gramStart"/>
      <w:r>
        <w:rPr>
          <w:rFonts w:ascii="Times New Roman" w:hAnsi="Times New Roman" w:cs="Times New Roman"/>
        </w:rPr>
        <w:t>conditions,</w:t>
      </w:r>
      <w:proofErr w:type="gramEnd"/>
      <w:r>
        <w:rPr>
          <w:rFonts w:ascii="Times New Roman" w:hAnsi="Times New Roman" w:cs="Times New Roman"/>
        </w:rPr>
        <w:t xml:space="preserve"> or both is a question this data cannot resolve.</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The international literature on occupational downgra</w:t>
      </w:r>
      <w:r>
        <w:rPr>
          <w:rFonts w:ascii="Times New Roman" w:hAnsi="Times New Roman" w:cs="Times New Roman"/>
        </w:rPr>
        <w:t xml:space="preserve">ding documents similar threshold effects in other </w:t>
      </w:r>
      <w:proofErr w:type="spellStart"/>
      <w:r>
        <w:rPr>
          <w:rFonts w:ascii="Times New Roman" w:hAnsi="Times New Roman" w:cs="Times New Roman"/>
        </w:rPr>
        <w:t>labour</w:t>
      </w:r>
      <w:proofErr w:type="spellEnd"/>
      <w:r>
        <w:rPr>
          <w:rFonts w:ascii="Times New Roman" w:hAnsi="Times New Roman" w:cs="Times New Roman"/>
        </w:rPr>
        <w:t xml:space="preserve"> markets where educated workers compete for roles below their qualification level (</w:t>
      </w:r>
      <w:proofErr w:type="spellStart"/>
      <w:r>
        <w:rPr>
          <w:rFonts w:ascii="Times New Roman" w:hAnsi="Times New Roman" w:cs="Times New Roman"/>
        </w:rPr>
        <w:t>McGuinness</w:t>
      </w:r>
      <w:proofErr w:type="spellEnd"/>
      <w:r>
        <w:rPr>
          <w:rFonts w:ascii="Times New Roman" w:hAnsi="Times New Roman" w:cs="Times New Roman"/>
        </w:rPr>
        <w:t xml:space="preserve">, 2006; </w:t>
      </w:r>
      <w:proofErr w:type="spellStart"/>
      <w:r>
        <w:rPr>
          <w:rFonts w:ascii="Times New Roman" w:hAnsi="Times New Roman" w:cs="Times New Roman"/>
        </w:rPr>
        <w:t>Autor</w:t>
      </w:r>
      <w:proofErr w:type="spellEnd"/>
      <w:r>
        <w:rPr>
          <w:rFonts w:ascii="Times New Roman" w:hAnsi="Times New Roman" w:cs="Times New Roman"/>
        </w:rPr>
        <w:t>, 2014). The Indian context adds specific dimensions: credential inflation through rapid expan</w:t>
      </w:r>
      <w:r>
        <w:rPr>
          <w:rFonts w:ascii="Times New Roman" w:hAnsi="Times New Roman" w:cs="Times New Roman"/>
        </w:rPr>
        <w:t xml:space="preserve">sion of higher </w:t>
      </w:r>
      <w:r>
        <w:rPr>
          <w:rFonts w:ascii="Times New Roman" w:hAnsi="Times New Roman" w:cs="Times New Roman"/>
        </w:rPr>
        <w:lastRenderedPageBreak/>
        <w:t>education, uneven formal employment generation, and the role of employment expectations shaped by educational investment (</w:t>
      </w:r>
      <w:proofErr w:type="spellStart"/>
      <w:r>
        <w:rPr>
          <w:rFonts w:ascii="Times New Roman" w:hAnsi="Times New Roman" w:cs="Times New Roman"/>
        </w:rPr>
        <w:t>Tilak</w:t>
      </w:r>
      <w:proofErr w:type="spellEnd"/>
      <w:r>
        <w:rPr>
          <w:rFonts w:ascii="Times New Roman" w:hAnsi="Times New Roman" w:cs="Times New Roman"/>
        </w:rPr>
        <w:t>, 2018).</w:t>
      </w:r>
    </w:p>
    <w:p w:rsidR="00463761" w:rsidRDefault="00463761">
      <w:pPr>
        <w:spacing w:after="12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6. Geographic Scope and Response Volume</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When job listings were expanded from local to Pan-India geograph</w:t>
      </w:r>
      <w:r>
        <w:rPr>
          <w:rFonts w:ascii="Times New Roman" w:hAnsi="Times New Roman" w:cs="Times New Roman"/>
        </w:rPr>
        <w:t>ic visibility, response volumes increased substantially. The observed increase was approximately 200%, meaning Pan-India listings attracted roughly three times the number of applications as equivalent local listings.</w:t>
      </w:r>
    </w:p>
    <w:p w:rsidR="00463761" w:rsidRDefault="00463761">
      <w:pPr>
        <w:spacing w:after="60" w:line="360" w:lineRule="auto"/>
        <w:rPr>
          <w:rFonts w:ascii="Times New Roman" w:hAnsi="Times New Roman" w:cs="Times New Roman"/>
        </w:rPr>
      </w:pPr>
    </w:p>
    <w:p w:rsidR="00463761" w:rsidRDefault="00DB43E1">
      <w:pPr>
        <w:spacing w:before="200" w:after="50" w:line="360" w:lineRule="auto"/>
        <w:jc w:val="center"/>
        <w:rPr>
          <w:rFonts w:ascii="Times New Roman" w:hAnsi="Times New Roman" w:cs="Times New Roman"/>
        </w:rPr>
      </w:pPr>
      <w:r>
        <w:rPr>
          <w:rFonts w:ascii="Times New Roman" w:hAnsi="Times New Roman" w:cs="Times New Roman"/>
          <w:noProof/>
          <w:lang w:val="en-IN" w:eastAsia="en-IN" w:bidi="ar-SA"/>
        </w:rPr>
        <w:drawing>
          <wp:inline distT="0" distB="0" distL="0" distR="0">
            <wp:extent cx="4095750" cy="3000375"/>
            <wp:effectExtent l="0" t="0" r="0" b="0"/>
            <wp:docPr id="2101155998" name="Picture 210115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55998" name="Picture 2101155998"/>
                    <pic:cNvPicPr>
                      <a:picLocks noChangeAspect="1" noChangeArrowheads="1"/>
                    </pic:cNvPicPr>
                  </pic:nvPicPr>
                  <pic:blipFill>
                    <a:blip r:embed="rId11"/>
                    <a:srcRect/>
                    <a:stretch>
                      <a:fillRect/>
                    </a:stretch>
                  </pic:blipFill>
                  <pic:spPr>
                    <a:xfrm>
                      <a:off x="0" y="0"/>
                      <a:ext cx="4095750" cy="3000375"/>
                    </a:xfrm>
                    <a:prstGeom prst="rect">
                      <a:avLst/>
                    </a:prstGeom>
                  </pic:spPr>
                </pic:pic>
              </a:graphicData>
            </a:graphic>
          </wp:inline>
        </w:drawing>
      </w: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t>Figure 5: Effect of geographic scope</w:t>
      </w:r>
      <w:r>
        <w:rPr>
          <w:rFonts w:ascii="Times New Roman" w:eastAsia="Arial" w:hAnsi="Times New Roman" w:cs="Times New Roman"/>
          <w:i/>
          <w:iCs/>
          <w:color w:val="555555"/>
          <w:sz w:val="18"/>
          <w:szCs w:val="18"/>
        </w:rPr>
        <w:t xml:space="preserve"> on response volume. Pan-India listings generated approximately three times the applications of local listings (index: local = 100).</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This effect was not uniform across job categories. Roles offering accommodation, travel support, or higher salaries showed</w:t>
      </w:r>
      <w:r>
        <w:rPr>
          <w:rFonts w:ascii="Times New Roman" w:hAnsi="Times New Roman" w:cs="Times New Roman"/>
        </w:rPr>
        <w:t xml:space="preserve"> larger Pan-India uplift than roles requiring local knowledge or family proximity (such as housemaid positions). The geographic mobility observable in these response patterns is consistent with push-factor migration dynamics: workers in Tier-2 and Tier-3 c</w:t>
      </w:r>
      <w:r>
        <w:rPr>
          <w:rFonts w:ascii="Times New Roman" w:hAnsi="Times New Roman" w:cs="Times New Roman"/>
        </w:rPr>
        <w:t>ities applying for roles in Tier-1 cities where salary levels are higher, even for semi-skilled roles.</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lastRenderedPageBreak/>
        <w:t xml:space="preserve">Platform disaggregation is relevant here. Pan-India listings posted on </w:t>
      </w:r>
      <w:proofErr w:type="spellStart"/>
      <w:r>
        <w:rPr>
          <w:rFonts w:ascii="Times New Roman" w:hAnsi="Times New Roman" w:cs="Times New Roman"/>
        </w:rPr>
        <w:t>WorkIndia</w:t>
      </w:r>
      <w:proofErr w:type="spellEnd"/>
      <w:r>
        <w:rPr>
          <w:rFonts w:ascii="Times New Roman" w:hAnsi="Times New Roman" w:cs="Times New Roman"/>
        </w:rPr>
        <w:t xml:space="preserve"> and </w:t>
      </w:r>
      <w:proofErr w:type="spellStart"/>
      <w:r>
        <w:rPr>
          <w:rFonts w:ascii="Times New Roman" w:hAnsi="Times New Roman" w:cs="Times New Roman"/>
        </w:rPr>
        <w:t>Apna</w:t>
      </w:r>
      <w:proofErr w:type="spellEnd"/>
      <w:r>
        <w:rPr>
          <w:rFonts w:ascii="Times New Roman" w:hAnsi="Times New Roman" w:cs="Times New Roman"/>
        </w:rPr>
        <w:t xml:space="preserve"> — which have strong Tier-2 and Tier-3 reach through vernacular</w:t>
      </w:r>
      <w:r>
        <w:rPr>
          <w:rFonts w:ascii="Times New Roman" w:hAnsi="Times New Roman" w:cs="Times New Roman"/>
        </w:rPr>
        <w:t xml:space="preserve"> interfaces — likely contributed substantially to the 200% uplift. This is consistent with documented patterns of internal </w:t>
      </w:r>
      <w:proofErr w:type="spellStart"/>
      <w:r>
        <w:rPr>
          <w:rFonts w:ascii="Times New Roman" w:hAnsi="Times New Roman" w:cs="Times New Roman"/>
        </w:rPr>
        <w:t>labour</w:t>
      </w:r>
      <w:proofErr w:type="spellEnd"/>
      <w:r>
        <w:rPr>
          <w:rFonts w:ascii="Times New Roman" w:hAnsi="Times New Roman" w:cs="Times New Roman"/>
        </w:rPr>
        <w:t xml:space="preserve"> migration in India, where geographic mobility among semi-skilled workers is driven primarily by wage differentials rather than</w:t>
      </w:r>
      <w:r>
        <w:rPr>
          <w:rFonts w:ascii="Times New Roman" w:hAnsi="Times New Roman" w:cs="Times New Roman"/>
        </w:rPr>
        <w:t xml:space="preserve"> occupational advancement (</w:t>
      </w:r>
      <w:proofErr w:type="spellStart"/>
      <w:r>
        <w:rPr>
          <w:rFonts w:ascii="Times New Roman" w:hAnsi="Times New Roman" w:cs="Times New Roman"/>
        </w:rPr>
        <w:t>Keshri</w:t>
      </w:r>
      <w:proofErr w:type="spellEnd"/>
      <w:r>
        <w:rPr>
          <w:rFonts w:ascii="Times New Roman" w:hAnsi="Times New Roman" w:cs="Times New Roman"/>
        </w:rPr>
        <w:t xml:space="preserve"> &amp; </w:t>
      </w:r>
      <w:proofErr w:type="spellStart"/>
      <w:r>
        <w:rPr>
          <w:rFonts w:ascii="Times New Roman" w:hAnsi="Times New Roman" w:cs="Times New Roman"/>
        </w:rPr>
        <w:t>Bhagat</w:t>
      </w:r>
      <w:proofErr w:type="spellEnd"/>
      <w:r>
        <w:rPr>
          <w:rFonts w:ascii="Times New Roman" w:hAnsi="Times New Roman" w:cs="Times New Roman"/>
        </w:rPr>
        <w:t>, 2012).</w:t>
      </w:r>
    </w:p>
    <w:p w:rsidR="00463761" w:rsidRDefault="00463761">
      <w:pPr>
        <w:spacing w:after="12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7. Graduate Income Perception</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Among graduate respondents who provided comments or completed optional fields, a frequently recurring self-reported perception was that their current monthly earnings represe</w:t>
      </w:r>
      <w:r>
        <w:rPr>
          <w:rFonts w:ascii="Times New Roman" w:hAnsi="Times New Roman" w:cs="Times New Roman"/>
        </w:rPr>
        <w:t>nted approximately 40–50% of the amount they had spent each month during their college years. Approximately 90% of graduate respondents who commented on their income situation expressed this perception.</w:t>
      </w:r>
    </w:p>
    <w:p w:rsidR="00463761" w:rsidRDefault="00463761">
      <w:pPr>
        <w:spacing w:after="60" w:line="360" w:lineRule="auto"/>
        <w:rPr>
          <w:rFonts w:ascii="Times New Roman" w:hAnsi="Times New Roman" w:cs="Times New Roman"/>
        </w:rPr>
      </w:pPr>
    </w:p>
    <w:p w:rsidR="00463761" w:rsidRDefault="00DB43E1">
      <w:pPr>
        <w:pBdr>
          <w:left w:val="single" w:sz="12" w:space="12" w:color="2E75B6"/>
        </w:pBdr>
        <w:spacing w:before="160" w:after="160" w:line="360" w:lineRule="auto"/>
        <w:ind w:left="720" w:right="720"/>
        <w:jc w:val="both"/>
        <w:rPr>
          <w:rFonts w:ascii="Times New Roman" w:hAnsi="Times New Roman" w:cs="Times New Roman"/>
        </w:rPr>
      </w:pPr>
      <w:r>
        <w:rPr>
          <w:rFonts w:ascii="Times New Roman" w:hAnsi="Times New Roman" w:cs="Times New Roman"/>
          <w:i/>
          <w:iCs/>
          <w:color w:val="333333"/>
          <w:sz w:val="21"/>
          <w:szCs w:val="21"/>
        </w:rPr>
        <w:t xml:space="preserve">This figure represents a self-reported perception, </w:t>
      </w:r>
      <w:r>
        <w:rPr>
          <w:rFonts w:ascii="Times New Roman" w:hAnsi="Times New Roman" w:cs="Times New Roman"/>
          <w:i/>
          <w:iCs/>
          <w:color w:val="333333"/>
          <w:sz w:val="21"/>
          <w:szCs w:val="21"/>
        </w:rPr>
        <w:t>not a verified financial measurement. Respondents were recalling college-era spending against current earned income — two figures that are not directly comparable. College spending typically includes parental transfers, educational loans, and subsidized in</w:t>
      </w:r>
      <w:r>
        <w:rPr>
          <w:rFonts w:ascii="Times New Roman" w:hAnsi="Times New Roman" w:cs="Times New Roman"/>
          <w:i/>
          <w:iCs/>
          <w:color w:val="333333"/>
          <w:sz w:val="21"/>
          <w:szCs w:val="21"/>
        </w:rPr>
        <w:t>stitutional costs. These are distinct from post-graduation income. The 90% figure should be read as indicating a widely shared sense of relative economic regression among educated respondents, not as a precise income ratio.</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With that qualification clearly</w:t>
      </w:r>
      <w:r>
        <w:rPr>
          <w:rFonts w:ascii="Times New Roman" w:hAnsi="Times New Roman" w:cs="Times New Roman"/>
        </w:rPr>
        <w:t xml:space="preserve"> stated</w:t>
      </w:r>
      <w:proofErr w:type="gramStart"/>
      <w:r>
        <w:rPr>
          <w:rFonts w:ascii="Times New Roman" w:hAnsi="Times New Roman" w:cs="Times New Roman"/>
        </w:rPr>
        <w:t>,</w:t>
      </w:r>
      <w:proofErr w:type="gramEnd"/>
      <w:r>
        <w:rPr>
          <w:rFonts w:ascii="Times New Roman" w:hAnsi="Times New Roman" w:cs="Times New Roman"/>
        </w:rPr>
        <w:t xml:space="preserve"> the perception itself is sociologically significant. The experience of earning less — or earning proportionally far less than one was accustomed to spending — after completing a degree is a documented feature of graduate underemployment in India (</w:t>
      </w:r>
      <w:proofErr w:type="spellStart"/>
      <w:r>
        <w:rPr>
          <w:rFonts w:ascii="Times New Roman" w:hAnsi="Times New Roman" w:cs="Times New Roman"/>
        </w:rPr>
        <w:t>Jayachandran</w:t>
      </w:r>
      <w:proofErr w:type="spellEnd"/>
      <w:r>
        <w:rPr>
          <w:rFonts w:ascii="Times New Roman" w:hAnsi="Times New Roman" w:cs="Times New Roman"/>
        </w:rPr>
        <w:t xml:space="preserve">, 2021; Banerjee &amp; </w:t>
      </w:r>
      <w:proofErr w:type="spellStart"/>
      <w:r>
        <w:rPr>
          <w:rFonts w:ascii="Times New Roman" w:hAnsi="Times New Roman" w:cs="Times New Roman"/>
        </w:rPr>
        <w:t>Duflo</w:t>
      </w:r>
      <w:proofErr w:type="spellEnd"/>
      <w:r>
        <w:rPr>
          <w:rFonts w:ascii="Times New Roman" w:hAnsi="Times New Roman" w:cs="Times New Roman"/>
        </w:rPr>
        <w:t xml:space="preserve">, 2019). It shapes career </w:t>
      </w:r>
      <w:proofErr w:type="spellStart"/>
      <w:r>
        <w:rPr>
          <w:rFonts w:ascii="Times New Roman" w:hAnsi="Times New Roman" w:cs="Times New Roman"/>
        </w:rPr>
        <w:t>behaviour</w:t>
      </w:r>
      <w:proofErr w:type="spellEnd"/>
      <w:r>
        <w:rPr>
          <w:rFonts w:ascii="Times New Roman" w:hAnsi="Times New Roman" w:cs="Times New Roman"/>
        </w:rPr>
        <w:t>, willingness to accept downgraded roles, and social and psychological wellbeing in ways that go beyond the income figure itself.</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Researchers wishing to verify this observation are enc</w:t>
      </w:r>
      <w:r>
        <w:rPr>
          <w:rFonts w:ascii="Times New Roman" w:hAnsi="Times New Roman" w:cs="Times New Roman"/>
        </w:rPr>
        <w:t xml:space="preserve">ouraged to triangulate it against CMIE income panel data and household consumption surveys covering graduates in the 22–30 age </w:t>
      </w:r>
      <w:proofErr w:type="gramStart"/>
      <w:r>
        <w:rPr>
          <w:rFonts w:ascii="Times New Roman" w:hAnsi="Times New Roman" w:cs="Times New Roman"/>
        </w:rPr>
        <w:t>bracket</w:t>
      </w:r>
      <w:proofErr w:type="gramEnd"/>
      <w:r>
        <w:rPr>
          <w:rFonts w:ascii="Times New Roman" w:hAnsi="Times New Roman" w:cs="Times New Roman"/>
        </w:rPr>
        <w:t>.</w:t>
      </w:r>
    </w:p>
    <w:p w:rsidR="00463761" w:rsidRDefault="00463761">
      <w:pPr>
        <w:spacing w:after="12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8. Reported Motivations for Seeking Employment Change</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lastRenderedPageBreak/>
        <w:t>Respondents who were currently employed but actively seeking alte</w:t>
      </w:r>
      <w:r>
        <w:rPr>
          <w:rFonts w:ascii="Times New Roman" w:hAnsi="Times New Roman" w:cs="Times New Roman"/>
        </w:rPr>
        <w:t>rnative positions cited a range of motivating factors. These were collected as volunteered or prompted self-reports and represent stated reasons rather than verified employment conditions. Multiple responses were permitted. The relative frequencies shown i</w:t>
      </w:r>
      <w:r>
        <w:rPr>
          <w:rFonts w:ascii="Times New Roman" w:hAnsi="Times New Roman" w:cs="Times New Roman"/>
        </w:rPr>
        <w:t>n Figure 6 reflect the rank order of issues raised, not precise percentages.</w:t>
      </w:r>
    </w:p>
    <w:p w:rsidR="00463761" w:rsidRDefault="00463761">
      <w:pPr>
        <w:spacing w:after="60" w:line="360" w:lineRule="auto"/>
        <w:rPr>
          <w:rFonts w:ascii="Times New Roman" w:hAnsi="Times New Roman" w:cs="Times New Roman"/>
        </w:rPr>
      </w:pPr>
    </w:p>
    <w:p w:rsidR="00463761" w:rsidRDefault="00DB43E1">
      <w:pPr>
        <w:spacing w:before="200" w:after="50" w:line="360" w:lineRule="auto"/>
        <w:jc w:val="center"/>
        <w:rPr>
          <w:rFonts w:ascii="Times New Roman" w:hAnsi="Times New Roman" w:cs="Times New Roman"/>
        </w:rPr>
      </w:pPr>
      <w:r>
        <w:rPr>
          <w:rFonts w:ascii="Times New Roman" w:hAnsi="Times New Roman" w:cs="Times New Roman"/>
          <w:noProof/>
          <w:lang w:val="en-IN" w:eastAsia="en-IN" w:bidi="ar-SA"/>
        </w:rPr>
        <w:drawing>
          <wp:inline distT="0" distB="0" distL="0" distR="0">
            <wp:extent cx="5238750" cy="3571875"/>
            <wp:effectExtent l="0" t="0" r="0" b="0"/>
            <wp:docPr id="1516469882" name="Picture 151646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69882" name="Picture 1516469882"/>
                    <pic:cNvPicPr>
                      <a:picLocks noChangeAspect="1" noChangeArrowheads="1"/>
                    </pic:cNvPicPr>
                  </pic:nvPicPr>
                  <pic:blipFill>
                    <a:blip r:embed="rId12"/>
                    <a:srcRect/>
                    <a:stretch>
                      <a:fillRect/>
                    </a:stretch>
                  </pic:blipFill>
                  <pic:spPr>
                    <a:xfrm>
                      <a:off x="0" y="0"/>
                      <a:ext cx="5238750" cy="3571875"/>
                    </a:xfrm>
                    <a:prstGeom prst="rect">
                      <a:avLst/>
                    </a:prstGeom>
                  </pic:spPr>
                </pic:pic>
              </a:graphicData>
            </a:graphic>
          </wp:inline>
        </w:drawing>
      </w:r>
    </w:p>
    <w:p w:rsidR="00463761" w:rsidRDefault="00DB43E1">
      <w:pPr>
        <w:spacing w:before="50" w:after="200" w:line="360" w:lineRule="auto"/>
        <w:jc w:val="center"/>
        <w:rPr>
          <w:rFonts w:ascii="Times New Roman" w:hAnsi="Times New Roman" w:cs="Times New Roman"/>
        </w:rPr>
      </w:pPr>
      <w:r>
        <w:rPr>
          <w:rFonts w:ascii="Times New Roman" w:eastAsia="Arial" w:hAnsi="Times New Roman" w:cs="Times New Roman"/>
          <w:i/>
          <w:iCs/>
          <w:color w:val="555555"/>
          <w:sz w:val="18"/>
          <w:szCs w:val="18"/>
        </w:rPr>
        <w:t>Figure 6: Reported motivations for seeking alternative employment. Relative frequencies based on self-reported responses; multiple answers permitted per respondent.</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Job insecu</w:t>
      </w:r>
      <w:r>
        <w:rPr>
          <w:rFonts w:ascii="Times New Roman" w:hAnsi="Times New Roman" w:cs="Times New Roman"/>
        </w:rPr>
        <w:t>rity was the most frequently cited concern across all educational categories, followed by salary delays and irregular payment schedules. Work-from-home-related pressures — specifically, extended working hours without additional compensation — were cited fr</w:t>
      </w:r>
      <w:r>
        <w:rPr>
          <w:rFonts w:ascii="Times New Roman" w:hAnsi="Times New Roman" w:cs="Times New Roman"/>
        </w:rPr>
        <w:t xml:space="preserve">equently enough to merit attention as a post-COVID </w:t>
      </w:r>
      <w:proofErr w:type="spellStart"/>
      <w:r>
        <w:rPr>
          <w:rFonts w:ascii="Times New Roman" w:hAnsi="Times New Roman" w:cs="Times New Roman"/>
        </w:rPr>
        <w:t>labour</w:t>
      </w:r>
      <w:proofErr w:type="spellEnd"/>
      <w:r>
        <w:rPr>
          <w:rFonts w:ascii="Times New Roman" w:hAnsi="Times New Roman" w:cs="Times New Roman"/>
        </w:rPr>
        <w:t xml:space="preserve"> market feature. The removal of physical office boundaries, combined with rising performance targets in a more competitive employment environment, appears to have increased voluntary job-seeking amon</w:t>
      </w:r>
      <w:r>
        <w:rPr>
          <w:rFonts w:ascii="Times New Roman" w:hAnsi="Times New Roman" w:cs="Times New Roman"/>
        </w:rPr>
        <w:t>g workers who might otherwise have remained in stable positions.</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lastRenderedPageBreak/>
        <w:t>Health concerns and family responsibilities, cited less frequently than financial factors, nonetheless appear consistently enough to suggest that non-financial working conditions play a role</w:t>
      </w:r>
      <w:r>
        <w:rPr>
          <w:rFonts w:ascii="Times New Roman" w:hAnsi="Times New Roman" w:cs="Times New Roman"/>
        </w:rPr>
        <w:t xml:space="preserve"> in </w:t>
      </w:r>
      <w:proofErr w:type="spellStart"/>
      <w:r>
        <w:rPr>
          <w:rFonts w:ascii="Times New Roman" w:hAnsi="Times New Roman" w:cs="Times New Roman"/>
        </w:rPr>
        <w:t>labour</w:t>
      </w:r>
      <w:proofErr w:type="spellEnd"/>
      <w:r>
        <w:rPr>
          <w:rFonts w:ascii="Times New Roman" w:hAnsi="Times New Roman" w:cs="Times New Roman"/>
        </w:rPr>
        <w:t xml:space="preserve"> market mobility alongside wage considerations.</w:t>
      </w:r>
    </w:p>
    <w:p w:rsidR="00463761" w:rsidRDefault="00463761">
      <w:pPr>
        <w:spacing w:after="12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9. Employment Structure Observations</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Several respondents reported structural features of their previous employment arrangements. These are recorded as stated experiences and are not independently v</w:t>
      </w:r>
      <w:r>
        <w:rPr>
          <w:rFonts w:ascii="Times New Roman" w:hAnsi="Times New Roman" w:cs="Times New Roman"/>
        </w:rPr>
        <w:t>erified by the survey. They are presented here because they appeared with sufficient frequency to be noteworthy.</w:t>
      </w:r>
    </w:p>
    <w:p w:rsidR="00463761" w:rsidRDefault="00463761">
      <w:pPr>
        <w:spacing w:after="60" w:line="360" w:lineRule="auto"/>
        <w:rPr>
          <w:rFonts w:ascii="Times New Roman" w:hAnsi="Times New Roman" w:cs="Times New Roman"/>
        </w:rPr>
      </w:pP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 xml:space="preserve">Outsourced staffing arrangements: A number of respondents reported that their formal employer was not the organization where they worked </w:t>
      </w:r>
      <w:r>
        <w:rPr>
          <w:rFonts w:ascii="Times New Roman" w:hAnsi="Times New Roman" w:cs="Times New Roman"/>
        </w:rPr>
        <w:t>day-to-day, but rather an outsourced staffing or manpower agency. Some respondents expressed uncertainty about the legal identity of their employer.</w:t>
      </w: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Provident fund irregularities: Several respondents reported that provident fund contributions had been irre</w:t>
      </w:r>
      <w:r>
        <w:rPr>
          <w:rFonts w:ascii="Times New Roman" w:hAnsi="Times New Roman" w:cs="Times New Roman"/>
        </w:rPr>
        <w:t>gular, absent, or opaque in their previous employment, particularly in agency-mediated arrangements.</w:t>
      </w: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Health insurance gaps: Inconsistent provision of health insurance and other statutory benefits was mentioned by respondents in technology-adjacent and serv</w:t>
      </w:r>
      <w:r>
        <w:rPr>
          <w:rFonts w:ascii="Times New Roman" w:hAnsi="Times New Roman" w:cs="Times New Roman"/>
        </w:rPr>
        <w:t>ice sector roles.</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 xml:space="preserve">These observations are consistent with documented features of India's contractual </w:t>
      </w:r>
      <w:proofErr w:type="spellStart"/>
      <w:r>
        <w:rPr>
          <w:rFonts w:ascii="Times New Roman" w:hAnsi="Times New Roman" w:cs="Times New Roman"/>
        </w:rPr>
        <w:t>labour</w:t>
      </w:r>
      <w:proofErr w:type="spellEnd"/>
      <w:r>
        <w:rPr>
          <w:rFonts w:ascii="Times New Roman" w:hAnsi="Times New Roman" w:cs="Times New Roman"/>
        </w:rPr>
        <w:t xml:space="preserve"> ecosystem, where the use of staffing intermediaries allows large organizations to maintain flexible workforce arrangements while externalizing statu</w:t>
      </w:r>
      <w:r>
        <w:rPr>
          <w:rFonts w:ascii="Times New Roman" w:hAnsi="Times New Roman" w:cs="Times New Roman"/>
        </w:rPr>
        <w:t>tory obligations (</w:t>
      </w:r>
      <w:proofErr w:type="spellStart"/>
      <w:r>
        <w:rPr>
          <w:rFonts w:ascii="Times New Roman" w:hAnsi="Times New Roman" w:cs="Times New Roman"/>
        </w:rPr>
        <w:t>Sodhi</w:t>
      </w:r>
      <w:proofErr w:type="spellEnd"/>
      <w:r>
        <w:rPr>
          <w:rFonts w:ascii="Times New Roman" w:hAnsi="Times New Roman" w:cs="Times New Roman"/>
        </w:rPr>
        <w:t xml:space="preserve">, 2013; Ministry of </w:t>
      </w:r>
      <w:proofErr w:type="spellStart"/>
      <w:r>
        <w:rPr>
          <w:rFonts w:ascii="Times New Roman" w:hAnsi="Times New Roman" w:cs="Times New Roman"/>
        </w:rPr>
        <w:t>Labour</w:t>
      </w:r>
      <w:proofErr w:type="spellEnd"/>
      <w:r>
        <w:rPr>
          <w:rFonts w:ascii="Times New Roman" w:hAnsi="Times New Roman" w:cs="Times New Roman"/>
        </w:rPr>
        <w:t xml:space="preserve"> &amp; Employment, 2020). They are offered here as contextual background rather than findings of this survey.</w:t>
      </w:r>
    </w:p>
    <w:p w:rsidR="00463761" w:rsidRDefault="00463761">
      <w:pPr>
        <w:spacing w:after="12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 xml:space="preserve">10. Discussion: Patterns </w:t>
      </w:r>
      <w:proofErr w:type="gramStart"/>
      <w:r>
        <w:rPr>
          <w:rFonts w:ascii="Times New Roman" w:hAnsi="Times New Roman" w:cs="Times New Roman"/>
        </w:rPr>
        <w:t>Worth</w:t>
      </w:r>
      <w:proofErr w:type="gramEnd"/>
      <w:r>
        <w:rPr>
          <w:rFonts w:ascii="Times New Roman" w:hAnsi="Times New Roman" w:cs="Times New Roman"/>
        </w:rPr>
        <w:t xml:space="preserve"> Examining</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This report refrains from asserting causal conclusions. How</w:t>
      </w:r>
      <w:r>
        <w:rPr>
          <w:rFonts w:ascii="Times New Roman" w:hAnsi="Times New Roman" w:cs="Times New Roman"/>
        </w:rPr>
        <w:t>ever, it would be intellectually incomplete not to acknowledge that the patterns across sections form a picture that raises important questions.</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lastRenderedPageBreak/>
        <w:t>When 39% of applicants to domestic and semi-skilled roles hold graduate or postgraduate qualifications; when a</w:t>
      </w:r>
      <w:r>
        <w:rPr>
          <w:rFonts w:ascii="Times New Roman" w:hAnsi="Times New Roman" w:cs="Times New Roman"/>
        </w:rPr>
        <w:t xml:space="preserve"> 10% salary increase attracts 20% more applicants; when qualification overlap surges above ₹30,000 per month; and when educated respondents widely perceive their current earnings as substantially below their college-era spending — these patterns, taken tog</w:t>
      </w:r>
      <w:r>
        <w:rPr>
          <w:rFonts w:ascii="Times New Roman" w:hAnsi="Times New Roman" w:cs="Times New Roman"/>
        </w:rPr>
        <w:t xml:space="preserve">ether, may suggest a </w:t>
      </w:r>
      <w:proofErr w:type="spellStart"/>
      <w:r>
        <w:rPr>
          <w:rFonts w:ascii="Times New Roman" w:hAnsi="Times New Roman" w:cs="Times New Roman"/>
        </w:rPr>
        <w:t>labour</w:t>
      </w:r>
      <w:proofErr w:type="spellEnd"/>
      <w:r>
        <w:rPr>
          <w:rFonts w:ascii="Times New Roman" w:hAnsi="Times New Roman" w:cs="Times New Roman"/>
        </w:rPr>
        <w:t xml:space="preserve"> market under considerable pressure to absorb its educated workforce at qualification-appropriate salaries.</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Whether this reflects a temporary post-COVID contraction, a longer-term structural mismatch between the output of higher</w:t>
      </w:r>
      <w:r>
        <w:rPr>
          <w:rFonts w:ascii="Times New Roman" w:hAnsi="Times New Roman" w:cs="Times New Roman"/>
        </w:rPr>
        <w:t xml:space="preserve"> education and the employment capacity of the formal economy, or some combination of both, is a question the present data cannot resolve. India produces approximately 7.5 million graduates annually (AISHE, 2022). The organized formal economy absorbs a port</w:t>
      </w:r>
      <w:r>
        <w:rPr>
          <w:rFonts w:ascii="Times New Roman" w:hAnsi="Times New Roman" w:cs="Times New Roman"/>
        </w:rPr>
        <w:t>ion of this output at salaries that reflect educational investment. What happens to the remainder is visible, in part, in surveys like this one.</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These observations carry potential implications for higher education policy, wage floor regulation, social sec</w:t>
      </w:r>
      <w:r>
        <w:rPr>
          <w:rFonts w:ascii="Times New Roman" w:hAnsi="Times New Roman" w:cs="Times New Roman"/>
        </w:rPr>
        <w:t>urity coverage, and employment generation strategy. They are offered here as questions worth investigating, not as policy recommendations.</w:t>
      </w:r>
    </w:p>
    <w:p w:rsidR="00463761" w:rsidRDefault="00463761">
      <w:pPr>
        <w:spacing w:after="12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11. Invitation for Independent Analysis</w:t>
      </w: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 xml:space="preserve">The findings in this report are presented without interpretive conclusions. </w:t>
      </w:r>
      <w:r>
        <w:rPr>
          <w:rFonts w:ascii="Times New Roman" w:hAnsi="Times New Roman" w:cs="Times New Roman"/>
        </w:rPr>
        <w:t>Researchers, economists, journalists, sociologists, and policy analysts are invited to review the data and offer their own analyses. The following areas may be particularly productive starting points:</w:t>
      </w:r>
    </w:p>
    <w:p w:rsidR="00463761" w:rsidRDefault="00463761">
      <w:pPr>
        <w:spacing w:after="60" w:line="360" w:lineRule="auto"/>
        <w:rPr>
          <w:rFonts w:ascii="Times New Roman" w:hAnsi="Times New Roman" w:cs="Times New Roman"/>
        </w:rPr>
      </w:pP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Category-level salary elasticity: The aggregate 2:1 ra</w:t>
      </w:r>
      <w:r>
        <w:rPr>
          <w:rFonts w:ascii="Times New Roman" w:hAnsi="Times New Roman" w:cs="Times New Roman"/>
        </w:rPr>
        <w:t>tio (20% more applications per 10% salary increase) masks variation across job types and salary bands. Disaggregated analysis may reveal important structural differences.</w:t>
      </w: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 xml:space="preserve">The ₹30,000 threshold: Whether this inflection point is a nationally stable boundary </w:t>
      </w:r>
      <w:r>
        <w:rPr>
          <w:rFonts w:ascii="Times New Roman" w:hAnsi="Times New Roman" w:cs="Times New Roman"/>
        </w:rPr>
        <w:t>or a city-specific artifact of cost-of-living geography warrants investigation against CMIE cost-of-living and income data.</w:t>
      </w: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Graduate income perception: Triangulation of the 40–50% perception against NSSO and CMIE household panel data could establish whethe</w:t>
      </w:r>
      <w:r>
        <w:rPr>
          <w:rFonts w:ascii="Times New Roman" w:hAnsi="Times New Roman" w:cs="Times New Roman"/>
        </w:rPr>
        <w:t>r the subjective perception reflects a real income gap.</w:t>
      </w: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lastRenderedPageBreak/>
        <w:t>Gender and platform interaction: Whether female applicant shares vary systematically across platforms and salary bands may reveal platform-specific barriers or channels worth understanding.</w:t>
      </w:r>
    </w:p>
    <w:p w:rsidR="00463761" w:rsidRDefault="00DB43E1">
      <w:pPr>
        <w:pStyle w:val="ListParagraph"/>
        <w:numPr>
          <w:ilvl w:val="0"/>
          <w:numId w:val="1"/>
        </w:numPr>
        <w:spacing w:before="60" w:after="60" w:line="360" w:lineRule="auto"/>
        <w:rPr>
          <w:rFonts w:ascii="Times New Roman" w:hAnsi="Times New Roman" w:cs="Times New Roman"/>
        </w:rPr>
      </w:pPr>
      <w:r>
        <w:rPr>
          <w:rFonts w:ascii="Times New Roman" w:hAnsi="Times New Roman" w:cs="Times New Roman"/>
        </w:rPr>
        <w:t>Post-COVID</w:t>
      </w:r>
      <w:r>
        <w:rPr>
          <w:rFonts w:ascii="Times New Roman" w:hAnsi="Times New Roman" w:cs="Times New Roman"/>
        </w:rPr>
        <w:t xml:space="preserve"> trend line: Given that the survey spans 2019–2024, examining pre-2020 versus post-2020 data separately may reveal whether the observed patterns intensified during the pandemic period.</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 xml:space="preserve">Feedback, independent analysis, and commentary are welcome. </w:t>
      </w:r>
      <w:r>
        <w:rPr>
          <w:rFonts w:ascii="Times New Roman" w:hAnsi="Times New Roman" w:cs="Times New Roman"/>
        </w:rPr>
        <w:t>Researchers who identify methodological limitations, alternative interpretations, or relevant comparative data are encouraged to contribute to the discussion this report is intended to open.</w:t>
      </w:r>
    </w:p>
    <w:p w:rsidR="00463761" w:rsidRDefault="00463761">
      <w:pPr>
        <w:spacing w:after="120" w:line="360" w:lineRule="auto"/>
        <w:rPr>
          <w:rFonts w:ascii="Times New Roman" w:hAnsi="Times New Roman" w:cs="Times New Roman"/>
        </w:rPr>
      </w:pPr>
    </w:p>
    <w:p w:rsidR="00463761" w:rsidRDefault="00463761">
      <w:pPr>
        <w:pBdr>
          <w:bottom w:val="single" w:sz="4" w:space="1" w:color="CCCCCC"/>
        </w:pBdr>
        <w:spacing w:before="180" w:after="180" w:line="360" w:lineRule="auto"/>
        <w:rPr>
          <w:rFonts w:ascii="Times New Roman" w:hAnsi="Times New Roman" w:cs="Times New Roman"/>
        </w:rPr>
      </w:pPr>
    </w:p>
    <w:p w:rsidR="00463761" w:rsidRDefault="00DB43E1">
      <w:pPr>
        <w:pStyle w:val="Heading1"/>
        <w:spacing w:line="360" w:lineRule="auto"/>
        <w:rPr>
          <w:rFonts w:ascii="Times New Roman" w:hAnsi="Times New Roman" w:cs="Times New Roman"/>
        </w:rPr>
      </w:pPr>
      <w:r>
        <w:rPr>
          <w:rFonts w:ascii="Times New Roman" w:hAnsi="Times New Roman" w:cs="Times New Roman"/>
        </w:rPr>
        <w:t>References</w:t>
      </w:r>
    </w:p>
    <w:p w:rsidR="00463761" w:rsidRDefault="00DB43E1">
      <w:pPr>
        <w:spacing w:before="80" w:after="110" w:line="360" w:lineRule="auto"/>
        <w:jc w:val="both"/>
        <w:rPr>
          <w:rFonts w:ascii="Times New Roman" w:hAnsi="Times New Roman" w:cs="Times New Roman"/>
        </w:rPr>
      </w:pPr>
      <w:proofErr w:type="gramStart"/>
      <w:r>
        <w:rPr>
          <w:rFonts w:ascii="Times New Roman" w:hAnsi="Times New Roman" w:cs="Times New Roman"/>
        </w:rPr>
        <w:t>All India Survey on Higher Education (AISHE).</w:t>
      </w:r>
      <w:proofErr w:type="gramEnd"/>
      <w:r>
        <w:rPr>
          <w:rFonts w:ascii="Times New Roman" w:hAnsi="Times New Roman" w:cs="Times New Roman"/>
        </w:rPr>
        <w:t xml:space="preserve"> (2022)</w:t>
      </w:r>
      <w:r>
        <w:rPr>
          <w:rFonts w:ascii="Times New Roman" w:hAnsi="Times New Roman" w:cs="Times New Roman"/>
        </w:rPr>
        <w:t xml:space="preserve">. Annual Report 2021–22. </w:t>
      </w:r>
      <w:proofErr w:type="gramStart"/>
      <w:r>
        <w:rPr>
          <w:rFonts w:ascii="Times New Roman" w:hAnsi="Times New Roman" w:cs="Times New Roman"/>
        </w:rPr>
        <w:t>Ministry of Education, Government of India.</w:t>
      </w:r>
      <w:proofErr w:type="gramEnd"/>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spellStart"/>
      <w:proofErr w:type="gramStart"/>
      <w:r>
        <w:rPr>
          <w:rFonts w:ascii="Times New Roman" w:hAnsi="Times New Roman" w:cs="Times New Roman"/>
        </w:rPr>
        <w:t>Autor</w:t>
      </w:r>
      <w:proofErr w:type="spellEnd"/>
      <w:r>
        <w:rPr>
          <w:rFonts w:ascii="Times New Roman" w:hAnsi="Times New Roman" w:cs="Times New Roman"/>
        </w:rPr>
        <w:t>, D. H. (2014).</w:t>
      </w:r>
      <w:proofErr w:type="gramEnd"/>
      <w:r>
        <w:rPr>
          <w:rFonts w:ascii="Times New Roman" w:hAnsi="Times New Roman" w:cs="Times New Roman"/>
        </w:rPr>
        <w:t xml:space="preserve"> </w:t>
      </w:r>
      <w:proofErr w:type="gramStart"/>
      <w:r>
        <w:rPr>
          <w:rFonts w:ascii="Times New Roman" w:hAnsi="Times New Roman" w:cs="Times New Roman"/>
        </w:rPr>
        <w:t>Skills, education, and the rise of earnings inequality among the "other 99 percent."</w:t>
      </w:r>
      <w:proofErr w:type="gramEnd"/>
      <w:r>
        <w:rPr>
          <w:rFonts w:ascii="Times New Roman" w:hAnsi="Times New Roman" w:cs="Times New Roman"/>
        </w:rPr>
        <w:t xml:space="preserve"> Science, 344(6186), 843–851.</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gramStart"/>
      <w:r>
        <w:rPr>
          <w:rFonts w:ascii="Times New Roman" w:hAnsi="Times New Roman" w:cs="Times New Roman"/>
        </w:rPr>
        <w:t xml:space="preserve">Banerjee, A., &amp; </w:t>
      </w:r>
      <w:proofErr w:type="spellStart"/>
      <w:r>
        <w:rPr>
          <w:rFonts w:ascii="Times New Roman" w:hAnsi="Times New Roman" w:cs="Times New Roman"/>
        </w:rPr>
        <w:t>Duflo</w:t>
      </w:r>
      <w:proofErr w:type="spellEnd"/>
      <w:r>
        <w:rPr>
          <w:rFonts w:ascii="Times New Roman" w:hAnsi="Times New Roman" w:cs="Times New Roman"/>
        </w:rPr>
        <w:t>, E. (2019).</w:t>
      </w:r>
      <w:proofErr w:type="gramEnd"/>
      <w:r>
        <w:rPr>
          <w:rFonts w:ascii="Times New Roman" w:hAnsi="Times New Roman" w:cs="Times New Roman"/>
        </w:rPr>
        <w:t xml:space="preserve"> Good Economics f</w:t>
      </w:r>
      <w:r>
        <w:rPr>
          <w:rFonts w:ascii="Times New Roman" w:hAnsi="Times New Roman" w:cs="Times New Roman"/>
        </w:rPr>
        <w:t xml:space="preserve">or Hard Times. </w:t>
      </w:r>
      <w:proofErr w:type="spellStart"/>
      <w:proofErr w:type="gramStart"/>
      <w:r>
        <w:rPr>
          <w:rFonts w:ascii="Times New Roman" w:hAnsi="Times New Roman" w:cs="Times New Roman"/>
        </w:rPr>
        <w:t>PublicAffairs</w:t>
      </w:r>
      <w:proofErr w:type="spellEnd"/>
      <w:r>
        <w:rPr>
          <w:rFonts w:ascii="Times New Roman" w:hAnsi="Times New Roman" w:cs="Times New Roman"/>
        </w:rPr>
        <w:t xml:space="preserve"> / Penguin Allen Lane.</w:t>
      </w:r>
      <w:proofErr w:type="gramEnd"/>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 xml:space="preserve">Centre for Monitoring Indian Economy (CMIE). </w:t>
      </w:r>
      <w:proofErr w:type="gramStart"/>
      <w:r>
        <w:rPr>
          <w:rFonts w:ascii="Times New Roman" w:hAnsi="Times New Roman" w:cs="Times New Roman"/>
        </w:rPr>
        <w:t xml:space="preserve">(2024). Unemployment Rate in India — Periodic </w:t>
      </w:r>
      <w:proofErr w:type="spellStart"/>
      <w:r>
        <w:rPr>
          <w:rFonts w:ascii="Times New Roman" w:hAnsi="Times New Roman" w:cs="Times New Roman"/>
        </w:rPr>
        <w:t>Labour</w:t>
      </w:r>
      <w:proofErr w:type="spellEnd"/>
      <w:r>
        <w:rPr>
          <w:rFonts w:ascii="Times New Roman" w:hAnsi="Times New Roman" w:cs="Times New Roman"/>
        </w:rPr>
        <w:t xml:space="preserve"> Force Survey Data.</w:t>
      </w:r>
      <w:proofErr w:type="gramEnd"/>
      <w:r>
        <w:rPr>
          <w:rFonts w:ascii="Times New Roman" w:hAnsi="Times New Roman" w:cs="Times New Roman"/>
        </w:rPr>
        <w:t xml:space="preserve"> </w:t>
      </w:r>
      <w:proofErr w:type="gramStart"/>
      <w:r>
        <w:rPr>
          <w:rFonts w:ascii="Times New Roman" w:hAnsi="Times New Roman" w:cs="Times New Roman"/>
        </w:rPr>
        <w:t>CMIE Economic Outlook.</w:t>
      </w:r>
      <w:proofErr w:type="gramEnd"/>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r>
        <w:rPr>
          <w:rFonts w:ascii="Times New Roman" w:hAnsi="Times New Roman" w:cs="Times New Roman"/>
        </w:rPr>
        <w:t>Centre for Monitoring Indian Economy (CMIE). (2023). Payroll an</w:t>
      </w:r>
      <w:r>
        <w:rPr>
          <w:rFonts w:ascii="Times New Roman" w:hAnsi="Times New Roman" w:cs="Times New Roman"/>
        </w:rPr>
        <w:t xml:space="preserve">d Formal Employment Data 2022–23. </w:t>
      </w:r>
      <w:proofErr w:type="gramStart"/>
      <w:r>
        <w:rPr>
          <w:rFonts w:ascii="Times New Roman" w:hAnsi="Times New Roman" w:cs="Times New Roman"/>
        </w:rPr>
        <w:t>CMIE Databases.</w:t>
      </w:r>
      <w:proofErr w:type="gramEnd"/>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spellStart"/>
      <w:proofErr w:type="gramStart"/>
      <w:r>
        <w:rPr>
          <w:rFonts w:ascii="Times New Roman" w:hAnsi="Times New Roman" w:cs="Times New Roman"/>
        </w:rPr>
        <w:t>Deshpande</w:t>
      </w:r>
      <w:proofErr w:type="spellEnd"/>
      <w:r>
        <w:rPr>
          <w:rFonts w:ascii="Times New Roman" w:hAnsi="Times New Roman" w:cs="Times New Roman"/>
        </w:rPr>
        <w:t>, A., &amp; Singh, J. (2021).</w:t>
      </w:r>
      <w:proofErr w:type="gramEnd"/>
      <w:r>
        <w:rPr>
          <w:rFonts w:ascii="Times New Roman" w:hAnsi="Times New Roman" w:cs="Times New Roman"/>
        </w:rPr>
        <w:t xml:space="preserve"> Dropping out, being pushed out or can't get in? </w:t>
      </w:r>
      <w:proofErr w:type="gramStart"/>
      <w:r>
        <w:rPr>
          <w:rFonts w:ascii="Times New Roman" w:hAnsi="Times New Roman" w:cs="Times New Roman"/>
        </w:rPr>
        <w:t xml:space="preserve">Decoding declining female </w:t>
      </w:r>
      <w:proofErr w:type="spellStart"/>
      <w:r>
        <w:rPr>
          <w:rFonts w:ascii="Times New Roman" w:hAnsi="Times New Roman" w:cs="Times New Roman"/>
        </w:rPr>
        <w:t>labour</w:t>
      </w:r>
      <w:proofErr w:type="spellEnd"/>
      <w:r>
        <w:rPr>
          <w:rFonts w:ascii="Times New Roman" w:hAnsi="Times New Roman" w:cs="Times New Roman"/>
        </w:rPr>
        <w:t xml:space="preserve"> force participation in India.</w:t>
      </w:r>
      <w:proofErr w:type="gramEnd"/>
      <w:r>
        <w:rPr>
          <w:rFonts w:ascii="Times New Roman" w:hAnsi="Times New Roman" w:cs="Times New Roman"/>
        </w:rPr>
        <w:t xml:space="preserve"> IZA Discussion Paper No. 14787.</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spellStart"/>
      <w:proofErr w:type="gramStart"/>
      <w:r>
        <w:rPr>
          <w:rFonts w:ascii="Times New Roman" w:hAnsi="Times New Roman" w:cs="Times New Roman"/>
        </w:rPr>
        <w:t>Deshpande</w:t>
      </w:r>
      <w:proofErr w:type="spellEnd"/>
      <w:r>
        <w:rPr>
          <w:rFonts w:ascii="Times New Roman" w:hAnsi="Times New Roman" w:cs="Times New Roman"/>
        </w:rPr>
        <w:t>, M. (2021).</w:t>
      </w:r>
      <w:proofErr w:type="gramEnd"/>
      <w:r>
        <w:rPr>
          <w:rFonts w:ascii="Times New Roman" w:hAnsi="Times New Roman" w:cs="Times New Roman"/>
        </w:rPr>
        <w:t xml:space="preserve"> Indi</w:t>
      </w:r>
      <w:r>
        <w:rPr>
          <w:rFonts w:ascii="Times New Roman" w:hAnsi="Times New Roman" w:cs="Times New Roman"/>
        </w:rPr>
        <w:t xml:space="preserve">a's new </w:t>
      </w:r>
      <w:proofErr w:type="spellStart"/>
      <w:r>
        <w:rPr>
          <w:rFonts w:ascii="Times New Roman" w:hAnsi="Times New Roman" w:cs="Times New Roman"/>
        </w:rPr>
        <w:t>labour</w:t>
      </w:r>
      <w:proofErr w:type="spellEnd"/>
      <w:r>
        <w:rPr>
          <w:rFonts w:ascii="Times New Roman" w:hAnsi="Times New Roman" w:cs="Times New Roman"/>
        </w:rPr>
        <w:t xml:space="preserve"> codes: A critical analysis. Economic and Political Weekly, 56(14), 14–19.</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spellStart"/>
      <w:proofErr w:type="gramStart"/>
      <w:r>
        <w:rPr>
          <w:rFonts w:ascii="Times New Roman" w:hAnsi="Times New Roman" w:cs="Times New Roman"/>
        </w:rPr>
        <w:t>Jayachandran</w:t>
      </w:r>
      <w:proofErr w:type="spellEnd"/>
      <w:r>
        <w:rPr>
          <w:rFonts w:ascii="Times New Roman" w:hAnsi="Times New Roman" w:cs="Times New Roman"/>
        </w:rPr>
        <w:t>, S. (2021).</w:t>
      </w:r>
      <w:proofErr w:type="gramEnd"/>
      <w:r>
        <w:rPr>
          <w:rFonts w:ascii="Times New Roman" w:hAnsi="Times New Roman" w:cs="Times New Roman"/>
        </w:rPr>
        <w:t xml:space="preserve"> </w:t>
      </w:r>
      <w:proofErr w:type="gramStart"/>
      <w:r>
        <w:rPr>
          <w:rFonts w:ascii="Times New Roman" w:hAnsi="Times New Roman" w:cs="Times New Roman"/>
        </w:rPr>
        <w:t>Social norms as a barrier to women's employment in developing countries.</w:t>
      </w:r>
      <w:proofErr w:type="gramEnd"/>
      <w:r>
        <w:rPr>
          <w:rFonts w:ascii="Times New Roman" w:hAnsi="Times New Roman" w:cs="Times New Roman"/>
        </w:rPr>
        <w:t xml:space="preserve"> IMF Economic Review, 69(3), 576–595.</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spellStart"/>
      <w:proofErr w:type="gramStart"/>
      <w:r>
        <w:rPr>
          <w:rFonts w:ascii="Times New Roman" w:hAnsi="Times New Roman" w:cs="Times New Roman"/>
        </w:rPr>
        <w:t>Keshri</w:t>
      </w:r>
      <w:proofErr w:type="spellEnd"/>
      <w:r>
        <w:rPr>
          <w:rFonts w:ascii="Times New Roman" w:hAnsi="Times New Roman" w:cs="Times New Roman"/>
        </w:rPr>
        <w:t xml:space="preserve">, K., &amp; </w:t>
      </w:r>
      <w:proofErr w:type="spellStart"/>
      <w:r>
        <w:rPr>
          <w:rFonts w:ascii="Times New Roman" w:hAnsi="Times New Roman" w:cs="Times New Roman"/>
        </w:rPr>
        <w:t>Bhagat</w:t>
      </w:r>
      <w:proofErr w:type="spellEnd"/>
      <w:r>
        <w:rPr>
          <w:rFonts w:ascii="Times New Roman" w:hAnsi="Times New Roman" w:cs="Times New Roman"/>
        </w:rPr>
        <w:t>, R. B. (2</w:t>
      </w:r>
      <w:r>
        <w:rPr>
          <w:rFonts w:ascii="Times New Roman" w:hAnsi="Times New Roman" w:cs="Times New Roman"/>
        </w:rPr>
        <w:t>012).</w:t>
      </w:r>
      <w:proofErr w:type="gramEnd"/>
      <w:r>
        <w:rPr>
          <w:rFonts w:ascii="Times New Roman" w:hAnsi="Times New Roman" w:cs="Times New Roman"/>
        </w:rPr>
        <w:t xml:space="preserve"> Temporary and seasonal migration: Regional pattern, characteristics and associated factors. Economic and Political Weekly, 47(4), 81–88.</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spellStart"/>
      <w:r>
        <w:rPr>
          <w:rFonts w:ascii="Times New Roman" w:hAnsi="Times New Roman" w:cs="Times New Roman"/>
        </w:rPr>
        <w:t>McGuinness</w:t>
      </w:r>
      <w:proofErr w:type="spellEnd"/>
      <w:r>
        <w:rPr>
          <w:rFonts w:ascii="Times New Roman" w:hAnsi="Times New Roman" w:cs="Times New Roman"/>
        </w:rPr>
        <w:t xml:space="preserve">, S. (2006). </w:t>
      </w:r>
      <w:proofErr w:type="spellStart"/>
      <w:proofErr w:type="gramStart"/>
      <w:r>
        <w:rPr>
          <w:rFonts w:ascii="Times New Roman" w:hAnsi="Times New Roman" w:cs="Times New Roman"/>
        </w:rPr>
        <w:t>Overeducation</w:t>
      </w:r>
      <w:proofErr w:type="spellEnd"/>
      <w:r>
        <w:rPr>
          <w:rFonts w:ascii="Times New Roman" w:hAnsi="Times New Roman" w:cs="Times New Roman"/>
        </w:rPr>
        <w:t xml:space="preserve"> in the </w:t>
      </w:r>
      <w:proofErr w:type="spellStart"/>
      <w:r>
        <w:rPr>
          <w:rFonts w:ascii="Times New Roman" w:hAnsi="Times New Roman" w:cs="Times New Roman"/>
        </w:rPr>
        <w:t>labour</w:t>
      </w:r>
      <w:proofErr w:type="spellEnd"/>
      <w:r>
        <w:rPr>
          <w:rFonts w:ascii="Times New Roman" w:hAnsi="Times New Roman" w:cs="Times New Roman"/>
        </w:rPr>
        <w:t xml:space="preserve"> market.</w:t>
      </w:r>
      <w:proofErr w:type="gramEnd"/>
      <w:r>
        <w:rPr>
          <w:rFonts w:ascii="Times New Roman" w:hAnsi="Times New Roman" w:cs="Times New Roman"/>
        </w:rPr>
        <w:t xml:space="preserve"> Journal of Economic Surveys, 20(3), 387–418.</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gramStart"/>
      <w:r>
        <w:rPr>
          <w:rFonts w:ascii="Times New Roman" w:hAnsi="Times New Roman" w:cs="Times New Roman"/>
        </w:rPr>
        <w:t xml:space="preserve">Mehta, </w:t>
      </w:r>
      <w:r>
        <w:rPr>
          <w:rFonts w:ascii="Times New Roman" w:hAnsi="Times New Roman" w:cs="Times New Roman"/>
        </w:rPr>
        <w:t xml:space="preserve">B. S., &amp; </w:t>
      </w:r>
      <w:proofErr w:type="spellStart"/>
      <w:r>
        <w:rPr>
          <w:rFonts w:ascii="Times New Roman" w:hAnsi="Times New Roman" w:cs="Times New Roman"/>
        </w:rPr>
        <w:t>Awasthi</w:t>
      </w:r>
      <w:proofErr w:type="spellEnd"/>
      <w:r>
        <w:rPr>
          <w:rFonts w:ascii="Times New Roman" w:hAnsi="Times New Roman" w:cs="Times New Roman"/>
        </w:rPr>
        <w:t>, I. (2021).</w:t>
      </w:r>
      <w:proofErr w:type="gramEnd"/>
      <w:r>
        <w:rPr>
          <w:rFonts w:ascii="Times New Roman" w:hAnsi="Times New Roman" w:cs="Times New Roman"/>
        </w:rPr>
        <w:t xml:space="preserve"> Education, employment and skill mismatch in India. Indian Journal of </w:t>
      </w:r>
      <w:proofErr w:type="spellStart"/>
      <w:r>
        <w:rPr>
          <w:rFonts w:ascii="Times New Roman" w:hAnsi="Times New Roman" w:cs="Times New Roman"/>
        </w:rPr>
        <w:t>Labour</w:t>
      </w:r>
      <w:proofErr w:type="spellEnd"/>
      <w:r>
        <w:rPr>
          <w:rFonts w:ascii="Times New Roman" w:hAnsi="Times New Roman" w:cs="Times New Roman"/>
        </w:rPr>
        <w:t xml:space="preserve"> Economics, 64(2), 329–349.</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gramStart"/>
      <w:r>
        <w:rPr>
          <w:rFonts w:ascii="Times New Roman" w:hAnsi="Times New Roman" w:cs="Times New Roman"/>
        </w:rPr>
        <w:t xml:space="preserve">Ministry of </w:t>
      </w:r>
      <w:proofErr w:type="spellStart"/>
      <w:r>
        <w:rPr>
          <w:rFonts w:ascii="Times New Roman" w:hAnsi="Times New Roman" w:cs="Times New Roman"/>
        </w:rPr>
        <w:t>Labour</w:t>
      </w:r>
      <w:proofErr w:type="spellEnd"/>
      <w:r>
        <w:rPr>
          <w:rFonts w:ascii="Times New Roman" w:hAnsi="Times New Roman" w:cs="Times New Roman"/>
        </w:rPr>
        <w:t xml:space="preserve"> and Employment.</w:t>
      </w:r>
      <w:proofErr w:type="gramEnd"/>
      <w:r>
        <w:rPr>
          <w:rFonts w:ascii="Times New Roman" w:hAnsi="Times New Roman" w:cs="Times New Roman"/>
        </w:rPr>
        <w:t xml:space="preserve"> </w:t>
      </w:r>
      <w:proofErr w:type="gramStart"/>
      <w:r>
        <w:rPr>
          <w:rFonts w:ascii="Times New Roman" w:hAnsi="Times New Roman" w:cs="Times New Roman"/>
        </w:rPr>
        <w:t xml:space="preserve">(2020). </w:t>
      </w:r>
      <w:proofErr w:type="spellStart"/>
      <w:r>
        <w:rPr>
          <w:rFonts w:ascii="Times New Roman" w:hAnsi="Times New Roman" w:cs="Times New Roman"/>
        </w:rPr>
        <w:t>Labour</w:t>
      </w:r>
      <w:proofErr w:type="spellEnd"/>
      <w:r>
        <w:rPr>
          <w:rFonts w:ascii="Times New Roman" w:hAnsi="Times New Roman" w:cs="Times New Roman"/>
        </w:rPr>
        <w:t xml:space="preserve"> Codes — Code on Industrial Relations, Code on Social Security, Code on Oc</w:t>
      </w:r>
      <w:r>
        <w:rPr>
          <w:rFonts w:ascii="Times New Roman" w:hAnsi="Times New Roman" w:cs="Times New Roman"/>
        </w:rPr>
        <w:t>cupational Safety.</w:t>
      </w:r>
      <w:proofErr w:type="gramEnd"/>
      <w:r>
        <w:rPr>
          <w:rFonts w:ascii="Times New Roman" w:hAnsi="Times New Roman" w:cs="Times New Roman"/>
        </w:rPr>
        <w:t xml:space="preserve"> </w:t>
      </w:r>
      <w:proofErr w:type="gramStart"/>
      <w:r>
        <w:rPr>
          <w:rFonts w:ascii="Times New Roman" w:hAnsi="Times New Roman" w:cs="Times New Roman"/>
        </w:rPr>
        <w:t>Government of India Gazette.</w:t>
      </w:r>
      <w:proofErr w:type="gramEnd"/>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spellStart"/>
      <w:r>
        <w:rPr>
          <w:rFonts w:ascii="Times New Roman" w:hAnsi="Times New Roman" w:cs="Times New Roman"/>
        </w:rPr>
        <w:t>Sodhi</w:t>
      </w:r>
      <w:proofErr w:type="spellEnd"/>
      <w:r>
        <w:rPr>
          <w:rFonts w:ascii="Times New Roman" w:hAnsi="Times New Roman" w:cs="Times New Roman"/>
        </w:rPr>
        <w:t xml:space="preserve">, J. S. (2013). </w:t>
      </w:r>
      <w:proofErr w:type="spellStart"/>
      <w:proofErr w:type="gramStart"/>
      <w:r>
        <w:rPr>
          <w:rFonts w:ascii="Times New Roman" w:hAnsi="Times New Roman" w:cs="Times New Roman"/>
        </w:rPr>
        <w:t>Labour</w:t>
      </w:r>
      <w:proofErr w:type="spellEnd"/>
      <w:r>
        <w:rPr>
          <w:rFonts w:ascii="Times New Roman" w:hAnsi="Times New Roman" w:cs="Times New Roman"/>
        </w:rPr>
        <w:t xml:space="preserve"> market flexibility and recent amendments in </w:t>
      </w:r>
      <w:proofErr w:type="spellStart"/>
      <w:r>
        <w:rPr>
          <w:rFonts w:ascii="Times New Roman" w:hAnsi="Times New Roman" w:cs="Times New Roman"/>
        </w:rPr>
        <w:t>labour</w:t>
      </w:r>
      <w:proofErr w:type="spellEnd"/>
      <w:r>
        <w:rPr>
          <w:rFonts w:ascii="Times New Roman" w:hAnsi="Times New Roman" w:cs="Times New Roman"/>
        </w:rPr>
        <w:t xml:space="preserve"> laws in India.</w:t>
      </w:r>
      <w:proofErr w:type="gramEnd"/>
      <w:r>
        <w:rPr>
          <w:rFonts w:ascii="Times New Roman" w:hAnsi="Times New Roman" w:cs="Times New Roman"/>
        </w:rPr>
        <w:t xml:space="preserve"> Indian Journal of Industrial Relations, 48(3), 423–438.</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spellStart"/>
      <w:r>
        <w:rPr>
          <w:rFonts w:ascii="Times New Roman" w:hAnsi="Times New Roman" w:cs="Times New Roman"/>
        </w:rPr>
        <w:t>Tilak</w:t>
      </w:r>
      <w:proofErr w:type="spellEnd"/>
      <w:r>
        <w:rPr>
          <w:rFonts w:ascii="Times New Roman" w:hAnsi="Times New Roman" w:cs="Times New Roman"/>
        </w:rPr>
        <w:t xml:space="preserve">, J. B. G. (2018). </w:t>
      </w:r>
      <w:proofErr w:type="gramStart"/>
      <w:r>
        <w:rPr>
          <w:rFonts w:ascii="Times New Roman" w:hAnsi="Times New Roman" w:cs="Times New Roman"/>
        </w:rPr>
        <w:t>Education and Development in Ind</w:t>
      </w:r>
      <w:r>
        <w:rPr>
          <w:rFonts w:ascii="Times New Roman" w:hAnsi="Times New Roman" w:cs="Times New Roman"/>
        </w:rPr>
        <w:t>ia.</w:t>
      </w:r>
      <w:proofErr w:type="gramEnd"/>
      <w:r>
        <w:rPr>
          <w:rFonts w:ascii="Times New Roman" w:hAnsi="Times New Roman" w:cs="Times New Roman"/>
        </w:rPr>
        <w:t xml:space="preserve"> Palgrave Macmillan.</w:t>
      </w:r>
    </w:p>
    <w:p w:rsidR="00463761" w:rsidRDefault="00463761">
      <w:pPr>
        <w:spacing w:after="60" w:line="360" w:lineRule="auto"/>
        <w:rPr>
          <w:rFonts w:ascii="Times New Roman" w:hAnsi="Times New Roman" w:cs="Times New Roman"/>
        </w:rPr>
      </w:pPr>
    </w:p>
    <w:p w:rsidR="00463761" w:rsidRDefault="00DB43E1">
      <w:pPr>
        <w:spacing w:before="80" w:after="110" w:line="360" w:lineRule="auto"/>
        <w:jc w:val="both"/>
        <w:rPr>
          <w:rFonts w:ascii="Times New Roman" w:hAnsi="Times New Roman" w:cs="Times New Roman"/>
        </w:rPr>
      </w:pPr>
      <w:proofErr w:type="gramStart"/>
      <w:r>
        <w:rPr>
          <w:rFonts w:ascii="Times New Roman" w:hAnsi="Times New Roman" w:cs="Times New Roman"/>
        </w:rPr>
        <w:t>World Bank.</w:t>
      </w:r>
      <w:proofErr w:type="gramEnd"/>
      <w:r>
        <w:rPr>
          <w:rFonts w:ascii="Times New Roman" w:hAnsi="Times New Roman" w:cs="Times New Roman"/>
        </w:rPr>
        <w:t xml:space="preserve"> </w:t>
      </w:r>
      <w:proofErr w:type="gramStart"/>
      <w:r>
        <w:rPr>
          <w:rFonts w:ascii="Times New Roman" w:hAnsi="Times New Roman" w:cs="Times New Roman"/>
        </w:rPr>
        <w:t xml:space="preserve">(2023). Female </w:t>
      </w:r>
      <w:proofErr w:type="spellStart"/>
      <w:r>
        <w:rPr>
          <w:rFonts w:ascii="Times New Roman" w:hAnsi="Times New Roman" w:cs="Times New Roman"/>
        </w:rPr>
        <w:t>Labour</w:t>
      </w:r>
      <w:proofErr w:type="spellEnd"/>
      <w:r>
        <w:rPr>
          <w:rFonts w:ascii="Times New Roman" w:hAnsi="Times New Roman" w:cs="Times New Roman"/>
        </w:rPr>
        <w:t xml:space="preserve"> Force Participation Rate, India.</w:t>
      </w:r>
      <w:proofErr w:type="gramEnd"/>
      <w:r>
        <w:rPr>
          <w:rFonts w:ascii="Times New Roman" w:hAnsi="Times New Roman" w:cs="Times New Roman"/>
        </w:rPr>
        <w:t xml:space="preserve"> </w:t>
      </w:r>
      <w:proofErr w:type="gramStart"/>
      <w:r>
        <w:rPr>
          <w:rFonts w:ascii="Times New Roman" w:hAnsi="Times New Roman" w:cs="Times New Roman"/>
        </w:rPr>
        <w:t>World Development Indicators.</w:t>
      </w:r>
      <w:proofErr w:type="gramEnd"/>
      <w:r>
        <w:rPr>
          <w:rFonts w:ascii="Times New Roman" w:hAnsi="Times New Roman" w:cs="Times New Roman"/>
        </w:rPr>
        <w:t xml:space="preserve"> https://data.worldbank.org</w:t>
      </w:r>
    </w:p>
    <w:p w:rsidR="00463761" w:rsidRDefault="00463761">
      <w:pPr>
        <w:spacing w:after="120" w:line="360" w:lineRule="auto"/>
        <w:rPr>
          <w:rFonts w:ascii="Times New Roman" w:hAnsi="Times New Roman" w:cs="Times New Roman"/>
        </w:rPr>
      </w:pPr>
    </w:p>
    <w:p w:rsidR="00463761" w:rsidRDefault="00463761">
      <w:pPr>
        <w:pBdr>
          <w:bottom w:val="single" w:sz="4" w:space="1" w:color="CCCCCC"/>
        </w:pBdr>
        <w:spacing w:before="180" w:after="180" w:line="360" w:lineRule="auto"/>
        <w:rPr>
          <w:rFonts w:ascii="Times New Roman" w:hAnsi="Times New Roman" w:cs="Times New Roman"/>
        </w:rPr>
      </w:pPr>
    </w:p>
    <w:p w:rsidR="00463761" w:rsidRDefault="00463761">
      <w:pPr>
        <w:spacing w:before="40" w:after="100" w:line="360" w:lineRule="auto"/>
        <w:jc w:val="both"/>
        <w:rPr>
          <w:rFonts w:ascii="Times New Roman" w:hAnsi="Times New Roman" w:cs="Times New Roman"/>
          <w:color w:val="000000" w:themeColor="text1"/>
          <w:sz w:val="28"/>
          <w:szCs w:val="28"/>
        </w:rPr>
      </w:pPr>
      <w:bookmarkStart w:id="0" w:name="_GoBack"/>
      <w:bookmarkEnd w:id="0"/>
    </w:p>
    <w:sectPr w:rsidR="00463761">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1"/>
    <w:family w:val="roman"/>
    <w:notTrueType/>
    <w:pitch w:val="variable"/>
  </w:font>
  <w:font w:name="等线">
    <w:altName w:val="Microsoft YaHei"/>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902BF"/>
    <w:multiLevelType w:val="multilevel"/>
    <w:tmpl w:val="765902BF"/>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noPunctuationKerning/>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EBF"/>
    <w:rsid w:val="00463761"/>
    <w:rsid w:val="005B1B64"/>
    <w:rsid w:val="005B7EBF"/>
    <w:rsid w:val="00CE57AF"/>
    <w:rsid w:val="00D47174"/>
    <w:rsid w:val="00DB43E1"/>
    <w:rsid w:val="00E76E53"/>
    <w:rsid w:val="2FC72E2E"/>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eastAsia="Georgia" w:hAnsi="Georgia" w:cs="Georgia"/>
      <w:sz w:val="22"/>
      <w:szCs w:val="22"/>
      <w:lang w:val="en-US" w:eastAsia="en-US" w:bidi="bn-IN"/>
    </w:rPr>
  </w:style>
  <w:style w:type="paragraph" w:styleId="Heading1">
    <w:name w:val="heading 1"/>
    <w:uiPriority w:val="9"/>
    <w:qFormat/>
    <w:pPr>
      <w:spacing w:before="340" w:after="160"/>
      <w:outlineLvl w:val="0"/>
    </w:pPr>
    <w:rPr>
      <w:rFonts w:ascii="Arial" w:eastAsia="Arial" w:hAnsi="Arial" w:cs="Arial"/>
      <w:b/>
      <w:bCs/>
      <w:color w:val="1F4E79"/>
      <w:sz w:val="30"/>
      <w:szCs w:val="30"/>
      <w:lang w:val="en-US" w:eastAsia="en-US" w:bidi="bn-IN"/>
    </w:rPr>
  </w:style>
  <w:style w:type="paragraph" w:styleId="Heading2">
    <w:name w:val="heading 2"/>
    <w:uiPriority w:val="9"/>
    <w:unhideWhenUsed/>
    <w:qFormat/>
    <w:pPr>
      <w:spacing w:before="240" w:after="120"/>
      <w:outlineLvl w:val="1"/>
    </w:pPr>
    <w:rPr>
      <w:rFonts w:ascii="Arial" w:eastAsia="Arial" w:hAnsi="Arial" w:cs="Arial"/>
      <w:b/>
      <w:bCs/>
      <w:color w:val="2E75B6"/>
      <w:sz w:val="26"/>
      <w:szCs w:val="26"/>
      <w:lang w:val="en-US" w:eastAsia="en-US" w:bidi="bn-IN"/>
    </w:rPr>
  </w:style>
  <w:style w:type="paragraph" w:styleId="Heading3">
    <w:name w:val="heading 3"/>
    <w:uiPriority w:val="9"/>
    <w:semiHidden/>
    <w:unhideWhenUsed/>
    <w:qFormat/>
    <w:pPr>
      <w:outlineLvl w:val="2"/>
    </w:pPr>
    <w:rPr>
      <w:rFonts w:ascii="Georgia" w:eastAsia="Georgia" w:hAnsi="Georgia" w:cs="Georgia"/>
      <w:color w:val="1F4D78"/>
      <w:sz w:val="24"/>
      <w:szCs w:val="24"/>
      <w:lang w:val="en-US" w:eastAsia="en-US" w:bidi="bn-IN"/>
    </w:rPr>
  </w:style>
  <w:style w:type="paragraph" w:styleId="Heading4">
    <w:name w:val="heading 4"/>
    <w:uiPriority w:val="9"/>
    <w:semiHidden/>
    <w:unhideWhenUsed/>
    <w:qFormat/>
    <w:pPr>
      <w:outlineLvl w:val="3"/>
    </w:pPr>
    <w:rPr>
      <w:rFonts w:ascii="Georgia" w:eastAsia="Georgia" w:hAnsi="Georgia" w:cs="Georgia"/>
      <w:i/>
      <w:iCs/>
      <w:color w:val="2E74B5"/>
      <w:sz w:val="22"/>
      <w:szCs w:val="22"/>
      <w:lang w:val="en-US" w:eastAsia="en-US" w:bidi="bn-IN"/>
    </w:rPr>
  </w:style>
  <w:style w:type="paragraph" w:styleId="Heading5">
    <w:name w:val="heading 5"/>
    <w:uiPriority w:val="9"/>
    <w:semiHidden/>
    <w:unhideWhenUsed/>
    <w:qFormat/>
    <w:pPr>
      <w:outlineLvl w:val="4"/>
    </w:pPr>
    <w:rPr>
      <w:rFonts w:ascii="Georgia" w:eastAsia="Georgia" w:hAnsi="Georgia" w:cs="Georgia"/>
      <w:color w:val="2E74B5"/>
      <w:sz w:val="22"/>
      <w:szCs w:val="22"/>
      <w:lang w:val="en-US" w:eastAsia="en-US" w:bidi="bn-IN"/>
    </w:rPr>
  </w:style>
  <w:style w:type="paragraph" w:styleId="Heading6">
    <w:name w:val="heading 6"/>
    <w:uiPriority w:val="9"/>
    <w:semiHidden/>
    <w:unhideWhenUsed/>
    <w:qFormat/>
    <w:pPr>
      <w:outlineLvl w:val="5"/>
    </w:pPr>
    <w:rPr>
      <w:rFonts w:ascii="Georgia" w:eastAsia="Georgia" w:hAnsi="Georgia" w:cs="Georgia"/>
      <w:color w:val="1F4D78"/>
      <w:sz w:val="22"/>
      <w:szCs w:val="22"/>
      <w:lang w:val="en-US" w:eastAsia="en-US"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rPr>
      <w:szCs w:val="28"/>
    </w:rPr>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rPr>
      <w:rFonts w:ascii="Georgia" w:eastAsia="Georgia" w:hAnsi="Georgia" w:cs="Georgia"/>
      <w:lang w:val="en-US" w:eastAsia="en-US" w:bidi="bn-IN"/>
    </w:rPr>
  </w:style>
  <w:style w:type="paragraph" w:styleId="Header">
    <w:name w:val="header"/>
    <w:basedOn w:val="Normal"/>
    <w:link w:val="HeaderChar"/>
    <w:uiPriority w:val="99"/>
    <w:unhideWhenUsed/>
    <w:qFormat/>
    <w:pPr>
      <w:tabs>
        <w:tab w:val="center" w:pos="4513"/>
        <w:tab w:val="right" w:pos="9026"/>
      </w:tabs>
    </w:pPr>
    <w:rPr>
      <w:szCs w:val="28"/>
    </w:rPr>
  </w:style>
  <w:style w:type="character" w:styleId="Hyperlink">
    <w:name w:val="Hyperlink"/>
    <w:uiPriority w:val="99"/>
    <w:unhideWhenUsed/>
    <w:qFormat/>
    <w:rPr>
      <w:color w:val="0563C1"/>
      <w:u w:val="single"/>
    </w:rPr>
  </w:style>
  <w:style w:type="paragraph" w:styleId="NormalWeb">
    <w:name w:val="Normal (Web)"/>
    <w:uiPriority w:val="99"/>
    <w:semiHidden/>
    <w:unhideWhenUsed/>
    <w:pPr>
      <w:spacing w:beforeAutospacing="1" w:afterAutospacing="1"/>
    </w:pPr>
    <w:rPr>
      <w:sz w:val="24"/>
      <w:szCs w:val="24"/>
      <w:lang w:val="en-US" w:eastAsia="zh-CN"/>
    </w:rPr>
  </w:style>
  <w:style w:type="paragraph" w:styleId="Title">
    <w:name w:val="Title"/>
    <w:uiPriority w:val="10"/>
    <w:qFormat/>
    <w:rPr>
      <w:rFonts w:ascii="Georgia" w:eastAsia="Georgia" w:hAnsi="Georgia" w:cs="Georgia"/>
      <w:sz w:val="56"/>
      <w:szCs w:val="56"/>
      <w:lang w:val="en-US" w:eastAsia="en-US" w:bidi="bn-IN"/>
    </w:rPr>
  </w:style>
  <w:style w:type="paragraph" w:customStyle="1" w:styleId="Strong1">
    <w:name w:val="Strong1"/>
    <w:qFormat/>
    <w:rPr>
      <w:rFonts w:ascii="Georgia" w:eastAsia="Georgia" w:hAnsi="Georgia" w:cs="Georgia"/>
      <w:b/>
      <w:bCs/>
      <w:sz w:val="22"/>
      <w:szCs w:val="22"/>
      <w:lang w:val="en-US" w:eastAsia="en-US" w:bidi="bn-IN"/>
    </w:rPr>
  </w:style>
  <w:style w:type="paragraph" w:styleId="ListParagraph">
    <w:name w:val="List Paragraph"/>
    <w:qFormat/>
    <w:rPr>
      <w:rFonts w:ascii="Georgia" w:eastAsia="Georgia" w:hAnsi="Georgia" w:cs="Georgia"/>
      <w:sz w:val="22"/>
      <w:szCs w:val="22"/>
      <w:lang w:val="en-US" w:eastAsia="en-US" w:bidi="bn-IN"/>
    </w:rPr>
  </w:style>
  <w:style w:type="character" w:customStyle="1" w:styleId="FootnoteTextChar">
    <w:name w:val="Footnote Text Char"/>
    <w:link w:val="FootnoteText"/>
    <w:uiPriority w:val="99"/>
    <w:semiHidden/>
    <w:unhideWhenUsed/>
    <w:qFormat/>
    <w:rPr>
      <w:sz w:val="20"/>
      <w:szCs w:val="20"/>
    </w:rPr>
  </w:style>
  <w:style w:type="character" w:customStyle="1" w:styleId="HeaderChar">
    <w:name w:val="Header Char"/>
    <w:basedOn w:val="DefaultParagraphFont"/>
    <w:link w:val="Header"/>
    <w:uiPriority w:val="99"/>
    <w:qFormat/>
    <w:rPr>
      <w:szCs w:val="28"/>
    </w:rPr>
  </w:style>
  <w:style w:type="character" w:customStyle="1" w:styleId="FooterChar">
    <w:name w:val="Footer Char"/>
    <w:basedOn w:val="DefaultParagraphFont"/>
    <w:link w:val="Footer"/>
    <w:uiPriority w:val="99"/>
    <w:rPr>
      <w:szCs w:val="28"/>
    </w:rPr>
  </w:style>
  <w:style w:type="paragraph" w:styleId="BalloonText">
    <w:name w:val="Balloon Text"/>
    <w:basedOn w:val="Normal"/>
    <w:link w:val="BalloonTextChar"/>
    <w:uiPriority w:val="99"/>
    <w:semiHidden/>
    <w:unhideWhenUsed/>
    <w:rsid w:val="00DB43E1"/>
    <w:rPr>
      <w:rFonts w:ascii="Tahoma" w:hAnsi="Tahoma" w:cs="Tahoma"/>
      <w:sz w:val="16"/>
      <w:szCs w:val="20"/>
    </w:rPr>
  </w:style>
  <w:style w:type="character" w:customStyle="1" w:styleId="BalloonTextChar">
    <w:name w:val="Balloon Text Char"/>
    <w:basedOn w:val="DefaultParagraphFont"/>
    <w:link w:val="BalloonText"/>
    <w:uiPriority w:val="99"/>
    <w:semiHidden/>
    <w:rsid w:val="00DB43E1"/>
    <w:rPr>
      <w:rFonts w:ascii="Tahoma" w:eastAsia="Georgia" w:hAnsi="Tahoma" w:cs="Tahoma"/>
      <w:sz w:val="16"/>
      <w:lang w:val="en-US" w:eastAsia="en-US"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eastAsia="Georgia" w:hAnsi="Georgia" w:cs="Georgia"/>
      <w:sz w:val="22"/>
      <w:szCs w:val="22"/>
      <w:lang w:val="en-US" w:eastAsia="en-US" w:bidi="bn-IN"/>
    </w:rPr>
  </w:style>
  <w:style w:type="paragraph" w:styleId="Heading1">
    <w:name w:val="heading 1"/>
    <w:uiPriority w:val="9"/>
    <w:qFormat/>
    <w:pPr>
      <w:spacing w:before="340" w:after="160"/>
      <w:outlineLvl w:val="0"/>
    </w:pPr>
    <w:rPr>
      <w:rFonts w:ascii="Arial" w:eastAsia="Arial" w:hAnsi="Arial" w:cs="Arial"/>
      <w:b/>
      <w:bCs/>
      <w:color w:val="1F4E79"/>
      <w:sz w:val="30"/>
      <w:szCs w:val="30"/>
      <w:lang w:val="en-US" w:eastAsia="en-US" w:bidi="bn-IN"/>
    </w:rPr>
  </w:style>
  <w:style w:type="paragraph" w:styleId="Heading2">
    <w:name w:val="heading 2"/>
    <w:uiPriority w:val="9"/>
    <w:unhideWhenUsed/>
    <w:qFormat/>
    <w:pPr>
      <w:spacing w:before="240" w:after="120"/>
      <w:outlineLvl w:val="1"/>
    </w:pPr>
    <w:rPr>
      <w:rFonts w:ascii="Arial" w:eastAsia="Arial" w:hAnsi="Arial" w:cs="Arial"/>
      <w:b/>
      <w:bCs/>
      <w:color w:val="2E75B6"/>
      <w:sz w:val="26"/>
      <w:szCs w:val="26"/>
      <w:lang w:val="en-US" w:eastAsia="en-US" w:bidi="bn-IN"/>
    </w:rPr>
  </w:style>
  <w:style w:type="paragraph" w:styleId="Heading3">
    <w:name w:val="heading 3"/>
    <w:uiPriority w:val="9"/>
    <w:semiHidden/>
    <w:unhideWhenUsed/>
    <w:qFormat/>
    <w:pPr>
      <w:outlineLvl w:val="2"/>
    </w:pPr>
    <w:rPr>
      <w:rFonts w:ascii="Georgia" w:eastAsia="Georgia" w:hAnsi="Georgia" w:cs="Georgia"/>
      <w:color w:val="1F4D78"/>
      <w:sz w:val="24"/>
      <w:szCs w:val="24"/>
      <w:lang w:val="en-US" w:eastAsia="en-US" w:bidi="bn-IN"/>
    </w:rPr>
  </w:style>
  <w:style w:type="paragraph" w:styleId="Heading4">
    <w:name w:val="heading 4"/>
    <w:uiPriority w:val="9"/>
    <w:semiHidden/>
    <w:unhideWhenUsed/>
    <w:qFormat/>
    <w:pPr>
      <w:outlineLvl w:val="3"/>
    </w:pPr>
    <w:rPr>
      <w:rFonts w:ascii="Georgia" w:eastAsia="Georgia" w:hAnsi="Georgia" w:cs="Georgia"/>
      <w:i/>
      <w:iCs/>
      <w:color w:val="2E74B5"/>
      <w:sz w:val="22"/>
      <w:szCs w:val="22"/>
      <w:lang w:val="en-US" w:eastAsia="en-US" w:bidi="bn-IN"/>
    </w:rPr>
  </w:style>
  <w:style w:type="paragraph" w:styleId="Heading5">
    <w:name w:val="heading 5"/>
    <w:uiPriority w:val="9"/>
    <w:semiHidden/>
    <w:unhideWhenUsed/>
    <w:qFormat/>
    <w:pPr>
      <w:outlineLvl w:val="4"/>
    </w:pPr>
    <w:rPr>
      <w:rFonts w:ascii="Georgia" w:eastAsia="Georgia" w:hAnsi="Georgia" w:cs="Georgia"/>
      <w:color w:val="2E74B5"/>
      <w:sz w:val="22"/>
      <w:szCs w:val="22"/>
      <w:lang w:val="en-US" w:eastAsia="en-US" w:bidi="bn-IN"/>
    </w:rPr>
  </w:style>
  <w:style w:type="paragraph" w:styleId="Heading6">
    <w:name w:val="heading 6"/>
    <w:uiPriority w:val="9"/>
    <w:semiHidden/>
    <w:unhideWhenUsed/>
    <w:qFormat/>
    <w:pPr>
      <w:outlineLvl w:val="5"/>
    </w:pPr>
    <w:rPr>
      <w:rFonts w:ascii="Georgia" w:eastAsia="Georgia" w:hAnsi="Georgia" w:cs="Georgia"/>
      <w:color w:val="1F4D78"/>
      <w:sz w:val="22"/>
      <w:szCs w:val="22"/>
      <w:lang w:val="en-US" w:eastAsia="en-US"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rPr>
      <w:szCs w:val="28"/>
    </w:rPr>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rPr>
      <w:rFonts w:ascii="Georgia" w:eastAsia="Georgia" w:hAnsi="Georgia" w:cs="Georgia"/>
      <w:lang w:val="en-US" w:eastAsia="en-US" w:bidi="bn-IN"/>
    </w:rPr>
  </w:style>
  <w:style w:type="paragraph" w:styleId="Header">
    <w:name w:val="header"/>
    <w:basedOn w:val="Normal"/>
    <w:link w:val="HeaderChar"/>
    <w:uiPriority w:val="99"/>
    <w:unhideWhenUsed/>
    <w:qFormat/>
    <w:pPr>
      <w:tabs>
        <w:tab w:val="center" w:pos="4513"/>
        <w:tab w:val="right" w:pos="9026"/>
      </w:tabs>
    </w:pPr>
    <w:rPr>
      <w:szCs w:val="28"/>
    </w:rPr>
  </w:style>
  <w:style w:type="character" w:styleId="Hyperlink">
    <w:name w:val="Hyperlink"/>
    <w:uiPriority w:val="99"/>
    <w:unhideWhenUsed/>
    <w:qFormat/>
    <w:rPr>
      <w:color w:val="0563C1"/>
      <w:u w:val="single"/>
    </w:rPr>
  </w:style>
  <w:style w:type="paragraph" w:styleId="NormalWeb">
    <w:name w:val="Normal (Web)"/>
    <w:uiPriority w:val="99"/>
    <w:semiHidden/>
    <w:unhideWhenUsed/>
    <w:pPr>
      <w:spacing w:beforeAutospacing="1" w:afterAutospacing="1"/>
    </w:pPr>
    <w:rPr>
      <w:sz w:val="24"/>
      <w:szCs w:val="24"/>
      <w:lang w:val="en-US" w:eastAsia="zh-CN"/>
    </w:rPr>
  </w:style>
  <w:style w:type="paragraph" w:styleId="Title">
    <w:name w:val="Title"/>
    <w:uiPriority w:val="10"/>
    <w:qFormat/>
    <w:rPr>
      <w:rFonts w:ascii="Georgia" w:eastAsia="Georgia" w:hAnsi="Georgia" w:cs="Georgia"/>
      <w:sz w:val="56"/>
      <w:szCs w:val="56"/>
      <w:lang w:val="en-US" w:eastAsia="en-US" w:bidi="bn-IN"/>
    </w:rPr>
  </w:style>
  <w:style w:type="paragraph" w:customStyle="1" w:styleId="Strong1">
    <w:name w:val="Strong1"/>
    <w:qFormat/>
    <w:rPr>
      <w:rFonts w:ascii="Georgia" w:eastAsia="Georgia" w:hAnsi="Georgia" w:cs="Georgia"/>
      <w:b/>
      <w:bCs/>
      <w:sz w:val="22"/>
      <w:szCs w:val="22"/>
      <w:lang w:val="en-US" w:eastAsia="en-US" w:bidi="bn-IN"/>
    </w:rPr>
  </w:style>
  <w:style w:type="paragraph" w:styleId="ListParagraph">
    <w:name w:val="List Paragraph"/>
    <w:qFormat/>
    <w:rPr>
      <w:rFonts w:ascii="Georgia" w:eastAsia="Georgia" w:hAnsi="Georgia" w:cs="Georgia"/>
      <w:sz w:val="22"/>
      <w:szCs w:val="22"/>
      <w:lang w:val="en-US" w:eastAsia="en-US" w:bidi="bn-IN"/>
    </w:rPr>
  </w:style>
  <w:style w:type="character" w:customStyle="1" w:styleId="FootnoteTextChar">
    <w:name w:val="Footnote Text Char"/>
    <w:link w:val="FootnoteText"/>
    <w:uiPriority w:val="99"/>
    <w:semiHidden/>
    <w:unhideWhenUsed/>
    <w:qFormat/>
    <w:rPr>
      <w:sz w:val="20"/>
      <w:szCs w:val="20"/>
    </w:rPr>
  </w:style>
  <w:style w:type="character" w:customStyle="1" w:styleId="HeaderChar">
    <w:name w:val="Header Char"/>
    <w:basedOn w:val="DefaultParagraphFont"/>
    <w:link w:val="Header"/>
    <w:uiPriority w:val="99"/>
    <w:qFormat/>
    <w:rPr>
      <w:szCs w:val="28"/>
    </w:rPr>
  </w:style>
  <w:style w:type="character" w:customStyle="1" w:styleId="FooterChar">
    <w:name w:val="Footer Char"/>
    <w:basedOn w:val="DefaultParagraphFont"/>
    <w:link w:val="Footer"/>
    <w:uiPriority w:val="99"/>
    <w:rPr>
      <w:szCs w:val="28"/>
    </w:rPr>
  </w:style>
  <w:style w:type="paragraph" w:styleId="BalloonText">
    <w:name w:val="Balloon Text"/>
    <w:basedOn w:val="Normal"/>
    <w:link w:val="BalloonTextChar"/>
    <w:uiPriority w:val="99"/>
    <w:semiHidden/>
    <w:unhideWhenUsed/>
    <w:rsid w:val="00DB43E1"/>
    <w:rPr>
      <w:rFonts w:ascii="Tahoma" w:hAnsi="Tahoma" w:cs="Tahoma"/>
      <w:sz w:val="16"/>
      <w:szCs w:val="20"/>
    </w:rPr>
  </w:style>
  <w:style w:type="character" w:customStyle="1" w:styleId="BalloonTextChar">
    <w:name w:val="Balloon Text Char"/>
    <w:basedOn w:val="DefaultParagraphFont"/>
    <w:link w:val="BalloonText"/>
    <w:uiPriority w:val="99"/>
    <w:semiHidden/>
    <w:rsid w:val="00DB43E1"/>
    <w:rPr>
      <w:rFonts w:ascii="Tahoma" w:eastAsia="Georgia" w:hAnsi="Tahoma" w:cs="Tahoma"/>
      <w:sz w:val="16"/>
      <w:lang w:val="en-US" w:eastAsia="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4011</Words>
  <Characters>22869</Characters>
  <Application>Microsoft Office Word</Application>
  <DocSecurity>0</DocSecurity>
  <Lines>190</Lines>
  <Paragraphs>53</Paragraphs>
  <ScaleCrop>false</ScaleCrop>
  <Company/>
  <LinksUpToDate>false</LinksUpToDate>
  <CharactersWithSpaces>26827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14</cp:revision>
  <dcterms:created xsi:type="dcterms:W3CDTF">2026-03-07T15:11:00Z</dcterms:created>
  <dcterms:modified xsi:type="dcterms:W3CDTF">2026-05-11T16:01:00Z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eyJoZGlkIjoiODIwNDlhNDliMzhhNjdhOWM2NmFhMzc3ZmE0NDk0NjYiLCJ1c2VySWQiOiI1Njc1MDE0Njc2NjMifQ==</vt:lpwstr>
  </property>
  <property fmtid="{D5CDD505-2E9C-101B-9397-08002B2CF9AE}" pid="3" name="KSOProductBuildVer">
    <vt:lpwstr>1033-12.1.0.25862</vt:lpwstr>
  </property>
  <property fmtid="{D5CDD505-2E9C-101B-9397-08002B2CF9AE}" pid="4" name="ICV">
    <vt:lpwstr>AFFEAA14A82B47CF9A545FDA282D9DAB_13</vt:lpwstr>
  </property>
</Properties>
</file>