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EAA23" w14:textId="77777777" w:rsidR="0066341A" w:rsidRPr="00C81473" w:rsidRDefault="0066341A" w:rsidP="00C81473">
      <w:pPr>
        <w:spacing w:line="360" w:lineRule="auto"/>
        <w:jc w:val="both"/>
        <w:rPr>
          <w:color w:val="0A0A0A"/>
        </w:rPr>
      </w:pPr>
      <w:r w:rsidRPr="00C81473">
        <w:rPr>
          <w:color w:val="0A0A0A"/>
        </w:rPr>
        <w:t>Title: </w:t>
      </w:r>
      <w:r w:rsidRPr="00C81473">
        <w:rPr>
          <w:b/>
          <w:bCs/>
          <w:i/>
          <w:iCs/>
          <w:color w:val="0A0A0A"/>
          <w:u w:val="single"/>
        </w:rPr>
        <w:t>Patriarchy and Poverty: Economic Drivers and Psychosocial Coping Mechanisms of Women in Child Marriages</w:t>
      </w:r>
    </w:p>
    <w:p w14:paraId="70525D43" w14:textId="77777777" w:rsidR="00BC5FDD" w:rsidRPr="00C81473" w:rsidRDefault="00BC5FDD" w:rsidP="00C81473">
      <w:pPr>
        <w:spacing w:line="360" w:lineRule="auto"/>
        <w:jc w:val="both"/>
        <w:rPr>
          <w:color w:val="0A0A0A"/>
        </w:rPr>
      </w:pPr>
    </w:p>
    <w:p w14:paraId="3D4DEFE7" w14:textId="77777777" w:rsidR="00BC5FDD" w:rsidRPr="00C81473" w:rsidRDefault="00BC5FDD" w:rsidP="00C81473">
      <w:pPr>
        <w:spacing w:line="360" w:lineRule="auto"/>
        <w:jc w:val="both"/>
        <w:rPr>
          <w:color w:val="0A0A0A"/>
        </w:rPr>
      </w:pPr>
    </w:p>
    <w:p w14:paraId="10039C55" w14:textId="77777777" w:rsidR="001A3C69" w:rsidRPr="00C81473" w:rsidRDefault="001A3C69" w:rsidP="00C81473">
      <w:pPr>
        <w:spacing w:line="360" w:lineRule="auto"/>
        <w:jc w:val="both"/>
        <w:rPr>
          <w:b/>
          <w:bCs/>
          <w:color w:val="0A0A0A"/>
        </w:rPr>
      </w:pPr>
      <w:bookmarkStart w:id="0" w:name="_GoBack"/>
      <w:bookmarkEnd w:id="0"/>
    </w:p>
    <w:p w14:paraId="02EDFFE8" w14:textId="77777777" w:rsidR="00C81473" w:rsidRDefault="0066341A" w:rsidP="00C81473">
      <w:pPr>
        <w:spacing w:line="360" w:lineRule="auto"/>
        <w:jc w:val="both"/>
        <w:rPr>
          <w:b/>
          <w:bCs/>
          <w:color w:val="0A0A0A"/>
        </w:rPr>
      </w:pPr>
      <w:r w:rsidRPr="00C81473">
        <w:rPr>
          <w:b/>
          <w:bCs/>
          <w:color w:val="0A0A0A"/>
        </w:rPr>
        <w:t>Abstract</w:t>
      </w:r>
    </w:p>
    <w:p w14:paraId="39389CF5" w14:textId="47C57216" w:rsidR="0066341A" w:rsidRPr="00C81473" w:rsidRDefault="0066341A" w:rsidP="00C81473">
      <w:pPr>
        <w:spacing w:line="360" w:lineRule="auto"/>
        <w:jc w:val="both"/>
        <w:rPr>
          <w:color w:val="0A0A0A"/>
        </w:rPr>
      </w:pPr>
      <w:r w:rsidRPr="00C81473">
        <w:rPr>
          <w:color w:val="0A0A0A"/>
        </w:rPr>
        <w:br/>
        <w:t>This article explores the multi-dimensional factors fueling child marriage and the survival strategies employed by affected women in the Western Region of Ghana. Grounded in Radical Feminist Theory, the research analyzes how patriarchal structures and acute poverty transform the girl-child into an economic commodity. In many rural Ghanaian communities, daughters are viewed as a "resource" to settle family debts or as a means to acquire "bride wealth"</w:t>
      </w:r>
      <w:r w:rsidR="001A3C69" w:rsidRPr="00C81473">
        <w:rPr>
          <w:color w:val="0A0A0A"/>
        </w:rPr>
        <w:t xml:space="preserve"> </w:t>
      </w:r>
      <w:r w:rsidRPr="00C81473">
        <w:rPr>
          <w:color w:val="0A0A0A"/>
        </w:rPr>
        <w:t>cash or cattle paid by the groom’s family as a symbolic exchange for the girl’s labor and fertility. This economic transaction relieves the natal family of a financial burden but traps the girl in a cycle of dependency and domestic subordination.</w:t>
      </w:r>
      <w:r w:rsidR="009E6B74" w:rsidRPr="00C81473">
        <w:rPr>
          <w:color w:val="0A0A0A"/>
        </w:rPr>
        <w:t xml:space="preserve"> </w:t>
      </w:r>
      <w:r w:rsidRPr="00C81473">
        <w:rPr>
          <w:color w:val="0A0A0A"/>
        </w:rPr>
        <w:t>Drawing on in-depth interviews and focus group discussions with 65 women involved in child marriages, the study reveals the profound psychosocial consequences of these unions, including forced sexual relations, social isolation, and the denial of education. The data suggests that many child brides are "trapped" because their families cannot refund the bride wealth already spent, leading to coercion or outright force to keep the girl in the marriage. To survive these environments, women adopt a "mired of coping strategies" to navigate financial hardship and physical or verbal abuse within their families of procreation.</w:t>
      </w:r>
      <w:r w:rsidR="00C81473">
        <w:rPr>
          <w:color w:val="0A0A0A"/>
        </w:rPr>
        <w:t xml:space="preserve"> </w:t>
      </w:r>
      <w:r w:rsidRPr="00C81473">
        <w:rPr>
          <w:color w:val="0A0A0A"/>
        </w:rPr>
        <w:t xml:space="preserve">The study finds that while child marriage is categorized as a "Harmful Traditional Practice" (HTP), its root causes are inextricably linked to the low status of women and the prioritization of male education. The article concludes that legal interventions must be paired with economic empowerment programs, such as the Livelihood Empowerment Against Poverty (LEAP), to provide families with alternatives to marrying off their daughters. By addressing the "socio-legal dimension" of the problem, this research contributes to a deeper understanding of how systemic gender inequality continues to hinder national development and the individual rights of the girl-child in Ghana. </w:t>
      </w:r>
    </w:p>
    <w:p w14:paraId="0187FDC3" w14:textId="77777777" w:rsidR="00C81473" w:rsidRDefault="00C81473" w:rsidP="00C81473">
      <w:pPr>
        <w:spacing w:line="360" w:lineRule="auto"/>
        <w:jc w:val="both"/>
        <w:rPr>
          <w:color w:val="0A0A0A"/>
        </w:rPr>
      </w:pPr>
    </w:p>
    <w:p w14:paraId="5C74D18E" w14:textId="7CB687E3" w:rsidR="00E109FB" w:rsidRPr="00C81473" w:rsidRDefault="0066341A" w:rsidP="00C81473">
      <w:pPr>
        <w:spacing w:line="360" w:lineRule="auto"/>
        <w:jc w:val="both"/>
        <w:rPr>
          <w:b/>
          <w:bCs/>
          <w:color w:val="0A0A0A"/>
        </w:rPr>
      </w:pPr>
      <w:r w:rsidRPr="00C81473">
        <w:rPr>
          <w:b/>
          <w:bCs/>
          <w:color w:val="0A0A0A"/>
        </w:rPr>
        <w:t>Keywords: Poverty, Patriarchy, Coping Strategies, Gender Inequality, Psychosocial Trauma, Bride Wealth.</w:t>
      </w:r>
    </w:p>
    <w:p w14:paraId="1B12C240" w14:textId="77777777" w:rsidR="00696411" w:rsidRPr="00C81473" w:rsidRDefault="00696411" w:rsidP="00C81473">
      <w:pPr>
        <w:spacing w:line="360" w:lineRule="auto"/>
        <w:jc w:val="both"/>
        <w:rPr>
          <w:color w:val="0A0A0A"/>
        </w:rPr>
      </w:pPr>
    </w:p>
    <w:p w14:paraId="79463B63" w14:textId="77777777" w:rsidR="00F40605" w:rsidRPr="00C81473" w:rsidRDefault="00F40605" w:rsidP="00C81473">
      <w:pPr>
        <w:spacing w:line="360" w:lineRule="auto"/>
        <w:jc w:val="both"/>
        <w:rPr>
          <w:color w:val="0A0A0A"/>
        </w:rPr>
      </w:pPr>
    </w:p>
    <w:p w14:paraId="432F1E81" w14:textId="77777777" w:rsidR="00BC5FDD" w:rsidRPr="00C81473" w:rsidRDefault="00BC5FDD" w:rsidP="00C81473">
      <w:pPr>
        <w:spacing w:line="360" w:lineRule="auto"/>
        <w:jc w:val="both"/>
        <w:rPr>
          <w:color w:val="0A0A0A"/>
        </w:rPr>
      </w:pPr>
    </w:p>
    <w:p w14:paraId="28F921BE" w14:textId="77777777" w:rsidR="00BC5FDD" w:rsidRPr="00C81473" w:rsidRDefault="00BC5FDD" w:rsidP="00C81473">
      <w:pPr>
        <w:spacing w:line="360" w:lineRule="auto"/>
        <w:jc w:val="both"/>
        <w:rPr>
          <w:color w:val="0A0A0A"/>
        </w:rPr>
      </w:pPr>
    </w:p>
    <w:p w14:paraId="52E49F01" w14:textId="77777777" w:rsidR="00BC5FDD" w:rsidRPr="00C81473" w:rsidRDefault="00BC5FDD" w:rsidP="00C81473">
      <w:pPr>
        <w:spacing w:line="360" w:lineRule="auto"/>
        <w:jc w:val="both"/>
        <w:rPr>
          <w:color w:val="0A0A0A"/>
        </w:rPr>
      </w:pPr>
    </w:p>
    <w:p w14:paraId="5C60F72F" w14:textId="77777777" w:rsidR="00BC5FDD" w:rsidRPr="00C81473" w:rsidRDefault="00BC5FDD" w:rsidP="00C81473">
      <w:pPr>
        <w:spacing w:line="360" w:lineRule="auto"/>
        <w:jc w:val="both"/>
        <w:rPr>
          <w:color w:val="0A0A0A"/>
        </w:rPr>
      </w:pPr>
    </w:p>
    <w:p w14:paraId="4CB8E5F0" w14:textId="77777777" w:rsidR="00BC5FDD" w:rsidRPr="00C81473" w:rsidRDefault="00BC5FDD" w:rsidP="00C81473">
      <w:pPr>
        <w:spacing w:line="360" w:lineRule="auto"/>
        <w:jc w:val="both"/>
        <w:rPr>
          <w:color w:val="0A0A0A"/>
        </w:rPr>
      </w:pPr>
    </w:p>
    <w:p w14:paraId="55378AC4" w14:textId="77777777" w:rsidR="00BC5FDD" w:rsidRPr="00C81473" w:rsidRDefault="00BC5FDD" w:rsidP="00C81473">
      <w:pPr>
        <w:spacing w:line="360" w:lineRule="auto"/>
        <w:jc w:val="both"/>
        <w:rPr>
          <w:color w:val="0A0A0A"/>
        </w:rPr>
      </w:pPr>
    </w:p>
    <w:p w14:paraId="1C501292" w14:textId="77777777" w:rsidR="00BC5FDD" w:rsidRPr="00C81473" w:rsidRDefault="00BC5FDD" w:rsidP="00C81473">
      <w:pPr>
        <w:spacing w:line="360" w:lineRule="auto"/>
        <w:jc w:val="both"/>
        <w:rPr>
          <w:color w:val="0A0A0A"/>
        </w:rPr>
      </w:pPr>
    </w:p>
    <w:p w14:paraId="5E12C829" w14:textId="77777777" w:rsidR="00BC5FDD" w:rsidRPr="00C81473" w:rsidRDefault="00BC5FDD" w:rsidP="00C81473">
      <w:pPr>
        <w:spacing w:line="360" w:lineRule="auto"/>
        <w:jc w:val="both"/>
        <w:rPr>
          <w:color w:val="0A0A0A"/>
        </w:rPr>
      </w:pPr>
    </w:p>
    <w:p w14:paraId="359D46CC" w14:textId="77777777" w:rsidR="00BC5FDD" w:rsidRPr="00C81473" w:rsidRDefault="00BC5FDD" w:rsidP="00C81473">
      <w:pPr>
        <w:spacing w:line="360" w:lineRule="auto"/>
        <w:jc w:val="both"/>
        <w:rPr>
          <w:color w:val="0A0A0A"/>
        </w:rPr>
      </w:pPr>
    </w:p>
    <w:p w14:paraId="593CE562" w14:textId="77777777" w:rsidR="00BC5FDD" w:rsidRPr="00C81473" w:rsidRDefault="00BC5FDD" w:rsidP="00C81473">
      <w:pPr>
        <w:spacing w:line="360" w:lineRule="auto"/>
        <w:jc w:val="both"/>
        <w:rPr>
          <w:color w:val="0A0A0A"/>
        </w:rPr>
      </w:pPr>
    </w:p>
    <w:p w14:paraId="6B1BD54F" w14:textId="77777777" w:rsidR="00BC5FDD" w:rsidRPr="00C81473" w:rsidRDefault="00BC5FDD" w:rsidP="00C81473">
      <w:pPr>
        <w:spacing w:line="360" w:lineRule="auto"/>
        <w:jc w:val="both"/>
        <w:rPr>
          <w:color w:val="0A0A0A"/>
        </w:rPr>
      </w:pPr>
    </w:p>
    <w:p w14:paraId="2E1DE3D4" w14:textId="77777777" w:rsidR="00BC5FDD" w:rsidRPr="00C81473" w:rsidRDefault="00BC5FDD" w:rsidP="00C81473">
      <w:pPr>
        <w:spacing w:line="360" w:lineRule="auto"/>
        <w:jc w:val="both"/>
        <w:rPr>
          <w:color w:val="0A0A0A"/>
        </w:rPr>
      </w:pPr>
    </w:p>
    <w:p w14:paraId="3AE2BB61" w14:textId="77777777" w:rsidR="00BC5FDD" w:rsidRPr="00C81473" w:rsidRDefault="00BC5FDD" w:rsidP="00C81473">
      <w:pPr>
        <w:spacing w:line="360" w:lineRule="auto"/>
        <w:jc w:val="both"/>
        <w:rPr>
          <w:color w:val="0A0A0A"/>
        </w:rPr>
      </w:pPr>
    </w:p>
    <w:p w14:paraId="2B07AC95" w14:textId="77777777" w:rsidR="00BC5FDD" w:rsidRPr="00C81473" w:rsidRDefault="00BC5FDD" w:rsidP="00C81473">
      <w:pPr>
        <w:spacing w:line="360" w:lineRule="auto"/>
        <w:jc w:val="both"/>
        <w:rPr>
          <w:color w:val="0A0A0A"/>
        </w:rPr>
      </w:pPr>
    </w:p>
    <w:p w14:paraId="77083C7F" w14:textId="77777777" w:rsidR="00BC5FDD" w:rsidRPr="00C81473" w:rsidRDefault="00BC5FDD" w:rsidP="00C81473">
      <w:pPr>
        <w:spacing w:line="360" w:lineRule="auto"/>
        <w:jc w:val="both"/>
        <w:rPr>
          <w:color w:val="0A0A0A"/>
        </w:rPr>
      </w:pPr>
    </w:p>
    <w:p w14:paraId="017CA44A" w14:textId="77777777" w:rsidR="00BC5FDD" w:rsidRPr="00C81473" w:rsidRDefault="00BC5FDD" w:rsidP="00C81473">
      <w:pPr>
        <w:spacing w:line="360" w:lineRule="auto"/>
        <w:jc w:val="both"/>
        <w:rPr>
          <w:color w:val="0A0A0A"/>
        </w:rPr>
      </w:pPr>
    </w:p>
    <w:p w14:paraId="067AE34C" w14:textId="77777777" w:rsidR="00BC5FDD" w:rsidRPr="00C81473" w:rsidRDefault="00BC5FDD" w:rsidP="00C81473">
      <w:pPr>
        <w:spacing w:line="360" w:lineRule="auto"/>
        <w:jc w:val="both"/>
        <w:rPr>
          <w:color w:val="0A0A0A"/>
        </w:rPr>
      </w:pPr>
    </w:p>
    <w:p w14:paraId="455B0901" w14:textId="77777777" w:rsidR="00BC5FDD" w:rsidRPr="00C81473" w:rsidRDefault="00BC5FDD" w:rsidP="00C81473">
      <w:pPr>
        <w:spacing w:line="360" w:lineRule="auto"/>
        <w:jc w:val="both"/>
        <w:rPr>
          <w:color w:val="0A0A0A"/>
        </w:rPr>
      </w:pPr>
    </w:p>
    <w:p w14:paraId="5A51D151" w14:textId="77777777" w:rsidR="009E6B74" w:rsidRPr="00C81473" w:rsidRDefault="009E6B74" w:rsidP="00C81473">
      <w:pPr>
        <w:spacing w:line="360" w:lineRule="auto"/>
        <w:jc w:val="both"/>
        <w:rPr>
          <w:color w:val="0A0A0A"/>
        </w:rPr>
      </w:pPr>
    </w:p>
    <w:p w14:paraId="33F5DC19" w14:textId="06EE4009" w:rsidR="00BC5FDD" w:rsidRPr="00B12E7A" w:rsidRDefault="00BC5FDD" w:rsidP="00313C59">
      <w:pPr>
        <w:pStyle w:val="df3vjf"/>
        <w:numPr>
          <w:ilvl w:val="0"/>
          <w:numId w:val="1"/>
        </w:numPr>
        <w:spacing w:after="180" w:line="360" w:lineRule="auto"/>
        <w:jc w:val="both"/>
        <w:rPr>
          <w:b/>
          <w:bCs/>
          <w:color w:val="0A0A0A"/>
        </w:rPr>
      </w:pPr>
      <w:r w:rsidRPr="00B12E7A">
        <w:rPr>
          <w:b/>
          <w:bCs/>
          <w:color w:val="0A0A0A"/>
        </w:rPr>
        <w:t>Introduction (Background To The Study)</w:t>
      </w:r>
    </w:p>
    <w:p w14:paraId="3573DB49" w14:textId="76AA1E68" w:rsidR="00BC5FDD" w:rsidRPr="00C81473" w:rsidRDefault="00BC5FDD" w:rsidP="00C81473">
      <w:pPr>
        <w:pStyle w:val="df3vjf"/>
        <w:spacing w:after="180" w:line="360" w:lineRule="auto"/>
        <w:jc w:val="both"/>
        <w:rPr>
          <w:color w:val="0A0A0A"/>
        </w:rPr>
      </w:pPr>
      <w:r w:rsidRPr="00C81473">
        <w:rPr>
          <w:color w:val="0A0A0A"/>
        </w:rPr>
        <w:t>Child marriage is a multifaceted social phenomenon that represents a profound intersection between patriarchal social structures and the pressures of acute poverty. Defined as any union or marriage occurring before the age of 18, it is recognized globally as a human rights violation that disproportionately affects the girl-child.</w:t>
      </w:r>
      <w:r w:rsidR="00183640" w:rsidRPr="00C81473">
        <w:rPr>
          <w:rStyle w:val="FootnoteReference"/>
          <w:color w:val="0A0A0A"/>
        </w:rPr>
        <w:footnoteReference w:id="1"/>
      </w:r>
      <w:r w:rsidR="00183640" w:rsidRPr="00C81473">
        <w:rPr>
          <w:color w:val="0A0A0A"/>
        </w:rPr>
        <w:t xml:space="preserve"> </w:t>
      </w:r>
      <w:r w:rsidRPr="00C81473">
        <w:rPr>
          <w:color w:val="0A0A0A"/>
        </w:rPr>
        <w:t>While often simplified as a "traditional practice," child marriage in the Ghanaian context is more accurately understood as a product of the collision between gendered hierarchies and economic deprivation, particularly in regions like the Western Region, where prevalence rates remain significant.</w:t>
      </w:r>
      <w:r w:rsidR="00183640" w:rsidRPr="00C81473">
        <w:rPr>
          <w:rStyle w:val="FootnoteReference"/>
          <w:color w:val="0A0A0A"/>
        </w:rPr>
        <w:footnoteReference w:id="2"/>
      </w:r>
    </w:p>
    <w:p w14:paraId="67E8A4AF" w14:textId="2C6E55E4" w:rsidR="009E6B74" w:rsidRPr="00C81473" w:rsidRDefault="00BC5FDD" w:rsidP="00C81473">
      <w:pPr>
        <w:pStyle w:val="df3vjf"/>
        <w:spacing w:after="180" w:line="360" w:lineRule="auto"/>
        <w:jc w:val="both"/>
        <w:rPr>
          <w:color w:val="0A0A0A"/>
        </w:rPr>
      </w:pPr>
      <w:r w:rsidRPr="00C81473">
        <w:rPr>
          <w:color w:val="0A0A0A"/>
        </w:rPr>
        <w:lastRenderedPageBreak/>
        <w:t>The foundational driver of this practice is patriarchy, a system of social stratification that privileges the male-child while subordinating the female. Radical feminist theory posits that these patriarchal structures maintain male dominance by restricting women’s access to education and limiting their roles to the domestic sphere.</w:t>
      </w:r>
      <w:r w:rsidR="00183640" w:rsidRPr="00C81473">
        <w:rPr>
          <w:rStyle w:val="FootnoteReference"/>
          <w:color w:val="0A0A0A"/>
        </w:rPr>
        <w:footnoteReference w:id="3"/>
      </w:r>
    </w:p>
    <w:p w14:paraId="5E833E63" w14:textId="4B21EF0B" w:rsidR="00BC5FDD" w:rsidRPr="00C81473" w:rsidRDefault="00BC5FDD" w:rsidP="00C81473">
      <w:pPr>
        <w:pStyle w:val="df3vjf"/>
        <w:spacing w:after="180" w:line="360" w:lineRule="auto"/>
        <w:jc w:val="both"/>
        <w:rPr>
          <w:color w:val="0A0A0A"/>
        </w:rPr>
      </w:pPr>
      <w:r w:rsidRPr="00C81473">
        <w:rPr>
          <w:color w:val="0A0A0A"/>
        </w:rPr>
        <w:t>In many communities, the girl-child is undervalued, and investment in her education is frequently viewed as a "wasted resource" because she is expected to eventually labor for another household.</w:t>
      </w:r>
      <w:r w:rsidR="00183640" w:rsidRPr="00C81473">
        <w:rPr>
          <w:rStyle w:val="FootnoteReference"/>
          <w:color w:val="0A0A0A"/>
        </w:rPr>
        <w:footnoteReference w:id="4"/>
      </w:r>
    </w:p>
    <w:p w14:paraId="064F7F36" w14:textId="71D631B7" w:rsidR="00183640" w:rsidRPr="00C81473" w:rsidRDefault="00BC5FDD" w:rsidP="00C81473">
      <w:pPr>
        <w:pStyle w:val="df3vjf"/>
        <w:spacing w:after="180" w:line="360" w:lineRule="auto"/>
        <w:jc w:val="both"/>
        <w:rPr>
          <w:color w:val="0A0A0A"/>
        </w:rPr>
      </w:pPr>
      <w:r w:rsidRPr="00C81473">
        <w:rPr>
          <w:color w:val="0A0A0A"/>
        </w:rPr>
        <w:t>This gendered devaluation is exacerbated by acute poverty. In households facing severe financial distress, the girl-child is often transformed into an "economic burden." Marrying off a daughter becomes a strategic survival mechanism to alleviate the family’s financial load, settle debts, or acquire capital through bride wealth</w:t>
      </w:r>
      <w:r w:rsidR="009E6B74" w:rsidRPr="00C81473">
        <w:rPr>
          <w:color w:val="0A0A0A"/>
        </w:rPr>
        <w:t xml:space="preserve"> </w:t>
      </w:r>
      <w:r w:rsidRPr="00C81473">
        <w:rPr>
          <w:color w:val="0A0A0A"/>
        </w:rPr>
        <w:t>a transaction where the girl’s labor and fertility are symbolically and economically exchanged.</w:t>
      </w:r>
      <w:r w:rsidR="00183640" w:rsidRPr="00C81473">
        <w:rPr>
          <w:rStyle w:val="FootnoteReference"/>
          <w:color w:val="0A0A0A"/>
        </w:rPr>
        <w:footnoteReference w:id="5"/>
      </w:r>
    </w:p>
    <w:p w14:paraId="0D1ECDE9" w14:textId="64112DF0" w:rsidR="00BC5FDD" w:rsidRPr="00C81473" w:rsidRDefault="00BC5FDD" w:rsidP="00C81473">
      <w:pPr>
        <w:pStyle w:val="df3vjf"/>
        <w:spacing w:after="180" w:line="360" w:lineRule="auto"/>
        <w:jc w:val="both"/>
        <w:rPr>
          <w:color w:val="0A0A0A"/>
        </w:rPr>
      </w:pPr>
      <w:r w:rsidRPr="00C81473">
        <w:rPr>
          <w:color w:val="0A0A0A"/>
        </w:rPr>
        <w:t>Consequently, child marriage becomes a "commodity trap" where economic necessity overrides the legal protections afforded by the Children’s Act 1998 (Act 560).</w:t>
      </w:r>
      <w:r w:rsidR="00183640" w:rsidRPr="00C81473">
        <w:rPr>
          <w:rStyle w:val="FootnoteReference"/>
          <w:color w:val="0A0A0A"/>
        </w:rPr>
        <w:footnoteReference w:id="6"/>
      </w:r>
    </w:p>
    <w:p w14:paraId="133D5266" w14:textId="77E1DC9B" w:rsidR="00BC5FDD" w:rsidRPr="00C81473" w:rsidRDefault="00BC5FDD" w:rsidP="00C81473">
      <w:pPr>
        <w:pStyle w:val="df3vjf"/>
        <w:spacing w:after="180" w:line="360" w:lineRule="auto"/>
        <w:jc w:val="both"/>
        <w:rPr>
          <w:color w:val="0A0A0A"/>
        </w:rPr>
      </w:pPr>
      <w:r w:rsidRPr="00C81473">
        <w:rPr>
          <w:color w:val="0A0A0A"/>
        </w:rPr>
        <w:t>The transition from childhood to marriage under these conditions is often traumatic, involving the loss of mobility, the denial of education, and exposure to premature sexual relations and childbearing.</w:t>
      </w:r>
      <w:r w:rsidR="00183640" w:rsidRPr="00C81473">
        <w:rPr>
          <w:rStyle w:val="FootnoteReference"/>
          <w:color w:val="0A0A0A"/>
        </w:rPr>
        <w:footnoteReference w:id="7"/>
      </w:r>
      <w:r w:rsidRPr="00C81473">
        <w:rPr>
          <w:color w:val="0A0A0A"/>
        </w:rPr>
        <w:t xml:space="preserve"> Because these marriages are often endorsed by the immediate community and families, affected women frequently experience profound social isolation. To survive within these restrictive unions, women develop various psychosocial coping mechanisms to navigate financial challenges, psychological distress, and the physical or verbal abuse that often accompanies forced early unions.</w:t>
      </w:r>
      <w:r w:rsidR="00183640" w:rsidRPr="00C81473">
        <w:rPr>
          <w:rStyle w:val="FootnoteReference"/>
          <w:color w:val="0A0A0A"/>
        </w:rPr>
        <w:footnoteReference w:id="8"/>
      </w:r>
    </w:p>
    <w:p w14:paraId="62E87505" w14:textId="09449EF5" w:rsidR="00BC5FDD" w:rsidRPr="00C81473" w:rsidRDefault="00BC5FDD" w:rsidP="00C81473">
      <w:pPr>
        <w:pStyle w:val="df3vjf"/>
        <w:spacing w:after="180" w:line="360" w:lineRule="auto"/>
        <w:jc w:val="both"/>
        <w:rPr>
          <w:color w:val="0A0A0A"/>
        </w:rPr>
      </w:pPr>
      <w:r w:rsidRPr="00C81473">
        <w:rPr>
          <w:color w:val="0A0A0A"/>
        </w:rPr>
        <w:t xml:space="preserve">Understanding the intersection of these economic drivers and the subsequent coping strategies is essential for evaluating the effectiveness of Ghana’s legal framework. Despite robust constitutional and statutory prohibitions, the persistence of child marriage suggests </w:t>
      </w:r>
      <w:r w:rsidRPr="00C81473">
        <w:rPr>
          <w:color w:val="0A0A0A"/>
        </w:rPr>
        <w:lastRenderedPageBreak/>
        <w:t>that law enforcement often fails to penetrate the deep-seated economic and patriarchal realities of rural and impoverished communities.</w:t>
      </w:r>
      <w:r w:rsidR="00183640" w:rsidRPr="00C81473">
        <w:rPr>
          <w:rStyle w:val="FootnoteReference"/>
          <w:color w:val="0A0A0A"/>
        </w:rPr>
        <w:footnoteReference w:id="9"/>
      </w:r>
    </w:p>
    <w:p w14:paraId="6D922914" w14:textId="5993EE8C" w:rsidR="00BC5FDD" w:rsidRPr="00C81473" w:rsidRDefault="00BC5FDD" w:rsidP="00C81473">
      <w:pPr>
        <w:pStyle w:val="df3vjf"/>
        <w:spacing w:after="180" w:line="360" w:lineRule="auto"/>
        <w:jc w:val="both"/>
        <w:rPr>
          <w:color w:val="0A0A0A"/>
        </w:rPr>
      </w:pPr>
      <w:r w:rsidRPr="00C81473">
        <w:rPr>
          <w:color w:val="0A0A0A"/>
        </w:rPr>
        <w:t>In the Western Region of Ghana, the transition of the girl-child from a human agent to an economic asset is often precipitated by the failure of the patriarchal family unit to provide basic needs. Qualitative evidence suggests that when poverty is acute, parents may view child marriage not as a "harmful practice," but as a pragmatic "family survival strategy."</w:t>
      </w:r>
      <w:r w:rsidR="00B12E7A">
        <w:rPr>
          <w:rStyle w:val="FootnoteReference"/>
          <w:color w:val="0A0A0A"/>
        </w:rPr>
        <w:footnoteReference w:id="10"/>
      </w:r>
    </w:p>
    <w:p w14:paraId="456DF739" w14:textId="5DF5C96A" w:rsidR="00BC5FDD" w:rsidRPr="00C81473" w:rsidRDefault="00BC5FDD" w:rsidP="00C81473">
      <w:pPr>
        <w:pStyle w:val="df3vjf"/>
        <w:spacing w:after="180" w:line="360" w:lineRule="auto"/>
        <w:jc w:val="both"/>
        <w:rPr>
          <w:color w:val="0A0A0A"/>
        </w:rPr>
      </w:pPr>
      <w:r w:rsidRPr="00C81473">
        <w:rPr>
          <w:color w:val="0A0A0A"/>
        </w:rPr>
        <w:t>This is particularly evident in the practice of bride wealth, where the groom or his family provides a sum in cash or kind as a symbolic and literal exchange for the girl's future labor and fertility.</w:t>
      </w:r>
      <w:r w:rsidR="00B12E7A">
        <w:rPr>
          <w:rStyle w:val="FootnoteReference"/>
          <w:color w:val="0A0A0A"/>
        </w:rPr>
        <w:footnoteReference w:id="11"/>
      </w:r>
      <w:r w:rsidR="00183640" w:rsidRPr="00C81473">
        <w:rPr>
          <w:color w:val="0A0A0A"/>
        </w:rPr>
        <w:t xml:space="preserve"> </w:t>
      </w:r>
      <w:r w:rsidRPr="00C81473">
        <w:rPr>
          <w:color w:val="0A0A0A"/>
        </w:rPr>
        <w:t>This transaction effectively "trades" the girl's potential for education and personal development to relieve the natal family’s immediate financial distress.</w:t>
      </w:r>
      <w:r w:rsidR="00B12E7A">
        <w:rPr>
          <w:rStyle w:val="FootnoteReference"/>
          <w:color w:val="0A0A0A"/>
        </w:rPr>
        <w:footnoteReference w:id="12"/>
      </w:r>
    </w:p>
    <w:p w14:paraId="7C9F4E29" w14:textId="7A98F658" w:rsidR="00BC5FDD" w:rsidRPr="00C81473" w:rsidRDefault="00BC5FDD" w:rsidP="00C81473">
      <w:pPr>
        <w:pStyle w:val="df3vjf"/>
        <w:spacing w:after="180" w:line="360" w:lineRule="auto"/>
        <w:jc w:val="both"/>
        <w:rPr>
          <w:color w:val="0A0A0A"/>
        </w:rPr>
      </w:pPr>
      <w:r w:rsidRPr="00C81473">
        <w:rPr>
          <w:color w:val="0A0A0A"/>
        </w:rPr>
        <w:t>A primary consequence of these economic pressures is the disruption of education. Girls are frequently withdrawn from school to fulfill domestic roles, which significantly limits their future socio-economic mobility. This exclusion from formal education results in a loss of peer support networks and intellectual growth, often leading to long-term social isolation within the community.</w:t>
      </w:r>
      <w:r w:rsidR="00183640" w:rsidRPr="00C81473">
        <w:rPr>
          <w:rStyle w:val="FootnoteReference"/>
          <w:color w:val="0A0A0A"/>
        </w:rPr>
        <w:footnoteReference w:id="13"/>
      </w:r>
      <w:r w:rsidR="00183640" w:rsidRPr="00C81473">
        <w:rPr>
          <w:color w:val="0A0A0A"/>
        </w:rPr>
        <w:t xml:space="preserve"> </w:t>
      </w:r>
      <w:r w:rsidRPr="00C81473">
        <w:rPr>
          <w:color w:val="0A0A0A"/>
        </w:rPr>
        <w:t>The transition into adult roles at an early age places a significant burden on their physical and emotional well-being, as they are expected to manage complex household dynamics without the necessary maturity or resources.</w:t>
      </w:r>
      <w:r w:rsidR="00183640" w:rsidRPr="00C81473">
        <w:rPr>
          <w:rStyle w:val="FootnoteReference"/>
          <w:color w:val="0A0A0A"/>
        </w:rPr>
        <w:footnoteReference w:id="14"/>
      </w:r>
    </w:p>
    <w:p w14:paraId="777A1996" w14:textId="1414900B" w:rsidR="00BC5FDD" w:rsidRPr="00C81473" w:rsidRDefault="00BC5FDD" w:rsidP="00C81473">
      <w:pPr>
        <w:pStyle w:val="df3vjf"/>
        <w:spacing w:after="180" w:line="360" w:lineRule="auto"/>
        <w:jc w:val="both"/>
        <w:rPr>
          <w:color w:val="0A0A0A"/>
        </w:rPr>
      </w:pPr>
      <w:r w:rsidRPr="00C81473">
        <w:rPr>
          <w:color w:val="0A0A0A"/>
        </w:rPr>
        <w:t>To navigate these structural constraints, women and girls in the Western Region often adopt specific coping strategies:</w:t>
      </w:r>
      <w:r w:rsidR="00032B06" w:rsidRPr="00C81473">
        <w:rPr>
          <w:rStyle w:val="FootnoteReference"/>
          <w:color w:val="0A0A0A"/>
        </w:rPr>
        <w:footnoteReference w:id="15"/>
      </w:r>
    </w:p>
    <w:p w14:paraId="3A9D1F34" w14:textId="611210F2" w:rsidR="00BC5FDD" w:rsidRPr="00C81473" w:rsidRDefault="00BC5FDD" w:rsidP="00C81473">
      <w:pPr>
        <w:pStyle w:val="df3vjf"/>
        <w:spacing w:after="180" w:line="360" w:lineRule="auto"/>
        <w:jc w:val="both"/>
        <w:rPr>
          <w:color w:val="0A0A0A"/>
        </w:rPr>
      </w:pPr>
      <w:r w:rsidRPr="00C81473">
        <w:rPr>
          <w:b/>
          <w:bCs/>
          <w:color w:val="0A0A0A"/>
        </w:rPr>
        <w:t xml:space="preserve">Economic Dependency: </w:t>
      </w:r>
      <w:r w:rsidRPr="00C81473">
        <w:rPr>
          <w:color w:val="0A0A0A"/>
        </w:rPr>
        <w:t>Many enter domestic life with limited vocational training, leaving them financially dependent on the head of the household. Coping often involves engaging in small-scale petty trade or subsistence farming to supplement household needs while balancing extensive domestic duties.</w:t>
      </w:r>
      <w:r w:rsidR="00032B06" w:rsidRPr="00C81473">
        <w:rPr>
          <w:rStyle w:val="FootnoteReference"/>
          <w:color w:val="0A0A0A"/>
        </w:rPr>
        <w:footnoteReference w:id="16"/>
      </w:r>
    </w:p>
    <w:p w14:paraId="17D5AC15" w14:textId="16262B59" w:rsidR="00BC5FDD" w:rsidRPr="00C81473" w:rsidRDefault="00BC5FDD" w:rsidP="00C81473">
      <w:pPr>
        <w:pStyle w:val="df3vjf"/>
        <w:spacing w:after="180" w:line="360" w:lineRule="auto"/>
        <w:jc w:val="both"/>
        <w:rPr>
          <w:color w:val="0A0A0A"/>
        </w:rPr>
      </w:pPr>
      <w:r w:rsidRPr="00C81473">
        <w:rPr>
          <w:b/>
          <w:bCs/>
          <w:color w:val="0A0A0A"/>
        </w:rPr>
        <w:lastRenderedPageBreak/>
        <w:t>Social Negotiation:</w:t>
      </w:r>
      <w:r w:rsidRPr="00C81473">
        <w:rPr>
          <w:color w:val="0A0A0A"/>
        </w:rPr>
        <w:t xml:space="preserve"> In environments where communal standing is tied to the stability of the family unit, individuals may rely on traditional and religious networks for support. However, these networks often prioritize the preservation of the marriage over individual autonomy, limiting the options available for those seeking to change their circumstances.</w:t>
      </w:r>
      <w:r w:rsidR="00032B06" w:rsidRPr="00C81473">
        <w:rPr>
          <w:rStyle w:val="FootnoteReference"/>
          <w:color w:val="0A0A0A"/>
        </w:rPr>
        <w:footnoteReference w:id="17"/>
      </w:r>
    </w:p>
    <w:p w14:paraId="5201CFF6" w14:textId="21896CC9" w:rsidR="00BC5FDD" w:rsidRPr="00C81473" w:rsidRDefault="00BC5FDD" w:rsidP="00C81473">
      <w:pPr>
        <w:pStyle w:val="df3vjf"/>
        <w:spacing w:after="180" w:line="360" w:lineRule="auto"/>
        <w:jc w:val="both"/>
        <w:rPr>
          <w:color w:val="0A0A0A"/>
        </w:rPr>
      </w:pPr>
      <w:r w:rsidRPr="00C81473">
        <w:rPr>
          <w:b/>
          <w:bCs/>
          <w:color w:val="0A0A0A"/>
        </w:rPr>
        <w:t>Communal Resilience:</w:t>
      </w:r>
      <w:r w:rsidRPr="00C81473">
        <w:rPr>
          <w:color w:val="0A0A0A"/>
        </w:rPr>
        <w:t xml:space="preserve"> Many rely on faith-based perspectives or the guidance of community elders to process their lived experiences, often viewing personal perseverance as a necessity for maintaining social harmony.</w:t>
      </w:r>
      <w:r w:rsidR="00032B06" w:rsidRPr="00C81473">
        <w:rPr>
          <w:rStyle w:val="FootnoteReference"/>
          <w:color w:val="0A0A0A"/>
        </w:rPr>
        <w:footnoteReference w:id="18"/>
      </w:r>
    </w:p>
    <w:p w14:paraId="0E90FC3A" w14:textId="078C2B1C" w:rsidR="00BC5FDD" w:rsidRPr="00C81473" w:rsidRDefault="00BC5FDD" w:rsidP="00C81473">
      <w:pPr>
        <w:pStyle w:val="df3vjf"/>
        <w:spacing w:after="180" w:line="360" w:lineRule="auto"/>
        <w:jc w:val="both"/>
        <w:rPr>
          <w:color w:val="0A0A0A"/>
        </w:rPr>
      </w:pPr>
      <w:r w:rsidRPr="00C81473">
        <w:rPr>
          <w:color w:val="0A0A0A"/>
        </w:rPr>
        <w:t>The persistence of these practices highlights a gap between the Children’s Act (1998) and its local implementation.</w:t>
      </w:r>
      <w:r w:rsidR="00032B06" w:rsidRPr="00C81473">
        <w:rPr>
          <w:rStyle w:val="FootnoteReference"/>
          <w:color w:val="0A0A0A"/>
        </w:rPr>
        <w:footnoteReference w:id="19"/>
      </w:r>
      <w:r w:rsidR="00032B06" w:rsidRPr="00C81473">
        <w:rPr>
          <w:color w:val="0A0A0A"/>
        </w:rPr>
        <w:t xml:space="preserve"> </w:t>
      </w:r>
      <w:r w:rsidRPr="00C81473">
        <w:rPr>
          <w:color w:val="0A0A0A"/>
        </w:rPr>
        <w:t>Institutional efforts are often hampered by a lack of resources in rural areas and a disconnect between national legal standards and entrenched traditional customs. Because many families remain unaware of the specific legal protections available, or find that these laws conflict with local socio-economic realities, the legal framework often fails to provide a practical alternative to established cultural norms.</w:t>
      </w:r>
    </w:p>
    <w:p w14:paraId="55AD96A9" w14:textId="5BFA7A9D" w:rsidR="00BC5FDD" w:rsidRPr="00C81473" w:rsidRDefault="00BC5FDD" w:rsidP="00313C59">
      <w:pPr>
        <w:pStyle w:val="df3vjf"/>
        <w:numPr>
          <w:ilvl w:val="0"/>
          <w:numId w:val="2"/>
        </w:numPr>
        <w:spacing w:after="180" w:line="360" w:lineRule="auto"/>
        <w:jc w:val="both"/>
        <w:rPr>
          <w:color w:val="0A0A0A"/>
        </w:rPr>
      </w:pPr>
    </w:p>
    <w:p w14:paraId="5B586672" w14:textId="75899823" w:rsidR="00BC5FDD" w:rsidRPr="00C81473" w:rsidRDefault="00BC5FDD" w:rsidP="00313C59">
      <w:pPr>
        <w:pStyle w:val="df3vjf"/>
        <w:numPr>
          <w:ilvl w:val="0"/>
          <w:numId w:val="2"/>
        </w:numPr>
        <w:spacing w:after="180" w:line="360" w:lineRule="auto"/>
        <w:jc w:val="both"/>
        <w:rPr>
          <w:b/>
          <w:bCs/>
          <w:color w:val="0A0A0A"/>
        </w:rPr>
      </w:pPr>
      <w:r w:rsidRPr="00C81473">
        <w:rPr>
          <w:b/>
          <w:bCs/>
          <w:color w:val="0A0A0A"/>
        </w:rPr>
        <w:t xml:space="preserve">Statement </w:t>
      </w:r>
      <w:r w:rsidR="00852902" w:rsidRPr="00C81473">
        <w:rPr>
          <w:b/>
          <w:bCs/>
          <w:color w:val="0A0A0A"/>
        </w:rPr>
        <w:t>o</w:t>
      </w:r>
      <w:r w:rsidRPr="00C81473">
        <w:rPr>
          <w:b/>
          <w:bCs/>
          <w:color w:val="0A0A0A"/>
        </w:rPr>
        <w:t xml:space="preserve">f </w:t>
      </w:r>
      <w:r w:rsidR="00852902" w:rsidRPr="00C81473">
        <w:rPr>
          <w:b/>
          <w:bCs/>
          <w:color w:val="0A0A0A"/>
        </w:rPr>
        <w:t>t</w:t>
      </w:r>
      <w:r w:rsidRPr="00C81473">
        <w:rPr>
          <w:b/>
          <w:bCs/>
          <w:color w:val="0A0A0A"/>
        </w:rPr>
        <w:t>he Problem</w:t>
      </w:r>
    </w:p>
    <w:p w14:paraId="64D516B6" w14:textId="5DD52F30" w:rsidR="00852902" w:rsidRPr="00C81473" w:rsidRDefault="00BC5FDD" w:rsidP="00C81473">
      <w:pPr>
        <w:pStyle w:val="df3vjf"/>
        <w:spacing w:after="180" w:line="360" w:lineRule="auto"/>
        <w:jc w:val="both"/>
        <w:rPr>
          <w:color w:val="0A0A0A"/>
        </w:rPr>
      </w:pPr>
      <w:r w:rsidRPr="00C81473">
        <w:rPr>
          <w:color w:val="0A0A0A"/>
        </w:rPr>
        <w:t>Despite the establishment of a robust legal framework</w:t>
      </w:r>
      <w:r w:rsidR="00852902" w:rsidRPr="00C81473">
        <w:rPr>
          <w:color w:val="0A0A0A"/>
        </w:rPr>
        <w:t xml:space="preserve"> </w:t>
      </w:r>
      <w:r w:rsidRPr="00C81473">
        <w:rPr>
          <w:color w:val="0A0A0A"/>
        </w:rPr>
        <w:t>most notably the Children’s Act 1998 (Act 560) and the creation of the Anti-Child Marriage Unit under the Ministry of Gender, Children and Social Protection</w:t>
      </w:r>
      <w:r w:rsidR="00852902" w:rsidRPr="00C81473">
        <w:rPr>
          <w:color w:val="0A0A0A"/>
        </w:rPr>
        <w:t xml:space="preserve"> </w:t>
      </w:r>
      <w:r w:rsidRPr="00C81473">
        <w:rPr>
          <w:color w:val="0A0A0A"/>
        </w:rPr>
        <w:t>child marriage remains a persistent and rising social menace in Ghana.</w:t>
      </w:r>
      <w:r w:rsidR="00852902" w:rsidRPr="00C81473">
        <w:rPr>
          <w:rStyle w:val="FootnoteReference"/>
          <w:color w:val="0A0A0A"/>
        </w:rPr>
        <w:footnoteReference w:id="20"/>
      </w:r>
      <w:r w:rsidR="00852902" w:rsidRPr="00C81473">
        <w:rPr>
          <w:color w:val="0A0A0A"/>
        </w:rPr>
        <w:t xml:space="preserve"> </w:t>
      </w:r>
      <w:r w:rsidRPr="00C81473">
        <w:rPr>
          <w:color w:val="0A0A0A"/>
        </w:rPr>
        <w:t>National statistics indicate a troubling upward trend, with prevalence increasing from 25.9% in 2006 to 27% in 2011.</w:t>
      </w:r>
      <w:r w:rsidR="00852902" w:rsidRPr="00C81473">
        <w:rPr>
          <w:rStyle w:val="FootnoteReference"/>
          <w:color w:val="0A0A0A"/>
        </w:rPr>
        <w:footnoteReference w:id="21"/>
      </w:r>
    </w:p>
    <w:p w14:paraId="3E0CDBE6" w14:textId="56B7D0E0" w:rsidR="00852902" w:rsidRPr="00C81473" w:rsidRDefault="00BC5FDD" w:rsidP="00C81473">
      <w:pPr>
        <w:pStyle w:val="df3vjf"/>
        <w:spacing w:after="180" w:line="360" w:lineRule="auto"/>
        <w:jc w:val="both"/>
        <w:rPr>
          <w:color w:val="0A0A0A"/>
        </w:rPr>
      </w:pPr>
      <w:r w:rsidRPr="00C81473">
        <w:rPr>
          <w:color w:val="0A0A0A"/>
        </w:rPr>
        <w:t>Within this national crisis, the Western Region has emerged as a critical focal point, recording a significant prevalence rate of 36.7% and a decade-high growth in the practice of 9.3%</w:t>
      </w:r>
      <w:r w:rsidR="00852902" w:rsidRPr="00C81473">
        <w:rPr>
          <w:color w:val="0A0A0A"/>
        </w:rPr>
        <w:t xml:space="preserve"> </w:t>
      </w:r>
      <w:r w:rsidRPr="00C81473">
        <w:rPr>
          <w:color w:val="0A0A0A"/>
        </w:rPr>
        <w:t>outstripping even several regions in the northern belt.</w:t>
      </w:r>
      <w:r w:rsidR="00852902" w:rsidRPr="00C81473">
        <w:rPr>
          <w:rStyle w:val="FootnoteReference"/>
          <w:color w:val="0A0A0A"/>
        </w:rPr>
        <w:footnoteReference w:id="22"/>
      </w:r>
      <w:r w:rsidR="00852902" w:rsidRPr="00C81473">
        <w:rPr>
          <w:color w:val="0A0A0A"/>
        </w:rPr>
        <w:t xml:space="preserve"> </w:t>
      </w:r>
      <w:r w:rsidRPr="00C81473">
        <w:rPr>
          <w:color w:val="0A0A0A"/>
        </w:rPr>
        <w:t xml:space="preserve">The core of the problem lies in a profound disconnect between statutory prohibition and cultural tolerability. </w:t>
      </w:r>
    </w:p>
    <w:p w14:paraId="2BD8CB21" w14:textId="5C9AE9EC" w:rsidR="00BC5FDD" w:rsidRPr="00C81473" w:rsidRDefault="00BC5FDD" w:rsidP="00C81473">
      <w:pPr>
        <w:pStyle w:val="df3vjf"/>
        <w:spacing w:after="180" w:line="360" w:lineRule="auto"/>
        <w:jc w:val="both"/>
        <w:rPr>
          <w:color w:val="0A0A0A"/>
        </w:rPr>
      </w:pPr>
      <w:r w:rsidRPr="00C81473">
        <w:rPr>
          <w:color w:val="0A0A0A"/>
        </w:rPr>
        <w:lastRenderedPageBreak/>
        <w:t>While the law criminalises the betrothal and marriage of individuals under 18, deep-seated patriarchal structures continue to assign a "low value" to the girl-child, viewing her primarily through the lens of domesticity and reproductive utility rather than as an autonomous citizen with a right to education.</w:t>
      </w:r>
      <w:r w:rsidR="00852902" w:rsidRPr="00C81473">
        <w:rPr>
          <w:rStyle w:val="FootnoteReference"/>
          <w:color w:val="0A0A0A"/>
        </w:rPr>
        <w:footnoteReference w:id="23"/>
      </w:r>
      <w:r w:rsidR="00852902" w:rsidRPr="00C81473">
        <w:rPr>
          <w:color w:val="0A0A0A"/>
        </w:rPr>
        <w:t xml:space="preserve"> </w:t>
      </w:r>
      <w:r w:rsidRPr="00C81473">
        <w:rPr>
          <w:color w:val="0A0A0A"/>
        </w:rPr>
        <w:t>This systemic devaluation ensures that in the face of acute poverty, child marriage is not viewed as a human rights violation, but as a tolerable and even necessary "family survival strategy."</w:t>
      </w:r>
      <w:r w:rsidR="00852902" w:rsidRPr="00C81473">
        <w:rPr>
          <w:rStyle w:val="FootnoteReference"/>
          <w:color w:val="0A0A0A"/>
        </w:rPr>
        <w:footnoteReference w:id="24"/>
      </w:r>
    </w:p>
    <w:p w14:paraId="6A63A870" w14:textId="1808DB26" w:rsidR="00852902" w:rsidRPr="00C81473" w:rsidRDefault="00BC5FDD" w:rsidP="00C81473">
      <w:pPr>
        <w:pStyle w:val="df3vjf"/>
        <w:spacing w:after="180" w:line="360" w:lineRule="auto"/>
        <w:jc w:val="both"/>
        <w:rPr>
          <w:color w:val="0A0A0A"/>
        </w:rPr>
      </w:pPr>
      <w:r w:rsidRPr="00C81473">
        <w:rPr>
          <w:color w:val="0A0A0A"/>
        </w:rPr>
        <w:t>Consequently, the girl-child is transformed into a tradable commodity used to alleviate household financial burdens, settle debts, or secure bride wealth.</w:t>
      </w:r>
      <w:r w:rsidR="00852902" w:rsidRPr="00C81473">
        <w:rPr>
          <w:rStyle w:val="FootnoteReference"/>
          <w:color w:val="0A0A0A"/>
        </w:rPr>
        <w:footnoteReference w:id="25"/>
      </w:r>
    </w:p>
    <w:p w14:paraId="165D330C" w14:textId="77777777" w:rsidR="00852902" w:rsidRPr="00C81473" w:rsidRDefault="00BC5FDD" w:rsidP="00C81473">
      <w:pPr>
        <w:pStyle w:val="df3vjf"/>
        <w:spacing w:after="180" w:line="360" w:lineRule="auto"/>
        <w:jc w:val="both"/>
        <w:rPr>
          <w:color w:val="0A0A0A"/>
        </w:rPr>
      </w:pPr>
      <w:r w:rsidRPr="00C81473">
        <w:rPr>
          <w:color w:val="0A0A0A"/>
        </w:rPr>
        <w:t>This economic dependency is further entrenched by a lack of institutional enforcement and a widespread ignorance of existing legal protections among parents and traditional leaders.</w:t>
      </w:r>
      <w:r w:rsidR="00852902" w:rsidRPr="00C81473">
        <w:rPr>
          <w:rStyle w:val="FootnoteReference"/>
          <w:color w:val="0A0A0A"/>
        </w:rPr>
        <w:footnoteReference w:id="26"/>
      </w:r>
      <w:r w:rsidRPr="00C81473">
        <w:rPr>
          <w:color w:val="0A0A0A"/>
        </w:rPr>
        <w:t xml:space="preserve"> If the intersection of gendered devaluation and economic desperation is not addressed, child marriage will continue to serve as a barrier to national development, trapping subsequent generations of women in a cycle of limited education, social isolation, and economic subordination.</w:t>
      </w:r>
      <w:r w:rsidR="00852902" w:rsidRPr="00C81473">
        <w:rPr>
          <w:rStyle w:val="FootnoteReference"/>
          <w:color w:val="0A0A0A"/>
        </w:rPr>
        <w:footnoteReference w:id="27"/>
      </w:r>
    </w:p>
    <w:p w14:paraId="63EF7BBC" w14:textId="24865833" w:rsidR="009E6B74" w:rsidRPr="00C81473" w:rsidRDefault="009E6B74" w:rsidP="00C81473">
      <w:pPr>
        <w:pStyle w:val="df3vjf"/>
        <w:spacing w:after="180" w:line="360" w:lineRule="auto"/>
        <w:jc w:val="both"/>
        <w:rPr>
          <w:color w:val="0A0A0A"/>
        </w:rPr>
      </w:pPr>
      <w:r w:rsidRPr="00C81473">
        <w:rPr>
          <w:color w:val="0A0A0A"/>
        </w:rPr>
        <w:t>Child marriage remains a profound social and legal crisis in Ghana, representing a critical intersection between patriarchal social structures and the pressures of acute poverty. Defined as any union involving an individual under the age of 18, the practice is a fundamental human rights violation that disproportionately targets the girl-child.</w:t>
      </w:r>
      <w:r w:rsidR="00831F78" w:rsidRPr="00C81473">
        <w:rPr>
          <w:rStyle w:val="FootnoteReference"/>
          <w:color w:val="0A0A0A"/>
        </w:rPr>
        <w:footnoteReference w:id="28"/>
      </w:r>
    </w:p>
    <w:p w14:paraId="4B6FC213" w14:textId="76840CD1" w:rsidR="009E6B74" w:rsidRPr="00C81473" w:rsidRDefault="009E6B74" w:rsidP="00C81473">
      <w:pPr>
        <w:spacing w:line="360" w:lineRule="auto"/>
        <w:jc w:val="both"/>
        <w:rPr>
          <w:rFonts w:eastAsiaTheme="majorEastAsia"/>
        </w:rPr>
      </w:pPr>
      <w:r w:rsidRPr="00C81473">
        <w:rPr>
          <w:rStyle w:val="apple-converted-space"/>
          <w:rFonts w:eastAsiaTheme="majorEastAsia"/>
          <w:color w:val="0A0A0A"/>
        </w:rPr>
        <w:t> </w:t>
      </w:r>
      <w:r w:rsidRPr="00C81473">
        <w:rPr>
          <w:color w:val="0A0A0A"/>
        </w:rPr>
        <w:t>While the Ghanaian state has established a robust legal framework</w:t>
      </w:r>
      <w:r w:rsidR="00852902" w:rsidRPr="00C81473">
        <w:rPr>
          <w:color w:val="0A0A0A"/>
        </w:rPr>
        <w:t xml:space="preserve"> </w:t>
      </w:r>
      <w:r w:rsidRPr="00C81473">
        <w:rPr>
          <w:color w:val="0A0A0A"/>
        </w:rPr>
        <w:t>most notably the</w:t>
      </w:r>
      <w:r w:rsidRPr="00C81473">
        <w:rPr>
          <w:rStyle w:val="apple-converted-space"/>
          <w:rFonts w:eastAsiaTheme="majorEastAsia"/>
          <w:color w:val="0A0A0A"/>
        </w:rPr>
        <w:t> </w:t>
      </w:r>
      <w:r w:rsidRPr="00C81473">
        <w:rPr>
          <w:rStyle w:val="Strong"/>
          <w:rFonts w:eastAsiaTheme="majorEastAsia"/>
          <w:b w:val="0"/>
          <w:bCs w:val="0"/>
          <w:color w:val="0A0A0A"/>
        </w:rPr>
        <w:t>Children’s Act 1998 (Act 560)</w:t>
      </w:r>
      <w:r w:rsidR="00852902" w:rsidRPr="00C81473">
        <w:rPr>
          <w:color w:val="0A0A0A"/>
        </w:rPr>
        <w:t xml:space="preserve"> </w:t>
      </w:r>
      <w:r w:rsidRPr="00C81473">
        <w:rPr>
          <w:color w:val="0A0A0A"/>
        </w:rPr>
        <w:t>to prohibit and criminalise the practice, recent statistics reveal a troubling upward trend. In the Western Region, prevalence rates have surged to 36.7%, a significant increase that highlights the failure of statutory law to overcome entrenched socio-economic realities.</w:t>
      </w:r>
      <w:r w:rsidR="00831F78" w:rsidRPr="00C81473">
        <w:rPr>
          <w:rStyle w:val="FootnoteReference"/>
          <w:color w:val="0A0A0A"/>
        </w:rPr>
        <w:footnoteReference w:id="29"/>
      </w:r>
    </w:p>
    <w:p w14:paraId="52B4386E" w14:textId="77777777" w:rsidR="00852902" w:rsidRPr="00C81473" w:rsidRDefault="00852902" w:rsidP="00C81473">
      <w:pPr>
        <w:spacing w:line="360" w:lineRule="auto"/>
        <w:jc w:val="both"/>
        <w:rPr>
          <w:color w:val="0A0A0A"/>
        </w:rPr>
      </w:pPr>
    </w:p>
    <w:p w14:paraId="17116806" w14:textId="0FB039BE" w:rsidR="00852902" w:rsidRPr="00C81473" w:rsidRDefault="009E6B74" w:rsidP="00C81473">
      <w:pPr>
        <w:spacing w:line="360" w:lineRule="auto"/>
        <w:jc w:val="both"/>
        <w:rPr>
          <w:rStyle w:val="dtet0b"/>
          <w:rFonts w:eastAsiaTheme="majorEastAsia"/>
        </w:rPr>
      </w:pPr>
      <w:r w:rsidRPr="00C81473">
        <w:rPr>
          <w:color w:val="0A0A0A"/>
        </w:rPr>
        <w:t>The structural foundation of child marriage is rooted in</w:t>
      </w:r>
      <w:r w:rsidRPr="00C81473">
        <w:rPr>
          <w:rStyle w:val="apple-converted-space"/>
          <w:rFonts w:eastAsiaTheme="majorEastAsia"/>
          <w:color w:val="0A0A0A"/>
        </w:rPr>
        <w:t> </w:t>
      </w:r>
      <w:r w:rsidRPr="00C81473">
        <w:rPr>
          <w:rStyle w:val="Strong"/>
          <w:rFonts w:eastAsiaTheme="majorEastAsia"/>
          <w:b w:val="0"/>
          <w:bCs w:val="0"/>
          <w:color w:val="0A0A0A"/>
        </w:rPr>
        <w:t>patriarchy</w:t>
      </w:r>
      <w:r w:rsidRPr="00C81473">
        <w:rPr>
          <w:color w:val="0A0A0A"/>
        </w:rPr>
        <w:t xml:space="preserve">, a system of social stratification that privileges male agency while subordinating the female. Radical feminist </w:t>
      </w:r>
      <w:r w:rsidRPr="00C81473">
        <w:rPr>
          <w:color w:val="0A0A0A"/>
        </w:rPr>
        <w:lastRenderedPageBreak/>
        <w:t>theory posits that these structures maintain dominance by restricting women’s access to education and limiting their social value to the domestic and reproductive spheres.</w:t>
      </w:r>
      <w:r w:rsidR="00831F78" w:rsidRPr="00C81473">
        <w:rPr>
          <w:rStyle w:val="FootnoteReference"/>
          <w:color w:val="0A0A0A"/>
        </w:rPr>
        <w:footnoteReference w:id="30"/>
      </w:r>
      <w:r w:rsidR="00852902" w:rsidRPr="00C81473">
        <w:rPr>
          <w:rStyle w:val="dtet0b"/>
          <w:rFonts w:eastAsiaTheme="majorEastAsia"/>
        </w:rPr>
        <w:t xml:space="preserve"> </w:t>
      </w:r>
    </w:p>
    <w:p w14:paraId="01C68124" w14:textId="77777777" w:rsidR="00852902" w:rsidRPr="00C81473" w:rsidRDefault="00852902" w:rsidP="00C81473">
      <w:pPr>
        <w:spacing w:line="360" w:lineRule="auto"/>
        <w:jc w:val="both"/>
        <w:rPr>
          <w:rStyle w:val="dtet0b"/>
          <w:rFonts w:eastAsiaTheme="majorEastAsia"/>
        </w:rPr>
      </w:pPr>
    </w:p>
    <w:p w14:paraId="56F240D3" w14:textId="1EE11227" w:rsidR="009E6B74" w:rsidRPr="00C81473" w:rsidRDefault="009E6B74" w:rsidP="00C81473">
      <w:pPr>
        <w:spacing w:line="360" w:lineRule="auto"/>
        <w:jc w:val="both"/>
        <w:rPr>
          <w:rStyle w:val="dtet0b"/>
          <w:rFonts w:eastAsiaTheme="majorEastAsia"/>
        </w:rPr>
      </w:pPr>
      <w:r w:rsidRPr="00C81473">
        <w:rPr>
          <w:color w:val="0A0A0A"/>
        </w:rPr>
        <w:t>In many communities within the Western Region, a "low value" is assigned to the girl-child; she is often viewed not as a citizen with potential for professional advancement, but as a future housewife and mother.</w:t>
      </w:r>
      <w:r w:rsidR="00831F78" w:rsidRPr="00C81473">
        <w:rPr>
          <w:rStyle w:val="FootnoteReference"/>
          <w:color w:val="0A0A0A"/>
        </w:rPr>
        <w:footnoteReference w:id="31"/>
      </w:r>
    </w:p>
    <w:p w14:paraId="26ADB3C6" w14:textId="78427FDB" w:rsidR="009E6B74" w:rsidRPr="00C81473" w:rsidRDefault="009E6B74" w:rsidP="00C81473">
      <w:pPr>
        <w:spacing w:line="360" w:lineRule="auto"/>
        <w:jc w:val="both"/>
        <w:rPr>
          <w:rFonts w:eastAsiaTheme="majorEastAsia"/>
        </w:rPr>
      </w:pPr>
      <w:r w:rsidRPr="00C81473">
        <w:rPr>
          <w:noProof/>
          <w:color w:val="0A0A0A"/>
          <w:lang w:eastAsia="en-IN"/>
        </w:rPr>
        <w:drawing>
          <wp:inline distT="0" distB="0" distL="0" distR="0" wp14:anchorId="2F4D69DA" wp14:editId="341DDA0A">
            <wp:extent cx="5080" cy="5080"/>
            <wp:effectExtent l="0" t="0" r="0" b="0"/>
            <wp:docPr id="210670890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p>
    <w:p w14:paraId="77C6896F" w14:textId="607AA336" w:rsidR="009E6B74" w:rsidRPr="00C81473" w:rsidRDefault="009E6B74" w:rsidP="00C81473">
      <w:pPr>
        <w:spacing w:line="360" w:lineRule="auto"/>
        <w:jc w:val="both"/>
        <w:rPr>
          <w:rStyle w:val="dtet0b"/>
          <w:color w:val="0A0A0A"/>
        </w:rPr>
      </w:pPr>
      <w:r w:rsidRPr="00C81473">
        <w:rPr>
          <w:color w:val="0A0A0A"/>
        </w:rPr>
        <w:t>Consequently, investment in her education is frequently dismissed as a "wasted resource," as the benefits of her labour and development are expected to accrue to another household upon marriage.</w:t>
      </w:r>
      <w:r w:rsidR="00831F78" w:rsidRPr="00C81473">
        <w:rPr>
          <w:rStyle w:val="FootnoteReference"/>
          <w:color w:val="0A0A0A"/>
        </w:rPr>
        <w:footnoteReference w:id="32"/>
      </w:r>
    </w:p>
    <w:p w14:paraId="16935F23" w14:textId="286CB610" w:rsidR="009E6B74" w:rsidRPr="00C81473" w:rsidRDefault="009E6B74" w:rsidP="00C81473">
      <w:pPr>
        <w:spacing w:line="360" w:lineRule="auto"/>
        <w:jc w:val="both"/>
        <w:rPr>
          <w:rFonts w:eastAsiaTheme="majorEastAsia"/>
        </w:rPr>
      </w:pPr>
      <w:r w:rsidRPr="00C81473">
        <w:rPr>
          <w:noProof/>
          <w:color w:val="0A0A0A"/>
          <w:lang w:eastAsia="en-IN"/>
        </w:rPr>
        <w:drawing>
          <wp:inline distT="0" distB="0" distL="0" distR="0" wp14:anchorId="47E28EFC" wp14:editId="129CE793">
            <wp:extent cx="5080" cy="5080"/>
            <wp:effectExtent l="0" t="0" r="0" b="0"/>
            <wp:docPr id="1577436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p>
    <w:p w14:paraId="15180C6C" w14:textId="0059CC38" w:rsidR="009E6B74" w:rsidRPr="00C81473" w:rsidRDefault="009E6B74" w:rsidP="00C81473">
      <w:pPr>
        <w:spacing w:line="360" w:lineRule="auto"/>
        <w:jc w:val="both"/>
        <w:rPr>
          <w:rStyle w:val="dtet0b"/>
          <w:color w:val="0A0A0A"/>
        </w:rPr>
      </w:pPr>
      <w:r w:rsidRPr="00C81473">
        <w:rPr>
          <w:color w:val="0A0A0A"/>
        </w:rPr>
        <w:t>This patriarchal devaluation is catalysed by</w:t>
      </w:r>
      <w:r w:rsidRPr="00C81473">
        <w:rPr>
          <w:rStyle w:val="apple-converted-space"/>
          <w:rFonts w:eastAsiaTheme="majorEastAsia"/>
          <w:color w:val="0A0A0A"/>
        </w:rPr>
        <w:t> </w:t>
      </w:r>
      <w:r w:rsidRPr="00C81473">
        <w:rPr>
          <w:rStyle w:val="Strong"/>
          <w:rFonts w:eastAsiaTheme="majorEastAsia"/>
          <w:b w:val="0"/>
          <w:bCs w:val="0"/>
          <w:color w:val="0A0A0A"/>
        </w:rPr>
        <w:t>acute poverty</w:t>
      </w:r>
      <w:r w:rsidRPr="00C81473">
        <w:rPr>
          <w:color w:val="0A0A0A"/>
        </w:rPr>
        <w:t>, which transforms the girl-child into a vital instrument for family survival. In households facing severe financial distress, a daughter is often perceived as an "economic burden."</w:t>
      </w:r>
      <w:r w:rsidR="00831F78" w:rsidRPr="00C81473">
        <w:rPr>
          <w:rStyle w:val="FootnoteReference"/>
          <w:color w:val="0A0A0A"/>
        </w:rPr>
        <w:footnoteReference w:id="33"/>
      </w:r>
    </w:p>
    <w:p w14:paraId="56A13BC9" w14:textId="6BA53669" w:rsidR="009E6B74" w:rsidRPr="00C81473" w:rsidRDefault="009E6B74" w:rsidP="00C81473">
      <w:pPr>
        <w:spacing w:line="360" w:lineRule="auto"/>
        <w:jc w:val="both"/>
        <w:rPr>
          <w:rFonts w:eastAsiaTheme="majorEastAsia"/>
        </w:rPr>
      </w:pPr>
      <w:r w:rsidRPr="00C81473">
        <w:rPr>
          <w:noProof/>
          <w:color w:val="0A0A0A"/>
          <w:lang w:eastAsia="en-IN"/>
        </w:rPr>
        <w:drawing>
          <wp:inline distT="0" distB="0" distL="0" distR="0" wp14:anchorId="59943BA0" wp14:editId="292781A4">
            <wp:extent cx="5080" cy="5080"/>
            <wp:effectExtent l="0" t="0" r="0" b="0"/>
            <wp:docPr id="125729005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p>
    <w:p w14:paraId="37B36D40" w14:textId="123BA2D7" w:rsidR="009E6B74" w:rsidRPr="00C81473" w:rsidRDefault="009E6B74" w:rsidP="00C81473">
      <w:pPr>
        <w:spacing w:line="360" w:lineRule="auto"/>
        <w:jc w:val="both"/>
        <w:rPr>
          <w:rStyle w:val="dtet0b"/>
          <w:color w:val="0A0A0A"/>
        </w:rPr>
      </w:pPr>
      <w:r w:rsidRPr="00C81473">
        <w:rPr>
          <w:color w:val="0A0A0A"/>
        </w:rPr>
        <w:t>Child marriage thus emerges as a tolerable "survival strategy," allowing the natal family to shift the financial responsibility of the girl’s upkeep to a husband or to acquire immediate capital through</w:t>
      </w:r>
      <w:r w:rsidRPr="00C81473">
        <w:rPr>
          <w:rStyle w:val="apple-converted-space"/>
          <w:rFonts w:eastAsiaTheme="majorEastAsia"/>
          <w:color w:val="0A0A0A"/>
        </w:rPr>
        <w:t> </w:t>
      </w:r>
      <w:r w:rsidRPr="00C81473">
        <w:rPr>
          <w:rStyle w:val="Strong"/>
          <w:rFonts w:eastAsiaTheme="majorEastAsia"/>
          <w:b w:val="0"/>
          <w:bCs w:val="0"/>
          <w:color w:val="0A0A0A"/>
        </w:rPr>
        <w:t>bride wealth</w:t>
      </w:r>
      <w:r w:rsidRPr="00C81473">
        <w:rPr>
          <w:color w:val="0A0A0A"/>
        </w:rPr>
        <w:t>.</w:t>
      </w:r>
      <w:r w:rsidR="00831F78" w:rsidRPr="00C81473">
        <w:rPr>
          <w:rStyle w:val="FootnoteReference"/>
          <w:color w:val="0A0A0A"/>
        </w:rPr>
        <w:footnoteReference w:id="34"/>
      </w:r>
    </w:p>
    <w:p w14:paraId="797302E5" w14:textId="08E2D1D2" w:rsidR="009E6B74" w:rsidRPr="00C81473" w:rsidRDefault="009E6B74" w:rsidP="00C81473">
      <w:pPr>
        <w:spacing w:line="360" w:lineRule="auto"/>
        <w:jc w:val="both"/>
        <w:rPr>
          <w:rFonts w:eastAsiaTheme="majorEastAsia"/>
        </w:rPr>
      </w:pPr>
      <w:r w:rsidRPr="00C81473">
        <w:rPr>
          <w:noProof/>
          <w:color w:val="0A0A0A"/>
          <w:lang w:eastAsia="en-IN"/>
        </w:rPr>
        <w:drawing>
          <wp:inline distT="0" distB="0" distL="0" distR="0" wp14:anchorId="26C0606A" wp14:editId="479060EA">
            <wp:extent cx="5080" cy="5080"/>
            <wp:effectExtent l="0" t="0" r="0" b="0"/>
            <wp:docPr id="6467062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p>
    <w:p w14:paraId="2AEA411B" w14:textId="1C408001" w:rsidR="00852902" w:rsidRPr="00C81473" w:rsidRDefault="009E6B74" w:rsidP="00C81473">
      <w:pPr>
        <w:spacing w:line="360" w:lineRule="auto"/>
        <w:jc w:val="both"/>
        <w:rPr>
          <w:rStyle w:val="dtet0b"/>
          <w:color w:val="0A0A0A"/>
        </w:rPr>
      </w:pPr>
      <w:r w:rsidRPr="00C81473">
        <w:rPr>
          <w:color w:val="0A0A0A"/>
        </w:rPr>
        <w:t>In some instances, girls are even used as currency to settle family debts, effectively turning the child into a tradable commodity within a gendered economic transaction.</w:t>
      </w:r>
      <w:r w:rsidR="00831F78" w:rsidRPr="00C81473">
        <w:rPr>
          <w:rStyle w:val="FootnoteReference"/>
          <w:color w:val="0A0A0A"/>
        </w:rPr>
        <w:footnoteReference w:id="35"/>
      </w:r>
      <w:r w:rsidR="00852902" w:rsidRPr="00C81473">
        <w:rPr>
          <w:color w:val="0A0A0A"/>
        </w:rPr>
        <w:t xml:space="preserve"> </w:t>
      </w:r>
      <w:r w:rsidRPr="00C81473">
        <w:rPr>
          <w:color w:val="0A0A0A"/>
        </w:rPr>
        <w:t>The transition into these forced unions is often traumatic, resulting in the "loss of adolescence" and the denial of personal development.</w:t>
      </w:r>
      <w:r w:rsidR="00831F78" w:rsidRPr="00C81473">
        <w:rPr>
          <w:rStyle w:val="FootnoteReference"/>
          <w:color w:val="0A0A0A"/>
        </w:rPr>
        <w:footnoteReference w:id="36"/>
      </w:r>
      <w:r w:rsidR="00B12E7A">
        <w:rPr>
          <w:color w:val="0A0A0A"/>
        </w:rPr>
        <w:t xml:space="preserve"> </w:t>
      </w:r>
      <w:r w:rsidRPr="00C81473">
        <w:rPr>
          <w:color w:val="0A0A0A"/>
        </w:rPr>
        <w:t>Married girls are typically forced to drop out of school, which results in profound social isolation and a lack of vocational skills.</w:t>
      </w:r>
      <w:r w:rsidR="00831F78" w:rsidRPr="00C81473">
        <w:rPr>
          <w:rStyle w:val="FootnoteReference"/>
          <w:color w:val="0A0A0A"/>
        </w:rPr>
        <w:footnoteReference w:id="37"/>
      </w:r>
    </w:p>
    <w:p w14:paraId="13708028" w14:textId="77777777" w:rsidR="00852902" w:rsidRPr="00C81473" w:rsidRDefault="00852902" w:rsidP="00C81473">
      <w:pPr>
        <w:spacing w:line="360" w:lineRule="auto"/>
        <w:jc w:val="both"/>
        <w:rPr>
          <w:rStyle w:val="dtet0b"/>
          <w:color w:val="0A0A0A"/>
        </w:rPr>
      </w:pPr>
    </w:p>
    <w:p w14:paraId="6E63A0C1" w14:textId="58D06528" w:rsidR="00852902" w:rsidRPr="00C81473" w:rsidRDefault="009E6B74" w:rsidP="00C81473">
      <w:pPr>
        <w:spacing w:line="360" w:lineRule="auto"/>
        <w:jc w:val="both"/>
        <w:rPr>
          <w:rStyle w:val="dtet0b"/>
          <w:color w:val="0A0A0A"/>
        </w:rPr>
      </w:pPr>
      <w:r w:rsidRPr="00C81473">
        <w:rPr>
          <w:color w:val="0A0A0A"/>
        </w:rPr>
        <w:t>To navigate these constraints, women develop various</w:t>
      </w:r>
      <w:r w:rsidRPr="00C81473">
        <w:rPr>
          <w:rStyle w:val="apple-converted-space"/>
          <w:rFonts w:eastAsiaTheme="majorEastAsia"/>
          <w:color w:val="0A0A0A"/>
        </w:rPr>
        <w:t> </w:t>
      </w:r>
      <w:r w:rsidRPr="00C81473">
        <w:rPr>
          <w:rStyle w:val="Strong"/>
          <w:rFonts w:eastAsiaTheme="majorEastAsia"/>
          <w:b w:val="0"/>
          <w:bCs w:val="0"/>
          <w:color w:val="0A0A0A"/>
        </w:rPr>
        <w:t>psychosocial coping mechanisms</w:t>
      </w:r>
      <w:r w:rsidRPr="00C81473">
        <w:rPr>
          <w:color w:val="0A0A0A"/>
        </w:rPr>
        <w:t>, including economic dependency, social negotiation through traditional networks, and communal resilience rooted in faith.</w:t>
      </w:r>
      <w:r w:rsidR="00831F78" w:rsidRPr="00C81473">
        <w:rPr>
          <w:rStyle w:val="FootnoteReference"/>
          <w:color w:val="0A0A0A"/>
        </w:rPr>
        <w:footnoteReference w:id="38"/>
      </w:r>
      <w:r w:rsidR="00852902" w:rsidRPr="00C81473">
        <w:rPr>
          <w:rStyle w:val="dtet0b"/>
          <w:color w:val="0A0A0A"/>
        </w:rPr>
        <w:t xml:space="preserve"> </w:t>
      </w:r>
      <w:r w:rsidRPr="00C81473">
        <w:rPr>
          <w:color w:val="0A0A0A"/>
        </w:rPr>
        <w:t xml:space="preserve">However, these mechanisms often serve only to help </w:t>
      </w:r>
      <w:r w:rsidRPr="00C81473">
        <w:rPr>
          <w:color w:val="0A0A0A"/>
        </w:rPr>
        <w:lastRenderedPageBreak/>
        <w:t>individuals endure their circumstances rather than escape them, further entrenching the "cycle of subordination.</w:t>
      </w:r>
      <w:r w:rsidR="00831F78" w:rsidRPr="00C81473">
        <w:rPr>
          <w:color w:val="0A0A0A"/>
        </w:rPr>
        <w:t>’</w:t>
      </w:r>
      <w:r w:rsidR="00831F78" w:rsidRPr="00C81473">
        <w:rPr>
          <w:rStyle w:val="FootnoteReference"/>
          <w:color w:val="0A0A0A"/>
        </w:rPr>
        <w:footnoteReference w:id="39"/>
      </w:r>
    </w:p>
    <w:p w14:paraId="4B557584" w14:textId="77777777" w:rsidR="00852902" w:rsidRPr="00C81473" w:rsidRDefault="00852902" w:rsidP="00C81473">
      <w:pPr>
        <w:spacing w:line="360" w:lineRule="auto"/>
        <w:jc w:val="both"/>
        <w:rPr>
          <w:rStyle w:val="dtet0b"/>
          <w:color w:val="0A0A0A"/>
        </w:rPr>
      </w:pPr>
    </w:p>
    <w:p w14:paraId="6B6F0CA6" w14:textId="1D0787A8" w:rsidR="00852902" w:rsidRPr="00C81473" w:rsidRDefault="009E6B74" w:rsidP="00C81473">
      <w:pPr>
        <w:spacing w:line="360" w:lineRule="auto"/>
        <w:jc w:val="both"/>
        <w:rPr>
          <w:rStyle w:val="dtet0b"/>
          <w:color w:val="0A0A0A"/>
        </w:rPr>
      </w:pPr>
      <w:r w:rsidRPr="00C81473">
        <w:rPr>
          <w:color w:val="0A0A0A"/>
        </w:rPr>
        <w:t>Ultimately, the persistence of child marriage in the Western Region exposes a significant gap in</w:t>
      </w:r>
      <w:r w:rsidRPr="00C81473">
        <w:rPr>
          <w:rStyle w:val="apple-converted-space"/>
          <w:rFonts w:eastAsiaTheme="majorEastAsia"/>
          <w:color w:val="0A0A0A"/>
        </w:rPr>
        <w:t> </w:t>
      </w:r>
      <w:r w:rsidRPr="00C81473">
        <w:rPr>
          <w:rStyle w:val="Strong"/>
          <w:rFonts w:eastAsiaTheme="majorEastAsia"/>
          <w:b w:val="0"/>
          <w:bCs w:val="0"/>
          <w:color w:val="0A0A0A"/>
        </w:rPr>
        <w:t>institutional enforcement</w:t>
      </w:r>
      <w:r w:rsidRPr="00C81473">
        <w:rPr>
          <w:color w:val="0A0A0A"/>
        </w:rPr>
        <w:t>. State agencies, such as the Department of Social Welfare, are frequently under-resourced and unable to penetrate the rural areas where these marriages occur.</w:t>
      </w:r>
      <w:r w:rsidR="00831F78" w:rsidRPr="00C81473">
        <w:rPr>
          <w:rStyle w:val="FootnoteReference"/>
          <w:color w:val="0A0A0A"/>
        </w:rPr>
        <w:footnoteReference w:id="40"/>
      </w:r>
    </w:p>
    <w:p w14:paraId="5D18C80C" w14:textId="77777777" w:rsidR="00852902" w:rsidRPr="00C81473" w:rsidRDefault="00852902" w:rsidP="00C81473">
      <w:pPr>
        <w:spacing w:line="360" w:lineRule="auto"/>
        <w:jc w:val="both"/>
        <w:rPr>
          <w:rStyle w:val="dtet0b"/>
          <w:color w:val="0A0A0A"/>
        </w:rPr>
      </w:pPr>
    </w:p>
    <w:p w14:paraId="17C33B84" w14:textId="1B04254E" w:rsidR="00852902" w:rsidRPr="00C81473" w:rsidRDefault="009E6B74" w:rsidP="00C81473">
      <w:pPr>
        <w:spacing w:line="360" w:lineRule="auto"/>
        <w:jc w:val="both"/>
        <w:rPr>
          <w:rStyle w:val="dtet0b"/>
          <w:color w:val="0A0A0A"/>
        </w:rPr>
      </w:pPr>
      <w:r w:rsidRPr="00C81473">
        <w:rPr>
          <w:color w:val="0A0A0A"/>
        </w:rPr>
        <w:t>Furthermore, a widespread ignorance of national laws ensures that customary and religious norms</w:t>
      </w:r>
      <w:r w:rsidR="00852902" w:rsidRPr="00C81473">
        <w:rPr>
          <w:color w:val="0A0A0A"/>
        </w:rPr>
        <w:t xml:space="preserve"> </w:t>
      </w:r>
      <w:r w:rsidRPr="00C81473">
        <w:rPr>
          <w:color w:val="0A0A0A"/>
        </w:rPr>
        <w:t>which may permit marriage upon puberty</w:t>
      </w:r>
      <w:r w:rsidR="00852902" w:rsidRPr="00C81473">
        <w:rPr>
          <w:color w:val="0A0A0A"/>
        </w:rPr>
        <w:t xml:space="preserve"> </w:t>
      </w:r>
      <w:r w:rsidRPr="00C81473">
        <w:rPr>
          <w:color w:val="0A0A0A"/>
        </w:rPr>
        <w:t>continue to take precedence over statutory protections.</w:t>
      </w:r>
      <w:r w:rsidR="00831F78" w:rsidRPr="00C81473">
        <w:rPr>
          <w:rStyle w:val="FootnoteReference"/>
          <w:color w:val="0A0A0A"/>
        </w:rPr>
        <w:footnoteReference w:id="41"/>
      </w:r>
    </w:p>
    <w:p w14:paraId="180FCF1E" w14:textId="77777777" w:rsidR="00852902" w:rsidRPr="00C81473" w:rsidRDefault="00852902" w:rsidP="00C81473">
      <w:pPr>
        <w:spacing w:line="360" w:lineRule="auto"/>
        <w:jc w:val="both"/>
        <w:rPr>
          <w:rStyle w:val="dtet0b"/>
          <w:color w:val="0A0A0A"/>
        </w:rPr>
      </w:pPr>
    </w:p>
    <w:p w14:paraId="3C62F050" w14:textId="412A20BA" w:rsidR="00BC5FDD" w:rsidRPr="00C81473" w:rsidRDefault="009E6B74" w:rsidP="00B12E7A">
      <w:pPr>
        <w:spacing w:line="360" w:lineRule="auto"/>
        <w:jc w:val="both"/>
        <w:rPr>
          <w:color w:val="0A0A0A"/>
        </w:rPr>
      </w:pPr>
      <w:r w:rsidRPr="00C81473">
        <w:rPr>
          <w:color w:val="0A0A0A"/>
        </w:rPr>
        <w:t>Addressing child marriage in Ghana, therefore, requires more than legal prohibition; it necessitates a fundamental shift in the "value" placed on the girl-child and a direct confrontation of the poverty that makes her rights expendable.</w:t>
      </w:r>
    </w:p>
    <w:p w14:paraId="2F5044EB" w14:textId="47C0B2D9" w:rsidR="009E6B74" w:rsidRPr="00C81473" w:rsidRDefault="00831F78" w:rsidP="00313C59">
      <w:pPr>
        <w:pStyle w:val="df3vjf"/>
        <w:numPr>
          <w:ilvl w:val="0"/>
          <w:numId w:val="2"/>
        </w:numPr>
        <w:spacing w:after="180" w:line="360" w:lineRule="auto"/>
        <w:jc w:val="both"/>
        <w:rPr>
          <w:b/>
          <w:bCs/>
          <w:color w:val="0A0A0A"/>
        </w:rPr>
      </w:pPr>
      <w:r w:rsidRPr="00C81473">
        <w:rPr>
          <w:b/>
          <w:bCs/>
          <w:color w:val="0A0A0A"/>
        </w:rPr>
        <w:t>Study objectives</w:t>
      </w:r>
    </w:p>
    <w:p w14:paraId="47C38973" w14:textId="77777777" w:rsidR="009E6B74" w:rsidRPr="00C81473" w:rsidRDefault="009E6B74" w:rsidP="00313C59">
      <w:pPr>
        <w:pStyle w:val="z1qcye"/>
        <w:numPr>
          <w:ilvl w:val="0"/>
          <w:numId w:val="3"/>
        </w:numPr>
        <w:spacing w:before="0" w:beforeAutospacing="0" w:after="0" w:afterAutospacing="0" w:line="360" w:lineRule="auto"/>
        <w:jc w:val="both"/>
        <w:rPr>
          <w:color w:val="0A0A0A"/>
        </w:rPr>
      </w:pPr>
      <w:r w:rsidRPr="00C81473">
        <w:rPr>
          <w:rStyle w:val="Strong"/>
          <w:rFonts w:eastAsiaTheme="majorEastAsia"/>
          <w:b w:val="0"/>
          <w:bCs w:val="0"/>
          <w:color w:val="0A0A0A"/>
        </w:rPr>
        <w:t>To analyze the role of patriarchy and acute poverty as primary economic drivers</w:t>
      </w:r>
      <w:r w:rsidRPr="00C81473">
        <w:rPr>
          <w:rStyle w:val="apple-converted-space"/>
          <w:rFonts w:eastAsiaTheme="majorEastAsia"/>
          <w:color w:val="0A0A0A"/>
        </w:rPr>
        <w:t> </w:t>
      </w:r>
      <w:r w:rsidRPr="00C81473">
        <w:rPr>
          <w:rStyle w:val="t286pc"/>
          <w:rFonts w:eastAsiaTheme="majorEastAsia"/>
          <w:color w:val="0A0A0A"/>
        </w:rPr>
        <w:t>of child marriage practices in the Western Region of Ghana.</w:t>
      </w:r>
    </w:p>
    <w:p w14:paraId="337CC9D5" w14:textId="77777777" w:rsidR="009E6B74" w:rsidRPr="00C81473" w:rsidRDefault="009E6B74" w:rsidP="00313C59">
      <w:pPr>
        <w:pStyle w:val="z1qcye"/>
        <w:numPr>
          <w:ilvl w:val="0"/>
          <w:numId w:val="3"/>
        </w:numPr>
        <w:spacing w:before="0" w:beforeAutospacing="0" w:after="0" w:afterAutospacing="0" w:line="360" w:lineRule="auto"/>
        <w:jc w:val="both"/>
        <w:rPr>
          <w:color w:val="0A0A0A"/>
        </w:rPr>
      </w:pPr>
      <w:r w:rsidRPr="00C81473">
        <w:rPr>
          <w:rStyle w:val="Strong"/>
          <w:rFonts w:eastAsiaTheme="majorEastAsia"/>
          <w:b w:val="0"/>
          <w:bCs w:val="0"/>
          <w:color w:val="0A0A0A"/>
        </w:rPr>
        <w:t>To explore the specific psychosocial coping mechanisms</w:t>
      </w:r>
      <w:r w:rsidRPr="00C81473">
        <w:rPr>
          <w:rStyle w:val="apple-converted-space"/>
          <w:rFonts w:eastAsiaTheme="majorEastAsia"/>
          <w:color w:val="0A0A0A"/>
        </w:rPr>
        <w:t> </w:t>
      </w:r>
      <w:r w:rsidRPr="00C81473">
        <w:rPr>
          <w:rStyle w:val="t286pc"/>
          <w:rFonts w:eastAsiaTheme="majorEastAsia"/>
          <w:color w:val="0A0A0A"/>
        </w:rPr>
        <w:t>employed by women in child marriages to manage the emotional, social, and financial pressures of their unions.</w:t>
      </w:r>
    </w:p>
    <w:p w14:paraId="41814358" w14:textId="4423D0D8" w:rsidR="009E6B74" w:rsidRPr="00B12E7A" w:rsidRDefault="009E6B74" w:rsidP="00313C59">
      <w:pPr>
        <w:pStyle w:val="z1qcye"/>
        <w:numPr>
          <w:ilvl w:val="0"/>
          <w:numId w:val="3"/>
        </w:numPr>
        <w:spacing w:before="0" w:beforeAutospacing="0" w:after="0" w:afterAutospacing="0" w:line="360" w:lineRule="auto"/>
        <w:jc w:val="both"/>
        <w:rPr>
          <w:rStyle w:val="t286pc"/>
          <w:color w:val="0A0A0A"/>
        </w:rPr>
      </w:pPr>
      <w:r w:rsidRPr="00C81473">
        <w:rPr>
          <w:rStyle w:val="Strong"/>
          <w:rFonts w:eastAsiaTheme="majorEastAsia"/>
          <w:b w:val="0"/>
          <w:bCs w:val="0"/>
          <w:color w:val="0A0A0A"/>
        </w:rPr>
        <w:t>To evaluate the intersection between customary marital practices and statutory legal protections</w:t>
      </w:r>
      <w:r w:rsidRPr="00C81473">
        <w:rPr>
          <w:rStyle w:val="apple-converted-space"/>
          <w:rFonts w:eastAsiaTheme="majorEastAsia"/>
          <w:color w:val="0A0A0A"/>
        </w:rPr>
        <w:t> </w:t>
      </w:r>
      <w:r w:rsidRPr="00C81473">
        <w:rPr>
          <w:rStyle w:val="t286pc"/>
          <w:rFonts w:eastAsiaTheme="majorEastAsia"/>
          <w:color w:val="0A0A0A"/>
        </w:rPr>
        <w:t>to determine why legal interventions often fail to override economic survival strategies.</w:t>
      </w:r>
    </w:p>
    <w:p w14:paraId="530B3EC8" w14:textId="77777777" w:rsidR="00B12E7A" w:rsidRPr="00B12E7A" w:rsidRDefault="00B12E7A" w:rsidP="00B12E7A">
      <w:pPr>
        <w:pStyle w:val="z1qcye"/>
        <w:spacing w:before="0" w:beforeAutospacing="0" w:after="0" w:afterAutospacing="0" w:line="360" w:lineRule="auto"/>
        <w:ind w:left="720"/>
        <w:jc w:val="both"/>
        <w:rPr>
          <w:color w:val="0A0A0A"/>
        </w:rPr>
      </w:pPr>
    </w:p>
    <w:p w14:paraId="703F5E4B" w14:textId="7B46E8AE" w:rsidR="009E6B74" w:rsidRPr="00C81473" w:rsidRDefault="009E6B74" w:rsidP="00313C59">
      <w:pPr>
        <w:pStyle w:val="df3vjf"/>
        <w:numPr>
          <w:ilvl w:val="0"/>
          <w:numId w:val="2"/>
        </w:numPr>
        <w:spacing w:after="180" w:line="360" w:lineRule="auto"/>
        <w:jc w:val="both"/>
        <w:rPr>
          <w:b/>
          <w:bCs/>
          <w:color w:val="0A0A0A"/>
        </w:rPr>
      </w:pPr>
      <w:r w:rsidRPr="00C81473">
        <w:rPr>
          <w:b/>
          <w:bCs/>
          <w:color w:val="0A0A0A"/>
        </w:rPr>
        <w:t>Literature Review</w:t>
      </w:r>
    </w:p>
    <w:p w14:paraId="3167E703" w14:textId="588379C4" w:rsidR="009E6B74" w:rsidRPr="00C81473" w:rsidRDefault="009E6B74" w:rsidP="00313C59">
      <w:pPr>
        <w:pStyle w:val="df3vjf"/>
        <w:numPr>
          <w:ilvl w:val="0"/>
          <w:numId w:val="4"/>
        </w:numPr>
        <w:spacing w:after="180" w:line="360" w:lineRule="auto"/>
        <w:jc w:val="both"/>
        <w:rPr>
          <w:b/>
          <w:bCs/>
          <w:color w:val="0A0A0A"/>
        </w:rPr>
      </w:pPr>
      <w:r w:rsidRPr="00C81473">
        <w:rPr>
          <w:b/>
          <w:bCs/>
          <w:color w:val="0A0A0A"/>
        </w:rPr>
        <w:t xml:space="preserve">Introduction </w:t>
      </w:r>
    </w:p>
    <w:p w14:paraId="25283BC0" w14:textId="6A595EA2" w:rsidR="00831F78" w:rsidRPr="00C81473" w:rsidRDefault="009E6B74" w:rsidP="00C81473">
      <w:pPr>
        <w:pStyle w:val="df3vjf"/>
        <w:spacing w:after="180" w:line="360" w:lineRule="auto"/>
        <w:jc w:val="both"/>
        <w:rPr>
          <w:color w:val="0A0A0A"/>
        </w:rPr>
      </w:pPr>
      <w:r w:rsidRPr="00C81473">
        <w:rPr>
          <w:color w:val="0A0A0A"/>
          <w:shd w:val="clear" w:color="auto" w:fill="FFFFFF"/>
        </w:rPr>
        <w:lastRenderedPageBreak/>
        <w:t>This chapter reviews extant literature and theoretical frameworks relevant to the intersection of patriarchy and poverty in child marriage. It specifically examines the economic drivers of the practice and the psychosocial mechanisms women employ to navigate these forced unions.</w:t>
      </w:r>
    </w:p>
    <w:p w14:paraId="1A978F0C" w14:textId="304E9981" w:rsidR="009E6B74" w:rsidRPr="00C81473" w:rsidRDefault="009E6B74" w:rsidP="00313C59">
      <w:pPr>
        <w:pStyle w:val="df3vjf"/>
        <w:numPr>
          <w:ilvl w:val="0"/>
          <w:numId w:val="4"/>
        </w:numPr>
        <w:spacing w:after="180" w:line="360" w:lineRule="auto"/>
        <w:jc w:val="both"/>
        <w:rPr>
          <w:b/>
          <w:bCs/>
          <w:color w:val="0A0A0A"/>
        </w:rPr>
      </w:pPr>
      <w:r w:rsidRPr="00C81473">
        <w:rPr>
          <w:b/>
          <w:bCs/>
          <w:color w:val="0A0A0A"/>
        </w:rPr>
        <w:t>Theoretical Framework: Radical Feminist Theory</w:t>
      </w:r>
    </w:p>
    <w:p w14:paraId="198DAA86" w14:textId="4F3F2ECF" w:rsidR="009E6B74" w:rsidRPr="00C81473" w:rsidRDefault="009E6B74" w:rsidP="00C81473">
      <w:pPr>
        <w:pStyle w:val="df3vjf"/>
        <w:spacing w:after="180" w:line="360" w:lineRule="auto"/>
        <w:jc w:val="both"/>
        <w:rPr>
          <w:color w:val="0A0A0A"/>
        </w:rPr>
      </w:pPr>
      <w:r w:rsidRPr="00C81473">
        <w:rPr>
          <w:color w:val="0A0A0A"/>
        </w:rPr>
        <w:t>This study is grounded in Radical Feminist Theory, which identifies patriarchy as the primary engine of female oppression</w:t>
      </w:r>
      <w:r w:rsidR="00775D34" w:rsidRPr="00C81473">
        <w:rPr>
          <w:color w:val="0A0A0A"/>
        </w:rPr>
        <w:t>.</w:t>
      </w:r>
      <w:r w:rsidR="00775D34" w:rsidRPr="00C81473">
        <w:rPr>
          <w:rStyle w:val="FootnoteReference"/>
          <w:color w:val="0A0A0A"/>
        </w:rPr>
        <w:footnoteReference w:id="42"/>
      </w:r>
      <w:r w:rsidRPr="00C81473">
        <w:rPr>
          <w:color w:val="0A0A0A"/>
        </w:rPr>
        <w:t xml:space="preserve"> Proponents like Susan Brownmiller argue that social structures are designed to maintain male dominance through the control of female bodies and labor.</w:t>
      </w:r>
      <w:r w:rsidR="00775D34" w:rsidRPr="00C81473">
        <w:rPr>
          <w:rStyle w:val="FootnoteReference"/>
          <w:color w:val="0A0A0A"/>
        </w:rPr>
        <w:footnoteReference w:id="43"/>
      </w:r>
    </w:p>
    <w:p w14:paraId="19335363" w14:textId="4525903E" w:rsidR="00775D34" w:rsidRPr="00C81473" w:rsidRDefault="009E6B74" w:rsidP="00C81473">
      <w:pPr>
        <w:pStyle w:val="df3vjf"/>
        <w:spacing w:after="180" w:line="360" w:lineRule="auto"/>
        <w:jc w:val="both"/>
        <w:rPr>
          <w:color w:val="0A0A0A"/>
        </w:rPr>
      </w:pPr>
      <w:r w:rsidRPr="00C81473">
        <w:rPr>
          <w:color w:val="0A0A0A"/>
        </w:rPr>
        <w:t xml:space="preserve"> In the context of child marriage, Walby’s "patriarchal structures"</w:t>
      </w:r>
      <w:r w:rsidR="00831F78" w:rsidRPr="00C81473">
        <w:rPr>
          <w:color w:val="0A0A0A"/>
        </w:rPr>
        <w:t xml:space="preserve"> </w:t>
      </w:r>
      <w:r w:rsidRPr="00C81473">
        <w:rPr>
          <w:color w:val="0A0A0A"/>
        </w:rPr>
        <w:t>specifically the household, sexuality, and the state</w:t>
      </w:r>
      <w:r w:rsidR="00831F78" w:rsidRPr="00C81473">
        <w:rPr>
          <w:color w:val="0A0A0A"/>
        </w:rPr>
        <w:t xml:space="preserve"> </w:t>
      </w:r>
      <w:r w:rsidRPr="00C81473">
        <w:rPr>
          <w:color w:val="0A0A0A"/>
        </w:rPr>
        <w:t>restrict a girl's agency, making her subordinate to the male head of the family.</w:t>
      </w:r>
      <w:r w:rsidR="00775D34" w:rsidRPr="00C81473">
        <w:rPr>
          <w:rStyle w:val="FootnoteReference"/>
          <w:color w:val="0A0A0A"/>
        </w:rPr>
        <w:footnoteReference w:id="44"/>
      </w:r>
      <w:r w:rsidR="00B12E7A">
        <w:rPr>
          <w:color w:val="0A0A0A"/>
        </w:rPr>
        <w:t xml:space="preserve"> </w:t>
      </w:r>
      <w:r w:rsidRPr="00C81473">
        <w:rPr>
          <w:color w:val="0A0A0A"/>
        </w:rPr>
        <w:t>This theory is particularly relevant as it explains why, in many Ghanaian cultures, the boy-child is prioritized for education while the girl-child is socialised for domesticity.</w:t>
      </w:r>
      <w:r w:rsidR="00775D34" w:rsidRPr="00C81473">
        <w:rPr>
          <w:rStyle w:val="FootnoteReference"/>
          <w:color w:val="0A0A0A"/>
        </w:rPr>
        <w:footnoteReference w:id="45"/>
      </w:r>
    </w:p>
    <w:p w14:paraId="12E99C3B" w14:textId="10BA9E97" w:rsidR="009E6B74" w:rsidRPr="00C81473" w:rsidRDefault="009E6B74" w:rsidP="00C81473">
      <w:pPr>
        <w:pStyle w:val="df3vjf"/>
        <w:spacing w:after="180" w:line="360" w:lineRule="auto"/>
        <w:jc w:val="both"/>
        <w:rPr>
          <w:color w:val="0A0A0A"/>
        </w:rPr>
      </w:pPr>
      <w:r w:rsidRPr="00C81473">
        <w:rPr>
          <w:color w:val="0A0A0A"/>
        </w:rPr>
        <w:t>In patriarchal systems, a girl's "net value" is often tied to her marital prospects rather than her intellectual potential, creating a socio-cultural environment where her rights are easily sacrificed for family stability.</w:t>
      </w:r>
      <w:r w:rsidR="00775D34" w:rsidRPr="00C81473">
        <w:rPr>
          <w:rStyle w:val="FootnoteReference"/>
          <w:color w:val="0A0A0A"/>
        </w:rPr>
        <w:footnoteReference w:id="46"/>
      </w:r>
    </w:p>
    <w:p w14:paraId="657A7950" w14:textId="4E3C3984" w:rsidR="009E6B74" w:rsidRPr="00C81473" w:rsidRDefault="009E6B74" w:rsidP="00313C59">
      <w:pPr>
        <w:pStyle w:val="df3vjf"/>
        <w:numPr>
          <w:ilvl w:val="0"/>
          <w:numId w:val="4"/>
        </w:numPr>
        <w:spacing w:after="180" w:line="360" w:lineRule="auto"/>
        <w:jc w:val="both"/>
        <w:rPr>
          <w:b/>
          <w:bCs/>
          <w:color w:val="0A0A0A"/>
        </w:rPr>
      </w:pPr>
      <w:r w:rsidRPr="00C81473">
        <w:rPr>
          <w:b/>
          <w:bCs/>
          <w:color w:val="0A0A0A"/>
        </w:rPr>
        <w:t>Empirical Review: Economic Drivers and the "Survival Strategy"</w:t>
      </w:r>
    </w:p>
    <w:p w14:paraId="1D1AB0C6" w14:textId="28D85690" w:rsidR="009E6B74" w:rsidRPr="00C81473" w:rsidRDefault="009E6B74" w:rsidP="00C81473">
      <w:pPr>
        <w:spacing w:line="360" w:lineRule="auto"/>
        <w:jc w:val="both"/>
        <w:rPr>
          <w:color w:val="0A0A0A"/>
        </w:rPr>
      </w:pPr>
      <w:r w:rsidRPr="00C81473">
        <w:rPr>
          <w:color w:val="0A0A0A"/>
        </w:rPr>
        <w:t>Empirical studies consistently highlight</w:t>
      </w:r>
      <w:r w:rsidRPr="00C81473">
        <w:rPr>
          <w:rStyle w:val="apple-converted-space"/>
          <w:rFonts w:eastAsiaTheme="majorEastAsia"/>
          <w:color w:val="0A0A0A"/>
        </w:rPr>
        <w:t> </w:t>
      </w:r>
      <w:r w:rsidRPr="00C81473">
        <w:rPr>
          <w:rStyle w:val="Strong"/>
          <w:rFonts w:eastAsiaTheme="majorEastAsia"/>
          <w:b w:val="0"/>
          <w:bCs w:val="0"/>
          <w:color w:val="0A0A0A"/>
        </w:rPr>
        <w:t>poverty</w:t>
      </w:r>
      <w:r w:rsidRPr="00C81473">
        <w:rPr>
          <w:rStyle w:val="apple-converted-space"/>
          <w:rFonts w:eastAsiaTheme="majorEastAsia"/>
          <w:color w:val="0A0A0A"/>
        </w:rPr>
        <w:t> </w:t>
      </w:r>
      <w:r w:rsidRPr="00C81473">
        <w:rPr>
          <w:color w:val="0A0A0A"/>
        </w:rPr>
        <w:t>as the most critical catalyst for early marriage. Research in Sub-Saharan Africa and South Asia indicates that in cases of acute financial distress, a daughter is often viewed as an "economic burden."</w:t>
      </w:r>
      <w:r w:rsidR="00775D34" w:rsidRPr="00C81473">
        <w:rPr>
          <w:rStyle w:val="FootnoteReference"/>
          <w:color w:val="0A0A0A"/>
        </w:rPr>
        <w:footnoteReference w:id="47"/>
      </w:r>
    </w:p>
    <w:p w14:paraId="51D4A1A1" w14:textId="77777777" w:rsidR="00775D34" w:rsidRPr="00C81473" w:rsidRDefault="00775D34" w:rsidP="00C81473">
      <w:pPr>
        <w:spacing w:line="360" w:lineRule="auto"/>
        <w:jc w:val="both"/>
        <w:rPr>
          <w:rFonts w:eastAsiaTheme="majorEastAsia"/>
        </w:rPr>
      </w:pPr>
    </w:p>
    <w:p w14:paraId="15135198" w14:textId="115E5861" w:rsidR="009E6B74" w:rsidRPr="00C81473" w:rsidRDefault="009E6B74" w:rsidP="00313C59">
      <w:pPr>
        <w:pStyle w:val="z1qcye"/>
        <w:numPr>
          <w:ilvl w:val="0"/>
          <w:numId w:val="5"/>
        </w:numPr>
        <w:spacing w:before="0" w:beforeAutospacing="0" w:after="0" w:afterAutospacing="0" w:line="360" w:lineRule="auto"/>
        <w:jc w:val="both"/>
        <w:rPr>
          <w:rFonts w:eastAsiaTheme="majorEastAsia"/>
        </w:rPr>
      </w:pPr>
      <w:r w:rsidRPr="00C81473">
        <w:rPr>
          <w:rStyle w:val="Strong"/>
          <w:rFonts w:eastAsiaTheme="majorEastAsia"/>
          <w:color w:val="0A0A0A"/>
        </w:rPr>
        <w:t>Bride Wealth as a Transaction:</w:t>
      </w:r>
      <w:r w:rsidRPr="00C81473">
        <w:rPr>
          <w:rStyle w:val="apple-converted-space"/>
          <w:rFonts w:eastAsiaTheme="majorEastAsia"/>
          <w:color w:val="0A0A0A"/>
        </w:rPr>
        <w:t> </w:t>
      </w:r>
      <w:r w:rsidRPr="00C81473">
        <w:rPr>
          <w:rStyle w:val="t286pc"/>
          <w:rFonts w:eastAsiaTheme="majorEastAsia"/>
          <w:color w:val="0A0A0A"/>
        </w:rPr>
        <w:t>In many African communities, marriage is treated as an economic transaction. The exchange of</w:t>
      </w:r>
      <w:r w:rsidRPr="00C81473">
        <w:rPr>
          <w:rStyle w:val="apple-converted-space"/>
          <w:rFonts w:eastAsiaTheme="majorEastAsia"/>
          <w:color w:val="0A0A0A"/>
        </w:rPr>
        <w:t> </w:t>
      </w:r>
      <w:r w:rsidRPr="00C81473">
        <w:rPr>
          <w:rStyle w:val="Strong"/>
          <w:rFonts w:eastAsiaTheme="majorEastAsia"/>
          <w:b w:val="0"/>
          <w:bCs w:val="0"/>
          <w:color w:val="0A0A0A"/>
        </w:rPr>
        <w:t>bride wealth</w:t>
      </w:r>
      <w:r w:rsidRPr="00C81473">
        <w:rPr>
          <w:rStyle w:val="apple-converted-space"/>
          <w:rFonts w:eastAsiaTheme="majorEastAsia"/>
          <w:color w:val="0A0A0A"/>
        </w:rPr>
        <w:t> </w:t>
      </w:r>
      <w:r w:rsidRPr="00C81473">
        <w:rPr>
          <w:rStyle w:val="t286pc"/>
          <w:rFonts w:eastAsiaTheme="majorEastAsia"/>
          <w:color w:val="0A0A0A"/>
        </w:rPr>
        <w:t xml:space="preserve">(cash or livestock) serves as a </w:t>
      </w:r>
      <w:r w:rsidRPr="00C81473">
        <w:rPr>
          <w:rStyle w:val="t286pc"/>
          <w:rFonts w:eastAsiaTheme="majorEastAsia"/>
          <w:color w:val="0A0A0A"/>
        </w:rPr>
        <w:lastRenderedPageBreak/>
        <w:t>capital infusion for the girl's natal family, effectively trading her future labor and fertility for immediate survival.</w:t>
      </w:r>
      <w:r w:rsidR="00775D34" w:rsidRPr="00C81473">
        <w:rPr>
          <w:rStyle w:val="FootnoteReference"/>
          <w:rFonts w:eastAsiaTheme="majorEastAsia"/>
          <w:color w:val="0A0A0A"/>
        </w:rPr>
        <w:footnoteReference w:id="48"/>
      </w:r>
    </w:p>
    <w:p w14:paraId="7681446E" w14:textId="77777777" w:rsidR="00831F78" w:rsidRPr="00C81473" w:rsidRDefault="00831F78" w:rsidP="00C81473">
      <w:pPr>
        <w:pStyle w:val="z1qcye"/>
        <w:spacing w:before="0" w:beforeAutospacing="0" w:after="0" w:afterAutospacing="0" w:line="360" w:lineRule="auto"/>
        <w:ind w:left="720"/>
        <w:jc w:val="both"/>
        <w:rPr>
          <w:rFonts w:eastAsiaTheme="majorEastAsia"/>
        </w:rPr>
      </w:pPr>
    </w:p>
    <w:p w14:paraId="40823B7B" w14:textId="55B61A2A" w:rsidR="009E6B74" w:rsidRPr="00C81473" w:rsidRDefault="009E6B74" w:rsidP="00313C59">
      <w:pPr>
        <w:pStyle w:val="z1qcye"/>
        <w:numPr>
          <w:ilvl w:val="0"/>
          <w:numId w:val="5"/>
        </w:numPr>
        <w:spacing w:before="0" w:beforeAutospacing="0" w:after="0" w:afterAutospacing="0" w:line="360" w:lineRule="auto"/>
        <w:jc w:val="both"/>
        <w:rPr>
          <w:rFonts w:eastAsiaTheme="majorEastAsia"/>
        </w:rPr>
      </w:pPr>
      <w:r w:rsidRPr="00C81473">
        <w:rPr>
          <w:rStyle w:val="Strong"/>
          <w:rFonts w:eastAsiaTheme="majorEastAsia"/>
          <w:color w:val="0A0A0A"/>
        </w:rPr>
        <w:t>Asset Protection:</w:t>
      </w:r>
      <w:r w:rsidRPr="00C81473">
        <w:rPr>
          <w:rStyle w:val="apple-converted-space"/>
          <w:rFonts w:eastAsiaTheme="majorEastAsia"/>
          <w:color w:val="0A0A0A"/>
        </w:rPr>
        <w:t> </w:t>
      </w:r>
      <w:r w:rsidRPr="00C81473">
        <w:rPr>
          <w:rStyle w:val="t286pc"/>
          <w:rFonts w:eastAsiaTheme="majorEastAsia"/>
          <w:color w:val="0A0A0A"/>
        </w:rPr>
        <w:t>Research by the International Centre for Research on Women (ICRW) suggests that child marriage is frequently used as a strategy to "cement alliances" or settle family debts, where the girl-child acts as a form of currency.</w:t>
      </w:r>
      <w:r w:rsidR="00775D34" w:rsidRPr="00C81473">
        <w:rPr>
          <w:rStyle w:val="FootnoteReference"/>
          <w:rFonts w:eastAsiaTheme="majorEastAsia"/>
          <w:color w:val="0A0A0A"/>
        </w:rPr>
        <w:footnoteReference w:id="49"/>
      </w:r>
    </w:p>
    <w:p w14:paraId="5F68B545" w14:textId="77777777" w:rsidR="00831F78" w:rsidRPr="00C81473" w:rsidRDefault="00831F78" w:rsidP="00C81473">
      <w:pPr>
        <w:pStyle w:val="z1qcye"/>
        <w:spacing w:before="0" w:beforeAutospacing="0" w:after="0" w:afterAutospacing="0" w:line="360" w:lineRule="auto"/>
        <w:jc w:val="both"/>
        <w:rPr>
          <w:rFonts w:eastAsiaTheme="majorEastAsia"/>
        </w:rPr>
      </w:pPr>
    </w:p>
    <w:p w14:paraId="39FACB2D" w14:textId="0D110E63" w:rsidR="009E6B74" w:rsidRPr="00C81473" w:rsidRDefault="009E6B74" w:rsidP="00313C59">
      <w:pPr>
        <w:pStyle w:val="z1qcye"/>
        <w:numPr>
          <w:ilvl w:val="0"/>
          <w:numId w:val="5"/>
        </w:numPr>
        <w:spacing w:before="0" w:beforeAutospacing="0" w:after="0" w:afterAutospacing="0" w:line="360" w:lineRule="auto"/>
        <w:jc w:val="both"/>
        <w:rPr>
          <w:rFonts w:eastAsiaTheme="majorEastAsia"/>
        </w:rPr>
      </w:pPr>
      <w:r w:rsidRPr="00C81473">
        <w:rPr>
          <w:rStyle w:val="Strong"/>
          <w:rFonts w:eastAsiaTheme="majorEastAsia"/>
          <w:b w:val="0"/>
          <w:bCs w:val="0"/>
          <w:color w:val="0A0A0A"/>
        </w:rPr>
        <w:t>The Educational Gap:</w:t>
      </w:r>
      <w:r w:rsidRPr="00C81473">
        <w:rPr>
          <w:rStyle w:val="apple-converted-space"/>
          <w:rFonts w:eastAsiaTheme="majorEastAsia"/>
          <w:color w:val="0A0A0A"/>
        </w:rPr>
        <w:t> </w:t>
      </w:r>
      <w:r w:rsidRPr="00C81473">
        <w:rPr>
          <w:rStyle w:val="t286pc"/>
          <w:rFonts w:eastAsiaTheme="majorEastAsia"/>
          <w:color w:val="0A0A0A"/>
        </w:rPr>
        <w:t>Empirical evidence shows that poverty forces parents to choose which child to educate; due to patriarchal norms, boys are viewed as "better investments," leading to the withdrawal of girls from school to facilitate their marriage.</w:t>
      </w:r>
      <w:r w:rsidR="00775D34" w:rsidRPr="00C81473">
        <w:rPr>
          <w:rStyle w:val="FootnoteReference"/>
          <w:rFonts w:eastAsiaTheme="majorEastAsia"/>
          <w:color w:val="0A0A0A"/>
        </w:rPr>
        <w:footnoteReference w:id="50"/>
      </w:r>
    </w:p>
    <w:p w14:paraId="39392D3D" w14:textId="6C791E21" w:rsidR="00120CA4" w:rsidRPr="00C81473" w:rsidRDefault="00120CA4" w:rsidP="00313C59">
      <w:pPr>
        <w:pStyle w:val="df3vjf"/>
        <w:numPr>
          <w:ilvl w:val="0"/>
          <w:numId w:val="4"/>
        </w:numPr>
        <w:spacing w:after="180" w:line="360" w:lineRule="auto"/>
        <w:jc w:val="both"/>
        <w:rPr>
          <w:b/>
          <w:bCs/>
          <w:color w:val="0A0A0A"/>
        </w:rPr>
      </w:pPr>
      <w:r w:rsidRPr="00C81473">
        <w:rPr>
          <w:b/>
          <w:bCs/>
          <w:color w:val="0A0A0A"/>
        </w:rPr>
        <w:t>Psychosocial Impact and Coping Mechanisms</w:t>
      </w:r>
    </w:p>
    <w:p w14:paraId="3ABC2DE7" w14:textId="02A5C34F" w:rsidR="00120CA4" w:rsidRPr="00C81473" w:rsidRDefault="00120CA4" w:rsidP="00C81473">
      <w:pPr>
        <w:pStyle w:val="df3vjf"/>
        <w:spacing w:after="180" w:line="360" w:lineRule="auto"/>
        <w:jc w:val="both"/>
        <w:rPr>
          <w:color w:val="0A0A0A"/>
        </w:rPr>
      </w:pPr>
      <w:r w:rsidRPr="00C81473">
        <w:rPr>
          <w:color w:val="0A0A0A"/>
        </w:rPr>
        <w:t>The literature on the "loss of adolescence" reveals profound emotional and psychological consequences for child brides. Many experience "social isolation," as they are removed from peer groups and placed in adult roles for which they are physically and mentally unprepared.</w:t>
      </w:r>
      <w:r w:rsidR="00775D34" w:rsidRPr="00C81473">
        <w:rPr>
          <w:rStyle w:val="FootnoteReference"/>
          <w:color w:val="0A0A0A"/>
        </w:rPr>
        <w:footnoteReference w:id="51"/>
      </w:r>
    </w:p>
    <w:p w14:paraId="45CE773E" w14:textId="5363984B" w:rsidR="009E6B74" w:rsidRPr="00C81473" w:rsidRDefault="00120CA4" w:rsidP="00313C59">
      <w:pPr>
        <w:pStyle w:val="df3vjf"/>
        <w:numPr>
          <w:ilvl w:val="0"/>
          <w:numId w:val="4"/>
        </w:numPr>
        <w:spacing w:after="180" w:line="360" w:lineRule="auto"/>
        <w:jc w:val="both"/>
        <w:rPr>
          <w:color w:val="0A0A0A"/>
        </w:rPr>
      </w:pPr>
      <w:r w:rsidRPr="00C81473">
        <w:rPr>
          <w:b/>
          <w:bCs/>
          <w:color w:val="0A0A0A"/>
        </w:rPr>
        <w:t>Empirical Studies</w:t>
      </w:r>
    </w:p>
    <w:p w14:paraId="7C9344AE" w14:textId="77777777" w:rsidR="00120CA4" w:rsidRPr="00C81473" w:rsidRDefault="00120CA4" w:rsidP="00C81473">
      <w:pPr>
        <w:pStyle w:val="df3vjf"/>
        <w:spacing w:after="180" w:line="360" w:lineRule="auto"/>
        <w:jc w:val="both"/>
        <w:rPr>
          <w:color w:val="0A0A0A"/>
        </w:rPr>
      </w:pPr>
      <w:r w:rsidRPr="00C81473">
        <w:rPr>
          <w:color w:val="0A0A0A"/>
        </w:rPr>
        <w:t>Empirical studies on coping mechanisms suggest that women in these unions adopt several strategies to survive:</w:t>
      </w:r>
    </w:p>
    <w:p w14:paraId="3F412369" w14:textId="73C328A2" w:rsidR="00120CA4" w:rsidRPr="00C81473" w:rsidRDefault="00120CA4" w:rsidP="00C81473">
      <w:pPr>
        <w:pStyle w:val="df3vjf"/>
        <w:spacing w:after="180" w:line="360" w:lineRule="auto"/>
        <w:jc w:val="both"/>
        <w:rPr>
          <w:color w:val="0A0A0A"/>
        </w:rPr>
      </w:pPr>
      <w:r w:rsidRPr="00C81473">
        <w:rPr>
          <w:b/>
          <w:bCs/>
          <w:color w:val="0A0A0A"/>
        </w:rPr>
        <w:t>Economic Subsistence:</w:t>
      </w:r>
      <w:r w:rsidRPr="00C81473">
        <w:rPr>
          <w:color w:val="0A0A0A"/>
        </w:rPr>
        <w:t xml:space="preserve"> Many engage in small-scale petty trading or subsistence farming to manage the financial neglect often found in forced unions.</w:t>
      </w:r>
      <w:r w:rsidR="00775D34" w:rsidRPr="00C81473">
        <w:rPr>
          <w:rStyle w:val="FootnoteReference"/>
          <w:color w:val="0A0A0A"/>
        </w:rPr>
        <w:footnoteReference w:id="52"/>
      </w:r>
    </w:p>
    <w:p w14:paraId="4DD99460" w14:textId="5863C4E4" w:rsidR="00120CA4" w:rsidRPr="00C81473" w:rsidRDefault="00120CA4" w:rsidP="00C81473">
      <w:pPr>
        <w:pStyle w:val="df3vjf"/>
        <w:spacing w:after="180" w:line="360" w:lineRule="auto"/>
        <w:jc w:val="both"/>
        <w:rPr>
          <w:color w:val="0A0A0A"/>
        </w:rPr>
      </w:pPr>
      <w:r w:rsidRPr="00C81473">
        <w:rPr>
          <w:b/>
          <w:bCs/>
          <w:color w:val="0A0A0A"/>
        </w:rPr>
        <w:t>Religious and Communal Resilience:</w:t>
      </w:r>
      <w:r w:rsidRPr="00C81473">
        <w:rPr>
          <w:color w:val="0A0A0A"/>
        </w:rPr>
        <w:t xml:space="preserve"> Faith is frequently cited as a primary coping mechanism, providing an emotional framework for enduring trauma</w:t>
      </w:r>
      <w:r w:rsidR="00775D34" w:rsidRPr="00C81473">
        <w:rPr>
          <w:color w:val="0A0A0A"/>
        </w:rPr>
        <w:t>.</w:t>
      </w:r>
      <w:r w:rsidR="00775D34" w:rsidRPr="00C81473">
        <w:rPr>
          <w:rStyle w:val="FootnoteReference"/>
          <w:color w:val="0A0A0A"/>
        </w:rPr>
        <w:footnoteReference w:id="53"/>
      </w:r>
    </w:p>
    <w:p w14:paraId="19F0834E" w14:textId="4F33A969" w:rsidR="00120CA4" w:rsidRPr="00C81473" w:rsidRDefault="00120CA4" w:rsidP="00C81473">
      <w:pPr>
        <w:pStyle w:val="df3vjf"/>
        <w:spacing w:after="180" w:line="360" w:lineRule="auto"/>
        <w:jc w:val="both"/>
        <w:rPr>
          <w:color w:val="0A0A0A"/>
        </w:rPr>
      </w:pPr>
      <w:r w:rsidRPr="00C81473">
        <w:rPr>
          <w:b/>
          <w:bCs/>
          <w:color w:val="0A0A0A"/>
        </w:rPr>
        <w:lastRenderedPageBreak/>
        <w:t>Silent Endurance:</w:t>
      </w:r>
      <w:r w:rsidRPr="00C81473">
        <w:rPr>
          <w:color w:val="0A0A0A"/>
        </w:rPr>
        <w:t xml:space="preserve"> In many cases, the lack of interest from community elders in the girl's trauma forces a strategy of "silent endurance," where the individual accepts her situation as an unavoidable part of life.</w:t>
      </w:r>
      <w:r w:rsidR="00775D34" w:rsidRPr="00C81473">
        <w:rPr>
          <w:rStyle w:val="FootnoteReference"/>
          <w:color w:val="0A0A0A"/>
        </w:rPr>
        <w:footnoteReference w:id="54"/>
      </w:r>
    </w:p>
    <w:p w14:paraId="73759C0A" w14:textId="42760972" w:rsidR="00120CA4" w:rsidRPr="00C81473" w:rsidRDefault="00120CA4" w:rsidP="00313C59">
      <w:pPr>
        <w:pStyle w:val="df3vjf"/>
        <w:numPr>
          <w:ilvl w:val="0"/>
          <w:numId w:val="4"/>
        </w:numPr>
        <w:spacing w:after="180" w:line="360" w:lineRule="auto"/>
        <w:jc w:val="both"/>
        <w:rPr>
          <w:b/>
          <w:bCs/>
          <w:color w:val="0A0A0A"/>
        </w:rPr>
      </w:pPr>
      <w:r w:rsidRPr="00C81473">
        <w:rPr>
          <w:b/>
          <w:bCs/>
          <w:color w:val="0A0A0A"/>
        </w:rPr>
        <w:t>Statutory Law vs. Customary Practice</w:t>
      </w:r>
    </w:p>
    <w:p w14:paraId="6AADCAD8" w14:textId="33121C7D" w:rsidR="00120CA4" w:rsidRPr="00C81473" w:rsidRDefault="00120CA4" w:rsidP="00C81473">
      <w:pPr>
        <w:pStyle w:val="df3vjf"/>
        <w:spacing w:after="180" w:line="360" w:lineRule="auto"/>
        <w:jc w:val="both"/>
        <w:rPr>
          <w:color w:val="0A0A0A"/>
        </w:rPr>
      </w:pPr>
      <w:r w:rsidRPr="00C81473">
        <w:rPr>
          <w:color w:val="0A0A0A"/>
        </w:rPr>
        <w:t>While the Children’s Act 1998 prohibits child marriage, empirical reviews of law enforcement in Ghana show a significant "implementation gap."</w:t>
      </w:r>
      <w:r w:rsidR="00775D34" w:rsidRPr="00C81473">
        <w:rPr>
          <w:rStyle w:val="FootnoteReference"/>
          <w:color w:val="0A0A0A"/>
        </w:rPr>
        <w:footnoteReference w:id="55"/>
      </w:r>
      <w:r w:rsidR="00B12E7A">
        <w:rPr>
          <w:color w:val="0A0A0A"/>
        </w:rPr>
        <w:t xml:space="preserve"> </w:t>
      </w:r>
      <w:r w:rsidRPr="00C81473">
        <w:rPr>
          <w:color w:val="0A0A0A"/>
        </w:rPr>
        <w:t>Studies indicate that birth registration is frequently ignored in rural areas, making it impossible for legal officials to verify the age of the bride.</w:t>
      </w:r>
      <w:r w:rsidR="00775D34" w:rsidRPr="00C81473">
        <w:rPr>
          <w:rStyle w:val="FootnoteReference"/>
          <w:color w:val="0A0A0A"/>
        </w:rPr>
        <w:footnoteReference w:id="56"/>
      </w:r>
    </w:p>
    <w:p w14:paraId="27052764" w14:textId="7EA88BAC" w:rsidR="009E6B74" w:rsidRPr="00C81473" w:rsidRDefault="00120CA4" w:rsidP="00C81473">
      <w:pPr>
        <w:pStyle w:val="df3vjf"/>
        <w:spacing w:after="180" w:line="360" w:lineRule="auto"/>
        <w:jc w:val="both"/>
        <w:rPr>
          <w:color w:val="0A0A0A"/>
        </w:rPr>
      </w:pPr>
      <w:r w:rsidRPr="00C81473">
        <w:rPr>
          <w:color w:val="0A0A0A"/>
        </w:rPr>
        <w:t>Furthermore, many families remain unaware that their "survival strategy" is a criminal offence, reflecting a deep-seated disconnect between national statutory law and the lived economic realities of the poor.</w:t>
      </w:r>
      <w:r w:rsidR="00775D34" w:rsidRPr="00C81473">
        <w:rPr>
          <w:rStyle w:val="FootnoteReference"/>
          <w:color w:val="0A0A0A"/>
        </w:rPr>
        <w:footnoteReference w:id="57"/>
      </w:r>
    </w:p>
    <w:p w14:paraId="65EAFE11" w14:textId="51E8D1DF" w:rsidR="00121612" w:rsidRPr="00C81473" w:rsidRDefault="00121612" w:rsidP="00313C59">
      <w:pPr>
        <w:pStyle w:val="df3vjf"/>
        <w:numPr>
          <w:ilvl w:val="0"/>
          <w:numId w:val="2"/>
        </w:numPr>
        <w:spacing w:after="180" w:line="360" w:lineRule="auto"/>
        <w:jc w:val="both"/>
        <w:rPr>
          <w:b/>
          <w:bCs/>
          <w:color w:val="0A0A0A"/>
        </w:rPr>
      </w:pPr>
      <w:r w:rsidRPr="00C81473">
        <w:rPr>
          <w:b/>
          <w:bCs/>
          <w:color w:val="0A0A0A"/>
        </w:rPr>
        <w:t>The Girl-Child as Currency: Economic Drivers of Child Marriage</w:t>
      </w:r>
    </w:p>
    <w:p w14:paraId="0321B935" w14:textId="77777777" w:rsidR="00121612" w:rsidRPr="00C81473" w:rsidRDefault="00121612" w:rsidP="00C81473">
      <w:pPr>
        <w:spacing w:line="360" w:lineRule="auto"/>
        <w:jc w:val="both"/>
        <w:rPr>
          <w:color w:val="0A0A0A"/>
        </w:rPr>
      </w:pPr>
      <w:r w:rsidRPr="00C81473">
        <w:rPr>
          <w:color w:val="0A0A0A"/>
        </w:rPr>
        <w:t>In the Western Region of Ghana, the persistence of child marriage is inextricably linked to the economic status of the family unit. While the practice is often cloaked in the language of tradition, a critical analysis reveals that it functions primarily as a financial instrument in the face of acute poverty. In households where resources are scarce and survival is a daily struggle, the girl-child is frequently viewed through a lens of economic utility, eventually becoming a form of "currency" used to alleviate family financial distress.</w:t>
      </w:r>
    </w:p>
    <w:p w14:paraId="2F8DE334" w14:textId="40E7791F" w:rsidR="00121612" w:rsidRPr="00C81473" w:rsidRDefault="00121612" w:rsidP="00C81473">
      <w:pPr>
        <w:spacing w:line="360" w:lineRule="auto"/>
        <w:jc w:val="both"/>
        <w:rPr>
          <w:rFonts w:eastAsiaTheme="majorEastAsia"/>
        </w:rPr>
      </w:pPr>
      <w:r w:rsidRPr="00C81473">
        <w:rPr>
          <w:color w:val="0A0A0A"/>
        </w:rPr>
        <w:t>The root of this economic transaction is the perception of the girl-child as an "economic burden."</w:t>
      </w:r>
      <w:r w:rsidRPr="00C81473">
        <w:rPr>
          <w:rStyle w:val="FootnoteReference"/>
          <w:color w:val="0A0A0A"/>
        </w:rPr>
        <w:footnoteReference w:id="58"/>
      </w:r>
    </w:p>
    <w:p w14:paraId="2F2FABD1" w14:textId="77777777" w:rsidR="00121612" w:rsidRPr="00C81473" w:rsidRDefault="00121612" w:rsidP="00C81473">
      <w:pPr>
        <w:spacing w:line="360" w:lineRule="auto"/>
        <w:jc w:val="both"/>
        <w:rPr>
          <w:color w:val="0A0A0A"/>
        </w:rPr>
      </w:pPr>
    </w:p>
    <w:p w14:paraId="29AE181C" w14:textId="5A59E4B0" w:rsidR="00121612" w:rsidRPr="00C81473" w:rsidRDefault="00121612" w:rsidP="00C81473">
      <w:pPr>
        <w:spacing w:line="360" w:lineRule="auto"/>
        <w:jc w:val="both"/>
        <w:rPr>
          <w:rFonts w:eastAsiaTheme="majorEastAsia"/>
        </w:rPr>
      </w:pPr>
      <w:r w:rsidRPr="00C81473">
        <w:rPr>
          <w:color w:val="0A0A0A"/>
        </w:rPr>
        <w:t>When families face severe deprivation, the cost of feeding, clothing, and schooling a daughter is often seen as unsustainable. In this context, early marriage is not merely a cultural rite but a calculated survival strategy designed to transfer the financial responsibility of the girl’s upkeep to another household.</w:t>
      </w:r>
      <w:r w:rsidRPr="00C81473">
        <w:rPr>
          <w:rStyle w:val="FootnoteReference"/>
          <w:color w:val="0A0A0A"/>
        </w:rPr>
        <w:footnoteReference w:id="59"/>
      </w:r>
      <w:r w:rsidRPr="00C81473">
        <w:rPr>
          <w:rFonts w:eastAsiaTheme="majorEastAsia"/>
        </w:rPr>
        <w:t xml:space="preserve"> </w:t>
      </w:r>
      <w:r w:rsidRPr="00C81473">
        <w:rPr>
          <w:color w:val="0A0A0A"/>
        </w:rPr>
        <w:t xml:space="preserve">By marrying off a daughter, the natal family reduces its </w:t>
      </w:r>
      <w:r w:rsidRPr="00C81473">
        <w:rPr>
          <w:color w:val="0A0A0A"/>
        </w:rPr>
        <w:lastRenderedPageBreak/>
        <w:t>number of dependents, thereby stretching its limited resources among the remaining members.</w:t>
      </w:r>
    </w:p>
    <w:p w14:paraId="10729692" w14:textId="77777777" w:rsidR="00121612" w:rsidRPr="00C81473" w:rsidRDefault="00121612" w:rsidP="00C81473">
      <w:pPr>
        <w:spacing w:line="360" w:lineRule="auto"/>
        <w:jc w:val="both"/>
        <w:rPr>
          <w:color w:val="0A0A0A"/>
        </w:rPr>
      </w:pPr>
    </w:p>
    <w:p w14:paraId="4D6CED56" w14:textId="0074F2BB" w:rsidR="00121612" w:rsidRPr="00B12E7A" w:rsidRDefault="00121612" w:rsidP="00C81473">
      <w:pPr>
        <w:spacing w:line="360" w:lineRule="auto"/>
        <w:jc w:val="both"/>
        <w:rPr>
          <w:color w:val="0A0A0A"/>
        </w:rPr>
      </w:pPr>
      <w:r w:rsidRPr="00C81473">
        <w:rPr>
          <w:color w:val="0A0A0A"/>
        </w:rPr>
        <w:t>The transactional nature of these unions is most explicitly demonstrated through the practice of</w:t>
      </w:r>
      <w:r w:rsidRPr="00C81473">
        <w:rPr>
          <w:rStyle w:val="apple-converted-space"/>
          <w:rFonts w:eastAsiaTheme="majorEastAsia"/>
          <w:color w:val="0A0A0A"/>
        </w:rPr>
        <w:t> </w:t>
      </w:r>
      <w:r w:rsidRPr="00C81473">
        <w:rPr>
          <w:rStyle w:val="Strong"/>
          <w:rFonts w:eastAsiaTheme="majorEastAsia"/>
          <w:color w:val="0A0A0A"/>
        </w:rPr>
        <w:t>bride wealth</w:t>
      </w:r>
      <w:r w:rsidRPr="00C81473">
        <w:rPr>
          <w:color w:val="0A0A0A"/>
        </w:rPr>
        <w:t>. In many rural communities, the marriage process involves the payment of cash, cattle, or other valuable assets by the groom’s family to the bride’s parents.</w:t>
      </w:r>
      <w:r w:rsidRPr="00C81473">
        <w:rPr>
          <w:rStyle w:val="FootnoteReference"/>
          <w:color w:val="0A0A0A"/>
        </w:rPr>
        <w:footnoteReference w:id="60"/>
      </w:r>
      <w:r w:rsidR="00B12E7A">
        <w:rPr>
          <w:color w:val="0A0A0A"/>
        </w:rPr>
        <w:t xml:space="preserve"> </w:t>
      </w:r>
      <w:r w:rsidRPr="00C81473">
        <w:rPr>
          <w:color w:val="0A0A0A"/>
        </w:rPr>
        <w:t>This payment serves as a symbolic and literal exchange for the girl’s future domestic labour and her reproductive potential.</w:t>
      </w:r>
      <w:r w:rsidRPr="00C81473">
        <w:rPr>
          <w:rStyle w:val="FootnoteReference"/>
          <w:color w:val="0A0A0A"/>
        </w:rPr>
        <w:footnoteReference w:id="61"/>
      </w:r>
    </w:p>
    <w:p w14:paraId="3019ABF4" w14:textId="77777777" w:rsidR="00121612" w:rsidRPr="00C81473" w:rsidRDefault="00121612" w:rsidP="00C81473">
      <w:pPr>
        <w:pStyle w:val="ListParagraph"/>
        <w:spacing w:line="360" w:lineRule="auto"/>
        <w:ind w:left="1080"/>
        <w:jc w:val="both"/>
        <w:rPr>
          <w:rStyle w:val="apple-converted-space"/>
          <w:rFonts w:eastAsiaTheme="majorEastAsia"/>
        </w:rPr>
      </w:pPr>
    </w:p>
    <w:p w14:paraId="3C7EC470" w14:textId="42AEFDC7" w:rsidR="00121612" w:rsidRPr="00B12E7A" w:rsidRDefault="00121612" w:rsidP="00C81473">
      <w:pPr>
        <w:spacing w:line="360" w:lineRule="auto"/>
        <w:jc w:val="both"/>
        <w:rPr>
          <w:rFonts w:eastAsiaTheme="majorEastAsia"/>
        </w:rPr>
      </w:pPr>
      <w:r w:rsidRPr="00C81473">
        <w:rPr>
          <w:rStyle w:val="apple-converted-space"/>
          <w:rFonts w:eastAsiaTheme="majorEastAsia"/>
          <w:color w:val="0A0A0A"/>
        </w:rPr>
        <w:t> </w:t>
      </w:r>
      <w:r w:rsidRPr="00C81473">
        <w:rPr>
          <w:color w:val="0A0A0A"/>
        </w:rPr>
        <w:t>For a family in financial crisis, this capital infusion represents an immediate relief from poverty. In even more extreme cases, the girl-child is used as a direct means of debt settlement. Here, she becomes "currency" in the most literal sense sacrificed to resolve a family’s financial obligations or to cement an economic alliance with a more affluent household.</w:t>
      </w:r>
      <w:r w:rsidRPr="00C81473">
        <w:rPr>
          <w:rStyle w:val="FootnoteReference"/>
          <w:color w:val="0A0A0A"/>
        </w:rPr>
        <w:footnoteReference w:id="62"/>
      </w:r>
      <w:r w:rsidR="00B12E7A">
        <w:rPr>
          <w:rFonts w:eastAsiaTheme="majorEastAsia"/>
        </w:rPr>
        <w:t xml:space="preserve"> </w:t>
      </w:r>
      <w:r w:rsidRPr="00C81473">
        <w:rPr>
          <w:color w:val="0A0A0A"/>
        </w:rPr>
        <w:t>This "commodity trap" is further reinforced by the gendered devaluation of education. In resource-constrained environments, parents often engage in a pragmatic cost-benefit analysis regarding educational investment. Because patriarchal norms dictate that a daughter will eventually leave her natal home to serve her husband’s family, many parents view investing in her education as a "wasted resource."</w:t>
      </w:r>
      <w:r w:rsidRPr="00C81473">
        <w:rPr>
          <w:rStyle w:val="FootnoteReference"/>
          <w:color w:val="0A0A0A"/>
        </w:rPr>
        <w:footnoteReference w:id="63"/>
      </w:r>
    </w:p>
    <w:p w14:paraId="26653851" w14:textId="77777777" w:rsidR="00121612" w:rsidRPr="00C81473" w:rsidRDefault="00121612" w:rsidP="00C81473">
      <w:pPr>
        <w:spacing w:line="360" w:lineRule="auto"/>
        <w:jc w:val="both"/>
        <w:rPr>
          <w:rFonts w:eastAsiaTheme="majorEastAsia"/>
        </w:rPr>
      </w:pPr>
    </w:p>
    <w:p w14:paraId="699FC71C" w14:textId="044CFFCD" w:rsidR="00121612" w:rsidRPr="00C81473" w:rsidRDefault="00121612" w:rsidP="00C81473">
      <w:pPr>
        <w:spacing w:line="360" w:lineRule="auto"/>
        <w:jc w:val="both"/>
        <w:rPr>
          <w:rFonts w:eastAsiaTheme="majorEastAsia"/>
        </w:rPr>
      </w:pPr>
      <w:r w:rsidRPr="00C81473">
        <w:rPr>
          <w:color w:val="0A0A0A"/>
        </w:rPr>
        <w:t>There is a prevailing belief that the returns on a girl’s education will benefit her in-laws rather than her biological parents. Consequently, the boy-child is prioritized for schooling as he is seen as a more secure long-term investment for the family’s future.</w:t>
      </w:r>
      <w:r w:rsidRPr="00C81473">
        <w:rPr>
          <w:rStyle w:val="FootnoteReference"/>
          <w:color w:val="0A0A0A"/>
        </w:rPr>
        <w:footnoteReference w:id="64"/>
      </w:r>
    </w:p>
    <w:p w14:paraId="35F673AB" w14:textId="4F739BEB" w:rsidR="00775D34" w:rsidRPr="00C81473" w:rsidRDefault="00121612" w:rsidP="00C81473">
      <w:pPr>
        <w:spacing w:line="360" w:lineRule="auto"/>
        <w:jc w:val="both"/>
        <w:rPr>
          <w:color w:val="0A0A0A"/>
        </w:rPr>
      </w:pPr>
      <w:r w:rsidRPr="00C81473">
        <w:rPr>
          <w:color w:val="0A0A0A"/>
        </w:rPr>
        <w:t>In conclusion, child marriage in the Western Region is driven by a collision between patriarchal devaluation and the desperate need for financial liquidity. As long as the girl-child is viewed as a tradable asset rather than an individual with autonomous rights, the practice will continue to serve as a tolerable, albeit harmful, economic survival mechanism.</w:t>
      </w:r>
    </w:p>
    <w:p w14:paraId="0D6DEF01" w14:textId="1EBBDA5E" w:rsidR="00121612" w:rsidRPr="00C81473" w:rsidRDefault="00121612" w:rsidP="00313C59">
      <w:pPr>
        <w:pStyle w:val="df3vjf"/>
        <w:numPr>
          <w:ilvl w:val="0"/>
          <w:numId w:val="2"/>
        </w:numPr>
        <w:spacing w:after="180" w:line="360" w:lineRule="auto"/>
        <w:jc w:val="both"/>
        <w:rPr>
          <w:rStyle w:val="Strong"/>
          <w:b w:val="0"/>
          <w:bCs w:val="0"/>
          <w:color w:val="0A0A0A"/>
        </w:rPr>
      </w:pPr>
      <w:r w:rsidRPr="00C81473">
        <w:rPr>
          <w:rStyle w:val="Strong"/>
          <w:rFonts w:eastAsiaTheme="majorEastAsia"/>
          <w:color w:val="0A0A0A"/>
        </w:rPr>
        <w:t>Psychosocial Consequences</w:t>
      </w:r>
    </w:p>
    <w:p w14:paraId="358DF32D" w14:textId="0F7F6A4C" w:rsidR="00121612" w:rsidRPr="00C81473" w:rsidRDefault="00121612" w:rsidP="00C81473">
      <w:pPr>
        <w:spacing w:line="360" w:lineRule="auto"/>
        <w:jc w:val="both"/>
        <w:rPr>
          <w:rStyle w:val="Strong"/>
          <w:rFonts w:eastAsiaTheme="majorEastAsia"/>
          <w:b w:val="0"/>
          <w:bCs w:val="0"/>
          <w:color w:val="0A0A0A"/>
        </w:rPr>
      </w:pPr>
      <w:r w:rsidRPr="00C81473">
        <w:rPr>
          <w:color w:val="0A0A0A"/>
        </w:rPr>
        <w:t xml:space="preserve">The psychological and social landscape of child marriage is defined by a "premature end to adolescence," as young girls are thrust into adult roles including sexual intercourse and </w:t>
      </w:r>
      <w:r w:rsidRPr="00C81473">
        <w:rPr>
          <w:color w:val="0A0A0A"/>
        </w:rPr>
        <w:lastRenderedPageBreak/>
        <w:t>childbearing before they are cognitively or emotionally mature.</w:t>
      </w:r>
      <w:r w:rsidR="00FE22C5" w:rsidRPr="00C81473">
        <w:rPr>
          <w:rStyle w:val="FootnoteReference"/>
          <w:color w:val="0A0A0A"/>
        </w:rPr>
        <w:footnoteReference w:id="65"/>
      </w:r>
      <w:r w:rsidRPr="00C81473">
        <w:rPr>
          <w:rStyle w:val="apple-converted-space"/>
          <w:rFonts w:eastAsiaTheme="majorEastAsia"/>
          <w:color w:val="0A0A0A"/>
          <w:shd w:val="clear" w:color="auto" w:fill="FFFFFF"/>
        </w:rPr>
        <w:t> </w:t>
      </w:r>
      <w:r w:rsidRPr="00C81473">
        <w:rPr>
          <w:color w:val="0A0A0A"/>
          <w:shd w:val="clear" w:color="auto" w:fill="FFFFFF"/>
        </w:rPr>
        <w:t>The transition from a protected childhood to a restrictive marital life creates a profound social isolation that severs existing support networks of peers and teachers.</w:t>
      </w:r>
      <w:r w:rsidR="00FE22C5" w:rsidRPr="00C81473">
        <w:rPr>
          <w:rStyle w:val="FootnoteReference"/>
          <w:color w:val="0A0A0A"/>
          <w:shd w:val="clear" w:color="auto" w:fill="FFFFFF"/>
        </w:rPr>
        <w:footnoteReference w:id="66"/>
      </w:r>
      <w:r w:rsidRPr="00C81473">
        <w:rPr>
          <w:color w:val="0A0A0A"/>
        </w:rPr>
        <w:t xml:space="preserve"> </w:t>
      </w:r>
      <w:r w:rsidRPr="00C81473">
        <w:rPr>
          <w:color w:val="0A0A0A"/>
          <w:shd w:val="clear" w:color="auto" w:fill="FFFFFF"/>
        </w:rPr>
        <w:t>To navigate these traumatic structural constraints, women in child marriages employ a variety of psychosocial coping mechanisms, ranging from proactive help-seeking to internalised endurance.</w:t>
      </w:r>
    </w:p>
    <w:p w14:paraId="1C2A13C9" w14:textId="653ADBBD" w:rsidR="00121612" w:rsidRPr="00C81473" w:rsidRDefault="00121612" w:rsidP="00C81473">
      <w:pPr>
        <w:pStyle w:val="df3vjf"/>
        <w:spacing w:after="180" w:line="360" w:lineRule="auto"/>
        <w:jc w:val="both"/>
        <w:rPr>
          <w:rStyle w:val="Strong"/>
          <w:rFonts w:eastAsiaTheme="majorEastAsia"/>
          <w:b w:val="0"/>
          <w:bCs w:val="0"/>
          <w:color w:val="0A0A0A"/>
        </w:rPr>
      </w:pPr>
      <w:r w:rsidRPr="00C81473">
        <w:rPr>
          <w:rStyle w:val="Strong"/>
          <w:rFonts w:eastAsiaTheme="majorEastAsia"/>
          <w:b w:val="0"/>
          <w:bCs w:val="0"/>
          <w:color w:val="0A0A0A"/>
        </w:rPr>
        <w:t>One primary mechanism is proactive help-seeking. Despite systemic barriers, some women actively seek external resources to alleviate their distress. Empirical studies in Northern Ghana indicate that married adolescent girls often turn to significant others, such as spouses, in-laws, or medical professionals, for guidance and material support.</w:t>
      </w:r>
      <w:r w:rsidR="00FE22C5" w:rsidRPr="00C81473">
        <w:rPr>
          <w:rStyle w:val="FootnoteReference"/>
          <w:rFonts w:eastAsiaTheme="majorEastAsia"/>
          <w:color w:val="0A0A0A"/>
        </w:rPr>
        <w:footnoteReference w:id="67"/>
      </w:r>
      <w:r w:rsidRPr="00C81473">
        <w:rPr>
          <w:rStyle w:val="Strong"/>
          <w:rFonts w:eastAsiaTheme="majorEastAsia"/>
          <w:b w:val="0"/>
          <w:bCs w:val="0"/>
          <w:color w:val="0A0A0A"/>
        </w:rPr>
        <w:t xml:space="preserve">  This adaptive behavioural strategy is vital for accessing basic needs like food and reproductive healthcare, which may otherwise be withheld in financially abusive or neglectful relationships.</w:t>
      </w:r>
      <w:r w:rsidR="00FE22C5" w:rsidRPr="00C81473">
        <w:rPr>
          <w:rStyle w:val="FootnoteReference"/>
          <w:rFonts w:eastAsiaTheme="majorEastAsia"/>
          <w:color w:val="0A0A0A"/>
        </w:rPr>
        <w:footnoteReference w:id="68"/>
      </w:r>
    </w:p>
    <w:p w14:paraId="578C9D96" w14:textId="33A58378" w:rsidR="00FE22C5" w:rsidRPr="00C81473" w:rsidRDefault="00FE22C5" w:rsidP="00C81473">
      <w:pPr>
        <w:pStyle w:val="df3vjf"/>
        <w:spacing w:after="180" w:line="360" w:lineRule="auto"/>
        <w:jc w:val="both"/>
        <w:rPr>
          <w:rStyle w:val="Strong"/>
          <w:rFonts w:eastAsiaTheme="majorEastAsia"/>
          <w:b w:val="0"/>
          <w:bCs w:val="0"/>
          <w:color w:val="0A0A0A"/>
        </w:rPr>
      </w:pPr>
      <w:r w:rsidRPr="00C81473">
        <w:rPr>
          <w:rStyle w:val="Strong"/>
          <w:rFonts w:eastAsiaTheme="majorEastAsia"/>
          <w:b w:val="0"/>
          <w:bCs w:val="0"/>
          <w:color w:val="0A0A0A"/>
        </w:rPr>
        <w:t>Conversely, many women adopt more internalised and sometimes maladaptive coping styles. When the weight of domestic chores and marital expectations becomes overwhelming, some resort to avoidance strategies or emotional withdrawal as a means of psychological survival.</w:t>
      </w:r>
      <w:r w:rsidRPr="00C81473">
        <w:rPr>
          <w:rStyle w:val="FootnoteReference"/>
          <w:rFonts w:eastAsiaTheme="majorEastAsia"/>
          <w:color w:val="0A0A0A"/>
        </w:rPr>
        <w:footnoteReference w:id="69"/>
      </w:r>
      <w:r w:rsidRPr="00C81473">
        <w:rPr>
          <w:rStyle w:val="Strong"/>
          <w:rFonts w:eastAsiaTheme="majorEastAsia"/>
          <w:b w:val="0"/>
          <w:bCs w:val="0"/>
          <w:color w:val="0A0A0A"/>
        </w:rPr>
        <w:t xml:space="preserve"> This often involves a sense of resignation, where the woman accepts her situation as an "inevitable fate" to protect the family’s social honour and avoid the severe stigma associated with divorce.</w:t>
      </w:r>
      <w:r w:rsidRPr="00C81473">
        <w:rPr>
          <w:rStyle w:val="FootnoteReference"/>
          <w:rFonts w:eastAsiaTheme="majorEastAsia"/>
          <w:color w:val="0A0A0A"/>
        </w:rPr>
        <w:footnoteReference w:id="70"/>
      </w:r>
      <w:r w:rsidRPr="00C81473">
        <w:rPr>
          <w:rStyle w:val="Strong"/>
          <w:rFonts w:eastAsiaTheme="majorEastAsia"/>
          <w:b w:val="0"/>
          <w:bCs w:val="0"/>
          <w:color w:val="0A0A0A"/>
        </w:rPr>
        <w:t xml:space="preserve"> This "silent endurance" is frequently reinforced by a lack of alternative livelihood opportunities and the sociocultural grounding of their entrapment within patriarchal marital relationships.</w:t>
      </w:r>
      <w:r w:rsidRPr="00C81473">
        <w:rPr>
          <w:rStyle w:val="FootnoteReference"/>
          <w:rFonts w:eastAsiaTheme="majorEastAsia"/>
          <w:color w:val="0A0A0A"/>
        </w:rPr>
        <w:footnoteReference w:id="71"/>
      </w:r>
    </w:p>
    <w:p w14:paraId="2E5C969C" w14:textId="201A8E85" w:rsidR="00121612" w:rsidRPr="00C81473" w:rsidRDefault="00FE22C5" w:rsidP="00C81473">
      <w:pPr>
        <w:pStyle w:val="df3vjf"/>
        <w:spacing w:after="180" w:line="360" w:lineRule="auto"/>
        <w:jc w:val="both"/>
        <w:rPr>
          <w:rFonts w:eastAsiaTheme="majorEastAsia"/>
          <w:color w:val="0A0A0A"/>
        </w:rPr>
      </w:pPr>
      <w:r w:rsidRPr="00C81473">
        <w:rPr>
          <w:rStyle w:val="Strong"/>
          <w:rFonts w:eastAsiaTheme="majorEastAsia"/>
          <w:color w:val="0A0A0A"/>
        </w:rPr>
        <w:t>Faith-based</w:t>
      </w:r>
      <w:r w:rsidRPr="00C81473">
        <w:rPr>
          <w:rStyle w:val="Strong"/>
          <w:rFonts w:eastAsiaTheme="majorEastAsia"/>
          <w:b w:val="0"/>
          <w:bCs w:val="0"/>
          <w:color w:val="0A0A0A"/>
        </w:rPr>
        <w:t xml:space="preserve"> resilience serves as a powerful psychological buffer. In Ghana, where religious beliefs deeply influence social conduct, women often rely on spiritual leaders and faith-based groups for emotional support and moral guidance.</w:t>
      </w:r>
      <w:r w:rsidRPr="00C81473">
        <w:rPr>
          <w:rStyle w:val="FootnoteReference"/>
          <w:rFonts w:eastAsiaTheme="majorEastAsia"/>
          <w:color w:val="0A0A0A"/>
        </w:rPr>
        <w:footnoteReference w:id="72"/>
      </w:r>
      <w:r w:rsidRPr="00C81473">
        <w:rPr>
          <w:rStyle w:val="Strong"/>
          <w:rFonts w:eastAsiaTheme="majorEastAsia"/>
          <w:b w:val="0"/>
          <w:bCs w:val="0"/>
          <w:color w:val="0A0A0A"/>
        </w:rPr>
        <w:t xml:space="preserve"> These networks provide a sense of belonging and a narrative of perseverance that helps victims process their trauma within a </w:t>
      </w:r>
      <w:r w:rsidRPr="00C81473">
        <w:rPr>
          <w:rStyle w:val="Strong"/>
          <w:rFonts w:eastAsiaTheme="majorEastAsia"/>
          <w:b w:val="0"/>
          <w:bCs w:val="0"/>
          <w:color w:val="0A0A0A"/>
        </w:rPr>
        <w:lastRenderedPageBreak/>
        <w:t>framework of communal harmony.</w:t>
      </w:r>
      <w:r w:rsidRPr="00C81473">
        <w:rPr>
          <w:rStyle w:val="FootnoteReference"/>
          <w:rFonts w:eastAsiaTheme="majorEastAsia"/>
          <w:color w:val="0A0A0A"/>
        </w:rPr>
        <w:footnoteReference w:id="73"/>
      </w:r>
      <w:r w:rsidRPr="00C81473">
        <w:rPr>
          <w:rStyle w:val="Strong"/>
          <w:rFonts w:eastAsiaTheme="majorEastAsia"/>
          <w:b w:val="0"/>
          <w:bCs w:val="0"/>
          <w:color w:val="0A0A0A"/>
        </w:rPr>
        <w:t xml:space="preserve"> Ultimately, while these coping mechanisms allow for survival, they often function within the very patriarchal structures that necessitate them, highlighting the need for institutional support that empowers individual autonomy over mere endurance.</w:t>
      </w:r>
    </w:p>
    <w:p w14:paraId="14BC03E3" w14:textId="77777777" w:rsidR="00801D8B" w:rsidRPr="00C81473" w:rsidRDefault="00801D8B" w:rsidP="00313C59">
      <w:pPr>
        <w:pStyle w:val="df3vjf"/>
        <w:numPr>
          <w:ilvl w:val="0"/>
          <w:numId w:val="2"/>
        </w:numPr>
        <w:spacing w:after="180" w:line="360" w:lineRule="auto"/>
        <w:jc w:val="both"/>
        <w:rPr>
          <w:b/>
          <w:bCs/>
          <w:color w:val="0A0A0A"/>
        </w:rPr>
      </w:pPr>
      <w:r w:rsidRPr="00C81473">
        <w:rPr>
          <w:b/>
          <w:bCs/>
          <w:color w:val="0A0A0A"/>
        </w:rPr>
        <w:t xml:space="preserve">Survival at the Intersection: Coping Mechanisms of Women in Child Marriages </w:t>
      </w:r>
    </w:p>
    <w:p w14:paraId="6DCBB723" w14:textId="06C7F555" w:rsidR="00FE22C5" w:rsidRPr="00C81473" w:rsidRDefault="00801D8B" w:rsidP="00C81473">
      <w:pPr>
        <w:pStyle w:val="df3vjf"/>
        <w:spacing w:after="180" w:line="360" w:lineRule="auto"/>
        <w:jc w:val="both"/>
        <w:rPr>
          <w:color w:val="0A0A0A"/>
        </w:rPr>
      </w:pPr>
      <w:r w:rsidRPr="00C81473">
        <w:rPr>
          <w:color w:val="0A0A0A"/>
        </w:rPr>
        <w:t>For young women in the Western Region of Ghana, child marriage is a restrictive environment that necessitates complex survival strategies. The decision to remain in these unions is often coerced by the ‘no-return’ policy of the natal home; should a girl flee an abusive spouse, she frequently faces being beaten by her own kin and forcibly returned to avoid the perceived 'shame' or the economic requirement to refund bride wealth.</w:t>
      </w:r>
      <w:r w:rsidRPr="00C81473">
        <w:rPr>
          <w:rStyle w:val="FootnoteReference"/>
          <w:color w:val="0A0A0A"/>
        </w:rPr>
        <w:footnoteReference w:id="74"/>
      </w:r>
      <w:r w:rsidRPr="00C81473">
        <w:rPr>
          <w:color w:val="0A0A0A"/>
        </w:rPr>
        <w:t xml:space="preserve"> Consequently, these women must develop robust coping mechanisms to endure their marital lives.</w:t>
      </w:r>
    </w:p>
    <w:p w14:paraId="322DBA80" w14:textId="6C3E9470" w:rsidR="00801D8B" w:rsidRPr="00C81473" w:rsidRDefault="00801D8B" w:rsidP="00C81473">
      <w:pPr>
        <w:pStyle w:val="df3vjf"/>
        <w:spacing w:after="180" w:line="360" w:lineRule="auto"/>
        <w:jc w:val="both"/>
        <w:rPr>
          <w:color w:val="0A0A0A"/>
        </w:rPr>
      </w:pPr>
      <w:r w:rsidRPr="00C81473">
        <w:rPr>
          <w:b/>
          <w:bCs/>
          <w:color w:val="0A0A0A"/>
        </w:rPr>
        <w:t>Economic coping</w:t>
      </w:r>
      <w:r w:rsidRPr="00C81473">
        <w:rPr>
          <w:color w:val="0A0A0A"/>
        </w:rPr>
        <w:t xml:space="preserve"> represents a primary survival strategy within the family of procreation. Often denied formal education, these women enter marriage with significant vocational deficits. To navigate the financial neglect that frequently accompanies forced unions, they engage in ‘subsistence survivalism,’ such as petty trading or subsistence farming, to provide for themselves and their children.</w:t>
      </w:r>
      <w:r w:rsidRPr="00C81473">
        <w:rPr>
          <w:rStyle w:val="FootnoteReference"/>
          <w:color w:val="0A0A0A"/>
        </w:rPr>
        <w:footnoteReference w:id="75"/>
      </w:r>
      <w:r w:rsidRPr="00C81473">
        <w:rPr>
          <w:color w:val="0A0A0A"/>
        </w:rPr>
        <w:t xml:space="preserve"> This form of ‘shadow agency’ is essential because, within a patriarchal framework, husbands may withhold financial resources as a method of control, leaving the woman to independently navigate the household's economic challenges.</w:t>
      </w:r>
      <w:r w:rsidRPr="00C81473">
        <w:rPr>
          <w:rStyle w:val="FootnoteReference"/>
          <w:color w:val="0A0A0A"/>
        </w:rPr>
        <w:footnoteReference w:id="76"/>
      </w:r>
    </w:p>
    <w:p w14:paraId="00F14895" w14:textId="3FA351BA" w:rsidR="00801D8B" w:rsidRPr="00C81473" w:rsidRDefault="00801D8B" w:rsidP="00C81473">
      <w:pPr>
        <w:pStyle w:val="df3vjf"/>
        <w:spacing w:after="180" w:line="360" w:lineRule="auto"/>
        <w:jc w:val="both"/>
        <w:rPr>
          <w:color w:val="0A0A0A"/>
        </w:rPr>
      </w:pPr>
      <w:r w:rsidRPr="00C81473">
        <w:rPr>
          <w:b/>
          <w:bCs/>
          <w:color w:val="0A0A0A"/>
        </w:rPr>
        <w:t>Psychological resilience</w:t>
      </w:r>
      <w:r w:rsidRPr="00C81473">
        <w:rPr>
          <w:color w:val="0A0A0A"/>
        </w:rPr>
        <w:t xml:space="preserve"> is equally critical in managing the confinement to domestic roles. The ‘loss of adolescence’ and the lack of physical mobility create a sense of domestic entrapment where the woman’s world is reduced to the household.</w:t>
      </w:r>
      <w:r w:rsidRPr="00C81473">
        <w:rPr>
          <w:rStyle w:val="FootnoteReference"/>
          <w:color w:val="0A0A0A"/>
        </w:rPr>
        <w:footnoteReference w:id="77"/>
      </w:r>
      <w:r w:rsidRPr="00C81473">
        <w:rPr>
          <w:color w:val="0A0A0A"/>
        </w:rPr>
        <w:t xml:space="preserve"> To survive this psychological strain, many develop internalised strategies of resignation and ‘compartmentalisation.’</w:t>
      </w:r>
      <w:r w:rsidRPr="00C81473">
        <w:rPr>
          <w:rStyle w:val="FootnoteReference"/>
          <w:color w:val="0A0A0A"/>
        </w:rPr>
        <w:footnoteReference w:id="78"/>
      </w:r>
      <w:r w:rsidRPr="00C81473">
        <w:rPr>
          <w:color w:val="0A0A0A"/>
        </w:rPr>
        <w:t xml:space="preserve"> Studies suggest that women often reframe their identities around </w:t>
      </w:r>
      <w:r w:rsidRPr="00C81473">
        <w:rPr>
          <w:color w:val="0A0A0A"/>
        </w:rPr>
        <w:lastRenderedPageBreak/>
        <w:t>motherhood or religious devotion to find meaning in an environment that otherwise denies them autonomy and intellectual growth.</w:t>
      </w:r>
      <w:r w:rsidRPr="00C81473">
        <w:rPr>
          <w:rStyle w:val="FootnoteReference"/>
          <w:color w:val="0A0A0A"/>
        </w:rPr>
        <w:footnoteReference w:id="79"/>
      </w:r>
    </w:p>
    <w:p w14:paraId="67166CB2" w14:textId="03E3F872" w:rsidR="00801D8B" w:rsidRPr="00C81473" w:rsidRDefault="00801D8B" w:rsidP="00C81473">
      <w:pPr>
        <w:pStyle w:val="df3vjf"/>
        <w:spacing w:after="180" w:line="360" w:lineRule="auto"/>
        <w:jc w:val="both"/>
        <w:rPr>
          <w:color w:val="0A0A0A"/>
        </w:rPr>
      </w:pPr>
      <w:r w:rsidRPr="00C81473">
        <w:rPr>
          <w:color w:val="0A0A0A"/>
        </w:rPr>
        <w:t>The most harrowing survival mechanisms are those developed to cope with abuse. When physical, verbal, or sexual violence occurs, and the natal home remains closed to them, women often resort to ‘silent endurance’ and conflict avoidance.</w:t>
      </w:r>
      <w:r w:rsidRPr="00C81473">
        <w:rPr>
          <w:rStyle w:val="FootnoteReference"/>
          <w:color w:val="0A0A0A"/>
        </w:rPr>
        <w:footnoteReference w:id="80"/>
      </w:r>
      <w:r w:rsidRPr="00C81473">
        <w:rPr>
          <w:color w:val="0A0A0A"/>
        </w:rPr>
        <w:t xml:space="preserve">  In many Ghanaian communities, the sociocultural grounding of marital entrapment is so deep that women are socialised to accept abuse as a test of their ‘virtue’ or ‘strength.’</w:t>
      </w:r>
      <w:r w:rsidRPr="00C81473">
        <w:rPr>
          <w:rStyle w:val="FootnoteReference"/>
          <w:color w:val="0A0A0A"/>
        </w:rPr>
        <w:footnoteReference w:id="81"/>
      </w:r>
      <w:r w:rsidRPr="00C81473">
        <w:rPr>
          <w:color w:val="0A0A0A"/>
        </w:rPr>
        <w:t xml:space="preserve"> While some seek counsel from religious leaders, these interventions often prioritise the ‘sanctity’ of the marriage over the safety of the individual, forcing the woman back into a cycle of endurance.</w:t>
      </w:r>
      <w:r w:rsidRPr="00C81473">
        <w:rPr>
          <w:rStyle w:val="FootnoteReference"/>
          <w:color w:val="0A0A0A"/>
        </w:rPr>
        <w:footnoteReference w:id="82"/>
      </w:r>
    </w:p>
    <w:p w14:paraId="60136A05" w14:textId="77777777" w:rsidR="00801D8B" w:rsidRPr="00C81473" w:rsidRDefault="00801D8B" w:rsidP="00313C59">
      <w:pPr>
        <w:pStyle w:val="df3vjf"/>
        <w:numPr>
          <w:ilvl w:val="0"/>
          <w:numId w:val="2"/>
        </w:numPr>
        <w:spacing w:after="180" w:line="360" w:lineRule="auto"/>
        <w:jc w:val="both"/>
        <w:rPr>
          <w:color w:val="0A0A0A"/>
        </w:rPr>
      </w:pPr>
      <w:r w:rsidRPr="00C81473">
        <w:rPr>
          <w:rStyle w:val="Strong"/>
          <w:rFonts w:eastAsiaTheme="majorEastAsia"/>
          <w:color w:val="0A0A0A"/>
        </w:rPr>
        <w:t>The Role of the State: LEAP and Economic Intervention</w:t>
      </w:r>
    </w:p>
    <w:p w14:paraId="14E6CAA0" w14:textId="7A603749" w:rsidR="00F93638" w:rsidRPr="00C81473" w:rsidRDefault="00F93638" w:rsidP="00C81473">
      <w:pPr>
        <w:pStyle w:val="df3vjf"/>
        <w:spacing w:after="180" w:line="360" w:lineRule="auto"/>
        <w:jc w:val="both"/>
        <w:rPr>
          <w:color w:val="0A0A0A"/>
        </w:rPr>
      </w:pPr>
      <w:r w:rsidRPr="00C81473">
        <w:rPr>
          <w:color w:val="0A0A0A"/>
        </w:rPr>
        <w:t>The state’s role in child marriage in Ghana is paradoxical; while the government criminalises the practice, it simultaneously bears the financial burden of managing its consequences. When the girl-child is denied education and vocational training through early marriage, she is effectively transformed from a potential economic asset into a lifelong state "liability." This transformation is most visible through the Livelihood Empowerment Against Poverty (LEAP) programme, the state's flagship social protection intervention. LEAP provides bimonthly cash grants to extremely poor households, but it increasingly serves as a permanent safety net for women rendered vulnerable by a total lack of human capital a direct outcome of being married off as children.</w:t>
      </w:r>
      <w:r w:rsidRPr="00C81473">
        <w:rPr>
          <w:rStyle w:val="FootnoteReference"/>
          <w:color w:val="0A0A0A"/>
        </w:rPr>
        <w:footnoteReference w:id="83"/>
      </w:r>
      <w:r w:rsidRPr="00C81473">
        <w:rPr>
          <w:color w:val="0A0A0A"/>
        </w:rPr>
        <w:t xml:space="preserve"> Consequently, the state is forced to divert limited national resources to sustain women who, had they stayed in school, could have been active contributors to the national tax base.</w:t>
      </w:r>
      <w:r w:rsidRPr="00C81473">
        <w:rPr>
          <w:rStyle w:val="FootnoteReference"/>
          <w:color w:val="0A0A0A"/>
        </w:rPr>
        <w:footnoteReference w:id="84"/>
      </w:r>
    </w:p>
    <w:p w14:paraId="11AAA6A4" w14:textId="105243FE" w:rsidR="00801D8B" w:rsidRPr="00C81473" w:rsidRDefault="00801D8B" w:rsidP="00C81473">
      <w:pPr>
        <w:pStyle w:val="df3vjf"/>
        <w:spacing w:after="180" w:line="360" w:lineRule="auto"/>
        <w:jc w:val="both"/>
        <w:rPr>
          <w:color w:val="0A0A0A"/>
        </w:rPr>
      </w:pPr>
      <w:r w:rsidRPr="00C81473">
        <w:rPr>
          <w:color w:val="0A0A0A"/>
        </w:rPr>
        <w:t xml:space="preserve">The efficiency of this intervention is often undermined by institutional challenges. Recent reports indicate that delays in LEAP payments can be "devastating" for households that have become entirely dependent on state aid for survival, leaving them with no choice but to revert </w:t>
      </w:r>
      <w:r w:rsidRPr="00C81473">
        <w:rPr>
          <w:color w:val="0A0A0A"/>
        </w:rPr>
        <w:lastRenderedPageBreak/>
        <w:t>to the very "survival strategies" that perpetuate child marriage.</w:t>
      </w:r>
      <w:r w:rsidR="00F93638" w:rsidRPr="00C81473">
        <w:rPr>
          <w:rStyle w:val="FootnoteReference"/>
          <w:color w:val="0A0A0A"/>
        </w:rPr>
        <w:footnoteReference w:id="85"/>
      </w:r>
      <w:r w:rsidRPr="00C81473">
        <w:rPr>
          <w:color w:val="0A0A0A"/>
        </w:rPr>
        <w:t xml:space="preserve"> This dependency highlights a systemic failure: the state is paying for the "social cost" of a practice it has failed to prevent at the communal level.</w:t>
      </w:r>
      <w:r w:rsidR="00F93638" w:rsidRPr="00C81473">
        <w:rPr>
          <w:rStyle w:val="FootnoteReference"/>
          <w:color w:val="0A0A0A"/>
        </w:rPr>
        <w:footnoteReference w:id="86"/>
      </w:r>
      <w:r w:rsidRPr="00C81473">
        <w:rPr>
          <w:color w:val="0A0A0A"/>
        </w:rPr>
        <w:t xml:space="preserve"> Instead of investing in the front-end prevention of child marriage, the national budget is drained by the back-end support of its victims, representing a reactive rather than proactive approach to social welfare.</w:t>
      </w:r>
      <w:r w:rsidR="00F93638" w:rsidRPr="00C81473">
        <w:rPr>
          <w:rStyle w:val="FootnoteReference"/>
          <w:color w:val="0A0A0A"/>
        </w:rPr>
        <w:footnoteReference w:id="87"/>
      </w:r>
      <w:r w:rsidRPr="00C81473">
        <w:rPr>
          <w:color w:val="0A0A0A"/>
        </w:rPr>
        <w:t xml:space="preserve"> </w:t>
      </w:r>
    </w:p>
    <w:p w14:paraId="3417F2F9" w14:textId="1B80BA5E" w:rsidR="00801D8B" w:rsidRPr="00C81473" w:rsidRDefault="00F93638" w:rsidP="00C81473">
      <w:pPr>
        <w:pStyle w:val="df3vjf"/>
        <w:spacing w:after="180" w:line="360" w:lineRule="auto"/>
        <w:jc w:val="both"/>
        <w:rPr>
          <w:color w:val="0A0A0A"/>
        </w:rPr>
      </w:pPr>
      <w:r w:rsidRPr="00C81473">
        <w:rPr>
          <w:color w:val="0A0A0A"/>
        </w:rPr>
        <w:t>Beyond the immediate cost of cash transfers, child marriage imposes a staggering National Development Cost. When thousands of girls are withdrawn from school to enter domestic life, the nation loses a vast pool of untapped human potential.</w:t>
      </w:r>
      <w:r w:rsidRPr="00C81473">
        <w:rPr>
          <w:rStyle w:val="FootnoteReference"/>
          <w:color w:val="0A0A0A"/>
        </w:rPr>
        <w:footnoteReference w:id="88"/>
      </w:r>
      <w:r w:rsidRPr="00C81473">
        <w:rPr>
          <w:color w:val="0A0A0A"/>
        </w:rPr>
        <w:t xml:space="preserve">  This results in a "productivity gap," where millions of citizens fail to gain the skills required for modern economic participation, thereby reducing the human capital available for nation-building.</w:t>
      </w:r>
      <w:r w:rsidRPr="00C81473">
        <w:rPr>
          <w:rStyle w:val="FootnoteReference"/>
          <w:color w:val="0A0A0A"/>
        </w:rPr>
        <w:footnoteReference w:id="89"/>
      </w:r>
      <w:r w:rsidRPr="00C81473">
        <w:rPr>
          <w:color w:val="0A0A0A"/>
        </w:rPr>
        <w:t xml:space="preserve"> Furthermore, child marriage ensures the intergenerational transmission of poverty. Because child brides typically raise their children in impoverished, low-resource environments, their offspring are significantly more likely to remain in the same cycle of deprivation, ensuring a permanent demand for state interventions like LEAP.</w:t>
      </w:r>
      <w:r w:rsidRPr="00C81473">
        <w:rPr>
          <w:rStyle w:val="FootnoteReference"/>
          <w:color w:val="0A0A0A"/>
        </w:rPr>
        <w:footnoteReference w:id="90"/>
      </w:r>
    </w:p>
    <w:p w14:paraId="5A31072B" w14:textId="3B95377E" w:rsidR="00801D8B" w:rsidRPr="00C81473" w:rsidRDefault="00F93638" w:rsidP="00C81473">
      <w:pPr>
        <w:pStyle w:val="df3vjf"/>
        <w:spacing w:after="180" w:line="360" w:lineRule="auto"/>
        <w:jc w:val="both"/>
        <w:rPr>
          <w:color w:val="0A0A0A"/>
        </w:rPr>
      </w:pPr>
      <w:r w:rsidRPr="00C81473">
        <w:rPr>
          <w:color w:val="0A0A0A"/>
        </w:rPr>
        <w:t>Ultimately, child marriage is not just a human rights crisis; it is an economic drain that traps entire communities in a self-perpetuating cycle of underdevelopment.</w:t>
      </w:r>
      <w:r w:rsidRPr="00C81473">
        <w:rPr>
          <w:rStyle w:val="FootnoteReference"/>
          <w:color w:val="0A0A0A"/>
        </w:rPr>
        <w:footnoteReference w:id="91"/>
      </w:r>
      <w:r w:rsidRPr="00C81473">
        <w:rPr>
          <w:color w:val="0A0A0A"/>
        </w:rPr>
        <w:t xml:space="preserve"> Every girl "sold" or traded into marriage for immediate financial relief represents a long-term loss for the Ghanaian economy and a barrier to the country's aspiration for middle-income status.</w:t>
      </w:r>
      <w:r w:rsidRPr="00C81473">
        <w:rPr>
          <w:rStyle w:val="FootnoteReference"/>
          <w:color w:val="0A0A0A"/>
        </w:rPr>
        <w:footnoteReference w:id="92"/>
      </w:r>
      <w:r w:rsidRPr="00C81473">
        <w:rPr>
          <w:color w:val="0A0A0A"/>
        </w:rPr>
        <w:t xml:space="preserve"> Ending the practice is therefore an economic imperative, as it would transform a population of state-dependent "liabilities" into an empowered workforce capable of driving sustainable national growth.</w:t>
      </w:r>
      <w:r w:rsidRPr="00C81473">
        <w:rPr>
          <w:rStyle w:val="FootnoteReference"/>
          <w:color w:val="0A0A0A"/>
        </w:rPr>
        <w:footnoteReference w:id="93"/>
      </w:r>
    </w:p>
    <w:p w14:paraId="0DE26A81" w14:textId="686CDF18" w:rsidR="00BC5FDD" w:rsidRPr="00C81473" w:rsidRDefault="00F93638" w:rsidP="00313C59">
      <w:pPr>
        <w:pStyle w:val="df3vjf"/>
        <w:numPr>
          <w:ilvl w:val="0"/>
          <w:numId w:val="2"/>
        </w:numPr>
        <w:spacing w:after="180" w:line="360" w:lineRule="auto"/>
        <w:jc w:val="both"/>
        <w:rPr>
          <w:b/>
          <w:bCs/>
          <w:color w:val="0A0A0A"/>
        </w:rPr>
      </w:pPr>
      <w:r w:rsidRPr="00C81473">
        <w:rPr>
          <w:b/>
          <w:bCs/>
          <w:color w:val="0A0A0A"/>
        </w:rPr>
        <w:t xml:space="preserve">Conclusion </w:t>
      </w:r>
    </w:p>
    <w:p w14:paraId="20D7F89B" w14:textId="56D4C37F" w:rsidR="00F93638" w:rsidRPr="00C81473" w:rsidRDefault="00F93638" w:rsidP="00C81473">
      <w:pPr>
        <w:pStyle w:val="df3vjf"/>
        <w:spacing w:after="180" w:line="360" w:lineRule="auto"/>
        <w:jc w:val="both"/>
        <w:rPr>
          <w:color w:val="0A0A0A"/>
        </w:rPr>
      </w:pPr>
      <w:r w:rsidRPr="00C81473">
        <w:rPr>
          <w:color w:val="0A0A0A"/>
        </w:rPr>
        <w:lastRenderedPageBreak/>
        <w:t>The analysis of child marriage in the Western Region reveals that the practice is fundamentally sustained by the collision between entrenched patriarchal structures and acute economic deprivation. Far from being a mere traditional rite, it functions as a calculated survival strategy for households facing severe poverty, where the girl-child is effectively transformed into a form of "liquid capital" used to secure family stability.</w:t>
      </w:r>
      <w:r w:rsidR="00C81473" w:rsidRPr="00C81473">
        <w:rPr>
          <w:rStyle w:val="FootnoteReference"/>
          <w:color w:val="0A0A0A"/>
        </w:rPr>
        <w:footnoteReference w:id="94"/>
      </w:r>
      <w:r w:rsidRPr="00C81473">
        <w:rPr>
          <w:color w:val="0A0A0A"/>
        </w:rPr>
        <w:t xml:space="preserve"> As long as patriarchal norms continue to devalue female education and agency, viewing the girl-child primarily as a commodity for domestic and reproductive exchange, statutory laws like the Children’s Act 1998 will remain secondary to the immediate logic of financial survival.</w:t>
      </w:r>
      <w:r w:rsidR="00C81473" w:rsidRPr="00C81473">
        <w:rPr>
          <w:rStyle w:val="FootnoteReference"/>
          <w:color w:val="0A0A0A"/>
        </w:rPr>
        <w:footnoteReference w:id="95"/>
      </w:r>
    </w:p>
    <w:p w14:paraId="11F2ABF8" w14:textId="1FA3FFF1" w:rsidR="00F93638" w:rsidRPr="00C81473" w:rsidRDefault="00C81473" w:rsidP="00C81473">
      <w:pPr>
        <w:pStyle w:val="df3vjf"/>
        <w:spacing w:after="180" w:line="360" w:lineRule="auto"/>
        <w:jc w:val="both"/>
        <w:rPr>
          <w:color w:val="0A0A0A"/>
        </w:rPr>
      </w:pPr>
      <w:r w:rsidRPr="00C81473">
        <w:rPr>
          <w:color w:val="0A0A0A"/>
        </w:rPr>
        <w:t>Ending this practice requires a dual approach that moves beyond legal prohibition to address the structural "commodity trap." Dismantling the patriarchal view of girls as economic assets is essential; society must shift from seeing the girl-child as a "wasted resource" to recognizing her as a vital contributor to national development.</w:t>
      </w:r>
      <w:r w:rsidRPr="00C81473">
        <w:rPr>
          <w:rStyle w:val="FootnoteReference"/>
          <w:color w:val="0A0A0A"/>
        </w:rPr>
        <w:footnoteReference w:id="96"/>
      </w:r>
      <w:r w:rsidRPr="00C81473">
        <w:rPr>
          <w:color w:val="0A0A0A"/>
        </w:rPr>
        <w:t xml:space="preserve"> This involves not only sensitising communities but also providing tangible economic alternatives for impoverished families, ensuring that the rights of the girl-child are no longer expendable in the face of financial distress.</w:t>
      </w:r>
      <w:r w:rsidRPr="00C81473">
        <w:rPr>
          <w:rStyle w:val="FootnoteReference"/>
          <w:color w:val="0A0A0A"/>
        </w:rPr>
        <w:footnoteReference w:id="97"/>
      </w:r>
    </w:p>
    <w:p w14:paraId="118FD45F" w14:textId="7843568F" w:rsidR="00F93638" w:rsidRPr="00C81473" w:rsidRDefault="00C81473" w:rsidP="00C81473">
      <w:pPr>
        <w:pStyle w:val="df3vjf"/>
        <w:spacing w:after="180" w:line="360" w:lineRule="auto"/>
        <w:jc w:val="both"/>
        <w:rPr>
          <w:color w:val="0A0A0A"/>
        </w:rPr>
      </w:pPr>
      <w:r w:rsidRPr="00C81473">
        <w:rPr>
          <w:color w:val="0A0A0A"/>
        </w:rPr>
        <w:t>Furthermore, the state must transition from a reactive role spending limited resources on social protection schemes like LEAP for victims to a proactive role that prioritises vocational empowerment and rigorous law enforcement in rural areas.</w:t>
      </w:r>
      <w:r w:rsidRPr="00C81473">
        <w:rPr>
          <w:rStyle w:val="FootnoteReference"/>
          <w:color w:val="0A0A0A"/>
        </w:rPr>
        <w:footnoteReference w:id="98"/>
      </w:r>
      <w:r w:rsidRPr="00C81473">
        <w:rPr>
          <w:color w:val="0A0A0A"/>
        </w:rPr>
        <w:t xml:space="preserve"> Ultimately, child marriage is an indicator of deep-seated structural inequality. To end it is to break the intergenerational cycle of poverty and subordination, transforming potential "liabilities" into empowered citizens capable of driving the nation’s future.</w:t>
      </w:r>
      <w:r w:rsidRPr="00C81473">
        <w:rPr>
          <w:rStyle w:val="FootnoteReference"/>
          <w:color w:val="0A0A0A"/>
        </w:rPr>
        <w:footnoteReference w:id="99"/>
      </w:r>
    </w:p>
    <w:p w14:paraId="403EABB7" w14:textId="0E05315C" w:rsidR="00696411" w:rsidRPr="00C81473" w:rsidRDefault="00696411" w:rsidP="00313C59">
      <w:pPr>
        <w:pStyle w:val="df3vjf"/>
        <w:numPr>
          <w:ilvl w:val="0"/>
          <w:numId w:val="2"/>
        </w:numPr>
        <w:spacing w:after="180" w:line="360" w:lineRule="auto"/>
        <w:jc w:val="both"/>
        <w:rPr>
          <w:b/>
          <w:bCs/>
          <w:color w:val="0A0A0A"/>
        </w:rPr>
      </w:pPr>
      <w:r w:rsidRPr="00C81473">
        <w:rPr>
          <w:rStyle w:val="Strong"/>
          <w:rFonts w:eastAsiaTheme="majorEastAsia"/>
          <w:color w:val="0A0A0A"/>
        </w:rPr>
        <w:t>Final Thought:</w:t>
      </w:r>
      <w:r w:rsidRPr="00C81473">
        <w:rPr>
          <w:rStyle w:val="apple-converted-space"/>
          <w:rFonts w:eastAsiaTheme="majorEastAsia"/>
          <w:color w:val="0A0A0A"/>
        </w:rPr>
        <w:t> </w:t>
      </w:r>
      <w:r w:rsidRPr="00C81473">
        <w:rPr>
          <w:rStyle w:val="t286pc"/>
          <w:rFonts w:eastAsiaTheme="majorEastAsia"/>
          <w:b/>
          <w:bCs/>
          <w:color w:val="0A0A0A"/>
        </w:rPr>
        <w:t>True liberation lies in shifting the "status of women" from inferior subjects to equal participants in development.</w:t>
      </w:r>
    </w:p>
    <w:p w14:paraId="3F4E6372" w14:textId="7DAEAC27" w:rsidR="00696411" w:rsidRPr="00C81473" w:rsidRDefault="00C81473" w:rsidP="00C81473">
      <w:pPr>
        <w:spacing w:line="360" w:lineRule="auto"/>
        <w:jc w:val="both"/>
      </w:pPr>
      <w:r w:rsidRPr="00C81473">
        <w:t xml:space="preserve">The final liberation of the girl-child from the shackles of early marriage depends on a fundamental shift in the social and economic status of women. As this research has demonstrated, as long as women are viewed as inferior subjects or secondary members of the </w:t>
      </w:r>
      <w:r w:rsidRPr="00C81473">
        <w:lastRenderedPageBreak/>
        <w:t>family unit, their rights will remain negotiable in the face of financial distress.</w:t>
      </w:r>
      <w:r w:rsidRPr="00C81473">
        <w:rPr>
          <w:rStyle w:val="FootnoteReference"/>
        </w:rPr>
        <w:footnoteReference w:id="100"/>
      </w:r>
      <w:r w:rsidRPr="00C81473">
        <w:t xml:space="preserve"> True progress requires more than just the absence of child marriage; it necessitates the active elevation of women from the periphery of society to the centre of national development as equal participants.</w:t>
      </w:r>
      <w:r w:rsidRPr="00C81473">
        <w:rPr>
          <w:rStyle w:val="FootnoteReference"/>
        </w:rPr>
        <w:footnoteReference w:id="101"/>
      </w:r>
      <w:r w:rsidRPr="00C81473">
        <w:t xml:space="preserve"> When a girl is seen as an autonomous citizen with the same potential for leadership and economic contribution as a boy, the logic that once made her a "tradable commodity" begins to dissolve.</w:t>
      </w:r>
      <w:r w:rsidRPr="00C81473">
        <w:rPr>
          <w:rStyle w:val="FootnoteReference"/>
        </w:rPr>
        <w:footnoteReference w:id="102"/>
      </w:r>
      <w:r w:rsidRPr="00C81473">
        <w:t xml:space="preserve"> Only by dismantling these patriarchal hierarchies can Ghana ensure that every girl-child has the agency to determine her own future, thereby breaking the cycle of poverty and fostering a truly inclusive path toward nation-building.</w:t>
      </w:r>
      <w:r w:rsidRPr="00C81473">
        <w:rPr>
          <w:rStyle w:val="FootnoteReference"/>
        </w:rPr>
        <w:footnoteReference w:id="103"/>
      </w:r>
    </w:p>
    <w:p w14:paraId="4BC4DDF1" w14:textId="77777777" w:rsidR="00DB7311" w:rsidRPr="00C81473" w:rsidRDefault="00DB7311" w:rsidP="00C81473">
      <w:pPr>
        <w:spacing w:line="360" w:lineRule="auto"/>
        <w:jc w:val="both"/>
      </w:pPr>
    </w:p>
    <w:p w14:paraId="1F5346C4" w14:textId="77777777" w:rsidR="00F768A7" w:rsidRPr="00C81473" w:rsidRDefault="00F768A7" w:rsidP="00C81473">
      <w:pPr>
        <w:pStyle w:val="ListParagraph"/>
        <w:spacing w:line="360" w:lineRule="auto"/>
        <w:jc w:val="both"/>
      </w:pPr>
    </w:p>
    <w:p w14:paraId="05A6FF53" w14:textId="77777777" w:rsidR="00F768A7" w:rsidRPr="00C81473" w:rsidRDefault="00F768A7" w:rsidP="00C81473">
      <w:pPr>
        <w:pStyle w:val="ListParagraph"/>
        <w:spacing w:line="360" w:lineRule="auto"/>
        <w:jc w:val="both"/>
      </w:pPr>
    </w:p>
    <w:p w14:paraId="2BF927B8" w14:textId="77777777" w:rsidR="00F768A7" w:rsidRPr="00C81473" w:rsidRDefault="00F768A7" w:rsidP="00C81473">
      <w:pPr>
        <w:pStyle w:val="ListParagraph"/>
        <w:spacing w:line="360" w:lineRule="auto"/>
        <w:jc w:val="both"/>
      </w:pPr>
    </w:p>
    <w:p w14:paraId="087CFAF1" w14:textId="77777777" w:rsidR="00F768A7" w:rsidRPr="00C81473" w:rsidRDefault="00F768A7" w:rsidP="00C81473">
      <w:pPr>
        <w:pStyle w:val="ListParagraph"/>
        <w:spacing w:line="360" w:lineRule="auto"/>
        <w:jc w:val="both"/>
      </w:pPr>
    </w:p>
    <w:p w14:paraId="3084C994" w14:textId="77777777" w:rsidR="00F768A7" w:rsidRPr="00C81473" w:rsidRDefault="00F768A7" w:rsidP="00C81473">
      <w:pPr>
        <w:pStyle w:val="ListParagraph"/>
        <w:spacing w:line="360" w:lineRule="auto"/>
        <w:jc w:val="both"/>
      </w:pPr>
    </w:p>
    <w:p w14:paraId="3DA614FC" w14:textId="77777777" w:rsidR="00F768A7" w:rsidRPr="00C81473" w:rsidRDefault="00F768A7" w:rsidP="00C81473">
      <w:pPr>
        <w:pStyle w:val="ListParagraph"/>
        <w:spacing w:line="360" w:lineRule="auto"/>
        <w:jc w:val="both"/>
      </w:pPr>
    </w:p>
    <w:p w14:paraId="721E4BCE" w14:textId="77777777" w:rsidR="00F768A7" w:rsidRPr="00C81473" w:rsidRDefault="00F768A7" w:rsidP="00C81473">
      <w:pPr>
        <w:pStyle w:val="ListParagraph"/>
        <w:spacing w:line="360" w:lineRule="auto"/>
        <w:jc w:val="both"/>
      </w:pPr>
    </w:p>
    <w:sectPr w:rsidR="00F768A7" w:rsidRPr="00C81473">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59C10" w14:textId="77777777" w:rsidR="00313C59" w:rsidRDefault="00313C59" w:rsidP="00DB7311">
      <w:r>
        <w:separator/>
      </w:r>
    </w:p>
  </w:endnote>
  <w:endnote w:type="continuationSeparator" w:id="0">
    <w:p w14:paraId="784ADE3F" w14:textId="77777777" w:rsidR="00313C59" w:rsidRDefault="00313C59" w:rsidP="00D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95538463"/>
      <w:docPartObj>
        <w:docPartGallery w:val="Page Numbers (Bottom of Page)"/>
        <w:docPartUnique/>
      </w:docPartObj>
    </w:sdtPr>
    <w:sdtEndPr>
      <w:rPr>
        <w:rStyle w:val="PageNumber"/>
      </w:rPr>
    </w:sdtEndPr>
    <w:sdtContent>
      <w:p w14:paraId="44C35E80" w14:textId="116D0027" w:rsidR="00704DB6" w:rsidRDefault="00704DB6" w:rsidP="00BA18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C03524" w14:textId="77777777" w:rsidR="00704DB6" w:rsidRDefault="00704DB6" w:rsidP="00704D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68429507"/>
      <w:docPartObj>
        <w:docPartGallery w:val="Page Numbers (Bottom of Page)"/>
        <w:docPartUnique/>
      </w:docPartObj>
    </w:sdtPr>
    <w:sdtEndPr>
      <w:rPr>
        <w:rStyle w:val="PageNumber"/>
      </w:rPr>
    </w:sdtEndPr>
    <w:sdtContent>
      <w:p w14:paraId="25A3ECFB" w14:textId="01E34371" w:rsidR="00704DB6" w:rsidRDefault="00704DB6" w:rsidP="00BA18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3EFA">
          <w:rPr>
            <w:rStyle w:val="PageNumber"/>
            <w:noProof/>
          </w:rPr>
          <w:t>1</w:t>
        </w:r>
        <w:r>
          <w:rPr>
            <w:rStyle w:val="PageNumber"/>
          </w:rPr>
          <w:fldChar w:fldCharType="end"/>
        </w:r>
      </w:p>
    </w:sdtContent>
  </w:sdt>
  <w:p w14:paraId="05C9B150" w14:textId="77777777" w:rsidR="00704DB6" w:rsidRDefault="00704DB6" w:rsidP="00704DB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A157A" w14:textId="77777777" w:rsidR="00313C59" w:rsidRDefault="00313C59" w:rsidP="00DB7311">
      <w:r>
        <w:separator/>
      </w:r>
    </w:p>
  </w:footnote>
  <w:footnote w:type="continuationSeparator" w:id="0">
    <w:p w14:paraId="344847E1" w14:textId="77777777" w:rsidR="00313C59" w:rsidRDefault="00313C59" w:rsidP="00DB7311">
      <w:r>
        <w:continuationSeparator/>
      </w:r>
    </w:p>
  </w:footnote>
  <w:footnote w:id="1">
    <w:p w14:paraId="52A1CCFC" w14:textId="39E6855C"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Ewura Esi Nketsiaba Okyere Baafi, ‘Child Marriage and the Laws of Ghana: A Case Study of Western Region’ (PhD thesis, Kwame Nkrumah University of Science and Technology 2021)</w:t>
      </w:r>
    </w:p>
  </w:footnote>
  <w:footnote w:id="2">
    <w:p w14:paraId="775D717E" w14:textId="685E0DA4"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Ibid 27</w:t>
      </w:r>
    </w:p>
  </w:footnote>
  <w:footnote w:id="3">
    <w:p w14:paraId="1FE1D6FC" w14:textId="1CC18C9C"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ibid 26</w:t>
      </w:r>
    </w:p>
  </w:footnote>
  <w:footnote w:id="4">
    <w:p w14:paraId="6FDC6112" w14:textId="67379061"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ibid 26.</w:t>
      </w:r>
    </w:p>
  </w:footnote>
  <w:footnote w:id="5">
    <w:p w14:paraId="413E3D81" w14:textId="5510093E"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ibid 21</w:t>
      </w:r>
    </w:p>
  </w:footnote>
  <w:footnote w:id="6">
    <w:p w14:paraId="021C3BA4" w14:textId="60623C63"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Children’s Act 1998 (Act 560) s 23.</w:t>
      </w:r>
    </w:p>
  </w:footnote>
  <w:footnote w:id="7">
    <w:p w14:paraId="03E09623" w14:textId="327D61C6"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Baafi (n 1) 24.</w:t>
      </w:r>
    </w:p>
  </w:footnote>
  <w:footnote w:id="8">
    <w:p w14:paraId="2ED91ECB" w14:textId="4D6BBB41"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Ibid 5</w:t>
      </w:r>
    </w:p>
  </w:footnote>
  <w:footnote w:id="9">
    <w:p w14:paraId="2892DC2C" w14:textId="30F53DAE" w:rsidR="00183640" w:rsidRPr="00C81473" w:rsidRDefault="00183640" w:rsidP="00C81473">
      <w:pPr>
        <w:pStyle w:val="FootnoteText"/>
        <w:rPr>
          <w:lang w:val="en-US"/>
        </w:rPr>
      </w:pPr>
      <w:r w:rsidRPr="00C81473">
        <w:rPr>
          <w:rStyle w:val="FootnoteReference"/>
        </w:rPr>
        <w:footnoteRef/>
      </w:r>
      <w:r w:rsidRPr="00C81473">
        <w:rPr>
          <w:rStyle w:val="FootnoteReference"/>
        </w:rPr>
        <w:footnoteRef/>
      </w:r>
      <w:r w:rsidRPr="00C81473">
        <w:t xml:space="preserve"> </w:t>
      </w:r>
      <w:r w:rsidRPr="00C81473">
        <w:rPr>
          <w:color w:val="0A0A0A"/>
        </w:rPr>
        <w:t>ibid 19.</w:t>
      </w:r>
    </w:p>
  </w:footnote>
  <w:footnote w:id="10">
    <w:p w14:paraId="5085EF38" w14:textId="115ABEE5" w:rsidR="00B12E7A" w:rsidRPr="00B12E7A" w:rsidRDefault="00B12E7A">
      <w:pPr>
        <w:pStyle w:val="FootnoteText"/>
        <w:rPr>
          <w:lang w:val="en-US"/>
        </w:rPr>
      </w:pPr>
      <w:r>
        <w:rPr>
          <w:rStyle w:val="FootnoteReference"/>
        </w:rPr>
        <w:footnoteRef/>
      </w:r>
      <w:r>
        <w:t xml:space="preserve"> </w:t>
      </w:r>
      <w:r w:rsidRPr="00C81473">
        <w:rPr>
          <w:color w:val="0A0A0A"/>
        </w:rPr>
        <w:t>Ewura Esi Nketsiaba Okyere Baafi, ‘Child Marriage and the Laws of Ghana: A Case Study of Western Region’ (PhD thesis, Kwame Nkrumah University of Science and Technology 2021) 21.</w:t>
      </w:r>
    </w:p>
  </w:footnote>
  <w:footnote w:id="11">
    <w:p w14:paraId="1A104357" w14:textId="189CDA98" w:rsidR="00B12E7A" w:rsidRPr="00B12E7A" w:rsidRDefault="00B12E7A">
      <w:pPr>
        <w:pStyle w:val="FootnoteText"/>
        <w:rPr>
          <w:lang w:val="en-US"/>
        </w:rPr>
      </w:pPr>
      <w:r>
        <w:rPr>
          <w:rStyle w:val="FootnoteReference"/>
        </w:rPr>
        <w:footnoteRef/>
      </w:r>
      <w:r>
        <w:t xml:space="preserve"> </w:t>
      </w:r>
      <w:r>
        <w:rPr>
          <w:lang w:val="en-US"/>
        </w:rPr>
        <w:t>Ibid 22</w:t>
      </w:r>
    </w:p>
  </w:footnote>
  <w:footnote w:id="12">
    <w:p w14:paraId="393CE2D7" w14:textId="6DE5DE99" w:rsidR="00B12E7A" w:rsidRPr="00B12E7A" w:rsidRDefault="00B12E7A">
      <w:pPr>
        <w:pStyle w:val="FootnoteText"/>
        <w:rPr>
          <w:lang w:val="en-US"/>
        </w:rPr>
      </w:pPr>
      <w:r>
        <w:rPr>
          <w:rStyle w:val="FootnoteReference"/>
        </w:rPr>
        <w:footnoteRef/>
      </w:r>
      <w:r>
        <w:t xml:space="preserve"> </w:t>
      </w:r>
      <w:r>
        <w:rPr>
          <w:lang w:val="en-US"/>
        </w:rPr>
        <w:t xml:space="preserve">Ibid </w:t>
      </w:r>
    </w:p>
  </w:footnote>
  <w:footnote w:id="13">
    <w:p w14:paraId="3FF1B8B8" w14:textId="3F80EF4E" w:rsidR="00183640" w:rsidRPr="00C81473" w:rsidRDefault="00183640" w:rsidP="00C81473">
      <w:pPr>
        <w:pStyle w:val="FootnoteText"/>
        <w:rPr>
          <w:lang w:val="en-US"/>
        </w:rPr>
      </w:pPr>
      <w:r w:rsidRPr="00C81473">
        <w:rPr>
          <w:rStyle w:val="FootnoteReference"/>
        </w:rPr>
        <w:footnoteRef/>
      </w:r>
      <w:r w:rsidRPr="00C81473">
        <w:t xml:space="preserve"> Ibid 24</w:t>
      </w:r>
    </w:p>
  </w:footnote>
  <w:footnote w:id="14">
    <w:p w14:paraId="592F8913" w14:textId="6E2C4969" w:rsidR="00183640" w:rsidRPr="00C81473" w:rsidRDefault="00183640"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15">
    <w:p w14:paraId="73E6C258" w14:textId="7C16FBF9" w:rsidR="00032B06" w:rsidRPr="00C81473" w:rsidRDefault="00032B06" w:rsidP="00C81473">
      <w:pPr>
        <w:pStyle w:val="FootnoteText"/>
        <w:rPr>
          <w:lang w:val="en-US"/>
        </w:rPr>
      </w:pPr>
      <w:r w:rsidRPr="00C81473">
        <w:rPr>
          <w:rStyle w:val="FootnoteReference"/>
        </w:rPr>
        <w:footnoteRef/>
      </w:r>
      <w:r w:rsidRPr="00C81473">
        <w:t xml:space="preserve"> </w:t>
      </w:r>
      <w:r w:rsidRPr="00C81473">
        <w:rPr>
          <w:lang w:val="en-US"/>
        </w:rPr>
        <w:t>Ibid 5</w:t>
      </w:r>
    </w:p>
  </w:footnote>
  <w:footnote w:id="16">
    <w:p w14:paraId="0D210F40" w14:textId="16ABEA29" w:rsidR="00032B06" w:rsidRPr="00C81473" w:rsidRDefault="00032B06" w:rsidP="00C81473">
      <w:pPr>
        <w:pStyle w:val="FootnoteText"/>
        <w:rPr>
          <w:lang w:val="en-US"/>
        </w:rPr>
      </w:pPr>
      <w:r w:rsidRPr="00C81473">
        <w:rPr>
          <w:rStyle w:val="FootnoteReference"/>
        </w:rPr>
        <w:footnoteRef/>
      </w:r>
      <w:r w:rsidRPr="00C81473">
        <w:t xml:space="preserve"> </w:t>
      </w:r>
      <w:r w:rsidRPr="00C81473">
        <w:rPr>
          <w:lang w:val="en-US"/>
        </w:rPr>
        <w:t>Ibid 23</w:t>
      </w:r>
    </w:p>
  </w:footnote>
  <w:footnote w:id="17">
    <w:p w14:paraId="5159B791" w14:textId="4F93455E" w:rsidR="00032B06" w:rsidRPr="00C81473" w:rsidRDefault="00032B06" w:rsidP="00C81473">
      <w:pPr>
        <w:pStyle w:val="FootnoteText"/>
        <w:rPr>
          <w:lang w:val="en-US"/>
        </w:rPr>
      </w:pPr>
      <w:r w:rsidRPr="00C81473">
        <w:rPr>
          <w:rStyle w:val="FootnoteReference"/>
        </w:rPr>
        <w:footnoteRef/>
      </w:r>
      <w:r w:rsidRPr="00C81473">
        <w:t xml:space="preserve"> </w:t>
      </w:r>
      <w:r w:rsidRPr="00C81473">
        <w:rPr>
          <w:lang w:val="en-US"/>
        </w:rPr>
        <w:t>Ibid 24</w:t>
      </w:r>
    </w:p>
  </w:footnote>
  <w:footnote w:id="18">
    <w:p w14:paraId="301F1910" w14:textId="23A86FB9" w:rsidR="00032B06" w:rsidRPr="00C81473" w:rsidRDefault="00032B06"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19">
    <w:p w14:paraId="1CF715E8" w14:textId="60C65DD1" w:rsidR="00032B06" w:rsidRPr="00C81473" w:rsidRDefault="00032B06" w:rsidP="00C81473">
      <w:pPr>
        <w:pStyle w:val="FootnoteText"/>
        <w:rPr>
          <w:lang w:val="en-US"/>
        </w:rPr>
      </w:pPr>
      <w:r w:rsidRPr="00C81473">
        <w:rPr>
          <w:rStyle w:val="FootnoteReference"/>
        </w:rPr>
        <w:footnoteRef/>
      </w:r>
      <w:r w:rsidRPr="00C81473">
        <w:t xml:space="preserve"> </w:t>
      </w:r>
      <w:r w:rsidRPr="00C81473">
        <w:rPr>
          <w:lang w:val="en-US"/>
        </w:rPr>
        <w:t>Ibid 23</w:t>
      </w:r>
    </w:p>
  </w:footnote>
  <w:footnote w:id="20">
    <w:p w14:paraId="1587370D" w14:textId="34980CA1" w:rsidR="00852902" w:rsidRPr="00C81473" w:rsidRDefault="00852902" w:rsidP="00C81473">
      <w:pPr>
        <w:pStyle w:val="FootnoteText"/>
        <w:rPr>
          <w:lang w:val="en-US"/>
        </w:rPr>
      </w:pPr>
      <w:r w:rsidRPr="00C81473">
        <w:rPr>
          <w:rStyle w:val="FootnoteReference"/>
        </w:rPr>
        <w:footnoteRef/>
      </w:r>
      <w:r w:rsidRPr="00C81473">
        <w:t xml:space="preserve"> </w:t>
      </w:r>
      <w:r w:rsidRPr="00C81473">
        <w:rPr>
          <w:color w:val="0A0A0A"/>
        </w:rPr>
        <w:t>Ewura Esi Nketsiaba Okyere Baafi, ‘Child Marriage and the Laws of Ghana: A Case Study of Western Region’ (PhD thesis, Kwame Nkrumah University of Science and Technology 2021) 3.</w:t>
      </w:r>
    </w:p>
  </w:footnote>
  <w:footnote w:id="21">
    <w:p w14:paraId="568033EE" w14:textId="4918FA9C"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22">
    <w:p w14:paraId="5DCBF563" w14:textId="0DDABB26"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23">
    <w:p w14:paraId="14F44205" w14:textId="6362B3DC"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Ibid 1</w:t>
      </w:r>
    </w:p>
  </w:footnote>
  <w:footnote w:id="24">
    <w:p w14:paraId="64395F73" w14:textId="0CB8C225"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Ibid 21</w:t>
      </w:r>
    </w:p>
  </w:footnote>
  <w:footnote w:id="25">
    <w:p w14:paraId="26CC0657" w14:textId="263192D1"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Ibid 22</w:t>
      </w:r>
    </w:p>
  </w:footnote>
  <w:footnote w:id="26">
    <w:p w14:paraId="0DA57019" w14:textId="63243F73"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Ibid 5, 19</w:t>
      </w:r>
    </w:p>
  </w:footnote>
  <w:footnote w:id="27">
    <w:p w14:paraId="405D2718" w14:textId="7DDC9419"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Ibid 7</w:t>
      </w:r>
    </w:p>
  </w:footnote>
  <w:footnote w:id="28">
    <w:p w14:paraId="50F2710C" w14:textId="30EB65A0" w:rsidR="00831F78" w:rsidRPr="00C81473" w:rsidRDefault="00831F78" w:rsidP="00C81473">
      <w:pPr>
        <w:pStyle w:val="FootnoteText"/>
        <w:rPr>
          <w:lang w:val="en-US"/>
        </w:rPr>
      </w:pPr>
      <w:r w:rsidRPr="00C81473">
        <w:rPr>
          <w:rStyle w:val="FootnoteReference"/>
        </w:rPr>
        <w:footnoteRef/>
      </w:r>
      <w:r w:rsidRPr="00C81473">
        <w:t xml:space="preserve"> </w:t>
      </w:r>
      <w:r w:rsidRPr="00C81473">
        <w:rPr>
          <w:color w:val="0A0A0A"/>
        </w:rPr>
        <w:t>Ewura Esi Nketsiaba Okyere Baafi, ‘Child Marriage and the Laws of Ghana: A Case Study of Western Region’ (PhD thesis, Kwame Nkrumah University of Science and Technology 2021) 1.</w:t>
      </w:r>
    </w:p>
  </w:footnote>
  <w:footnote w:id="29">
    <w:p w14:paraId="42ECA703" w14:textId="7177295B"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3</w:t>
      </w:r>
    </w:p>
  </w:footnote>
  <w:footnote w:id="30">
    <w:p w14:paraId="76A3F79A" w14:textId="1A625224"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27</w:t>
      </w:r>
    </w:p>
  </w:footnote>
  <w:footnote w:id="31">
    <w:p w14:paraId="3B822860" w14:textId="3A8BA327"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1, 26</w:t>
      </w:r>
    </w:p>
  </w:footnote>
  <w:footnote w:id="32">
    <w:p w14:paraId="5BD43857" w14:textId="0443C09F"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26</w:t>
      </w:r>
    </w:p>
  </w:footnote>
  <w:footnote w:id="33">
    <w:p w14:paraId="0FFC1E65" w14:textId="490909CB"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21</w:t>
      </w:r>
    </w:p>
  </w:footnote>
  <w:footnote w:id="34">
    <w:p w14:paraId="14E2CA28" w14:textId="555E0438"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22</w:t>
      </w:r>
    </w:p>
  </w:footnote>
  <w:footnote w:id="35">
    <w:p w14:paraId="762F02A4" w14:textId="52E778E5"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36">
    <w:p w14:paraId="70C4D756" w14:textId="46A067C2"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24</w:t>
      </w:r>
    </w:p>
  </w:footnote>
  <w:footnote w:id="37">
    <w:p w14:paraId="2BE49645" w14:textId="5469A9AC"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26</w:t>
      </w:r>
    </w:p>
  </w:footnote>
  <w:footnote w:id="38">
    <w:p w14:paraId="4DC59043" w14:textId="57361C91"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7</w:t>
      </w:r>
    </w:p>
  </w:footnote>
  <w:footnote w:id="39">
    <w:p w14:paraId="09217644" w14:textId="5E1EB491"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25, 24</w:t>
      </w:r>
    </w:p>
  </w:footnote>
  <w:footnote w:id="40">
    <w:p w14:paraId="44EC01E9" w14:textId="24BD155D"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6</w:t>
      </w:r>
    </w:p>
  </w:footnote>
  <w:footnote w:id="41">
    <w:p w14:paraId="0917EEBE" w14:textId="12DED24B"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5, 19</w:t>
      </w:r>
    </w:p>
  </w:footnote>
  <w:footnote w:id="42">
    <w:p w14:paraId="28BF9495" w14:textId="0DA7C95B"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Ewura Esi Nketsiaba Okyere Baafi, ‘Child Marriage and the Laws of Ghana: A Case Study of Western Region’ (PhD thesis, Kwame Nkrumah University of Science and Technology 2021) 27.</w:t>
      </w:r>
    </w:p>
  </w:footnote>
  <w:footnote w:id="43">
    <w:p w14:paraId="45F391D1" w14:textId="41CB7C14"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w:t>
      </w:r>
    </w:p>
  </w:footnote>
  <w:footnote w:id="44">
    <w:p w14:paraId="3874DCBA" w14:textId="3A58555A"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Sylvia Walby, Theorizing Patriarchy (Basil Blackwell 1990) 20.</w:t>
      </w:r>
    </w:p>
  </w:footnote>
  <w:footnote w:id="45">
    <w:p w14:paraId="27C5112B" w14:textId="7E7F1A28"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Baafi (n 46) 39.</w:t>
      </w:r>
    </w:p>
  </w:footnote>
  <w:footnote w:id="46">
    <w:p w14:paraId="6262B576" w14:textId="1D5BEA15"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40.</w:t>
      </w:r>
    </w:p>
  </w:footnote>
  <w:footnote w:id="47">
    <w:p w14:paraId="0E7D9BF8" w14:textId="3CE16491"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32.</w:t>
      </w:r>
    </w:p>
  </w:footnote>
  <w:footnote w:id="48">
    <w:p w14:paraId="6B714EB6" w14:textId="127A748B"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33.</w:t>
      </w:r>
    </w:p>
  </w:footnote>
  <w:footnote w:id="49">
    <w:p w14:paraId="46169766" w14:textId="57829D7D"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34.</w:t>
      </w:r>
    </w:p>
  </w:footnote>
  <w:footnote w:id="50">
    <w:p w14:paraId="62619EB1" w14:textId="2EA5C21C"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37.</w:t>
      </w:r>
    </w:p>
  </w:footnote>
  <w:footnote w:id="51">
    <w:p w14:paraId="2C4262C0" w14:textId="0C30560A"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35.</w:t>
      </w:r>
    </w:p>
  </w:footnote>
  <w:footnote w:id="52">
    <w:p w14:paraId="20FAB535" w14:textId="2814F4B4"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23</w:t>
      </w:r>
    </w:p>
  </w:footnote>
  <w:footnote w:id="53">
    <w:p w14:paraId="068551C6" w14:textId="14DAE2DF"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36.</w:t>
      </w:r>
    </w:p>
  </w:footnote>
  <w:footnote w:id="54">
    <w:p w14:paraId="0BF70660" w14:textId="2918A158"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35.</w:t>
      </w:r>
    </w:p>
  </w:footnote>
  <w:footnote w:id="55">
    <w:p w14:paraId="5BE3DD67" w14:textId="79CF5A4F"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19.</w:t>
      </w:r>
    </w:p>
  </w:footnote>
  <w:footnote w:id="56">
    <w:p w14:paraId="0F9F58A4" w14:textId="51BD3095"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31.</w:t>
      </w:r>
    </w:p>
  </w:footnote>
  <w:footnote w:id="57">
    <w:p w14:paraId="19833E5D" w14:textId="065D856B"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30.</w:t>
      </w:r>
    </w:p>
  </w:footnote>
  <w:footnote w:id="58">
    <w:p w14:paraId="0B1E7335" w14:textId="4B691BAD" w:rsidR="00121612" w:rsidRPr="00C81473" w:rsidRDefault="00121612"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Ewura Esi Nketsiaba Okyere Baafi, ‘Child Marriage and the Laws of Ghana: A Case Study of Western Region’ (PhD thesis, Kwame Nkrumah University of Science and Technology 2021) 32.</w:t>
      </w:r>
    </w:p>
  </w:footnote>
  <w:footnote w:id="59">
    <w:p w14:paraId="45A71E8F" w14:textId="6FE0679D" w:rsidR="00121612" w:rsidRPr="00C81473" w:rsidRDefault="00121612"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60">
    <w:p w14:paraId="5E981F09" w14:textId="777C270F" w:rsidR="00121612" w:rsidRPr="00C81473" w:rsidRDefault="00121612" w:rsidP="00C81473">
      <w:pPr>
        <w:pStyle w:val="FootnoteText"/>
        <w:rPr>
          <w:lang w:val="en-US"/>
        </w:rPr>
      </w:pPr>
      <w:r w:rsidRPr="00C81473">
        <w:rPr>
          <w:rStyle w:val="FootnoteReference"/>
        </w:rPr>
        <w:footnoteRef/>
      </w:r>
      <w:r w:rsidRPr="00C81473">
        <w:t xml:space="preserve"> </w:t>
      </w:r>
      <w:r w:rsidRPr="00C81473">
        <w:rPr>
          <w:lang w:val="en-US"/>
        </w:rPr>
        <w:t>Ibid 32, 33</w:t>
      </w:r>
    </w:p>
  </w:footnote>
  <w:footnote w:id="61">
    <w:p w14:paraId="16BBCFC7" w14:textId="6B1F58E0" w:rsidR="00121612" w:rsidRPr="00C81473" w:rsidRDefault="00121612" w:rsidP="00C81473">
      <w:pPr>
        <w:pStyle w:val="FootnoteText"/>
        <w:rPr>
          <w:lang w:val="en-US"/>
        </w:rPr>
      </w:pPr>
      <w:r w:rsidRPr="00C81473">
        <w:rPr>
          <w:rStyle w:val="FootnoteReference"/>
        </w:rPr>
        <w:footnoteRef/>
      </w:r>
      <w:r w:rsidRPr="00C81473">
        <w:t xml:space="preserve"> </w:t>
      </w:r>
      <w:r w:rsidRPr="00C81473">
        <w:rPr>
          <w:lang w:val="en-US"/>
        </w:rPr>
        <w:t>Ibid 33</w:t>
      </w:r>
    </w:p>
  </w:footnote>
  <w:footnote w:id="62">
    <w:p w14:paraId="0695CB35" w14:textId="7BBAAA1F" w:rsidR="00121612" w:rsidRPr="00C81473" w:rsidRDefault="00121612"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63">
    <w:p w14:paraId="73D5D5B2" w14:textId="338267B7" w:rsidR="00121612" w:rsidRPr="00C81473" w:rsidRDefault="00121612" w:rsidP="00C81473">
      <w:pPr>
        <w:pStyle w:val="FootnoteText"/>
        <w:rPr>
          <w:lang w:val="en-US"/>
        </w:rPr>
      </w:pPr>
      <w:r w:rsidRPr="00C81473">
        <w:rPr>
          <w:rStyle w:val="FootnoteReference"/>
        </w:rPr>
        <w:footnoteRef/>
      </w:r>
      <w:r w:rsidRPr="00C81473">
        <w:t xml:space="preserve"> </w:t>
      </w:r>
      <w:r w:rsidRPr="00C81473">
        <w:rPr>
          <w:lang w:val="en-US"/>
        </w:rPr>
        <w:t>Ibid 37</w:t>
      </w:r>
    </w:p>
  </w:footnote>
  <w:footnote w:id="64">
    <w:p w14:paraId="18FE06EF" w14:textId="5C8F266B" w:rsidR="00121612" w:rsidRPr="00C81473" w:rsidRDefault="00121612" w:rsidP="00C81473">
      <w:pPr>
        <w:pStyle w:val="FootnoteText"/>
        <w:rPr>
          <w:lang w:val="en-US"/>
        </w:rPr>
      </w:pPr>
      <w:r w:rsidRPr="00C81473">
        <w:rPr>
          <w:rStyle w:val="FootnoteReference"/>
        </w:rPr>
        <w:footnoteRef/>
      </w:r>
      <w:r w:rsidRPr="00C81473">
        <w:t xml:space="preserve"> </w:t>
      </w:r>
      <w:r w:rsidRPr="00C81473">
        <w:rPr>
          <w:lang w:val="en-US"/>
        </w:rPr>
        <w:t>Ibid 39</w:t>
      </w:r>
    </w:p>
  </w:footnote>
  <w:footnote w:id="65">
    <w:p w14:paraId="3BBCC7B8" w14:textId="330C72C3"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Ewura Esi Nketsiaba Okyere Baafi, ‘Child Marriage and the Laws of Ghana: A Case Study of Western Region’ (PhD thesis, Kwame Nkrumah University of Science and Technology 2021) 23.</w:t>
      </w:r>
    </w:p>
  </w:footnote>
  <w:footnote w:id="66">
    <w:p w14:paraId="261DA467" w14:textId="465C2EE8"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ibid 35; see also ‘Associations Between Coping, Support, and Mental Health Among Married Adolescent Girls in Northern Ghana’ (2026) 389548513 ResearchGate 1</w:t>
      </w:r>
      <w:r w:rsidRPr="00C81473">
        <w:rPr>
          <w:rStyle w:val="apple-converted-space"/>
          <w:rFonts w:eastAsiaTheme="majorEastAsia"/>
          <w:color w:val="0A0A0A"/>
          <w:shd w:val="clear" w:color="auto" w:fill="FFFFFF"/>
        </w:rPr>
        <w:t> </w:t>
      </w:r>
      <w:r w:rsidRPr="00C81473">
        <w:rPr>
          <w:rStyle w:val="t286pc"/>
          <w:rFonts w:eastAsiaTheme="majorEastAsia"/>
          <w:color w:val="0A0A0A"/>
        </w:rPr>
        <w:t>researchgate.net</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67">
    <w:p w14:paraId="388CBE7B" w14:textId="3BC91198"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‘Exploring Protective Resources that Facilitate Positive Outcomes among Married Girls in the Northern Region of Ghana’ (2022) 360727916 ResearchGate</w:t>
      </w:r>
      <w:r w:rsidRPr="00C81473">
        <w:rPr>
          <w:rStyle w:val="apple-converted-space"/>
          <w:rFonts w:eastAsiaTheme="majorEastAsia"/>
          <w:color w:val="0A0A0A"/>
          <w:shd w:val="clear" w:color="auto" w:fill="FFFFFF"/>
        </w:rPr>
        <w:t> </w:t>
      </w:r>
      <w:r w:rsidRPr="00C81473">
        <w:rPr>
          <w:rStyle w:val="t286pc"/>
          <w:rFonts w:eastAsiaTheme="majorEastAsia"/>
          <w:color w:val="0A0A0A"/>
        </w:rPr>
        <w:t>researchgate.net</w:t>
      </w:r>
      <w:r w:rsidRPr="00C81473">
        <w:rPr>
          <w:color w:val="0A0A0A"/>
          <w:shd w:val="clear" w:color="auto" w:fill="FFFFFF"/>
        </w:rPr>
        <w:t>accessed 9 May 2026.</w:t>
      </w:r>
    </w:p>
  </w:footnote>
  <w:footnote w:id="68">
    <w:p w14:paraId="1E0CC3E5" w14:textId="4853576C"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ibid; see also Mental Health Impact Of Forced Marriages (Theses, University of North Dakota 2021) 5062</w:t>
      </w:r>
      <w:r w:rsidRPr="00C81473">
        <w:rPr>
          <w:rStyle w:val="apple-converted-space"/>
          <w:rFonts w:eastAsiaTheme="majorEastAsia"/>
          <w:color w:val="0A0A0A"/>
          <w:shd w:val="clear" w:color="auto" w:fill="FFFFFF"/>
        </w:rPr>
        <w:t> </w:t>
      </w:r>
      <w:r w:rsidRPr="00C81473">
        <w:rPr>
          <w:rStyle w:val="t286pc"/>
          <w:rFonts w:eastAsiaTheme="majorEastAsia"/>
          <w:color w:val="0A0A0A"/>
        </w:rPr>
        <w:t>und.edu</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69">
    <w:p w14:paraId="602FB027" w14:textId="36C3A293"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Baafi (n 65) 35.</w:t>
      </w:r>
    </w:p>
  </w:footnote>
  <w:footnote w:id="70">
    <w:p w14:paraId="7692F978" w14:textId="6A8879FF"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‘Exploring Protective Resources’ (n 67); see also ‘Social And Psychological Consequences Of Child Marriage’ (2024) 10489 Migration Letters</w:t>
      </w:r>
      <w:r w:rsidRPr="00C81473">
        <w:rPr>
          <w:rStyle w:val="apple-converted-space"/>
          <w:rFonts w:eastAsiaTheme="majorEastAsia"/>
          <w:color w:val="0A0A0A"/>
          <w:shd w:val="clear" w:color="auto" w:fill="FFFFFF"/>
        </w:rPr>
        <w:t> </w:t>
      </w:r>
      <w:hyperlink r:id="rId1" w:tgtFrame="_blank" w:history="1">
        <w:r w:rsidRPr="00C81473">
          <w:rPr>
            <w:rStyle w:val="Hyperlink"/>
            <w:rFonts w:eastAsiaTheme="majorEastAsia"/>
          </w:rPr>
          <w:t>migrationletters.com</w:t>
        </w:r>
      </w:hyperlink>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71">
    <w:p w14:paraId="6FB164A3" w14:textId="47FB7747"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‘Sociocultural Groundings of Battered Women’s Entrapment in Abusive Marital Relationship in Ghana’ (2017) 314459507 ResearchGate</w:t>
      </w:r>
      <w:r w:rsidRPr="00C81473">
        <w:rPr>
          <w:rStyle w:val="apple-converted-space"/>
          <w:rFonts w:eastAsiaTheme="majorEastAsia"/>
          <w:color w:val="0A0A0A"/>
          <w:shd w:val="clear" w:color="auto" w:fill="FFFFFF"/>
        </w:rPr>
        <w:t> </w:t>
      </w:r>
      <w:r w:rsidRPr="00C81473">
        <w:rPr>
          <w:rStyle w:val="t286pc"/>
          <w:rFonts w:eastAsiaTheme="majorEastAsia"/>
          <w:color w:val="0A0A0A"/>
        </w:rPr>
        <w:t>researchgate.net</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72">
    <w:p w14:paraId="6F450456" w14:textId="6775F3C6"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‘Exploring Protective Resources’ (n 67).</w:t>
      </w:r>
    </w:p>
  </w:footnote>
  <w:footnote w:id="73">
    <w:p w14:paraId="3F10BDD3" w14:textId="2ED8D628"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Baafi (n 65) 36.</w:t>
      </w:r>
    </w:p>
  </w:footnote>
  <w:footnote w:id="74">
    <w:p w14:paraId="401B660A" w14:textId="3B5709E0" w:rsidR="00801D8B" w:rsidRPr="00C81473" w:rsidRDefault="00801D8B"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Ewura Esi Nketsiaba Okyere Baafi, ‘Child Marriage and the Laws of Ghana: A Case Study of Western Region’ (PhD thesis, Kwame Nkrumah University of Science and Technology 2021) 9.</w:t>
      </w:r>
    </w:p>
  </w:footnote>
  <w:footnote w:id="75">
    <w:p w14:paraId="57EED688" w14:textId="30E4F24F" w:rsidR="00801D8B" w:rsidRPr="00C81473" w:rsidRDefault="00801D8B" w:rsidP="00C81473">
      <w:pPr>
        <w:pStyle w:val="FootnoteText"/>
        <w:rPr>
          <w:lang w:val="en-US"/>
        </w:rPr>
      </w:pPr>
      <w:r w:rsidRPr="00C81473">
        <w:rPr>
          <w:rStyle w:val="FootnoteReference"/>
        </w:rPr>
        <w:footnoteRef/>
      </w:r>
      <w:r w:rsidRPr="00C81473">
        <w:t xml:space="preserve"> </w:t>
      </w:r>
      <w:r w:rsidRPr="00C81473">
        <w:rPr>
          <w:lang w:val="en-US"/>
        </w:rPr>
        <w:t>Ibid 5</w:t>
      </w:r>
    </w:p>
  </w:footnote>
  <w:footnote w:id="76">
    <w:p w14:paraId="37D16E2C" w14:textId="023DCAC2" w:rsidR="00801D8B" w:rsidRPr="00C81473" w:rsidRDefault="00801D8B"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ibid 10; see also ‘Sociocultural Groundings of Battered Women’s Entrapment in Abusive Marital Relationship in Ghana’ (2017) 314459507 ResearchGate</w:t>
      </w:r>
      <w:r w:rsidRPr="00C81473">
        <w:rPr>
          <w:rStyle w:val="apple-converted-space"/>
          <w:rFonts w:eastAsiaTheme="majorEastAsia"/>
          <w:color w:val="0A0A0A"/>
          <w:shd w:val="clear" w:color="auto" w:fill="FFFFFF"/>
        </w:rPr>
        <w:t> </w:t>
      </w:r>
      <w:r w:rsidRPr="00C81473">
        <w:rPr>
          <w:rStyle w:val="t286pc"/>
          <w:rFonts w:eastAsiaTheme="majorEastAsia"/>
          <w:color w:val="0A0A0A"/>
        </w:rPr>
        <w:t>researchgate.net</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77">
    <w:p w14:paraId="1327371D" w14:textId="51659378" w:rsidR="00801D8B" w:rsidRPr="00C81473" w:rsidRDefault="00801D8B"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Baafi (n 74) 9.</w:t>
      </w:r>
    </w:p>
  </w:footnote>
  <w:footnote w:id="78">
    <w:p w14:paraId="3DEA0A4E" w14:textId="622DB143" w:rsidR="00801D8B" w:rsidRPr="00C81473" w:rsidRDefault="00801D8B" w:rsidP="00C81473">
      <w:pPr>
        <w:pStyle w:val="FootnoteText"/>
        <w:rPr>
          <w:lang w:val="en-US"/>
        </w:rPr>
      </w:pPr>
      <w:r w:rsidRPr="00C81473">
        <w:rPr>
          <w:rStyle w:val="FootnoteReference"/>
        </w:rPr>
        <w:footnoteRef/>
      </w:r>
      <w:r w:rsidRPr="00C81473">
        <w:t xml:space="preserve"> </w:t>
      </w:r>
      <w:r w:rsidRPr="00C81473">
        <w:rPr>
          <w:lang w:val="en-US"/>
        </w:rPr>
        <w:t>Ibid 35</w:t>
      </w:r>
    </w:p>
  </w:footnote>
  <w:footnote w:id="79">
    <w:p w14:paraId="778323DC" w14:textId="79695623" w:rsidR="00801D8B" w:rsidRPr="00C81473" w:rsidRDefault="00801D8B"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‘Exploring Protective Resources that Facilitate Positive Outcomes among Married Girls in the Northern Region of Ghana’ (2022) 360727916 ResearchGate</w:t>
      </w:r>
      <w:r w:rsidRPr="00C81473">
        <w:rPr>
          <w:rStyle w:val="apple-converted-space"/>
          <w:rFonts w:eastAsiaTheme="majorEastAsia"/>
          <w:color w:val="0A0A0A"/>
          <w:shd w:val="clear" w:color="auto" w:fill="FFFFFF"/>
        </w:rPr>
        <w:t> </w:t>
      </w:r>
      <w:r w:rsidRPr="00C81473">
        <w:rPr>
          <w:rStyle w:val="t286pc"/>
          <w:rFonts w:eastAsiaTheme="majorEastAsia"/>
          <w:color w:val="0A0A0A"/>
        </w:rPr>
        <w:t>researchgate.net</w:t>
      </w:r>
      <w:r w:rsidRPr="00C81473">
        <w:rPr>
          <w:color w:val="0A0A0A"/>
          <w:shd w:val="clear" w:color="auto" w:fill="FFFFFF"/>
        </w:rPr>
        <w:t>accessed 9 May 2026.</w:t>
      </w:r>
    </w:p>
  </w:footnote>
  <w:footnote w:id="80">
    <w:p w14:paraId="7A7ED63B" w14:textId="58A2A19C" w:rsidR="00801D8B" w:rsidRPr="00C81473" w:rsidRDefault="00801D8B"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Baafi (n 74) 36.</w:t>
      </w:r>
    </w:p>
  </w:footnote>
  <w:footnote w:id="81">
    <w:p w14:paraId="50E1ED9D" w14:textId="1E0AAD69" w:rsidR="00801D8B" w:rsidRPr="00C81473" w:rsidRDefault="00801D8B"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‘Sociocultural Groundings’ (n 76).</w:t>
      </w:r>
    </w:p>
  </w:footnote>
  <w:footnote w:id="82">
    <w:p w14:paraId="5BBEDC05" w14:textId="5687FA18" w:rsidR="00801D8B" w:rsidRPr="00C81473" w:rsidRDefault="00801D8B" w:rsidP="00C81473">
      <w:pPr>
        <w:pStyle w:val="FootnoteText"/>
        <w:rPr>
          <w:lang w:val="en-US"/>
        </w:rPr>
      </w:pPr>
      <w:r w:rsidRPr="00C81473">
        <w:rPr>
          <w:rStyle w:val="FootnoteReference"/>
        </w:rPr>
        <w:footnoteRef/>
      </w:r>
      <w:r w:rsidRPr="00C81473">
        <w:t xml:space="preserve"> </w:t>
      </w:r>
      <w:r w:rsidRPr="00C81473">
        <w:rPr>
          <w:rStyle w:val="apple-converted-space"/>
          <w:rFonts w:eastAsiaTheme="majorEastAsia"/>
          <w:color w:val="0A0A0A"/>
          <w:shd w:val="clear" w:color="auto" w:fill="FFFFFF"/>
        </w:rPr>
        <w:t> </w:t>
      </w:r>
      <w:r w:rsidRPr="00C81473">
        <w:rPr>
          <w:color w:val="0A0A0A"/>
          <w:shd w:val="clear" w:color="auto" w:fill="FFFFFF"/>
        </w:rPr>
        <w:t>Baafi (n 74) 36; see also ‘Associations Between Coping, Support, and Mental Health Among Married Adolescent Girls in Northern Ghana’ (2026) 389548513 ResearchGate</w:t>
      </w:r>
      <w:r w:rsidRPr="00C81473">
        <w:rPr>
          <w:rStyle w:val="apple-converted-space"/>
          <w:rFonts w:eastAsiaTheme="majorEastAsia"/>
          <w:color w:val="0A0A0A"/>
          <w:shd w:val="clear" w:color="auto" w:fill="FFFFFF"/>
        </w:rPr>
        <w:t> </w:t>
      </w:r>
      <w:r w:rsidRPr="00C81473">
        <w:rPr>
          <w:rStyle w:val="t286pc"/>
          <w:rFonts w:eastAsiaTheme="majorEastAsia"/>
          <w:color w:val="0A0A0A"/>
        </w:rPr>
        <w:t>researchgate.net</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83">
    <w:p w14:paraId="1C4AA56C" w14:textId="24D010A3"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Ewura Esi Nketsiaba Okyere Baafi, ‘Child Marriage and the Laws of Ghana: A Case Study of Western Region’ (PhD thesis, Kwame Nkrumah University of Science and Technology 2021) 17.</w:t>
      </w:r>
    </w:p>
  </w:footnote>
  <w:footnote w:id="84">
    <w:p w14:paraId="5835E1E8" w14:textId="56AB9DE0" w:rsidR="00F93638" w:rsidRPr="00C81473" w:rsidRDefault="00F93638"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85">
    <w:p w14:paraId="288680A7" w14:textId="1ED4C148"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‘Government’s Livelihood Empowerment Against Poverty (LEAP) Programme’ (GHOne TV, 1 July 2024)</w:t>
      </w:r>
      <w:r w:rsidRPr="00C81473">
        <w:rPr>
          <w:rStyle w:val="apple-converted-space"/>
          <w:rFonts w:eastAsiaTheme="majorEastAsia"/>
          <w:color w:val="0A0A0A"/>
          <w:shd w:val="clear" w:color="auto" w:fill="FFFFFF"/>
        </w:rPr>
        <w:t> </w:t>
      </w:r>
      <w:r w:rsidRPr="00C81473">
        <w:rPr>
          <w:rStyle w:val="t286pc"/>
          <w:rFonts w:eastAsiaTheme="majorEastAsia"/>
          <w:color w:val="0A0A0A"/>
        </w:rPr>
        <w:t>facebook.com</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86">
    <w:p w14:paraId="184AAE8C" w14:textId="35B9F5B1"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Baafi (n 83) 17.</w:t>
      </w:r>
    </w:p>
  </w:footnote>
  <w:footnote w:id="87">
    <w:p w14:paraId="3F071CEC" w14:textId="32A16E16"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ibid; see also ‘National Strategic Framework on Ending Child Marriage in Ghana’ (UNICEF 2017) 20</w:t>
      </w:r>
      <w:r w:rsidRPr="00C81473">
        <w:rPr>
          <w:rStyle w:val="apple-converted-space"/>
          <w:rFonts w:eastAsiaTheme="majorEastAsia"/>
          <w:color w:val="0A0A0A"/>
          <w:shd w:val="clear" w:color="auto" w:fill="FFFFFF"/>
        </w:rPr>
        <w:t> </w:t>
      </w:r>
      <w:r w:rsidRPr="00C81473">
        <w:rPr>
          <w:rStyle w:val="t286pc"/>
          <w:rFonts w:eastAsiaTheme="majorEastAsia"/>
          <w:color w:val="0A0A0A"/>
        </w:rPr>
        <w:t>unicef.org</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88">
    <w:p w14:paraId="14B0DF3F" w14:textId="1EA73A87"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National Strategic Framework’ (n 87) 20.</w:t>
      </w:r>
    </w:p>
  </w:footnote>
  <w:footnote w:id="89">
    <w:p w14:paraId="5239435A" w14:textId="6357F20F"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‘Economic Impact of Child Marriage: An Information Sheet’ (Girls Not Brides 2018)</w:t>
      </w:r>
      <w:r w:rsidRPr="00C81473">
        <w:rPr>
          <w:rStyle w:val="apple-converted-space"/>
          <w:rFonts w:eastAsiaTheme="majorEastAsia"/>
          <w:color w:val="0A0A0A"/>
          <w:shd w:val="clear" w:color="auto" w:fill="FFFFFF"/>
        </w:rPr>
        <w:t> </w:t>
      </w:r>
      <w:hyperlink r:id="rId2" w:tgtFrame="_blank" w:history="1">
        <w:r w:rsidRPr="00C81473">
          <w:rPr>
            <w:rStyle w:val="Hyperlink"/>
            <w:rFonts w:eastAsiaTheme="majorEastAsia"/>
          </w:rPr>
          <w:t>girlsnotbrides.org</w:t>
        </w:r>
      </w:hyperlink>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90">
    <w:p w14:paraId="347A56E8" w14:textId="690CBFD9" w:rsidR="00F93638" w:rsidRPr="00C81473" w:rsidRDefault="00F93638"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91">
    <w:p w14:paraId="6562463A" w14:textId="660218F9"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Baafi (n 83) 17.</w:t>
      </w:r>
    </w:p>
  </w:footnote>
  <w:footnote w:id="92">
    <w:p w14:paraId="3DE8781E" w14:textId="0A49F239"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‘End child marriage to break cycle of poverty’ (Graphic Online, 9 June 2017)</w:t>
      </w:r>
      <w:r w:rsidRPr="00C81473">
        <w:rPr>
          <w:rStyle w:val="apple-converted-space"/>
          <w:rFonts w:eastAsiaTheme="majorEastAsia"/>
          <w:color w:val="0A0A0A"/>
          <w:shd w:val="clear" w:color="auto" w:fill="FFFFFF"/>
        </w:rPr>
        <w:t> </w:t>
      </w:r>
      <w:r w:rsidRPr="00C81473">
        <w:rPr>
          <w:rStyle w:val="t286pc"/>
          <w:rFonts w:eastAsiaTheme="majorEastAsia"/>
          <w:color w:val="0A0A0A"/>
        </w:rPr>
        <w:t>graphic.com.gh</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93">
    <w:p w14:paraId="351115FD" w14:textId="10E34295"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Baafi (n 83) 17.</w:t>
      </w:r>
    </w:p>
  </w:footnote>
  <w:footnote w:id="94">
    <w:p w14:paraId="64319B11" w14:textId="02AB6F6A" w:rsidR="00C81473" w:rsidRPr="00C81473" w:rsidRDefault="00C81473"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Ewura Esi Nketsiaba Okyere Baafi, ‘Child Marriage and the Laws of Ghana: A Case Study of Western Region’ (PhD thesis, Kwame Nkrumah University of Science and Technology 2021) 32, 40.</w:t>
      </w:r>
    </w:p>
  </w:footnote>
  <w:footnote w:id="95">
    <w:p w14:paraId="3B5CBC46" w14:textId="56A02EC1" w:rsidR="00C81473" w:rsidRPr="00C81473" w:rsidRDefault="00C81473" w:rsidP="00C81473">
      <w:pPr>
        <w:pStyle w:val="FootnoteText"/>
        <w:rPr>
          <w:lang w:val="en-US"/>
        </w:rPr>
      </w:pPr>
      <w:r w:rsidRPr="00C81473">
        <w:rPr>
          <w:rStyle w:val="FootnoteReference"/>
        </w:rPr>
        <w:footnoteRef/>
      </w:r>
      <w:r w:rsidRPr="00C81473">
        <w:t xml:space="preserve"> </w:t>
      </w:r>
      <w:r w:rsidRPr="00C81473">
        <w:rPr>
          <w:lang w:val="en-US"/>
        </w:rPr>
        <w:t>Ibid 5, 19</w:t>
      </w:r>
    </w:p>
  </w:footnote>
  <w:footnote w:id="96">
    <w:p w14:paraId="25710805" w14:textId="51ADCFA9" w:rsidR="00C81473" w:rsidRPr="00C81473" w:rsidRDefault="00C81473" w:rsidP="00C81473">
      <w:pPr>
        <w:pStyle w:val="FootnoteText"/>
        <w:rPr>
          <w:lang w:val="en-US"/>
        </w:rPr>
      </w:pPr>
      <w:r w:rsidRPr="00C81473">
        <w:rPr>
          <w:rStyle w:val="FootnoteReference"/>
        </w:rPr>
        <w:footnoteRef/>
      </w:r>
      <w:r w:rsidRPr="00C81473">
        <w:t xml:space="preserve"> </w:t>
      </w:r>
      <w:r w:rsidRPr="00C81473">
        <w:rPr>
          <w:lang w:val="en-US"/>
        </w:rPr>
        <w:t>Ibid 38, 40</w:t>
      </w:r>
    </w:p>
  </w:footnote>
  <w:footnote w:id="97">
    <w:p w14:paraId="719E8AE0" w14:textId="05719B9C" w:rsidR="00C81473" w:rsidRPr="00C81473" w:rsidRDefault="00C81473" w:rsidP="00C81473">
      <w:pPr>
        <w:pStyle w:val="FootnoteText"/>
        <w:rPr>
          <w:lang w:val="en-US"/>
        </w:rPr>
      </w:pPr>
      <w:r w:rsidRPr="00C81473">
        <w:rPr>
          <w:rStyle w:val="FootnoteReference"/>
        </w:rPr>
        <w:footnoteRef/>
      </w:r>
      <w:r w:rsidRPr="00C81473">
        <w:t xml:space="preserve"> </w:t>
      </w:r>
      <w:r w:rsidRPr="00C81473">
        <w:rPr>
          <w:lang w:val="en-US"/>
        </w:rPr>
        <w:t>Ibid 39</w:t>
      </w:r>
    </w:p>
  </w:footnote>
  <w:footnote w:id="98">
    <w:p w14:paraId="4801D2F0" w14:textId="0E1F0F8A" w:rsidR="00C81473" w:rsidRPr="00C81473" w:rsidRDefault="00C81473" w:rsidP="00C81473">
      <w:pPr>
        <w:pStyle w:val="FootnoteText"/>
        <w:rPr>
          <w:lang w:val="en-US"/>
        </w:rPr>
      </w:pPr>
      <w:r w:rsidRPr="00C81473">
        <w:rPr>
          <w:rStyle w:val="FootnoteReference"/>
        </w:rPr>
        <w:footnoteRef/>
      </w:r>
      <w:r w:rsidRPr="00C81473">
        <w:t xml:space="preserve"> </w:t>
      </w:r>
      <w:r w:rsidRPr="00C81473">
        <w:rPr>
          <w:lang w:val="en-US"/>
        </w:rPr>
        <w:t>Ibid 17</w:t>
      </w:r>
    </w:p>
  </w:footnote>
  <w:footnote w:id="99">
    <w:p w14:paraId="6ACEF364" w14:textId="291E4A78" w:rsidR="00C81473" w:rsidRPr="00C81473" w:rsidRDefault="00C81473" w:rsidP="00C81473">
      <w:pPr>
        <w:pStyle w:val="FootnoteText"/>
        <w:rPr>
          <w:lang w:val="en-US"/>
        </w:rPr>
      </w:pPr>
      <w:r w:rsidRPr="00C81473">
        <w:rPr>
          <w:rStyle w:val="FootnoteReference"/>
        </w:rPr>
        <w:footnoteRef/>
      </w:r>
      <w:r w:rsidRPr="00C81473">
        <w:t xml:space="preserve"> </w:t>
      </w:r>
      <w:r w:rsidRPr="00C81473">
        <w:rPr>
          <w:rStyle w:val="apple-converted-space"/>
          <w:rFonts w:eastAsiaTheme="majorEastAsia"/>
          <w:color w:val="0A0A0A"/>
          <w:shd w:val="clear" w:color="auto" w:fill="FFFFFF"/>
        </w:rPr>
        <w:t> </w:t>
      </w:r>
      <w:r w:rsidRPr="00C81473">
        <w:rPr>
          <w:color w:val="0A0A0A"/>
          <w:shd w:val="clear" w:color="auto" w:fill="FFFFFF"/>
        </w:rPr>
        <w:t>ibid; see also ‘National Strategic Framework on Ending Child Marriage in Ghana’ (UNICEF 2017) 20</w:t>
      </w:r>
      <w:r w:rsidRPr="00C81473">
        <w:rPr>
          <w:rStyle w:val="apple-converted-space"/>
          <w:rFonts w:eastAsiaTheme="majorEastAsia"/>
          <w:color w:val="0A0A0A"/>
          <w:shd w:val="clear" w:color="auto" w:fill="FFFFFF"/>
        </w:rPr>
        <w:t> </w:t>
      </w:r>
      <w:r w:rsidRPr="00C81473">
        <w:rPr>
          <w:rStyle w:val="t286pc"/>
          <w:rFonts w:eastAsiaTheme="majorEastAsia"/>
          <w:color w:val="0A0A0A"/>
        </w:rPr>
        <w:t>unicef.org</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100">
    <w:p w14:paraId="5E3208D6" w14:textId="108B7606" w:rsidR="00C81473" w:rsidRPr="00C81473" w:rsidRDefault="00C81473"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Ewura Esi Nketsiaba Okyere Baafi, ‘Child Marriage and the Laws of Ghana: A Case Study of Western Region’ (PhD thesis, Kwame Nkrumah University of Science and Technology 2021) 40.</w:t>
      </w:r>
    </w:p>
  </w:footnote>
  <w:footnote w:id="101">
    <w:p w14:paraId="04D04DFD" w14:textId="05AB28E4" w:rsidR="00C81473" w:rsidRPr="00C81473" w:rsidRDefault="00C81473" w:rsidP="00C81473">
      <w:pPr>
        <w:pStyle w:val="FootnoteText"/>
        <w:rPr>
          <w:lang w:val="en-US"/>
        </w:rPr>
      </w:pPr>
      <w:r w:rsidRPr="00C81473">
        <w:rPr>
          <w:rStyle w:val="FootnoteReference"/>
        </w:rPr>
        <w:footnoteRef/>
      </w:r>
      <w:r w:rsidRPr="00C81473">
        <w:t xml:space="preserve"> </w:t>
      </w:r>
      <w:r w:rsidRPr="00C81473">
        <w:rPr>
          <w:lang w:val="en-US"/>
        </w:rPr>
        <w:t>Ibid 35</w:t>
      </w:r>
    </w:p>
  </w:footnote>
  <w:footnote w:id="102">
    <w:p w14:paraId="65B02579" w14:textId="5DC559B3" w:rsidR="00C81473" w:rsidRPr="00C81473" w:rsidRDefault="00C81473"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ibid 40; see also ‘National Strategic Framework on Ending Child Marriage in Ghana’ (UNICEF 2017) 22</w:t>
      </w:r>
      <w:r w:rsidRPr="00C81473">
        <w:rPr>
          <w:rStyle w:val="apple-converted-space"/>
          <w:rFonts w:eastAsiaTheme="majorEastAsia"/>
          <w:color w:val="0A0A0A"/>
          <w:shd w:val="clear" w:color="auto" w:fill="FFFFFF"/>
        </w:rPr>
        <w:t> </w:t>
      </w:r>
      <w:r w:rsidRPr="00C81473">
        <w:rPr>
          <w:rStyle w:val="t286pc"/>
          <w:rFonts w:eastAsiaTheme="majorEastAsia"/>
          <w:color w:val="0A0A0A"/>
        </w:rPr>
        <w:t>unicef.org</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103">
    <w:p w14:paraId="310F60A9" w14:textId="1F774421" w:rsidR="00C81473" w:rsidRPr="00C81473" w:rsidRDefault="00C81473"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Baafi (n 94)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C96"/>
    <w:multiLevelType w:val="hybridMultilevel"/>
    <w:tmpl w:val="E22C5A32"/>
    <w:lvl w:ilvl="0" w:tplc="A6209F6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395848"/>
    <w:multiLevelType w:val="multilevel"/>
    <w:tmpl w:val="F968B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A412E8"/>
    <w:multiLevelType w:val="multilevel"/>
    <w:tmpl w:val="E804957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C144EF"/>
    <w:multiLevelType w:val="hybridMultilevel"/>
    <w:tmpl w:val="2F2C139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57A116E5"/>
    <w:multiLevelType w:val="hybridMultilevel"/>
    <w:tmpl w:val="2F2C139A"/>
    <w:lvl w:ilvl="0" w:tplc="B8C00C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1A"/>
    <w:rsid w:val="00032B06"/>
    <w:rsid w:val="00063772"/>
    <w:rsid w:val="00101A90"/>
    <w:rsid w:val="00120CA4"/>
    <w:rsid w:val="00121612"/>
    <w:rsid w:val="00183640"/>
    <w:rsid w:val="001A3C69"/>
    <w:rsid w:val="001E36FB"/>
    <w:rsid w:val="00275B44"/>
    <w:rsid w:val="002932FF"/>
    <w:rsid w:val="003129F9"/>
    <w:rsid w:val="00313C59"/>
    <w:rsid w:val="00395132"/>
    <w:rsid w:val="003964A0"/>
    <w:rsid w:val="004B1700"/>
    <w:rsid w:val="00510627"/>
    <w:rsid w:val="00563EFA"/>
    <w:rsid w:val="0066341A"/>
    <w:rsid w:val="00696411"/>
    <w:rsid w:val="006A4F8B"/>
    <w:rsid w:val="00704DB6"/>
    <w:rsid w:val="00775D34"/>
    <w:rsid w:val="007D6999"/>
    <w:rsid w:val="00801D8B"/>
    <w:rsid w:val="00831F78"/>
    <w:rsid w:val="00852902"/>
    <w:rsid w:val="008808BD"/>
    <w:rsid w:val="0089059A"/>
    <w:rsid w:val="009733DA"/>
    <w:rsid w:val="009746BC"/>
    <w:rsid w:val="009E6B74"/>
    <w:rsid w:val="00A60BEB"/>
    <w:rsid w:val="00A95870"/>
    <w:rsid w:val="00AD68FA"/>
    <w:rsid w:val="00B12E7A"/>
    <w:rsid w:val="00BB3AE7"/>
    <w:rsid w:val="00BC463E"/>
    <w:rsid w:val="00BC5FDD"/>
    <w:rsid w:val="00BD77C7"/>
    <w:rsid w:val="00BE2EF0"/>
    <w:rsid w:val="00C81473"/>
    <w:rsid w:val="00C87CE1"/>
    <w:rsid w:val="00CC58AF"/>
    <w:rsid w:val="00D229DC"/>
    <w:rsid w:val="00DB7311"/>
    <w:rsid w:val="00E02F64"/>
    <w:rsid w:val="00E075F0"/>
    <w:rsid w:val="00E109FB"/>
    <w:rsid w:val="00EE3A7C"/>
    <w:rsid w:val="00F206CA"/>
    <w:rsid w:val="00F40605"/>
    <w:rsid w:val="00F768A7"/>
    <w:rsid w:val="00F93638"/>
    <w:rsid w:val="00FE22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41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63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4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4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4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4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41A"/>
    <w:rPr>
      <w:rFonts w:eastAsiaTheme="majorEastAsia" w:cstheme="majorBidi"/>
      <w:color w:val="272727" w:themeColor="text1" w:themeTint="D8"/>
    </w:rPr>
  </w:style>
  <w:style w:type="paragraph" w:styleId="Title">
    <w:name w:val="Title"/>
    <w:basedOn w:val="Normal"/>
    <w:next w:val="Normal"/>
    <w:link w:val="TitleChar"/>
    <w:uiPriority w:val="10"/>
    <w:qFormat/>
    <w:rsid w:val="006634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41A"/>
    <w:pPr>
      <w:spacing w:before="160"/>
      <w:jc w:val="center"/>
    </w:pPr>
    <w:rPr>
      <w:i/>
      <w:iCs/>
      <w:color w:val="404040" w:themeColor="text1" w:themeTint="BF"/>
    </w:rPr>
  </w:style>
  <w:style w:type="character" w:customStyle="1" w:styleId="QuoteChar">
    <w:name w:val="Quote Char"/>
    <w:basedOn w:val="DefaultParagraphFont"/>
    <w:link w:val="Quote"/>
    <w:uiPriority w:val="29"/>
    <w:rsid w:val="0066341A"/>
    <w:rPr>
      <w:i/>
      <w:iCs/>
      <w:color w:val="404040" w:themeColor="text1" w:themeTint="BF"/>
    </w:rPr>
  </w:style>
  <w:style w:type="paragraph" w:styleId="ListParagraph">
    <w:name w:val="List Paragraph"/>
    <w:basedOn w:val="Normal"/>
    <w:uiPriority w:val="34"/>
    <w:qFormat/>
    <w:rsid w:val="0066341A"/>
    <w:pPr>
      <w:ind w:left="720"/>
      <w:contextualSpacing/>
    </w:pPr>
  </w:style>
  <w:style w:type="character" w:styleId="IntenseEmphasis">
    <w:name w:val="Intense Emphasis"/>
    <w:basedOn w:val="DefaultParagraphFont"/>
    <w:uiPriority w:val="21"/>
    <w:qFormat/>
    <w:rsid w:val="0066341A"/>
    <w:rPr>
      <w:i/>
      <w:iCs/>
      <w:color w:val="0F4761" w:themeColor="accent1" w:themeShade="BF"/>
    </w:rPr>
  </w:style>
  <w:style w:type="paragraph" w:styleId="IntenseQuote">
    <w:name w:val="Intense Quote"/>
    <w:basedOn w:val="Normal"/>
    <w:next w:val="Normal"/>
    <w:link w:val="IntenseQuoteChar"/>
    <w:uiPriority w:val="30"/>
    <w:qFormat/>
    <w:rsid w:val="00663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41A"/>
    <w:rPr>
      <w:i/>
      <w:iCs/>
      <w:color w:val="0F4761" w:themeColor="accent1" w:themeShade="BF"/>
    </w:rPr>
  </w:style>
  <w:style w:type="character" w:styleId="IntenseReference">
    <w:name w:val="Intense Reference"/>
    <w:basedOn w:val="DefaultParagraphFont"/>
    <w:uiPriority w:val="32"/>
    <w:qFormat/>
    <w:rsid w:val="0066341A"/>
    <w:rPr>
      <w:b/>
      <w:bCs/>
      <w:smallCaps/>
      <w:color w:val="0F4761" w:themeColor="accent1" w:themeShade="BF"/>
      <w:spacing w:val="5"/>
    </w:rPr>
  </w:style>
  <w:style w:type="character" w:styleId="Strong">
    <w:name w:val="Strong"/>
    <w:basedOn w:val="DefaultParagraphFont"/>
    <w:uiPriority w:val="22"/>
    <w:qFormat/>
    <w:rsid w:val="0066341A"/>
    <w:rPr>
      <w:b/>
      <w:bCs/>
    </w:rPr>
  </w:style>
  <w:style w:type="character" w:customStyle="1" w:styleId="apple-converted-space">
    <w:name w:val="apple-converted-space"/>
    <w:basedOn w:val="DefaultParagraphFont"/>
    <w:rsid w:val="0066341A"/>
  </w:style>
  <w:style w:type="character" w:styleId="Emphasis">
    <w:name w:val="Emphasis"/>
    <w:basedOn w:val="DefaultParagraphFont"/>
    <w:uiPriority w:val="20"/>
    <w:qFormat/>
    <w:rsid w:val="0066341A"/>
    <w:rPr>
      <w:i/>
      <w:iCs/>
    </w:rPr>
  </w:style>
  <w:style w:type="paragraph" w:customStyle="1" w:styleId="df3vjf">
    <w:name w:val="df3vjf"/>
    <w:basedOn w:val="Normal"/>
    <w:rsid w:val="0066341A"/>
    <w:pPr>
      <w:spacing w:before="100" w:beforeAutospacing="1" w:after="100" w:afterAutospacing="1"/>
    </w:pPr>
  </w:style>
  <w:style w:type="character" w:customStyle="1" w:styleId="t286pc">
    <w:name w:val="t286pc"/>
    <w:basedOn w:val="DefaultParagraphFont"/>
    <w:rsid w:val="0066341A"/>
  </w:style>
  <w:style w:type="paragraph" w:styleId="Header">
    <w:name w:val="header"/>
    <w:basedOn w:val="Normal"/>
    <w:link w:val="HeaderChar"/>
    <w:uiPriority w:val="99"/>
    <w:unhideWhenUsed/>
    <w:rsid w:val="00DB7311"/>
    <w:pPr>
      <w:tabs>
        <w:tab w:val="center" w:pos="4513"/>
        <w:tab w:val="right" w:pos="9026"/>
      </w:tabs>
    </w:pPr>
  </w:style>
  <w:style w:type="character" w:customStyle="1" w:styleId="HeaderChar">
    <w:name w:val="Header Char"/>
    <w:basedOn w:val="DefaultParagraphFont"/>
    <w:link w:val="Header"/>
    <w:uiPriority w:val="99"/>
    <w:rsid w:val="00DB7311"/>
  </w:style>
  <w:style w:type="paragraph" w:styleId="Footer">
    <w:name w:val="footer"/>
    <w:basedOn w:val="Normal"/>
    <w:link w:val="FooterChar"/>
    <w:uiPriority w:val="99"/>
    <w:unhideWhenUsed/>
    <w:rsid w:val="00DB7311"/>
    <w:pPr>
      <w:tabs>
        <w:tab w:val="center" w:pos="4513"/>
        <w:tab w:val="right" w:pos="9026"/>
      </w:tabs>
    </w:pPr>
  </w:style>
  <w:style w:type="character" w:customStyle="1" w:styleId="FooterChar">
    <w:name w:val="Footer Char"/>
    <w:basedOn w:val="DefaultParagraphFont"/>
    <w:link w:val="Footer"/>
    <w:uiPriority w:val="99"/>
    <w:rsid w:val="00DB7311"/>
  </w:style>
  <w:style w:type="character" w:customStyle="1" w:styleId="vndci">
    <w:name w:val="vndci"/>
    <w:basedOn w:val="DefaultParagraphFont"/>
    <w:rsid w:val="003964A0"/>
  </w:style>
  <w:style w:type="paragraph" w:styleId="FootnoteText">
    <w:name w:val="footnote text"/>
    <w:basedOn w:val="Normal"/>
    <w:link w:val="FootnoteTextChar"/>
    <w:uiPriority w:val="99"/>
    <w:semiHidden/>
    <w:unhideWhenUsed/>
    <w:rsid w:val="003964A0"/>
    <w:rPr>
      <w:sz w:val="20"/>
      <w:szCs w:val="20"/>
    </w:rPr>
  </w:style>
  <w:style w:type="character" w:customStyle="1" w:styleId="FootnoteTextChar">
    <w:name w:val="Footnote Text Char"/>
    <w:basedOn w:val="DefaultParagraphFont"/>
    <w:link w:val="FootnoteText"/>
    <w:uiPriority w:val="99"/>
    <w:semiHidden/>
    <w:rsid w:val="003964A0"/>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3964A0"/>
    <w:rPr>
      <w:vertAlign w:val="superscript"/>
    </w:rPr>
  </w:style>
  <w:style w:type="paragraph" w:styleId="EndnoteText">
    <w:name w:val="endnote text"/>
    <w:basedOn w:val="Normal"/>
    <w:link w:val="EndnoteTextChar"/>
    <w:uiPriority w:val="99"/>
    <w:semiHidden/>
    <w:unhideWhenUsed/>
    <w:rsid w:val="00E02F64"/>
    <w:rPr>
      <w:sz w:val="20"/>
      <w:szCs w:val="20"/>
    </w:rPr>
  </w:style>
  <w:style w:type="character" w:customStyle="1" w:styleId="EndnoteTextChar">
    <w:name w:val="Endnote Text Char"/>
    <w:basedOn w:val="DefaultParagraphFont"/>
    <w:link w:val="EndnoteText"/>
    <w:uiPriority w:val="99"/>
    <w:semiHidden/>
    <w:rsid w:val="00E02F64"/>
    <w:rPr>
      <w:rFonts w:ascii="Times New Roman" w:eastAsia="Times New Roman" w:hAnsi="Times New Roman"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E02F64"/>
    <w:rPr>
      <w:vertAlign w:val="superscript"/>
    </w:rPr>
  </w:style>
  <w:style w:type="character" w:styleId="PageNumber">
    <w:name w:val="page number"/>
    <w:basedOn w:val="DefaultParagraphFont"/>
    <w:uiPriority w:val="99"/>
    <w:semiHidden/>
    <w:unhideWhenUsed/>
    <w:rsid w:val="00704DB6"/>
  </w:style>
  <w:style w:type="character" w:customStyle="1" w:styleId="dtet0b">
    <w:name w:val="dtet0b"/>
    <w:basedOn w:val="DefaultParagraphFont"/>
    <w:rsid w:val="009E6B74"/>
  </w:style>
  <w:style w:type="paragraph" w:customStyle="1" w:styleId="z1qcye">
    <w:name w:val="z1qcye"/>
    <w:basedOn w:val="Normal"/>
    <w:rsid w:val="009E6B74"/>
    <w:pPr>
      <w:spacing w:before="100" w:beforeAutospacing="1" w:after="100" w:afterAutospacing="1"/>
    </w:pPr>
  </w:style>
  <w:style w:type="character" w:styleId="Hyperlink">
    <w:name w:val="Hyperlink"/>
    <w:basedOn w:val="DefaultParagraphFont"/>
    <w:uiPriority w:val="99"/>
    <w:semiHidden/>
    <w:unhideWhenUsed/>
    <w:rsid w:val="009E6B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41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63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4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4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4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4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41A"/>
    <w:rPr>
      <w:rFonts w:eastAsiaTheme="majorEastAsia" w:cstheme="majorBidi"/>
      <w:color w:val="272727" w:themeColor="text1" w:themeTint="D8"/>
    </w:rPr>
  </w:style>
  <w:style w:type="paragraph" w:styleId="Title">
    <w:name w:val="Title"/>
    <w:basedOn w:val="Normal"/>
    <w:next w:val="Normal"/>
    <w:link w:val="TitleChar"/>
    <w:uiPriority w:val="10"/>
    <w:qFormat/>
    <w:rsid w:val="006634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41A"/>
    <w:pPr>
      <w:spacing w:before="160"/>
      <w:jc w:val="center"/>
    </w:pPr>
    <w:rPr>
      <w:i/>
      <w:iCs/>
      <w:color w:val="404040" w:themeColor="text1" w:themeTint="BF"/>
    </w:rPr>
  </w:style>
  <w:style w:type="character" w:customStyle="1" w:styleId="QuoteChar">
    <w:name w:val="Quote Char"/>
    <w:basedOn w:val="DefaultParagraphFont"/>
    <w:link w:val="Quote"/>
    <w:uiPriority w:val="29"/>
    <w:rsid w:val="0066341A"/>
    <w:rPr>
      <w:i/>
      <w:iCs/>
      <w:color w:val="404040" w:themeColor="text1" w:themeTint="BF"/>
    </w:rPr>
  </w:style>
  <w:style w:type="paragraph" w:styleId="ListParagraph">
    <w:name w:val="List Paragraph"/>
    <w:basedOn w:val="Normal"/>
    <w:uiPriority w:val="34"/>
    <w:qFormat/>
    <w:rsid w:val="0066341A"/>
    <w:pPr>
      <w:ind w:left="720"/>
      <w:contextualSpacing/>
    </w:pPr>
  </w:style>
  <w:style w:type="character" w:styleId="IntenseEmphasis">
    <w:name w:val="Intense Emphasis"/>
    <w:basedOn w:val="DefaultParagraphFont"/>
    <w:uiPriority w:val="21"/>
    <w:qFormat/>
    <w:rsid w:val="0066341A"/>
    <w:rPr>
      <w:i/>
      <w:iCs/>
      <w:color w:val="0F4761" w:themeColor="accent1" w:themeShade="BF"/>
    </w:rPr>
  </w:style>
  <w:style w:type="paragraph" w:styleId="IntenseQuote">
    <w:name w:val="Intense Quote"/>
    <w:basedOn w:val="Normal"/>
    <w:next w:val="Normal"/>
    <w:link w:val="IntenseQuoteChar"/>
    <w:uiPriority w:val="30"/>
    <w:qFormat/>
    <w:rsid w:val="00663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41A"/>
    <w:rPr>
      <w:i/>
      <w:iCs/>
      <w:color w:val="0F4761" w:themeColor="accent1" w:themeShade="BF"/>
    </w:rPr>
  </w:style>
  <w:style w:type="character" w:styleId="IntenseReference">
    <w:name w:val="Intense Reference"/>
    <w:basedOn w:val="DefaultParagraphFont"/>
    <w:uiPriority w:val="32"/>
    <w:qFormat/>
    <w:rsid w:val="0066341A"/>
    <w:rPr>
      <w:b/>
      <w:bCs/>
      <w:smallCaps/>
      <w:color w:val="0F4761" w:themeColor="accent1" w:themeShade="BF"/>
      <w:spacing w:val="5"/>
    </w:rPr>
  </w:style>
  <w:style w:type="character" w:styleId="Strong">
    <w:name w:val="Strong"/>
    <w:basedOn w:val="DefaultParagraphFont"/>
    <w:uiPriority w:val="22"/>
    <w:qFormat/>
    <w:rsid w:val="0066341A"/>
    <w:rPr>
      <w:b/>
      <w:bCs/>
    </w:rPr>
  </w:style>
  <w:style w:type="character" w:customStyle="1" w:styleId="apple-converted-space">
    <w:name w:val="apple-converted-space"/>
    <w:basedOn w:val="DefaultParagraphFont"/>
    <w:rsid w:val="0066341A"/>
  </w:style>
  <w:style w:type="character" w:styleId="Emphasis">
    <w:name w:val="Emphasis"/>
    <w:basedOn w:val="DefaultParagraphFont"/>
    <w:uiPriority w:val="20"/>
    <w:qFormat/>
    <w:rsid w:val="0066341A"/>
    <w:rPr>
      <w:i/>
      <w:iCs/>
    </w:rPr>
  </w:style>
  <w:style w:type="paragraph" w:customStyle="1" w:styleId="df3vjf">
    <w:name w:val="df3vjf"/>
    <w:basedOn w:val="Normal"/>
    <w:rsid w:val="0066341A"/>
    <w:pPr>
      <w:spacing w:before="100" w:beforeAutospacing="1" w:after="100" w:afterAutospacing="1"/>
    </w:pPr>
  </w:style>
  <w:style w:type="character" w:customStyle="1" w:styleId="t286pc">
    <w:name w:val="t286pc"/>
    <w:basedOn w:val="DefaultParagraphFont"/>
    <w:rsid w:val="0066341A"/>
  </w:style>
  <w:style w:type="paragraph" w:styleId="Header">
    <w:name w:val="header"/>
    <w:basedOn w:val="Normal"/>
    <w:link w:val="HeaderChar"/>
    <w:uiPriority w:val="99"/>
    <w:unhideWhenUsed/>
    <w:rsid w:val="00DB7311"/>
    <w:pPr>
      <w:tabs>
        <w:tab w:val="center" w:pos="4513"/>
        <w:tab w:val="right" w:pos="9026"/>
      </w:tabs>
    </w:pPr>
  </w:style>
  <w:style w:type="character" w:customStyle="1" w:styleId="HeaderChar">
    <w:name w:val="Header Char"/>
    <w:basedOn w:val="DefaultParagraphFont"/>
    <w:link w:val="Header"/>
    <w:uiPriority w:val="99"/>
    <w:rsid w:val="00DB7311"/>
  </w:style>
  <w:style w:type="paragraph" w:styleId="Footer">
    <w:name w:val="footer"/>
    <w:basedOn w:val="Normal"/>
    <w:link w:val="FooterChar"/>
    <w:uiPriority w:val="99"/>
    <w:unhideWhenUsed/>
    <w:rsid w:val="00DB7311"/>
    <w:pPr>
      <w:tabs>
        <w:tab w:val="center" w:pos="4513"/>
        <w:tab w:val="right" w:pos="9026"/>
      </w:tabs>
    </w:pPr>
  </w:style>
  <w:style w:type="character" w:customStyle="1" w:styleId="FooterChar">
    <w:name w:val="Footer Char"/>
    <w:basedOn w:val="DefaultParagraphFont"/>
    <w:link w:val="Footer"/>
    <w:uiPriority w:val="99"/>
    <w:rsid w:val="00DB7311"/>
  </w:style>
  <w:style w:type="character" w:customStyle="1" w:styleId="vndci">
    <w:name w:val="vndci"/>
    <w:basedOn w:val="DefaultParagraphFont"/>
    <w:rsid w:val="003964A0"/>
  </w:style>
  <w:style w:type="paragraph" w:styleId="FootnoteText">
    <w:name w:val="footnote text"/>
    <w:basedOn w:val="Normal"/>
    <w:link w:val="FootnoteTextChar"/>
    <w:uiPriority w:val="99"/>
    <w:semiHidden/>
    <w:unhideWhenUsed/>
    <w:rsid w:val="003964A0"/>
    <w:rPr>
      <w:sz w:val="20"/>
      <w:szCs w:val="20"/>
    </w:rPr>
  </w:style>
  <w:style w:type="character" w:customStyle="1" w:styleId="FootnoteTextChar">
    <w:name w:val="Footnote Text Char"/>
    <w:basedOn w:val="DefaultParagraphFont"/>
    <w:link w:val="FootnoteText"/>
    <w:uiPriority w:val="99"/>
    <w:semiHidden/>
    <w:rsid w:val="003964A0"/>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3964A0"/>
    <w:rPr>
      <w:vertAlign w:val="superscript"/>
    </w:rPr>
  </w:style>
  <w:style w:type="paragraph" w:styleId="EndnoteText">
    <w:name w:val="endnote text"/>
    <w:basedOn w:val="Normal"/>
    <w:link w:val="EndnoteTextChar"/>
    <w:uiPriority w:val="99"/>
    <w:semiHidden/>
    <w:unhideWhenUsed/>
    <w:rsid w:val="00E02F64"/>
    <w:rPr>
      <w:sz w:val="20"/>
      <w:szCs w:val="20"/>
    </w:rPr>
  </w:style>
  <w:style w:type="character" w:customStyle="1" w:styleId="EndnoteTextChar">
    <w:name w:val="Endnote Text Char"/>
    <w:basedOn w:val="DefaultParagraphFont"/>
    <w:link w:val="EndnoteText"/>
    <w:uiPriority w:val="99"/>
    <w:semiHidden/>
    <w:rsid w:val="00E02F64"/>
    <w:rPr>
      <w:rFonts w:ascii="Times New Roman" w:eastAsia="Times New Roman" w:hAnsi="Times New Roman"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E02F64"/>
    <w:rPr>
      <w:vertAlign w:val="superscript"/>
    </w:rPr>
  </w:style>
  <w:style w:type="character" w:styleId="PageNumber">
    <w:name w:val="page number"/>
    <w:basedOn w:val="DefaultParagraphFont"/>
    <w:uiPriority w:val="99"/>
    <w:semiHidden/>
    <w:unhideWhenUsed/>
    <w:rsid w:val="00704DB6"/>
  </w:style>
  <w:style w:type="character" w:customStyle="1" w:styleId="dtet0b">
    <w:name w:val="dtet0b"/>
    <w:basedOn w:val="DefaultParagraphFont"/>
    <w:rsid w:val="009E6B74"/>
  </w:style>
  <w:style w:type="paragraph" w:customStyle="1" w:styleId="z1qcye">
    <w:name w:val="z1qcye"/>
    <w:basedOn w:val="Normal"/>
    <w:rsid w:val="009E6B74"/>
    <w:pPr>
      <w:spacing w:before="100" w:beforeAutospacing="1" w:after="100" w:afterAutospacing="1"/>
    </w:pPr>
  </w:style>
  <w:style w:type="character" w:styleId="Hyperlink">
    <w:name w:val="Hyperlink"/>
    <w:basedOn w:val="DefaultParagraphFont"/>
    <w:uiPriority w:val="99"/>
    <w:semiHidden/>
    <w:unhideWhenUsed/>
    <w:rsid w:val="009E6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_rels/footnotes.xml.rels><?xml version="1.0" encoding="UTF-8" standalone="yes"?>
<Relationships xmlns="http://schemas.openxmlformats.org/package/2006/relationships"><Relationship Id="rId2" Type="http://schemas.openxmlformats.org/officeDocument/2006/relationships/hyperlink" Target="https://www.girlsnotbrides.org/documents/880/Economic-Impact-of-CM-Final-LR.pdf" TargetMode="External"/><Relationship Id="rId1" Type="http://schemas.openxmlformats.org/officeDocument/2006/relationships/hyperlink" Target="https://migrationletters.com/index.php/ml/article/download/10489/7006/2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9EB4-DFC1-4706-8D87-C74A6565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18</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osei</dc:creator>
  <cp:keywords/>
  <dc:description/>
  <cp:lastModifiedBy>qwert</cp:lastModifiedBy>
  <cp:revision>5</cp:revision>
  <dcterms:created xsi:type="dcterms:W3CDTF">2026-05-09T12:57:00Z</dcterms:created>
  <dcterms:modified xsi:type="dcterms:W3CDTF">2026-05-11T18:13:00Z</dcterms:modified>
</cp:coreProperties>
</file>