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3B3" w:rsidRDefault="00B72EBD">
      <w:pPr>
        <w:jc w:val="center"/>
        <w:rPr>
          <w:rFonts w:ascii="Times New Roman" w:hAnsi="Times New Roman" w:cs="Times New Roman"/>
          <w:b/>
          <w:bCs/>
          <w:sz w:val="24"/>
          <w:szCs w:val="24"/>
        </w:rPr>
      </w:pPr>
      <w:r>
        <w:rPr>
          <w:rFonts w:ascii="Times New Roman" w:hAnsi="Times New Roman" w:cs="Times New Roman"/>
          <w:b/>
          <w:bCs/>
          <w:sz w:val="24"/>
          <w:szCs w:val="24"/>
        </w:rPr>
        <w:t>Web-based Mapping and Assessment of the spatial extent, intensity and Resilience of flood in Lugbe, Abuja, Nigeria</w:t>
      </w:r>
    </w:p>
    <w:p w:rsidR="00AD53B3" w:rsidRDefault="00AD53B3">
      <w:pPr>
        <w:jc w:val="center"/>
        <w:rPr>
          <w:rFonts w:ascii="Times New Roman" w:hAnsi="Times New Roman" w:cs="Times New Roman"/>
          <w:b/>
          <w:bCs/>
          <w:sz w:val="24"/>
          <w:szCs w:val="24"/>
        </w:rPr>
      </w:pPr>
    </w:p>
    <w:p w:rsidR="00AD53B3" w:rsidRDefault="00B72EBD">
      <w:pPr>
        <w:jc w:val="center"/>
        <w:rPr>
          <w:rFonts w:ascii="Times New Roman" w:hAnsi="Times New Roman" w:cs="Times New Roman"/>
          <w:sz w:val="22"/>
          <w:szCs w:val="22"/>
        </w:rPr>
      </w:pPr>
      <w:bookmarkStart w:id="0" w:name="_GoBack"/>
      <w:bookmarkEnd w:id="0"/>
      <w:r>
        <w:rPr>
          <w:rFonts w:ascii="Times New Roman" w:hAnsi="Times New Roman" w:cs="Times New Roman"/>
          <w:sz w:val="22"/>
          <w:szCs w:val="22"/>
        </w:rPr>
        <w:t xml:space="preserve"> </w:t>
      </w:r>
    </w:p>
    <w:p w:rsidR="00AD53B3" w:rsidRDefault="00AD53B3">
      <w:pPr>
        <w:rPr>
          <w:rFonts w:ascii="Times New Roman" w:hAnsi="Times New Roman" w:cs="Times New Roman"/>
          <w:b/>
          <w:bCs/>
          <w:sz w:val="24"/>
          <w:szCs w:val="24"/>
        </w:rPr>
      </w:pPr>
    </w:p>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Abstract</w:t>
      </w:r>
    </w:p>
    <w:p w:rsidR="00AD53B3" w:rsidRDefault="00B72EBD">
      <w:pPr>
        <w:pStyle w:val="NormalWeb"/>
        <w:spacing w:beforeAutospacing="0" w:afterAutospacing="0"/>
        <w:jc w:val="both"/>
        <w:rPr>
          <w:i/>
          <w:iCs/>
          <w:sz w:val="22"/>
          <w:szCs w:val="22"/>
        </w:rPr>
      </w:pPr>
      <w:r>
        <w:rPr>
          <w:i/>
          <w:iCs/>
          <w:sz w:val="22"/>
          <w:szCs w:val="22"/>
        </w:rPr>
        <w:t>This study assesses the spatial extent and intensity of flooding in Lugbe, Abuja, using integrated geospatial techniques and rainfall–flood relationship modeling to support sustainable flood risk management and urban planni</w:t>
      </w:r>
      <w:r>
        <w:rPr>
          <w:i/>
          <w:iCs/>
          <w:sz w:val="22"/>
          <w:szCs w:val="22"/>
        </w:rPr>
        <w:t>ng interventions. An interdisciplinary research design combining Remote Sensing, Geographic Information Systems (GIS), hydrological flood modeling, and Google Map WebGIS visualization tools was employed to delineate flood-prone zones, quantify hazard inten</w:t>
      </w:r>
      <w:r>
        <w:rPr>
          <w:i/>
          <w:iCs/>
          <w:sz w:val="22"/>
          <w:szCs w:val="22"/>
        </w:rPr>
        <w:t>sity, and evaluate governance implications.</w:t>
      </w:r>
      <w:r>
        <w:rPr>
          <w:i/>
          <w:iCs/>
          <w:sz w:val="22"/>
          <w:szCs w:val="22"/>
        </w:rPr>
        <w:t xml:space="preserve"> </w:t>
      </w:r>
      <w:r>
        <w:rPr>
          <w:i/>
          <w:iCs/>
          <w:sz w:val="22"/>
          <w:szCs w:val="22"/>
        </w:rPr>
        <w:t>Results reveal that flooding is spatially concentrated in low-lying drainage corridors and rapidly urbanizing estates, particularly Trademore Estate, the Voice of Nigeria axis, River Park Estate, and informal set</w:t>
      </w:r>
      <w:r>
        <w:rPr>
          <w:i/>
          <w:iCs/>
          <w:sz w:val="22"/>
          <w:szCs w:val="22"/>
        </w:rPr>
        <w:t>tlements near Lugbe Fruit Market. Flood intensity varies significantly, ranging from low exposure in FHA Capua (1.59 ha; 1.39%) to high-intensity hotspots in River Park (21.5 ha; 4.48%). Approximately 34% of Lugbe falls within moderate-to-high flood hazard</w:t>
      </w:r>
      <w:r>
        <w:rPr>
          <w:i/>
          <w:iCs/>
          <w:sz w:val="22"/>
          <w:szCs w:val="22"/>
        </w:rPr>
        <w:t xml:space="preserve"> zones, with severe locations recording flood depths exceeding 1.5 m. Spatial overlay analysis indicates that 33–36% of buildings and road networks are exposed to varying flood risks. Impervious surface coverage exceeding 65–75% in built-up estates and blo</w:t>
      </w:r>
      <w:r>
        <w:rPr>
          <w:i/>
          <w:iCs/>
          <w:sz w:val="22"/>
          <w:szCs w:val="22"/>
        </w:rPr>
        <w:t xml:space="preserve">cked or undersized drainage channels (affecting ~40% of mapped corridors) significantly increase runoff accumulation. Rainfall modeling shows that extreme rainfall events (&gt;50 mm/day) account for over 60% of severe flood occurrences, while a projected 10% </w:t>
      </w:r>
      <w:r>
        <w:rPr>
          <w:i/>
          <w:iCs/>
          <w:sz w:val="22"/>
          <w:szCs w:val="22"/>
        </w:rPr>
        <w:t>increase in rainfall intensity may elevate runoff volume by 15–20% under current land-use conditions.</w:t>
      </w:r>
      <w:r>
        <w:rPr>
          <w:i/>
          <w:iCs/>
          <w:sz w:val="22"/>
          <w:szCs w:val="22"/>
        </w:rPr>
        <w:t xml:space="preserve"> </w:t>
      </w:r>
      <w:r>
        <w:rPr>
          <w:i/>
          <w:iCs/>
          <w:sz w:val="22"/>
          <w:szCs w:val="22"/>
        </w:rPr>
        <w:t>The integration of WebGIS dashboards enhances hazard communication efficiency by 40–50% and reduces response time by up to 45%, strengthening flood govern</w:t>
      </w:r>
      <w:r>
        <w:rPr>
          <w:i/>
          <w:iCs/>
          <w:sz w:val="22"/>
          <w:szCs w:val="22"/>
        </w:rPr>
        <w:t>ance and early warning systems. The study recommends improved drainage maintenance, strict enforcement of land-use regulations, and the avoidance of construction along natural waterways to mitigate escalating flood risks under increasing climate variabilit</w:t>
      </w:r>
      <w:r>
        <w:rPr>
          <w:i/>
          <w:iCs/>
          <w:sz w:val="22"/>
          <w:szCs w:val="22"/>
        </w:rPr>
        <w:t>y.</w:t>
      </w:r>
    </w:p>
    <w:p w:rsidR="00AD53B3" w:rsidRDefault="00AD53B3">
      <w:pPr>
        <w:pStyle w:val="NormalWeb"/>
        <w:spacing w:beforeAutospacing="0" w:afterAutospacing="0"/>
        <w:jc w:val="both"/>
        <w:rPr>
          <w:i/>
          <w:iCs/>
          <w:sz w:val="22"/>
          <w:szCs w:val="22"/>
        </w:rPr>
      </w:pPr>
    </w:p>
    <w:p w:rsidR="00AD53B3" w:rsidRDefault="00B72EBD">
      <w:pPr>
        <w:rPr>
          <w:rFonts w:ascii="Times New Roman" w:hAnsi="Times New Roman" w:cs="Times New Roman"/>
          <w:b/>
          <w:bCs/>
          <w:sz w:val="22"/>
          <w:szCs w:val="22"/>
        </w:rPr>
      </w:pPr>
      <w:r>
        <w:rPr>
          <w:rFonts w:ascii="Times New Roman" w:hAnsi="Times New Roman" w:cs="Times New Roman"/>
          <w:b/>
          <w:bCs/>
          <w:sz w:val="22"/>
          <w:szCs w:val="22"/>
        </w:rPr>
        <w:t xml:space="preserve">Keywords: </w:t>
      </w:r>
      <w:r>
        <w:rPr>
          <w:rFonts w:ascii="Times New Roman" w:hAnsi="Times New Roman" w:cs="Times New Roman"/>
          <w:sz w:val="22"/>
          <w:szCs w:val="22"/>
        </w:rPr>
        <w:t>Flood, Ecosystem, Disaster, Remote Sensing, WebGIS, Lugbe</w:t>
      </w:r>
    </w:p>
    <w:p w:rsidR="00AD53B3" w:rsidRDefault="00AD53B3">
      <w:pPr>
        <w:rPr>
          <w:rFonts w:ascii="Times New Roman" w:hAnsi="Times New Roman" w:cs="Times New Roman"/>
          <w:b/>
          <w:bCs/>
          <w:sz w:val="24"/>
          <w:szCs w:val="24"/>
        </w:rPr>
      </w:pPr>
    </w:p>
    <w:p w:rsidR="00AD53B3" w:rsidRDefault="00B72EBD">
      <w:pPr>
        <w:numPr>
          <w:ilvl w:val="0"/>
          <w:numId w:val="1"/>
        </w:numPr>
        <w:rPr>
          <w:rFonts w:ascii="Times New Roman" w:hAnsi="Times New Roman" w:cs="Times New Roman"/>
          <w:b/>
          <w:bCs/>
          <w:sz w:val="24"/>
          <w:szCs w:val="24"/>
        </w:rPr>
      </w:pPr>
      <w:r>
        <w:rPr>
          <w:rFonts w:ascii="Times New Roman" w:hAnsi="Times New Roman" w:cs="Times New Roman"/>
          <w:b/>
          <w:bCs/>
          <w:sz w:val="24"/>
          <w:szCs w:val="24"/>
        </w:rPr>
        <w:t>Introduction</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 xml:space="preserve">As a background, flooding is widely recognized as one of the most destructive and recurring natural hazards affecting ecosystems in both developed and developing nations </w:t>
      </w:r>
      <w:r>
        <w:rPr>
          <w:rFonts w:ascii="Times New Roman" w:hAnsi="Times New Roman" w:cs="Times New Roman"/>
          <w:sz w:val="24"/>
          <w:szCs w:val="24"/>
        </w:rPr>
        <w:t>(Bello &amp; Ogedegbe, 2015). Its impacts extend beyond environmental degradation to include loss of human lives, displacement of populations, destruction of infrastructure, disruption of livelihoods, and increased public health risks (Umaru et al., 2025; Luca</w:t>
      </w:r>
      <w:r>
        <w:rPr>
          <w:rFonts w:ascii="Times New Roman" w:hAnsi="Times New Roman" w:cs="Times New Roman"/>
          <w:sz w:val="24"/>
          <w:szCs w:val="24"/>
        </w:rPr>
        <w:t>s, 2021; Bello, Onothoja &amp; Asikhia, 2013). Globally, rapid urbanization, climate change, and increasing rainfall variability have intensified the frequency and magnitude of flood events, especially in urban areas where land cover changes have reduced infil</w:t>
      </w:r>
      <w:r>
        <w:rPr>
          <w:rFonts w:ascii="Times New Roman" w:hAnsi="Times New Roman" w:cs="Times New Roman"/>
          <w:sz w:val="24"/>
          <w:szCs w:val="24"/>
        </w:rPr>
        <w:t>tration and increased surface runoff (Bello, Agbanwu, Ishaya &amp; Kpalo, 2024; Intergovernmental Panel on Climate Change [IPCC], 2021).</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In Sub-Saharan Africa, floods have become a growing concern due to limited urban planning capacity, inadequate drainage sy</w:t>
      </w:r>
      <w:r>
        <w:rPr>
          <w:rFonts w:ascii="Times New Roman" w:hAnsi="Times New Roman" w:cs="Times New Roman"/>
          <w:sz w:val="24"/>
          <w:szCs w:val="24"/>
        </w:rPr>
        <w:t>stems, and the expansion of settlements into flood-prone zones (Douglas et al., 2008). Nigeria, in particular, experiences seasonal flooding almost every year, with devastating consequences for households, transportation networks, agriculture, and public i</w:t>
      </w:r>
      <w:r>
        <w:rPr>
          <w:rFonts w:ascii="Times New Roman" w:hAnsi="Times New Roman" w:cs="Times New Roman"/>
          <w:sz w:val="24"/>
          <w:szCs w:val="24"/>
        </w:rPr>
        <w:t xml:space="preserve">nfrastructure (Nkeki, Bello &amp; Agbaje, 2023; Lucas, 2021). The situation is worsened by extreme rainfall events, poor waste disposal practices that block drainage channels, and uncontrolled development along natural waterways (Afeonkhai, 2025; Nkeki, Bello </w:t>
      </w:r>
      <w:r>
        <w:rPr>
          <w:rFonts w:ascii="Times New Roman" w:hAnsi="Times New Roman" w:cs="Times New Roman"/>
          <w:sz w:val="24"/>
          <w:szCs w:val="24"/>
        </w:rPr>
        <w:t>&amp; Agbaje, 2022).</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Federal Capital Territory (FCT), though planned as a modern administrative city, has not been immune to flood disasters. Peri-urban districts such as Lugbe have witnessed rapid population growth and unregulated housing development, re</w:t>
      </w:r>
      <w:r>
        <w:rPr>
          <w:rFonts w:ascii="Times New Roman" w:hAnsi="Times New Roman" w:cs="Times New Roman"/>
          <w:sz w:val="24"/>
          <w:szCs w:val="24"/>
        </w:rPr>
        <w:t>sulting in significant pressure on drainage infrastructure and natural floodplains (Wikipedia, 2026). Lugbe, located along the Abuja–Airport corridor, has emerged as one of the most flood-affected communities in the FCT, with estates such as Trademore repe</w:t>
      </w:r>
      <w:r>
        <w:rPr>
          <w:rFonts w:ascii="Times New Roman" w:hAnsi="Times New Roman" w:cs="Times New Roman"/>
          <w:sz w:val="24"/>
          <w:szCs w:val="24"/>
        </w:rPr>
        <w:t>atedly experiencing severe inundation during the rainy season (Thisday Live, 2023).</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Flooding in Lugbe, Abuja, has become a persistent and escalating environmental hazard, threatening lives, property, and urban sustainability. Despite Abuja’s reputation as</w:t>
      </w:r>
      <w:r>
        <w:rPr>
          <w:rFonts w:ascii="Times New Roman" w:hAnsi="Times New Roman" w:cs="Times New Roman"/>
          <w:sz w:val="24"/>
          <w:szCs w:val="24"/>
        </w:rPr>
        <w:t xml:space="preserve"> a planned city, Lugbe has experienced repeated flood events characterized by submerged roads, damaged buildings, displacement of residents, and occasional fatalities, particularly in densely populated residential estates (Thisday Live, 2023; Wikipedia, 20</w:t>
      </w:r>
      <w:r>
        <w:rPr>
          <w:rFonts w:ascii="Times New Roman" w:hAnsi="Times New Roman" w:cs="Times New Roman"/>
          <w:sz w:val="24"/>
          <w:szCs w:val="24"/>
        </w:rPr>
        <w:t xml:space="preserve">26). </w:t>
      </w:r>
    </w:p>
    <w:p w:rsidR="00AD53B3" w:rsidRDefault="00AD53B3">
      <w:pPr>
        <w:jc w:val="both"/>
        <w:rPr>
          <w:rFonts w:ascii="Times New Roman" w:hAnsi="Times New Roman" w:cs="Times New Roman"/>
          <w:sz w:val="24"/>
          <w:szCs w:val="24"/>
        </w:rPr>
      </w:pPr>
    </w:p>
    <w:p w:rsidR="00AD53B3" w:rsidRDefault="00B72EBD">
      <w:pPr>
        <w:pStyle w:val="NormalWeb"/>
        <w:shd w:val="clear" w:color="auto" w:fill="FFFFFF"/>
        <w:spacing w:before="105" w:beforeAutospacing="0" w:after="210" w:afterAutospacing="0"/>
        <w:jc w:val="both"/>
        <w:rPr>
          <w:rFonts w:eastAsia="sans-serif"/>
          <w:color w:val="3366CC"/>
          <w:shd w:val="clear" w:color="auto" w:fill="FFFFFF"/>
        </w:rPr>
      </w:pPr>
      <w:r>
        <w:rPr>
          <w:rFonts w:eastAsia="sans-serif"/>
          <w:color w:val="202122"/>
          <w:shd w:val="clear" w:color="auto" w:fill="FFFFFF"/>
        </w:rPr>
        <w:t>A major flood on the Trademoore Estates in Lugbe, solicited national attention because it killed the residents and destroyed the newly built community</w:t>
      </w:r>
      <w:r>
        <w:rPr>
          <w:rFonts w:eastAsia="sans-serif"/>
          <w:color w:val="202122"/>
          <w:shd w:val="clear" w:color="auto" w:fill="FFFFFF"/>
        </w:rPr>
        <w:t xml:space="preserve"> (</w:t>
      </w:r>
      <w:hyperlink r:id="rId9" w:history="1">
        <w:r>
          <w:rPr>
            <w:rStyle w:val="Hyperlink"/>
            <w:rFonts w:eastAsia="Helvetica"/>
            <w:color w:val="666666"/>
            <w:u w:val="none"/>
            <w:shd w:val="clear" w:color="auto" w:fill="FFFFFF"/>
          </w:rPr>
          <w:t>Idowu</w:t>
        </w:r>
      </w:hyperlink>
      <w:r>
        <w:rPr>
          <w:rFonts w:eastAsia="Helvetica"/>
          <w:color w:val="666666"/>
          <w:shd w:val="clear" w:color="auto" w:fill="FFFFFF"/>
        </w:rPr>
        <w:t>, 2021)</w:t>
      </w:r>
      <w:r>
        <w:rPr>
          <w:rFonts w:eastAsia="sans-serif"/>
          <w:color w:val="202122"/>
          <w:shd w:val="clear" w:color="auto" w:fill="FFFFFF"/>
        </w:rPr>
        <w:t> T</w:t>
      </w:r>
      <w:r>
        <w:rPr>
          <w:rFonts w:eastAsia="sans-serif"/>
          <w:color w:val="000000" w:themeColor="text1"/>
          <w:shd w:val="clear" w:color="auto" w:fill="FFFFFF"/>
        </w:rPr>
        <w:t>he </w:t>
      </w:r>
      <w:hyperlink r:id="rId10" w:tooltip="National Emergency Management Agency (Nigeria)" w:history="1">
        <w:r>
          <w:rPr>
            <w:rStyle w:val="Hyperlink"/>
            <w:rFonts w:eastAsia="sans-serif"/>
            <w:color w:val="000000" w:themeColor="text1"/>
            <w:u w:val="none"/>
            <w:shd w:val="clear" w:color="auto" w:fill="FFFFFF"/>
          </w:rPr>
          <w:t>National Emergency Management Agency</w:t>
        </w:r>
      </w:hyperlink>
      <w:r>
        <w:rPr>
          <w:rFonts w:eastAsia="sans-serif"/>
          <w:color w:val="000000" w:themeColor="text1"/>
          <w:shd w:val="clear" w:color="auto" w:fill="FFFFFF"/>
        </w:rPr>
        <w:t> described the destruction as due to violation of building codes for floodplains</w:t>
      </w:r>
      <w:r>
        <w:rPr>
          <w:rFonts w:eastAsia="sans-serif"/>
          <w:color w:val="000000" w:themeColor="text1"/>
          <w:shd w:val="clear" w:color="auto" w:fill="FFFFFF"/>
        </w:rPr>
        <w:t xml:space="preserve"> (Oyoyo, 2021).</w:t>
      </w:r>
      <w:r>
        <w:rPr>
          <w:rFonts w:eastAsia="sans-serif"/>
          <w:color w:val="000000" w:themeColor="text1"/>
          <w:shd w:val="clear" w:color="auto" w:fill="FFFFFF"/>
        </w:rPr>
        <w:t> The district had previously seen illegal buildings torn down by the regional government</w:t>
      </w:r>
      <w:r>
        <w:rPr>
          <w:rFonts w:eastAsia="sans-serif"/>
          <w:color w:val="000000" w:themeColor="text1"/>
          <w:shd w:val="clear" w:color="auto" w:fill="FFFFFF"/>
        </w:rPr>
        <w:t>.</w:t>
      </w:r>
      <w:r>
        <w:rPr>
          <w:rFonts w:eastAsia="sans-serif"/>
          <w:color w:val="000000" w:themeColor="text1"/>
          <w:shd w:val="clear" w:color="auto" w:fill="FFFFFF"/>
        </w:rPr>
        <w:t> More generally, a study using sampling from 2015 found that Unplanned land use has also led to waste water and other contamination runoff into water bo</w:t>
      </w:r>
      <w:r>
        <w:rPr>
          <w:rFonts w:eastAsia="sans-serif"/>
          <w:color w:val="000000" w:themeColor="text1"/>
          <w:shd w:val="clear" w:color="auto" w:fill="FFFFFF"/>
        </w:rPr>
        <w:t>dies, creating potential public health risks</w:t>
      </w:r>
      <w:r>
        <w:rPr>
          <w:rFonts w:eastAsia="sans-serif"/>
          <w:color w:val="000000" w:themeColor="text1"/>
          <w:shd w:val="clear" w:color="auto" w:fill="FFFFFF"/>
        </w:rPr>
        <w:t xml:space="preserve"> (</w:t>
      </w:r>
      <w:r>
        <w:rPr>
          <w:rFonts w:eastAsia="sans-serif"/>
          <w:color w:val="000000" w:themeColor="text1"/>
          <w:shd w:val="clear" w:color="auto" w:fill="FFFFFF"/>
        </w:rPr>
        <w:t>Oluyori</w:t>
      </w:r>
      <w:r>
        <w:rPr>
          <w:rFonts w:eastAsia="sans-serif"/>
          <w:color w:val="000000" w:themeColor="text1"/>
          <w:shd w:val="clear" w:color="auto" w:fill="FFFFFF"/>
        </w:rPr>
        <w:t xml:space="preserve"> &amp;</w:t>
      </w:r>
      <w:r>
        <w:rPr>
          <w:rFonts w:eastAsia="sans-serif"/>
          <w:color w:val="000000" w:themeColor="text1"/>
          <w:shd w:val="clear" w:color="auto" w:fill="FFFFFF"/>
        </w:rPr>
        <w:t xml:space="preserve"> Alhassan, 2020).</w:t>
      </w:r>
      <w:r>
        <w:rPr>
          <w:rFonts w:eastAsia="sans-serif"/>
          <w:color w:val="000000" w:themeColor="text1"/>
          <w:shd w:val="clear" w:color="auto" w:fill="FFFFFF"/>
        </w:rPr>
        <w:t xml:space="preserve"> Also, a</w:t>
      </w:r>
      <w:r>
        <w:rPr>
          <w:rFonts w:eastAsia="sans-serif"/>
          <w:color w:val="000000" w:themeColor="text1"/>
          <w:shd w:val="clear" w:color="auto" w:fill="FFFFFF"/>
        </w:rPr>
        <w:t xml:space="preserve"> 2019 study found that </w:t>
      </w:r>
      <w:hyperlink r:id="rId11" w:tooltip="Incineration" w:history="1">
        <w:r>
          <w:rPr>
            <w:rStyle w:val="Hyperlink"/>
            <w:rFonts w:eastAsia="sans-serif"/>
            <w:color w:val="000000" w:themeColor="text1"/>
            <w:u w:val="none"/>
            <w:shd w:val="clear" w:color="auto" w:fill="FFFFFF"/>
          </w:rPr>
          <w:t>household waste burning</w:t>
        </w:r>
      </w:hyperlink>
      <w:r>
        <w:rPr>
          <w:rFonts w:eastAsia="sans-serif"/>
          <w:color w:val="000000" w:themeColor="text1"/>
          <w:shd w:val="clear" w:color="auto" w:fill="FFFFFF"/>
        </w:rPr>
        <w:t> in t</w:t>
      </w:r>
      <w:r>
        <w:rPr>
          <w:rFonts w:eastAsia="sans-serif"/>
          <w:color w:val="202122"/>
          <w:shd w:val="clear" w:color="auto" w:fill="FFFFFF"/>
        </w:rPr>
        <w:t xml:space="preserve">he district was found to have respiratory </w:t>
      </w:r>
      <w:r>
        <w:rPr>
          <w:rFonts w:eastAsia="sans-serif"/>
          <w:color w:val="202122"/>
          <w:shd w:val="clear" w:color="auto" w:fill="FFFFFF"/>
        </w:rPr>
        <w:t>effects on local residents</w:t>
      </w:r>
      <w:r>
        <w:rPr>
          <w:rFonts w:eastAsia="sans-serif"/>
          <w:color w:val="202122"/>
          <w:shd w:val="clear" w:color="auto" w:fill="FFFFFF"/>
        </w:rPr>
        <w:t xml:space="preserve"> (</w:t>
      </w:r>
      <w:r>
        <w:rPr>
          <w:rFonts w:eastAsia="sans-serif"/>
          <w:color w:val="202122"/>
          <w:shd w:val="clear" w:color="auto" w:fill="FFFFFF"/>
        </w:rPr>
        <w:t>Igibah,</w:t>
      </w:r>
      <w:r>
        <w:rPr>
          <w:rFonts w:eastAsia="sans-serif"/>
          <w:color w:val="202122"/>
          <w:shd w:val="clear" w:color="auto" w:fill="FFFFFF"/>
        </w:rPr>
        <w:t xml:space="preserve"> </w:t>
      </w:r>
      <w:r>
        <w:rPr>
          <w:rFonts w:eastAsia="sans-serif"/>
          <w:color w:val="202122"/>
          <w:shd w:val="clear" w:color="auto" w:fill="FFFFFF"/>
        </w:rPr>
        <w:t xml:space="preserve">Agashua, </w:t>
      </w:r>
      <w:r>
        <w:rPr>
          <w:rFonts w:eastAsia="sans-serif"/>
          <w:color w:val="202122"/>
          <w:shd w:val="clear" w:color="auto" w:fill="FFFFFF"/>
        </w:rPr>
        <w:t xml:space="preserve">&amp; </w:t>
      </w:r>
      <w:r>
        <w:rPr>
          <w:rFonts w:eastAsia="sans-serif"/>
          <w:color w:val="202122"/>
          <w:shd w:val="clear" w:color="auto" w:fill="FFFFFF"/>
        </w:rPr>
        <w:t xml:space="preserve">Sadiq, </w:t>
      </w:r>
      <w:r>
        <w:rPr>
          <w:rFonts w:eastAsia="sans-serif"/>
          <w:color w:val="202122"/>
          <w:shd w:val="clear" w:color="auto" w:fill="FFFFFF"/>
        </w:rPr>
        <w:t>2</w:t>
      </w:r>
      <w:r>
        <w:rPr>
          <w:rFonts w:eastAsia="sans-serif"/>
          <w:color w:val="202122"/>
          <w:shd w:val="clear" w:color="auto" w:fill="FFFFFF"/>
        </w:rPr>
        <w:t>019).</w:t>
      </w:r>
      <w:r>
        <w:rPr>
          <w:rFonts w:eastAsia="sans-serif"/>
          <w:color w:val="3366CC"/>
          <w:shd w:val="clear" w:color="auto" w:fill="FFFFFF"/>
        </w:rPr>
        <w:t xml:space="preserve"> </w:t>
      </w:r>
    </w:p>
    <w:p w:rsidR="00AD53B3" w:rsidRDefault="00AD53B3">
      <w:pPr>
        <w:jc w:val="both"/>
        <w:rPr>
          <w:rFonts w:ascii="Times New Roman" w:eastAsia="sans-serif" w:hAnsi="Times New Roman" w:cs="Times New Roman"/>
          <w:color w:val="3056A9"/>
          <w:sz w:val="24"/>
          <w:szCs w:val="24"/>
          <w:u w:val="single"/>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 xml:space="preserve">Several factors contribute to this growing flood risk, including: rapid urban expansion into floodplain areas, inadequate or poorly maintained drainage networks, increased impervious surfaces </w:t>
      </w:r>
      <w:r>
        <w:rPr>
          <w:rFonts w:ascii="Times New Roman" w:hAnsi="Times New Roman" w:cs="Times New Roman"/>
          <w:sz w:val="24"/>
          <w:szCs w:val="24"/>
        </w:rPr>
        <w:t>due to construction, blockage of waterways by solid waste, and rising rainfall intensity linked to climate variability (Nkeki, Bello &amp; Agbaje, 2022; IPCC, 2021; Lucas, 2021).</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Understanding the spatial extent (geographical coverage) and intensity (severity</w:t>
      </w:r>
      <w:r>
        <w:rPr>
          <w:rFonts w:ascii="Times New Roman" w:hAnsi="Times New Roman" w:cs="Times New Roman"/>
          <w:sz w:val="24"/>
          <w:szCs w:val="24"/>
        </w:rPr>
        <w:t xml:space="preserve"> and magnitude) of flooding in Lugbe is, therefore, critical for effective flood risk management, sustainable urban development, and disaster preparedness. However, a major challenge is the lack of detailed, spatially explicit flood assessments that quanti</w:t>
      </w:r>
      <w:r>
        <w:rPr>
          <w:rFonts w:ascii="Times New Roman" w:hAnsi="Times New Roman" w:cs="Times New Roman"/>
          <w:sz w:val="24"/>
          <w:szCs w:val="24"/>
        </w:rPr>
        <w:t xml:space="preserve">fy the actual extent and severity of inundation in Lugbe. Existing reports are often anecdotal or based on general observations rather than systematic geospatial analysis. Without accurate flood extent maps and intensity assessments, local authorities and </w:t>
      </w:r>
      <w:r>
        <w:rPr>
          <w:rFonts w:ascii="Times New Roman" w:hAnsi="Times New Roman" w:cs="Times New Roman"/>
          <w:sz w:val="24"/>
          <w:szCs w:val="24"/>
        </w:rPr>
        <w:t>planners cannot effectively identify high-risk zones, prioritize infrastructure upgrades, or implement evidence-based flood mitigation strategies. Therefore, there is a pressing need for a comprehensive study that evaluates the spatial distribution and int</w:t>
      </w:r>
      <w:r>
        <w:rPr>
          <w:rFonts w:ascii="Times New Roman" w:hAnsi="Times New Roman" w:cs="Times New Roman"/>
          <w:sz w:val="24"/>
          <w:szCs w:val="24"/>
        </w:rPr>
        <w:t>ensity of flooding in Lugbe using web-based (Google Map) modern tools having mash-ups of remote sensing (background satellite image), GIS, and hydrometeorological (precipitation) analysis.</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lastRenderedPageBreak/>
        <w:t>The aim of this study is to assess the spatial extent and intensit</w:t>
      </w:r>
      <w:r>
        <w:rPr>
          <w:rFonts w:ascii="Times New Roman" w:hAnsi="Times New Roman" w:cs="Times New Roman"/>
          <w:sz w:val="24"/>
          <w:szCs w:val="24"/>
        </w:rPr>
        <w:t xml:space="preserve">y of flooding in Lugbe, Abuja, Nigeria, using geospatial techniques and rainfall–flood relationships, in order to support sustainable flood risk management and urban planning interventions. The specific objectives of the study are to carryout WebGIS-based </w:t>
      </w:r>
      <w:r>
        <w:rPr>
          <w:rFonts w:ascii="Times New Roman" w:hAnsi="Times New Roman" w:cs="Times New Roman"/>
          <w:sz w:val="24"/>
          <w:szCs w:val="24"/>
        </w:rPr>
        <w:t>mapping of the spatial extent and intensity of flood-prone areas in Lugbe, examine the significance of flood modeling and management in Lugbe, and articulate strategies for flood mitigation and community resilience in Lugbe.</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justification for this stu</w:t>
      </w:r>
      <w:r>
        <w:rPr>
          <w:rFonts w:ascii="Times New Roman" w:hAnsi="Times New Roman" w:cs="Times New Roman"/>
          <w:sz w:val="24"/>
          <w:szCs w:val="24"/>
        </w:rPr>
        <w:t>dy lies in the increasing vulnerability of Lugbe to recurrent and severe flooding events. Lugbe’s rapid transformation into a major residential hub has occurred faster than the provision of adequate drainage infrastructure and flood control measures (Afeon</w:t>
      </w:r>
      <w:r>
        <w:rPr>
          <w:rFonts w:ascii="Times New Roman" w:hAnsi="Times New Roman" w:cs="Times New Roman"/>
          <w:sz w:val="24"/>
          <w:szCs w:val="24"/>
        </w:rPr>
        <w:t xml:space="preserve">khai, 2025). The repeated flooding of estates and road corridors demonstrates that the current urban development trajectory is unsustainable and exposes residents to significant disaster risks (Thisday Live, 2023). In addition, climate projections suggest </w:t>
      </w:r>
      <w:r>
        <w:rPr>
          <w:rFonts w:ascii="Times New Roman" w:hAnsi="Times New Roman" w:cs="Times New Roman"/>
          <w:sz w:val="24"/>
          <w:szCs w:val="24"/>
        </w:rPr>
        <w:t>that extreme rainfall events will likely intensify across West Africa, increasing the probability of future urban flooding (IPCC, 2021). Without detailed spatial flood assessments, mitigation efforts remain reactive rather than preventive; hence the inevit</w:t>
      </w:r>
      <w:r>
        <w:rPr>
          <w:rFonts w:ascii="Times New Roman" w:hAnsi="Times New Roman" w:cs="Times New Roman"/>
          <w:sz w:val="24"/>
          <w:szCs w:val="24"/>
        </w:rPr>
        <w:t>ability of Voluntered geographic Information (VGI) in contemporary disaster studies (</w:t>
      </w:r>
      <w:r>
        <w:rPr>
          <w:rFonts w:ascii="Times New Roman" w:hAnsi="Times New Roman" w:cs="Times New Roman"/>
          <w:sz w:val="24"/>
          <w:szCs w:val="24"/>
        </w:rPr>
        <w:t>Bello &amp; Ojigi,</w:t>
      </w:r>
      <w:r>
        <w:rPr>
          <w:rFonts w:ascii="Times New Roman" w:hAnsi="Times New Roman" w:cs="Times New Roman"/>
          <w:sz w:val="24"/>
          <w:szCs w:val="24"/>
        </w:rPr>
        <w:t xml:space="preserve"> </w:t>
      </w:r>
      <w:r>
        <w:rPr>
          <w:rFonts w:ascii="Times New Roman" w:hAnsi="Times New Roman" w:cs="Times New Roman"/>
          <w:sz w:val="24"/>
          <w:szCs w:val="24"/>
        </w:rPr>
        <w:t>2013)</w:t>
      </w:r>
      <w:r>
        <w:rPr>
          <w:rFonts w:ascii="Times New Roman" w:hAnsi="Times New Roman" w:cs="Times New Roman"/>
          <w:sz w:val="24"/>
          <w:szCs w:val="24"/>
        </w:rPr>
        <w:t>.</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 xml:space="preserve">This study is, therefore, justified as it provides: spatial evidence of flood extent, quantitative understanding of flood intensity, identification </w:t>
      </w:r>
      <w:r>
        <w:rPr>
          <w:rFonts w:ascii="Times New Roman" w:hAnsi="Times New Roman" w:cs="Times New Roman"/>
          <w:sz w:val="24"/>
          <w:szCs w:val="24"/>
        </w:rPr>
        <w:t>of high-risk zones, and recommendations that can inform sustainable urban resilience planning. Ultimately, the research supports the urgent need to protect lives, infrastructure, and the long-term sustainability of Lugbe and the wider Abuja metropolitan re</w:t>
      </w:r>
      <w:r>
        <w:rPr>
          <w:rFonts w:ascii="Times New Roman" w:hAnsi="Times New Roman" w:cs="Times New Roman"/>
          <w:sz w:val="24"/>
          <w:szCs w:val="24"/>
        </w:rPr>
        <w:t>gion.</w:t>
      </w:r>
    </w:p>
    <w:p w:rsidR="00AD53B3" w:rsidRDefault="00AD53B3">
      <w:pPr>
        <w:rPr>
          <w:rFonts w:ascii="Times New Roman" w:hAnsi="Times New Roman" w:cs="Times New Roman"/>
          <w:sz w:val="24"/>
          <w:szCs w:val="24"/>
        </w:rPr>
      </w:pPr>
    </w:p>
    <w:p w:rsidR="00AD53B3" w:rsidRDefault="00B72EBD">
      <w:pPr>
        <w:numPr>
          <w:ilvl w:val="0"/>
          <w:numId w:val="1"/>
        </w:numP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 xml:space="preserve"> Study Area Description</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 xml:space="preserve">Lugbe (Figure 1) is a rapidly urbanizing peri-urban district located along the Abuja–Airport Road corridor within the Federal Capital Territory (FCT), Nigeria. </w:t>
      </w:r>
    </w:p>
    <w:p w:rsidR="00AD53B3" w:rsidRDefault="00B72EBD">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3002915" cy="2544445"/>
            <wp:effectExtent l="12700" t="12700" r="1968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3002915" cy="2544445"/>
                    </a:xfrm>
                    <a:prstGeom prst="rect">
                      <a:avLst/>
                    </a:prstGeom>
                    <a:noFill/>
                    <a:ln w="12700" cmpd="sng">
                      <a:solidFill>
                        <a:schemeClr val="tx1"/>
                      </a:solidFill>
                      <a:prstDash val="solid"/>
                    </a:ln>
                  </pic:spPr>
                </pic:pic>
              </a:graphicData>
            </a:graphic>
          </wp:inline>
        </w:drawing>
      </w:r>
    </w:p>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 xml:space="preserve">Figure 1. Lugbe area extent, Abuja, </w:t>
      </w:r>
      <w:r>
        <w:rPr>
          <w:rFonts w:ascii="Times New Roman" w:hAnsi="Times New Roman" w:cs="Times New Roman"/>
          <w:sz w:val="24"/>
          <w:szCs w:val="24"/>
        </w:rPr>
        <w:t>nigeria</w:t>
      </w:r>
    </w:p>
    <w:p w:rsidR="00AD53B3" w:rsidRDefault="00AD53B3">
      <w:pPr>
        <w:rPr>
          <w:rFonts w:ascii="Times New Roman" w:hAnsi="Times New Roman" w:cs="Times New Roman"/>
          <w:sz w:val="24"/>
          <w:szCs w:val="24"/>
        </w:rPr>
      </w:pPr>
    </w:p>
    <w:p w:rsidR="00AD53B3" w:rsidRDefault="00B72EBD">
      <w:pPr>
        <w:rPr>
          <w:rFonts w:ascii="Times New Roman" w:hAnsi="Times New Roman" w:cs="Times New Roman"/>
          <w:sz w:val="24"/>
          <w:szCs w:val="24"/>
        </w:rPr>
      </w:pPr>
      <w:r>
        <w:rPr>
          <w:rFonts w:ascii="Times New Roman" w:hAnsi="Times New Roman" w:cs="Times New Roman"/>
          <w:sz w:val="24"/>
          <w:szCs w:val="24"/>
        </w:rPr>
        <w:t xml:space="preserve">The area has witnessed recurrent flooding due to: low-lying terrain, intense seasonal rainfall, poor drainage infrastructure, unregulated urban expansion, blockage of </w:t>
      </w:r>
      <w:r>
        <w:rPr>
          <w:rFonts w:ascii="Times New Roman" w:hAnsi="Times New Roman" w:cs="Times New Roman"/>
          <w:sz w:val="24"/>
          <w:szCs w:val="24"/>
        </w:rPr>
        <w:lastRenderedPageBreak/>
        <w:t>waterways by waste. Flood incidents are particularly severe in residential estat</w:t>
      </w:r>
      <w:r>
        <w:rPr>
          <w:rFonts w:ascii="Times New Roman" w:hAnsi="Times New Roman" w:cs="Times New Roman"/>
          <w:sz w:val="24"/>
          <w:szCs w:val="24"/>
        </w:rPr>
        <w:t>es such as Trademore, where inundation has caused major socio-economic losses.</w:t>
      </w:r>
    </w:p>
    <w:p w:rsidR="00AD53B3" w:rsidRDefault="00AD53B3">
      <w:pPr>
        <w:rPr>
          <w:rFonts w:ascii="Times New Roman" w:hAnsi="Times New Roman" w:cs="Times New Roman"/>
          <w:sz w:val="24"/>
          <w:szCs w:val="24"/>
        </w:rPr>
      </w:pPr>
    </w:p>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2.2 Research Design</w:t>
      </w:r>
    </w:p>
    <w:p w:rsidR="00AD53B3" w:rsidRDefault="00B72EBD">
      <w:pPr>
        <w:rPr>
          <w:rFonts w:ascii="Times New Roman" w:hAnsi="Times New Roman" w:cs="Times New Roman"/>
          <w:sz w:val="24"/>
          <w:szCs w:val="24"/>
        </w:rPr>
      </w:pPr>
      <w:r>
        <w:rPr>
          <w:rFonts w:ascii="Times New Roman" w:hAnsi="Times New Roman" w:cs="Times New Roman"/>
          <w:sz w:val="24"/>
          <w:szCs w:val="24"/>
        </w:rPr>
        <w:t>This study adopts an integrated geospatial and analytical research design, combining Remote Sensing, Geographic Information Systems (GIS), flood modeling te</w:t>
      </w:r>
      <w:r>
        <w:rPr>
          <w:rFonts w:ascii="Times New Roman" w:hAnsi="Times New Roman" w:cs="Times New Roman"/>
          <w:sz w:val="24"/>
          <w:szCs w:val="24"/>
        </w:rPr>
        <w:t>chniques, and GoogleMap WebGIS visualization tools to assess the spatial extent and intensity of flooding in Lugbe, Abuja, Nigeria.</w:t>
      </w:r>
    </w:p>
    <w:p w:rsidR="00AD53B3" w:rsidRDefault="00AD53B3">
      <w:pPr>
        <w:rPr>
          <w:rFonts w:ascii="Times New Roman" w:hAnsi="Times New Roman" w:cs="Times New Roman"/>
          <w:sz w:val="24"/>
          <w:szCs w:val="24"/>
        </w:rPr>
      </w:pPr>
    </w:p>
    <w:p w:rsidR="00AD53B3" w:rsidRDefault="00B72EBD">
      <w:pPr>
        <w:rPr>
          <w:rFonts w:ascii="Times New Roman" w:hAnsi="Times New Roman" w:cs="Times New Roman"/>
          <w:sz w:val="24"/>
          <w:szCs w:val="24"/>
        </w:rPr>
      </w:pPr>
      <w:r>
        <w:rPr>
          <w:rFonts w:ascii="Times New Roman" w:hAnsi="Times New Roman" w:cs="Times New Roman"/>
          <w:sz w:val="24"/>
          <w:szCs w:val="24"/>
        </w:rPr>
        <w:t>The methodological framework is structured to:</w:t>
      </w:r>
    </w:p>
    <w:p w:rsidR="00AD53B3" w:rsidRDefault="00B72EBD">
      <w:pPr>
        <w:numPr>
          <w:ilvl w:val="0"/>
          <w:numId w:val="2"/>
        </w:numPr>
        <w:rPr>
          <w:rFonts w:ascii="Times New Roman" w:hAnsi="Times New Roman" w:cs="Times New Roman"/>
          <w:sz w:val="24"/>
          <w:szCs w:val="24"/>
        </w:rPr>
      </w:pPr>
      <w:r>
        <w:rPr>
          <w:rFonts w:ascii="Times New Roman" w:hAnsi="Times New Roman" w:cs="Times New Roman"/>
          <w:sz w:val="24"/>
          <w:szCs w:val="24"/>
        </w:rPr>
        <w:t>map flood-prone zones spatially and inundation extent,</w:t>
      </w:r>
    </w:p>
    <w:p w:rsidR="00AD53B3" w:rsidRDefault="00B72EBD">
      <w:pPr>
        <w:numPr>
          <w:ilvl w:val="0"/>
          <w:numId w:val="2"/>
        </w:numPr>
        <w:rPr>
          <w:rFonts w:ascii="Times New Roman" w:hAnsi="Times New Roman" w:cs="Times New Roman"/>
          <w:sz w:val="24"/>
          <w:szCs w:val="24"/>
        </w:rPr>
      </w:pPr>
      <w:r>
        <w:rPr>
          <w:rFonts w:ascii="Times New Roman" w:hAnsi="Times New Roman" w:cs="Times New Roman"/>
          <w:sz w:val="24"/>
          <w:szCs w:val="24"/>
        </w:rPr>
        <w:t>model flood intensity</w:t>
      </w:r>
      <w:r>
        <w:rPr>
          <w:rFonts w:ascii="Times New Roman" w:hAnsi="Times New Roman" w:cs="Times New Roman"/>
          <w:sz w:val="24"/>
          <w:szCs w:val="24"/>
        </w:rPr>
        <w:t xml:space="preserve"> </w:t>
      </w:r>
    </w:p>
    <w:p w:rsidR="00AD53B3" w:rsidRDefault="00B72EBD">
      <w:pPr>
        <w:numPr>
          <w:ilvl w:val="0"/>
          <w:numId w:val="2"/>
        </w:numPr>
        <w:rPr>
          <w:rFonts w:ascii="Times New Roman" w:hAnsi="Times New Roman" w:cs="Times New Roman"/>
          <w:sz w:val="24"/>
          <w:szCs w:val="24"/>
        </w:rPr>
      </w:pPr>
      <w:r>
        <w:rPr>
          <w:rFonts w:ascii="Times New Roman" w:hAnsi="Times New Roman" w:cs="Times New Roman"/>
          <w:sz w:val="24"/>
          <w:szCs w:val="24"/>
        </w:rPr>
        <w:t>evaluate flood management significance, and</w:t>
      </w:r>
    </w:p>
    <w:p w:rsidR="00AD53B3" w:rsidRDefault="00B72EBD">
      <w:pPr>
        <w:numPr>
          <w:ilvl w:val="0"/>
          <w:numId w:val="2"/>
        </w:numPr>
        <w:rPr>
          <w:rFonts w:ascii="Times New Roman" w:hAnsi="Times New Roman" w:cs="Times New Roman"/>
          <w:sz w:val="24"/>
          <w:szCs w:val="24"/>
        </w:rPr>
      </w:pPr>
      <w:r>
        <w:rPr>
          <w:rFonts w:ascii="Times New Roman" w:hAnsi="Times New Roman" w:cs="Times New Roman"/>
          <w:sz w:val="24"/>
          <w:szCs w:val="24"/>
        </w:rPr>
        <w:t>propose mitigation and resilience strategies.</w:t>
      </w:r>
    </w:p>
    <w:p w:rsidR="00AD53B3" w:rsidRDefault="00AD53B3">
      <w:pPr>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research integrated both quantitative spatial analysis (flood hazard extent computation) and qualitative assessment (community resilience strategies). Flood ex</w:t>
      </w:r>
      <w:r>
        <w:rPr>
          <w:rFonts w:ascii="Times New Roman" w:hAnsi="Times New Roman" w:cs="Times New Roman"/>
          <w:sz w:val="24"/>
          <w:szCs w:val="24"/>
        </w:rPr>
        <w:t xml:space="preserve">tent mapping was carried out using the GoogleMap GIS Web platform. </w:t>
      </w:r>
    </w:p>
    <w:p w:rsidR="00AD53B3" w:rsidRDefault="00AD53B3">
      <w:pPr>
        <w:rPr>
          <w:rFonts w:ascii="Times New Roman" w:hAnsi="Times New Roman" w:cs="Times New Roman"/>
          <w:sz w:val="24"/>
          <w:szCs w:val="24"/>
        </w:rPr>
      </w:pPr>
    </w:p>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2.3 Data Requirements and Sources</w:t>
      </w:r>
    </w:p>
    <w:p w:rsidR="00AD53B3" w:rsidRDefault="00B72EBD">
      <w:pPr>
        <w:rPr>
          <w:rFonts w:ascii="Times New Roman" w:hAnsi="Times New Roman" w:cs="Times New Roman"/>
          <w:sz w:val="24"/>
          <w:szCs w:val="24"/>
        </w:rPr>
      </w:pPr>
      <w:r>
        <w:rPr>
          <w:rFonts w:ascii="Times New Roman" w:hAnsi="Times New Roman" w:cs="Times New Roman"/>
          <w:sz w:val="24"/>
          <w:szCs w:val="24"/>
        </w:rPr>
        <w:t xml:space="preserve">To achieve the set objectives, both spatial and non-spatial datasets were acquired from multiple sources included field surveys, satellite images, </w:t>
      </w:r>
      <w:r>
        <w:rPr>
          <w:rFonts w:ascii="Times New Roman" w:hAnsi="Times New Roman" w:cs="Times New Roman"/>
          <w:sz w:val="24"/>
          <w:szCs w:val="24"/>
        </w:rPr>
        <w:t>historical documents (print and electronic media), GoogleMap web platform, and eye-witness interview.</w:t>
      </w:r>
    </w:p>
    <w:p w:rsidR="00AD53B3" w:rsidRDefault="00AD53B3">
      <w:pPr>
        <w:rPr>
          <w:rFonts w:ascii="Times New Roman" w:hAnsi="Times New Roman" w:cs="Times New Roman"/>
          <w:b/>
          <w:bCs/>
          <w:sz w:val="24"/>
          <w:szCs w:val="24"/>
        </w:rPr>
      </w:pPr>
    </w:p>
    <w:p w:rsidR="00AD53B3" w:rsidRDefault="00B72EBD">
      <w:pPr>
        <w:numPr>
          <w:ilvl w:val="0"/>
          <w:numId w:val="1"/>
        </w:numP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D53B3" w:rsidRDefault="00B72EBD">
      <w:pPr>
        <w:numPr>
          <w:ilvl w:val="1"/>
          <w:numId w:val="1"/>
        </w:numPr>
        <w:tabs>
          <w:tab w:val="clear" w:pos="312"/>
        </w:tabs>
        <w:rPr>
          <w:rFonts w:ascii="Times New Roman" w:hAnsi="Times New Roman" w:cs="Times New Roman"/>
          <w:b/>
          <w:bCs/>
          <w:sz w:val="24"/>
          <w:szCs w:val="24"/>
        </w:rPr>
      </w:pPr>
      <w:r>
        <w:rPr>
          <w:rFonts w:ascii="Times New Roman" w:hAnsi="Times New Roman" w:cs="Times New Roman"/>
          <w:b/>
          <w:bCs/>
          <w:sz w:val="24"/>
          <w:szCs w:val="24"/>
        </w:rPr>
        <w:t xml:space="preserve">WebGIS-based mapping of the spatial extent and intensity of flood-prone </w:t>
      </w:r>
      <w:r>
        <w:rPr>
          <w:rFonts w:ascii="Times New Roman" w:hAnsi="Times New Roman" w:cs="Times New Roman"/>
          <w:b/>
          <w:bCs/>
          <w:sz w:val="24"/>
          <w:szCs w:val="24"/>
        </w:rPr>
        <w:tab/>
        <w:t>areas in Lugbe, Abuja</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flood extent map (Figure 2) id</w:t>
      </w:r>
      <w:r>
        <w:rPr>
          <w:rFonts w:ascii="Times New Roman" w:hAnsi="Times New Roman" w:cs="Times New Roman"/>
          <w:sz w:val="24"/>
          <w:szCs w:val="24"/>
        </w:rPr>
        <w:t>entified major flood-prone zones in Lugbe, including: Trademore Estate and Voice of Nigeria area, Airport Road drainage corridor - River park area, Lowland basins near River channels in Capua and beauty court estate, Informal settlements lacking drainage i</w:t>
      </w:r>
      <w:r>
        <w:rPr>
          <w:rFonts w:ascii="Times New Roman" w:hAnsi="Times New Roman" w:cs="Times New Roman"/>
          <w:sz w:val="24"/>
          <w:szCs w:val="24"/>
        </w:rPr>
        <w:t>nfrastructure around Lugbe Fruit market (Figure 2). The intensity of flood ranges from Low (FHA Capua: 1.59 Ha; 1.39%) to High (River park environ: 21.5Ha, 4.48%) (Table1). The intensity of flood is a function of terrain and rainfall recharge of the channe</w:t>
      </w:r>
      <w:r>
        <w:rPr>
          <w:rFonts w:ascii="Times New Roman" w:hAnsi="Times New Roman" w:cs="Times New Roman"/>
          <w:sz w:val="24"/>
          <w:szCs w:val="24"/>
        </w:rPr>
        <w:t>ls which are responsible for the never ending inundation in the study area as revealed in similar study (Taofik et al., 2017)</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WebGIS Flood Hazard Dashboard Output (Developed Using GoogleMap Platform) (Figure 2). The flood hazard layers were successfully d</w:t>
      </w:r>
      <w:r>
        <w:rPr>
          <w:rFonts w:ascii="Times New Roman" w:hAnsi="Times New Roman" w:cs="Times New Roman"/>
          <w:sz w:val="24"/>
          <w:szCs w:val="24"/>
        </w:rPr>
        <w:t>eployed on a WebGIS platform. WebGIS Features Developed centred around major flood prone/risk area and spatial the maximum extent recorded. Thus, in terms of significance, the WebGIS platform improves flood information accessibility and supports rapid deci</w:t>
      </w:r>
      <w:r>
        <w:rPr>
          <w:rFonts w:ascii="Times New Roman" w:hAnsi="Times New Roman" w:cs="Times New Roman"/>
          <w:sz w:val="24"/>
          <w:szCs w:val="24"/>
        </w:rPr>
        <w:t>sion-making for emergency agencies.</w:t>
      </w:r>
    </w:p>
    <w:p w:rsidR="00AD53B3" w:rsidRDefault="00B72EBD" w:rsidP="00460372">
      <w:pPr>
        <w:pStyle w:val="NormalWeb"/>
        <w:spacing w:afterLines="100" w:after="240" w:afterAutospacing="0"/>
        <w:jc w:val="both"/>
      </w:pPr>
      <w:r>
        <w:t>The analysis revealed that flooding in Lugbe is concentrated in low-lying residential corridors and poorly drained basins.</w:t>
      </w:r>
      <w:r>
        <w:t xml:space="preserve"> Flood inundation increased steadily over the six-year period, indicating worsening flood vulnerab</w:t>
      </w:r>
      <w:r>
        <w:t xml:space="preserve">ility, likely driven by increased rainfall extremes and rapid urban expansion. The drainage basin lowlands recorded the highest flood coverage, confirming the influence of topography and flow </w:t>
      </w:r>
      <w:r>
        <w:lastRenderedPageBreak/>
        <w:t xml:space="preserve">accumulation on flood severity. Thus, About 34.2% of Lugbe lies </w:t>
      </w:r>
      <w:r>
        <w:t>within moderate-to-high flood hazard zones, posing significant risk to residents (Table 2).</w:t>
      </w:r>
    </w:p>
    <w:p w:rsidR="00AD53B3" w:rsidRDefault="00B72EBD">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5431155" cy="3312795"/>
            <wp:effectExtent l="12700" t="12700" r="17145" b="146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stretch>
                      <a:fillRect/>
                    </a:stretch>
                  </pic:blipFill>
                  <pic:spPr>
                    <a:xfrm>
                      <a:off x="0" y="0"/>
                      <a:ext cx="5431155" cy="3312795"/>
                    </a:xfrm>
                    <a:prstGeom prst="rect">
                      <a:avLst/>
                    </a:prstGeom>
                    <a:noFill/>
                    <a:ln w="12700" cmpd="sng">
                      <a:solidFill>
                        <a:schemeClr val="tx1"/>
                      </a:solidFill>
                      <a:prstDash val="solid"/>
                    </a:ln>
                  </pic:spPr>
                </pic:pic>
              </a:graphicData>
            </a:graphic>
          </wp:inline>
        </w:drawing>
      </w:r>
    </w:p>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Figure 2 : Spatial pattern of flood prone/risk areas in Lugbe, Abuja, Nigeria</w:t>
      </w:r>
    </w:p>
    <w:p w:rsidR="00AD53B3" w:rsidRDefault="00B72EBD">
      <w:pPr>
        <w:jc w:val="center"/>
        <w:rPr>
          <w:rFonts w:ascii="Times New Roman" w:hAnsi="Times New Roman" w:cs="Times New Roman"/>
          <w:i/>
          <w:iCs/>
          <w:sz w:val="24"/>
          <w:szCs w:val="24"/>
        </w:rPr>
      </w:pPr>
      <w:r>
        <w:rPr>
          <w:rFonts w:ascii="Times New Roman" w:hAnsi="Times New Roman" w:cs="Times New Roman"/>
          <w:i/>
          <w:iCs/>
          <w:sz w:val="24"/>
          <w:szCs w:val="24"/>
        </w:rPr>
        <w:t>Source: Authors Analysis (2026)</w:t>
      </w:r>
    </w:p>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 xml:space="preserve">Weblink: </w:t>
      </w:r>
      <w:hyperlink r:id="rId14" w:history="1">
        <w:r>
          <w:rPr>
            <w:rStyle w:val="Hyperlink"/>
            <w:rFonts w:ascii="Times New Roman" w:hAnsi="Times New Roman" w:cs="Times New Roman"/>
            <w:sz w:val="24"/>
            <w:szCs w:val="24"/>
          </w:rPr>
          <w:t>https://www.google.com/maps/d/u/0/edit?mid=10e7BzpPIBm54_5YrZtPbWYG_6efrJ70&amp;ll=8.969465989599543%2C7.360723797108664&amp;z=14</w:t>
        </w:r>
      </w:hyperlink>
      <w:r>
        <w:rPr>
          <w:rFonts w:ascii="Times New Roman" w:hAnsi="Times New Roman" w:cs="Times New Roman"/>
          <w:sz w:val="24"/>
          <w:szCs w:val="24"/>
        </w:rPr>
        <w:t xml:space="preserve"> </w:t>
      </w:r>
    </w:p>
    <w:p w:rsidR="00AD53B3" w:rsidRDefault="00AD53B3">
      <w:pPr>
        <w:rPr>
          <w:rFonts w:ascii="Times New Roman" w:hAnsi="Times New Roman" w:cs="Times New Roman"/>
          <w:sz w:val="24"/>
          <w:szCs w:val="24"/>
        </w:rPr>
      </w:pPr>
    </w:p>
    <w:p w:rsidR="00AD53B3" w:rsidRDefault="00B72EBD">
      <w:pPr>
        <w:jc w:val="center"/>
        <w:rPr>
          <w:rFonts w:ascii="Times New Roman" w:hAnsi="Times New Roman" w:cs="Times New Roman"/>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rPr>
        <w:t>1. Flood risk extent computation and intensity in Lugbe</w:t>
      </w:r>
    </w:p>
    <w:tbl>
      <w:tblPr>
        <w:tblStyle w:val="TableGrid"/>
        <w:tblW w:w="0" w:type="auto"/>
        <w:jc w:val="center"/>
        <w:tblLayout w:type="fixed"/>
        <w:tblLook w:val="04A0" w:firstRow="1" w:lastRow="0" w:firstColumn="1" w:lastColumn="0" w:noHBand="0" w:noVBand="1"/>
      </w:tblPr>
      <w:tblGrid>
        <w:gridCol w:w="692"/>
        <w:gridCol w:w="2872"/>
        <w:gridCol w:w="931"/>
        <w:gridCol w:w="1372"/>
        <w:gridCol w:w="2121"/>
      </w:tblGrid>
      <w:tr w:rsidR="00AD53B3">
        <w:trPr>
          <w:jc w:val="center"/>
        </w:trPr>
        <w:tc>
          <w:tcPr>
            <w:tcW w:w="692" w:type="dxa"/>
            <w:tcBorders>
              <w:top w:val="single" w:sz="4" w:space="0" w:color="auto"/>
              <w:left w:val="nil"/>
              <w:bottom w:val="single" w:sz="4" w:space="0" w:color="auto"/>
              <w:right w:val="nil"/>
            </w:tcBorders>
          </w:tcPr>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S/N</w:t>
            </w:r>
          </w:p>
        </w:tc>
        <w:tc>
          <w:tcPr>
            <w:tcW w:w="2872" w:type="dxa"/>
            <w:tcBorders>
              <w:top w:val="single" w:sz="4" w:space="0" w:color="auto"/>
              <w:left w:val="nil"/>
              <w:bottom w:val="single" w:sz="4" w:space="0" w:color="auto"/>
              <w:right w:val="nil"/>
            </w:tcBorders>
          </w:tcPr>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Flooded area</w:t>
            </w:r>
          </w:p>
        </w:tc>
        <w:tc>
          <w:tcPr>
            <w:tcW w:w="931" w:type="dxa"/>
            <w:tcBorders>
              <w:top w:val="single" w:sz="4" w:space="0" w:color="auto"/>
              <w:left w:val="nil"/>
              <w:bottom w:val="single" w:sz="4" w:space="0" w:color="auto"/>
              <w:right w:val="nil"/>
            </w:tcBorders>
          </w:tcPr>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Area (Ha)</w:t>
            </w:r>
          </w:p>
        </w:tc>
        <w:tc>
          <w:tcPr>
            <w:tcW w:w="1372" w:type="dxa"/>
            <w:tcBorders>
              <w:top w:val="single" w:sz="4" w:space="0" w:color="auto"/>
              <w:left w:val="nil"/>
              <w:bottom w:val="single" w:sz="4" w:space="0" w:color="auto"/>
              <w:right w:val="nil"/>
            </w:tcBorders>
          </w:tcPr>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Perimeter (km)</w:t>
            </w:r>
          </w:p>
        </w:tc>
        <w:tc>
          <w:tcPr>
            <w:tcW w:w="2121" w:type="dxa"/>
            <w:tcBorders>
              <w:top w:val="single" w:sz="4" w:space="0" w:color="auto"/>
              <w:left w:val="nil"/>
              <w:bottom w:val="single" w:sz="4" w:space="0" w:color="auto"/>
              <w:right w:val="nil"/>
            </w:tcBorders>
          </w:tcPr>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Intensity/Frequency</w:t>
            </w:r>
          </w:p>
        </w:tc>
      </w:tr>
      <w:tr w:rsidR="00AD53B3">
        <w:trPr>
          <w:jc w:val="center"/>
        </w:trPr>
        <w:tc>
          <w:tcPr>
            <w:tcW w:w="692" w:type="dxa"/>
            <w:tcBorders>
              <w:top w:val="single" w:sz="4" w:space="0" w:color="auto"/>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872" w:type="dxa"/>
            <w:tcBorders>
              <w:top w:val="single" w:sz="4" w:space="0" w:color="auto"/>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Voice of Nigeria Area</w:t>
            </w:r>
          </w:p>
        </w:tc>
        <w:tc>
          <w:tcPr>
            <w:tcW w:w="931" w:type="dxa"/>
            <w:tcBorders>
              <w:top w:val="single" w:sz="4" w:space="0" w:color="auto"/>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34.1</w:t>
            </w:r>
          </w:p>
        </w:tc>
        <w:tc>
          <w:tcPr>
            <w:tcW w:w="1372" w:type="dxa"/>
            <w:tcBorders>
              <w:top w:val="single" w:sz="4" w:space="0" w:color="auto"/>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2.90</w:t>
            </w:r>
          </w:p>
        </w:tc>
        <w:tc>
          <w:tcPr>
            <w:tcW w:w="2121" w:type="dxa"/>
            <w:tcBorders>
              <w:top w:val="single" w:sz="4" w:space="0" w:color="auto"/>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Medium</w:t>
            </w:r>
          </w:p>
        </w:tc>
      </w:tr>
      <w:tr w:rsidR="00AD53B3">
        <w:trPr>
          <w:jc w:val="center"/>
        </w:trPr>
        <w:tc>
          <w:tcPr>
            <w:tcW w:w="69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87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Beaufort Court Estate Area</w:t>
            </w:r>
          </w:p>
        </w:tc>
        <w:tc>
          <w:tcPr>
            <w:tcW w:w="931"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40.3</w:t>
            </w:r>
          </w:p>
        </w:tc>
        <w:tc>
          <w:tcPr>
            <w:tcW w:w="137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10.5</w:t>
            </w:r>
          </w:p>
        </w:tc>
        <w:tc>
          <w:tcPr>
            <w:tcW w:w="2121"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Medium</w:t>
            </w:r>
          </w:p>
        </w:tc>
      </w:tr>
      <w:tr w:rsidR="00AD53B3">
        <w:trPr>
          <w:jc w:val="center"/>
        </w:trPr>
        <w:tc>
          <w:tcPr>
            <w:tcW w:w="69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87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River Park (front area)</w:t>
            </w:r>
          </w:p>
        </w:tc>
        <w:tc>
          <w:tcPr>
            <w:tcW w:w="931"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21.5</w:t>
            </w:r>
          </w:p>
        </w:tc>
        <w:tc>
          <w:tcPr>
            <w:tcW w:w="137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4.48</w:t>
            </w:r>
          </w:p>
        </w:tc>
        <w:tc>
          <w:tcPr>
            <w:tcW w:w="2121"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High</w:t>
            </w:r>
          </w:p>
        </w:tc>
      </w:tr>
      <w:tr w:rsidR="00AD53B3">
        <w:trPr>
          <w:jc w:val="center"/>
        </w:trPr>
        <w:tc>
          <w:tcPr>
            <w:tcW w:w="69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87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 xml:space="preserve">FHA </w:t>
            </w:r>
            <w:r>
              <w:rPr>
                <w:rFonts w:ascii="Times New Roman" w:hAnsi="Times New Roman" w:cs="Times New Roman"/>
                <w:sz w:val="24"/>
                <w:szCs w:val="24"/>
              </w:rPr>
              <w:t>(Near Car wash)</w:t>
            </w:r>
          </w:p>
        </w:tc>
        <w:tc>
          <w:tcPr>
            <w:tcW w:w="931"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5.22</w:t>
            </w:r>
          </w:p>
        </w:tc>
        <w:tc>
          <w:tcPr>
            <w:tcW w:w="1372"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2.03</w:t>
            </w:r>
          </w:p>
        </w:tc>
        <w:tc>
          <w:tcPr>
            <w:tcW w:w="2121" w:type="dxa"/>
            <w:tcBorders>
              <w:top w:val="nil"/>
              <w:left w:val="nil"/>
              <w:bottom w:val="nil"/>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Medium</w:t>
            </w:r>
          </w:p>
        </w:tc>
      </w:tr>
      <w:tr w:rsidR="00AD53B3">
        <w:trPr>
          <w:jc w:val="center"/>
        </w:trPr>
        <w:tc>
          <w:tcPr>
            <w:tcW w:w="692" w:type="dxa"/>
            <w:tcBorders>
              <w:top w:val="nil"/>
              <w:left w:val="nil"/>
              <w:bottom w:val="single" w:sz="4" w:space="0" w:color="auto"/>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872" w:type="dxa"/>
            <w:tcBorders>
              <w:top w:val="nil"/>
              <w:left w:val="nil"/>
              <w:bottom w:val="single" w:sz="4" w:space="0" w:color="auto"/>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FHA (Capua)</w:t>
            </w:r>
          </w:p>
        </w:tc>
        <w:tc>
          <w:tcPr>
            <w:tcW w:w="931" w:type="dxa"/>
            <w:tcBorders>
              <w:top w:val="nil"/>
              <w:left w:val="nil"/>
              <w:bottom w:val="single" w:sz="4" w:space="0" w:color="auto"/>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1.59</w:t>
            </w:r>
          </w:p>
        </w:tc>
        <w:tc>
          <w:tcPr>
            <w:tcW w:w="1372" w:type="dxa"/>
            <w:tcBorders>
              <w:top w:val="nil"/>
              <w:left w:val="nil"/>
              <w:bottom w:val="single" w:sz="4" w:space="0" w:color="auto"/>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1.39</w:t>
            </w:r>
          </w:p>
        </w:tc>
        <w:tc>
          <w:tcPr>
            <w:tcW w:w="2121" w:type="dxa"/>
            <w:tcBorders>
              <w:top w:val="nil"/>
              <w:left w:val="nil"/>
              <w:bottom w:val="single" w:sz="4" w:space="0" w:color="auto"/>
              <w:right w:val="nil"/>
            </w:tcBorders>
          </w:tcPr>
          <w:p w:rsidR="00AD53B3" w:rsidRDefault="00B72EBD">
            <w:pPr>
              <w:spacing w:line="360" w:lineRule="auto"/>
              <w:rPr>
                <w:rFonts w:ascii="Times New Roman" w:hAnsi="Times New Roman" w:cs="Times New Roman"/>
                <w:sz w:val="24"/>
                <w:szCs w:val="24"/>
              </w:rPr>
            </w:pPr>
            <w:r>
              <w:rPr>
                <w:rFonts w:ascii="Times New Roman" w:hAnsi="Times New Roman" w:cs="Times New Roman"/>
                <w:sz w:val="24"/>
                <w:szCs w:val="24"/>
              </w:rPr>
              <w:t>Low</w:t>
            </w:r>
          </w:p>
        </w:tc>
      </w:tr>
    </w:tbl>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Source: Authors’ analysis (2026)</w:t>
      </w:r>
    </w:p>
    <w:p w:rsidR="00AD53B3" w:rsidRDefault="00B72EBD">
      <w:pPr>
        <w:pStyle w:val="NormalWeb"/>
        <w:spacing w:afterAutospacing="0"/>
        <w:jc w:val="center"/>
        <w:rPr>
          <w:b/>
          <w:bCs/>
        </w:rPr>
      </w:pPr>
      <w:r>
        <w:rPr>
          <w:b/>
          <w:bCs/>
        </w:rPr>
        <w:t xml:space="preserve">Table 2. </w:t>
      </w:r>
      <w:r>
        <w:rPr>
          <w:b/>
          <w:bCs/>
        </w:rPr>
        <w:t>Flood Extent by Major Zones in Lugbe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4"/>
        <w:gridCol w:w="1841"/>
        <w:gridCol w:w="1854"/>
        <w:gridCol w:w="2027"/>
      </w:tblGrid>
      <w:tr w:rsidR="00AD53B3">
        <w:trPr>
          <w:tblHeader/>
          <w:tblCellSpacing w:w="15" w:type="dxa"/>
        </w:trPr>
        <w:tc>
          <w:tcPr>
            <w:tcW w:w="2629" w:type="dxa"/>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Location Zone</w:t>
            </w:r>
          </w:p>
        </w:tc>
        <w:tc>
          <w:tcPr>
            <w:tcW w:w="1811" w:type="dxa"/>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Total Zone Area (Ha)</w:t>
            </w:r>
          </w:p>
        </w:tc>
        <w:tc>
          <w:tcPr>
            <w:tcW w:w="0" w:type="auto"/>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Flooded Area (Ha)</w:t>
            </w:r>
          </w:p>
        </w:tc>
        <w:tc>
          <w:tcPr>
            <w:tcW w:w="0" w:type="auto"/>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Flood Coverage (%)</w:t>
            </w:r>
          </w:p>
        </w:tc>
      </w:tr>
      <w:tr w:rsidR="00AD53B3">
        <w:trPr>
          <w:tblCellSpacing w:w="15" w:type="dxa"/>
        </w:trPr>
        <w:tc>
          <w:tcPr>
            <w:tcW w:w="2629" w:type="dxa"/>
            <w:shd w:val="clear" w:color="auto" w:fill="auto"/>
            <w:vAlign w:val="center"/>
          </w:tcPr>
          <w:p w:rsidR="00AD53B3" w:rsidRDefault="00B72EBD">
            <w:pPr>
              <w:keepNext/>
              <w:rPr>
                <w:rFonts w:ascii="Times New Roman" w:hAnsi="Times New Roman" w:cs="Times New Roman"/>
                <w:sz w:val="24"/>
                <w:szCs w:val="24"/>
              </w:rPr>
            </w:pPr>
            <w:r>
              <w:rPr>
                <w:rFonts w:ascii="Times New Roman" w:eastAsia="SimSun" w:hAnsi="Times New Roman" w:cs="Times New Roman"/>
                <w:sz w:val="24"/>
                <w:szCs w:val="24"/>
                <w:lang w:bidi="ar"/>
              </w:rPr>
              <w:lastRenderedPageBreak/>
              <w:t>Trademore Estate</w:t>
            </w:r>
          </w:p>
        </w:tc>
        <w:tc>
          <w:tcPr>
            <w:tcW w:w="1811" w:type="dxa"/>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rPr>
              <w:t>1050</w:t>
            </w:r>
          </w:p>
        </w:tc>
        <w:tc>
          <w:tcPr>
            <w:tcW w:w="0" w:type="auto"/>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390</w:t>
            </w:r>
          </w:p>
        </w:tc>
        <w:tc>
          <w:tcPr>
            <w:tcW w:w="0" w:type="auto"/>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37.1</w:t>
            </w:r>
          </w:p>
        </w:tc>
      </w:tr>
      <w:tr w:rsidR="00AD53B3">
        <w:trPr>
          <w:tblCellSpacing w:w="15" w:type="dxa"/>
        </w:trPr>
        <w:tc>
          <w:tcPr>
            <w:tcW w:w="2629" w:type="dxa"/>
            <w:shd w:val="clear" w:color="auto" w:fill="auto"/>
            <w:vAlign w:val="center"/>
          </w:tcPr>
          <w:p w:rsidR="00AD53B3" w:rsidRDefault="00B72EBD">
            <w:pPr>
              <w:keepNext/>
              <w:rPr>
                <w:rFonts w:ascii="Times New Roman" w:hAnsi="Times New Roman" w:cs="Times New Roman"/>
                <w:sz w:val="24"/>
                <w:szCs w:val="24"/>
              </w:rPr>
            </w:pPr>
            <w:r>
              <w:rPr>
                <w:rFonts w:ascii="Times New Roman" w:eastAsia="SimSun" w:hAnsi="Times New Roman" w:cs="Times New Roman"/>
                <w:sz w:val="24"/>
                <w:szCs w:val="24"/>
                <w:lang w:bidi="ar"/>
              </w:rPr>
              <w:t xml:space="preserve">Lugbe </w:t>
            </w:r>
            <w:r>
              <w:rPr>
                <w:rFonts w:ascii="Times New Roman" w:eastAsia="SimSun" w:hAnsi="Times New Roman" w:cs="Times New Roman"/>
                <w:sz w:val="24"/>
                <w:szCs w:val="24"/>
                <w:lang w:bidi="ar"/>
              </w:rPr>
              <w:t>Central Residential</w:t>
            </w:r>
          </w:p>
        </w:tc>
        <w:tc>
          <w:tcPr>
            <w:tcW w:w="1811" w:type="dxa"/>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1280</w:t>
            </w:r>
          </w:p>
        </w:tc>
        <w:tc>
          <w:tcPr>
            <w:tcW w:w="0" w:type="auto"/>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310</w:t>
            </w:r>
          </w:p>
        </w:tc>
        <w:tc>
          <w:tcPr>
            <w:tcW w:w="0" w:type="auto"/>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24.2</w:t>
            </w:r>
          </w:p>
        </w:tc>
      </w:tr>
      <w:tr w:rsidR="00AD53B3">
        <w:trPr>
          <w:tblCellSpacing w:w="15" w:type="dxa"/>
        </w:trPr>
        <w:tc>
          <w:tcPr>
            <w:tcW w:w="2629" w:type="dxa"/>
            <w:shd w:val="clear" w:color="auto" w:fill="auto"/>
            <w:vAlign w:val="center"/>
          </w:tcPr>
          <w:p w:rsidR="00AD53B3" w:rsidRDefault="00B72EBD">
            <w:pPr>
              <w:keepNext/>
              <w:rPr>
                <w:rFonts w:ascii="Times New Roman" w:hAnsi="Times New Roman" w:cs="Times New Roman"/>
                <w:sz w:val="24"/>
                <w:szCs w:val="24"/>
              </w:rPr>
            </w:pPr>
            <w:r>
              <w:rPr>
                <w:rFonts w:ascii="Times New Roman" w:eastAsia="SimSun" w:hAnsi="Times New Roman" w:cs="Times New Roman"/>
                <w:sz w:val="24"/>
                <w:szCs w:val="24"/>
                <w:lang w:bidi="ar"/>
              </w:rPr>
              <w:t>Airport Road Corridor</w:t>
            </w:r>
          </w:p>
        </w:tc>
        <w:tc>
          <w:tcPr>
            <w:tcW w:w="1811" w:type="dxa"/>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820</w:t>
            </w:r>
          </w:p>
        </w:tc>
        <w:tc>
          <w:tcPr>
            <w:tcW w:w="0" w:type="auto"/>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240</w:t>
            </w:r>
          </w:p>
        </w:tc>
        <w:tc>
          <w:tcPr>
            <w:tcW w:w="0" w:type="auto"/>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29.3</w:t>
            </w:r>
          </w:p>
        </w:tc>
      </w:tr>
      <w:tr w:rsidR="00AD53B3">
        <w:trPr>
          <w:tblCellSpacing w:w="15" w:type="dxa"/>
        </w:trPr>
        <w:tc>
          <w:tcPr>
            <w:tcW w:w="2629" w:type="dxa"/>
            <w:tcBorders>
              <w:bottom w:val="single" w:sz="4" w:space="0" w:color="auto"/>
            </w:tcBorders>
            <w:shd w:val="clear" w:color="auto" w:fill="auto"/>
            <w:vAlign w:val="center"/>
          </w:tcPr>
          <w:p w:rsidR="00AD53B3" w:rsidRDefault="00B72EBD">
            <w:pPr>
              <w:keepNext/>
              <w:rPr>
                <w:rFonts w:ascii="Times New Roman" w:hAnsi="Times New Roman" w:cs="Times New Roman"/>
                <w:sz w:val="24"/>
                <w:szCs w:val="24"/>
              </w:rPr>
            </w:pPr>
            <w:r>
              <w:rPr>
                <w:rFonts w:ascii="Times New Roman" w:eastAsia="SimSun" w:hAnsi="Times New Roman" w:cs="Times New Roman"/>
                <w:sz w:val="24"/>
                <w:szCs w:val="24"/>
                <w:lang w:bidi="ar"/>
              </w:rPr>
              <w:t>Drainage Basin Lowlands</w:t>
            </w:r>
          </w:p>
        </w:tc>
        <w:tc>
          <w:tcPr>
            <w:tcW w:w="1811" w:type="dxa"/>
            <w:tcBorders>
              <w:bottom w:val="single" w:sz="4" w:space="0" w:color="auto"/>
            </w:tcBorders>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760</w:t>
            </w:r>
          </w:p>
        </w:tc>
        <w:tc>
          <w:tcPr>
            <w:tcW w:w="0" w:type="auto"/>
            <w:tcBorders>
              <w:bottom w:val="single" w:sz="4" w:space="0" w:color="auto"/>
            </w:tcBorders>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330</w:t>
            </w:r>
          </w:p>
        </w:tc>
        <w:tc>
          <w:tcPr>
            <w:tcW w:w="0" w:type="auto"/>
            <w:tcBorders>
              <w:bottom w:val="single" w:sz="4" w:space="0" w:color="auto"/>
            </w:tcBorders>
            <w:shd w:val="clear" w:color="auto" w:fill="auto"/>
            <w:vAlign w:val="center"/>
          </w:tcPr>
          <w:p w:rsidR="00AD53B3" w:rsidRDefault="00B72EBD">
            <w:pPr>
              <w:keepNext/>
              <w:jc w:val="center"/>
              <w:rPr>
                <w:rFonts w:ascii="Times New Roman" w:hAnsi="Times New Roman" w:cs="Times New Roman"/>
                <w:sz w:val="24"/>
                <w:szCs w:val="24"/>
              </w:rPr>
            </w:pPr>
            <w:r>
              <w:rPr>
                <w:rFonts w:ascii="Times New Roman" w:eastAsia="SimSun" w:hAnsi="Times New Roman" w:cs="Times New Roman"/>
                <w:sz w:val="24"/>
                <w:szCs w:val="24"/>
                <w:lang w:bidi="ar"/>
              </w:rPr>
              <w:t>43.4</w:t>
            </w:r>
          </w:p>
        </w:tc>
      </w:tr>
    </w:tbl>
    <w:p w:rsidR="00AD53B3" w:rsidRDefault="00B72EBD" w:rsidP="00460372">
      <w:pPr>
        <w:pStyle w:val="NormalWeb"/>
        <w:spacing w:afterLines="100" w:after="240" w:afterAutospacing="0"/>
      </w:pPr>
      <w:r>
        <w:t xml:space="preserve">Details of each mapped flood prone/risk areas are shown in Figures 3, 4, 5, 6, 7 and 8). </w:t>
      </w:r>
    </w:p>
    <w:p w:rsidR="00AD53B3" w:rsidRDefault="00B72EBD">
      <w:pPr>
        <w:jc w:val="both"/>
        <w:rPr>
          <w:rFonts w:ascii="Times New Roman" w:eastAsia="SimSun" w:hAnsi="Times New Roman" w:cs="Times New Roman"/>
          <w:sz w:val="24"/>
          <w:szCs w:val="24"/>
        </w:rPr>
      </w:pPr>
      <w:r>
        <w:rPr>
          <w:rFonts w:ascii="Times New Roman" w:eastAsia="SimSun" w:hAnsi="Times New Roman" w:cs="Times New Roman"/>
          <w:sz w:val="24"/>
          <w:szCs w:val="24"/>
        </w:rPr>
        <w:t>Table 3 and Figure 8 show that flood in Lugbe was at it’s</w:t>
      </w:r>
      <w:r>
        <w:rPr>
          <w:rFonts w:ascii="Times New Roman" w:eastAsia="SimSun" w:hAnsi="Times New Roman" w:cs="Times New Roman"/>
          <w:sz w:val="24"/>
          <w:szCs w:val="24"/>
        </w:rPr>
        <w:t xml:space="preserve"> peak in 2023 and 2024 respectively and is gradually reducing in spatial extent. However, if drainage systems are further blocked, the possibilities of experiencing accelerated surface runoff will find it’s pride of place in the study area.This should not </w:t>
      </w:r>
      <w:r>
        <w:rPr>
          <w:rFonts w:ascii="Times New Roman" w:eastAsia="SimSun" w:hAnsi="Times New Roman" w:cs="Times New Roman"/>
          <w:sz w:val="24"/>
          <w:szCs w:val="24"/>
        </w:rPr>
        <w:t>be allowed to happened so as to safeguard human lives and enhance environmental sanity and security.</w:t>
      </w:r>
    </w:p>
    <w:p w:rsidR="00AD53B3" w:rsidRDefault="00AD53B3">
      <w:pPr>
        <w:rPr>
          <w:rFonts w:ascii="Times New Roman" w:eastAsia="SimSun" w:hAnsi="Times New Roman" w:cs="Times New Roman"/>
          <w:sz w:val="24"/>
          <w:szCs w:val="24"/>
        </w:rPr>
      </w:pPr>
    </w:p>
    <w:p w:rsidR="00AD53B3" w:rsidRDefault="00B72EBD">
      <w:pPr>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w:t>
      </w:r>
      <w:r>
        <w:rPr>
          <w:rFonts w:ascii="Times New Roman" w:eastAsia="SimSun" w:hAnsi="Times New Roman" w:cs="Times New Roman"/>
          <w:b/>
          <w:bCs/>
          <w:sz w:val="24"/>
          <w:szCs w:val="24"/>
        </w:rPr>
        <w:t>3</w:t>
      </w:r>
      <w:r>
        <w:rPr>
          <w:rFonts w:ascii="Times New Roman" w:eastAsia="SimSun" w:hAnsi="Times New Roman" w:cs="Times New Roman"/>
          <w:b/>
          <w:bCs/>
          <w:sz w:val="22"/>
          <w:szCs w:val="22"/>
        </w:rPr>
        <w:t>.</w:t>
      </w:r>
      <w:r>
        <w:rPr>
          <w:rFonts w:ascii="Times New Roman" w:eastAsia="SimSun" w:hAnsi="Times New Roman" w:cs="Times New Roman"/>
          <w:b/>
          <w:bCs/>
          <w:sz w:val="22"/>
          <w:szCs w:val="22"/>
        </w:rPr>
        <w:t xml:space="preserve"> </w:t>
      </w:r>
      <w:r>
        <w:rPr>
          <w:rFonts w:ascii="Times New Roman" w:eastAsia="SimSun" w:hAnsi="Times New Roman" w:cs="Times New Roman"/>
          <w:b/>
          <w:bCs/>
          <w:sz w:val="22"/>
          <w:szCs w:val="22"/>
        </w:rPr>
        <w:t xml:space="preserve">Overview the Temporal Resolution of </w:t>
      </w:r>
      <w:r>
        <w:rPr>
          <w:rFonts w:ascii="Times New Roman" w:eastAsia="SimSun" w:hAnsi="Times New Roman" w:cs="Times New Roman"/>
          <w:b/>
          <w:bCs/>
          <w:sz w:val="22"/>
          <w:szCs w:val="22"/>
        </w:rPr>
        <w:t xml:space="preserve">Flood Extent </w:t>
      </w:r>
      <w:r>
        <w:rPr>
          <w:rFonts w:ascii="Times New Roman" w:eastAsia="SimSun" w:hAnsi="Times New Roman" w:cs="Times New Roman"/>
          <w:b/>
          <w:bCs/>
          <w:sz w:val="22"/>
          <w:szCs w:val="22"/>
        </w:rPr>
        <w:t>i</w:t>
      </w:r>
      <w:r>
        <w:rPr>
          <w:rFonts w:ascii="Times New Roman" w:eastAsia="SimSun" w:hAnsi="Times New Roman" w:cs="Times New Roman"/>
          <w:b/>
          <w:bCs/>
          <w:sz w:val="22"/>
          <w:szCs w:val="22"/>
        </w:rPr>
        <w:t>n Lugbe (202</w:t>
      </w:r>
      <w:r>
        <w:rPr>
          <w:rFonts w:ascii="Times New Roman" w:eastAsia="SimSun" w:hAnsi="Times New Roman" w:cs="Times New Roman"/>
          <w:b/>
          <w:bCs/>
          <w:sz w:val="22"/>
          <w:szCs w:val="22"/>
        </w:rPr>
        <w:t>1</w:t>
      </w:r>
      <w:r>
        <w:rPr>
          <w:rFonts w:ascii="Times New Roman" w:eastAsia="SimSun" w:hAnsi="Times New Roman" w:cs="Times New Roman"/>
          <w:b/>
          <w:bCs/>
          <w:sz w:val="22"/>
          <w:szCs w:val="22"/>
        </w:rPr>
        <w:t>–202</w:t>
      </w:r>
      <w:r>
        <w:rPr>
          <w:rFonts w:ascii="Times New Roman" w:eastAsia="SimSun" w:hAnsi="Times New Roman" w:cs="Times New Roman"/>
          <w:b/>
          <w:bCs/>
          <w:sz w:val="22"/>
          <w:szCs w:val="22"/>
        </w:rPr>
        <w:t>6</w:t>
      </w:r>
      <w:r>
        <w:rPr>
          <w:rFonts w:ascii="Times New Roman" w:eastAsia="SimSun" w:hAnsi="Times New Roman" w:cs="Times New Roman"/>
          <w:b/>
          <w:bCs/>
          <w:sz w:val="22"/>
          <w:szCs w:val="22"/>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58"/>
        <w:gridCol w:w="2792"/>
        <w:gridCol w:w="1980"/>
        <w:gridCol w:w="2555"/>
      </w:tblGrid>
      <w:tr w:rsidR="00AD53B3">
        <w:trPr>
          <w:tblHeader/>
          <w:tblCellSpacing w:w="15" w:type="dxa"/>
          <w:jc w:val="center"/>
        </w:trPr>
        <w:tc>
          <w:tcPr>
            <w:tcW w:w="713" w:type="dxa"/>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Year</w:t>
            </w:r>
          </w:p>
        </w:tc>
        <w:tc>
          <w:tcPr>
            <w:tcW w:w="2762" w:type="dxa"/>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Total Area Assessed (Ha)</w:t>
            </w:r>
          </w:p>
        </w:tc>
        <w:tc>
          <w:tcPr>
            <w:tcW w:w="0" w:type="auto"/>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Flooded Area (Ha)</w:t>
            </w:r>
          </w:p>
        </w:tc>
        <w:tc>
          <w:tcPr>
            <w:tcW w:w="0" w:type="auto"/>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Percentage Flooded (%)</w:t>
            </w:r>
          </w:p>
        </w:tc>
      </w:tr>
      <w:tr w:rsidR="00AD53B3">
        <w:trPr>
          <w:tblCellSpacing w:w="15" w:type="dxa"/>
          <w:jc w:val="center"/>
        </w:trPr>
        <w:tc>
          <w:tcPr>
            <w:tcW w:w="713"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2021</w:t>
            </w:r>
          </w:p>
        </w:tc>
        <w:tc>
          <w:tcPr>
            <w:tcW w:w="2762"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3,950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750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18.9</w:t>
            </w:r>
          </w:p>
        </w:tc>
      </w:tr>
      <w:tr w:rsidR="00AD53B3">
        <w:trPr>
          <w:tblCellSpacing w:w="15" w:type="dxa"/>
          <w:jc w:val="center"/>
        </w:trPr>
        <w:tc>
          <w:tcPr>
            <w:tcW w:w="713"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2022</w:t>
            </w:r>
          </w:p>
        </w:tc>
        <w:tc>
          <w:tcPr>
            <w:tcW w:w="2762"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3,950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910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23.0</w:t>
            </w:r>
          </w:p>
        </w:tc>
      </w:tr>
      <w:tr w:rsidR="00AD53B3">
        <w:trPr>
          <w:tblCellSpacing w:w="15" w:type="dxa"/>
          <w:jc w:val="center"/>
        </w:trPr>
        <w:tc>
          <w:tcPr>
            <w:tcW w:w="713"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2023</w:t>
            </w:r>
          </w:p>
        </w:tc>
        <w:tc>
          <w:tcPr>
            <w:tcW w:w="2762"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3,950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1280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32.4</w:t>
            </w:r>
          </w:p>
        </w:tc>
      </w:tr>
      <w:tr w:rsidR="00AD53B3">
        <w:trPr>
          <w:tblCellSpacing w:w="15" w:type="dxa"/>
          <w:jc w:val="center"/>
        </w:trPr>
        <w:tc>
          <w:tcPr>
            <w:tcW w:w="713"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2024</w:t>
            </w:r>
          </w:p>
        </w:tc>
        <w:tc>
          <w:tcPr>
            <w:tcW w:w="2762"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3,950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1170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29.6</w:t>
            </w:r>
          </w:p>
        </w:tc>
      </w:tr>
      <w:tr w:rsidR="00AD53B3">
        <w:trPr>
          <w:trHeight w:val="90"/>
          <w:tblCellSpacing w:w="15" w:type="dxa"/>
          <w:jc w:val="center"/>
        </w:trPr>
        <w:tc>
          <w:tcPr>
            <w:tcW w:w="713"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2025</w:t>
            </w:r>
          </w:p>
        </w:tc>
        <w:tc>
          <w:tcPr>
            <w:tcW w:w="2762" w:type="dxa"/>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3,950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1040</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26.3</w:t>
            </w:r>
          </w:p>
        </w:tc>
      </w:tr>
      <w:tr w:rsidR="00AD53B3">
        <w:trPr>
          <w:tblCellSpacing w:w="15" w:type="dxa"/>
          <w:jc w:val="center"/>
        </w:trPr>
        <w:tc>
          <w:tcPr>
            <w:tcW w:w="713" w:type="dxa"/>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2026</w:t>
            </w:r>
          </w:p>
        </w:tc>
        <w:tc>
          <w:tcPr>
            <w:tcW w:w="2762" w:type="dxa"/>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3,950</w:t>
            </w:r>
          </w:p>
        </w:tc>
        <w:tc>
          <w:tcPr>
            <w:tcW w:w="0" w:type="auto"/>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320</w:t>
            </w:r>
          </w:p>
        </w:tc>
        <w:tc>
          <w:tcPr>
            <w:tcW w:w="0" w:type="auto"/>
            <w:tcBorders>
              <w:top w:val="single" w:sz="4" w:space="0" w:color="auto"/>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8.1</w:t>
            </w:r>
          </w:p>
        </w:tc>
      </w:tr>
    </w:tbl>
    <w:p w:rsidR="00AD53B3" w:rsidRDefault="00B72EBD">
      <w:pPr>
        <w:jc w:val="center"/>
        <w:rPr>
          <w:rFonts w:ascii="Times New Roman" w:eastAsia="SimSun" w:hAnsi="Times New Roman" w:cs="Times New Roman"/>
          <w:i/>
          <w:iCs/>
          <w:sz w:val="24"/>
          <w:szCs w:val="24"/>
        </w:rPr>
      </w:pPr>
      <w:r>
        <w:rPr>
          <w:rFonts w:ascii="Times New Roman" w:eastAsia="SimSun" w:hAnsi="Times New Roman" w:cs="Times New Roman"/>
          <w:i/>
          <w:iCs/>
          <w:sz w:val="24"/>
          <w:szCs w:val="24"/>
        </w:rPr>
        <w:t>Source: Authors Analysis (2026).</w:t>
      </w:r>
    </w:p>
    <w:p w:rsidR="00AD53B3" w:rsidRDefault="00AD53B3">
      <w:pPr>
        <w:rPr>
          <w:rFonts w:ascii="Times New Roman" w:eastAsia="SimSun" w:hAnsi="Times New Roman" w:cs="Times New Roman"/>
          <w:sz w:val="24"/>
          <w:szCs w:val="24"/>
        </w:rPr>
      </w:pPr>
    </w:p>
    <w:p w:rsidR="00AD53B3" w:rsidRDefault="00B72EBD">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5390515" cy="2284095"/>
            <wp:effectExtent l="4445" t="4445" r="15240" b="1016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Figure 8. Food Extent between 2021 and Feb., 2026 in Lugbe</w:t>
      </w:r>
    </w:p>
    <w:p w:rsidR="00AD53B3" w:rsidRDefault="00AD53B3">
      <w:pPr>
        <w:rPr>
          <w:rFonts w:ascii="Times New Roman" w:hAnsi="Times New Roman" w:cs="Times New Roman"/>
          <w:sz w:val="24"/>
          <w:szCs w:val="24"/>
        </w:rPr>
      </w:pPr>
    </w:p>
    <w:p w:rsidR="00AD53B3" w:rsidRDefault="00B72EBD">
      <w:pPr>
        <w:numPr>
          <w:ilvl w:val="1"/>
          <w:numId w:val="1"/>
        </w:numPr>
        <w:tabs>
          <w:tab w:val="clear" w:pos="312"/>
        </w:tabs>
        <w:rPr>
          <w:rFonts w:ascii="Times New Roman" w:hAnsi="Times New Roman" w:cs="Times New Roman"/>
          <w:b/>
          <w:bCs/>
          <w:sz w:val="24"/>
          <w:szCs w:val="24"/>
        </w:rPr>
      </w:pPr>
      <w:r>
        <w:rPr>
          <w:rFonts w:ascii="Times New Roman" w:hAnsi="Times New Roman" w:cs="Times New Roman"/>
          <w:b/>
          <w:bCs/>
          <w:sz w:val="24"/>
          <w:szCs w:val="24"/>
        </w:rPr>
        <w:t xml:space="preserve">The significance of flood </w:t>
      </w:r>
      <w:r>
        <w:rPr>
          <w:rFonts w:ascii="Times New Roman" w:hAnsi="Times New Roman" w:cs="Times New Roman"/>
          <w:b/>
          <w:bCs/>
          <w:sz w:val="24"/>
          <w:szCs w:val="24"/>
        </w:rPr>
        <w:t>modeling and management in Lugbe, Abuja</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 xml:space="preserve">Hydraulic simulation (Table 4) showed that peak rainfall events generate extensive runoff accumulation along low-lying drainage corridors. </w:t>
      </w:r>
      <w:r>
        <w:rPr>
          <w:rFonts w:ascii="Times New Roman" w:eastAsia="SimSun" w:hAnsi="Times New Roman" w:cs="Times New Roman"/>
          <w:sz w:val="24"/>
          <w:szCs w:val="24"/>
        </w:rPr>
        <w:t xml:space="preserve">Flood depths exceeding </w:t>
      </w:r>
      <w:r>
        <w:rPr>
          <w:rStyle w:val="Strong"/>
          <w:rFonts w:ascii="Times New Roman" w:eastAsia="SimSun" w:hAnsi="Times New Roman" w:cs="Times New Roman"/>
          <w:b w:val="0"/>
          <w:bCs w:val="0"/>
          <w:sz w:val="24"/>
          <w:szCs w:val="24"/>
        </w:rPr>
        <w:t>1.</w:t>
      </w:r>
      <w:r>
        <w:rPr>
          <w:rStyle w:val="Strong"/>
          <w:rFonts w:ascii="Times New Roman" w:eastAsia="SimSun" w:hAnsi="Times New Roman" w:cs="Times New Roman"/>
          <w:b w:val="0"/>
          <w:bCs w:val="0"/>
          <w:sz w:val="24"/>
          <w:szCs w:val="24"/>
        </w:rPr>
        <w:t>5</w:t>
      </w:r>
      <w:r>
        <w:rPr>
          <w:rStyle w:val="Strong"/>
          <w:rFonts w:ascii="Times New Roman" w:eastAsia="SimSun" w:hAnsi="Times New Roman" w:cs="Times New Roman"/>
          <w:b w:val="0"/>
          <w:bCs w:val="0"/>
          <w:sz w:val="24"/>
          <w:szCs w:val="24"/>
        </w:rPr>
        <w:t xml:space="preserve"> m</w:t>
      </w:r>
      <w:r>
        <w:rPr>
          <w:rFonts w:ascii="Times New Roman" w:eastAsia="SimSun" w:hAnsi="Times New Roman" w:cs="Times New Roman"/>
          <w:sz w:val="24"/>
          <w:szCs w:val="24"/>
        </w:rPr>
        <w:t xml:space="preserve"> were associated with severe structural damage in</w:t>
      </w:r>
      <w:r>
        <w:rPr>
          <w:rFonts w:ascii="Times New Roman" w:eastAsia="SimSun" w:hAnsi="Times New Roman" w:cs="Times New Roman"/>
          <w:sz w:val="24"/>
          <w:szCs w:val="24"/>
        </w:rPr>
        <w:t xml:space="preserve"> Trademore Estate.</w:t>
      </w:r>
    </w:p>
    <w:p w:rsidR="00AD53B3" w:rsidRDefault="00AD53B3">
      <w:pPr>
        <w:jc w:val="both"/>
        <w:rPr>
          <w:rFonts w:ascii="Times New Roman" w:hAnsi="Times New Roman" w:cs="Times New Roman"/>
          <w:sz w:val="24"/>
          <w:szCs w:val="24"/>
        </w:rPr>
      </w:pPr>
    </w:p>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rPr>
        <w:t xml:space="preserve">Table 4. </w:t>
      </w:r>
      <w:r>
        <w:rPr>
          <w:rFonts w:ascii="Times New Roman" w:eastAsia="SimSun" w:hAnsi="Times New Roman" w:cs="Times New Roman"/>
          <w:b/>
          <w:bCs/>
          <w:sz w:val="24"/>
          <w:szCs w:val="24"/>
        </w:rPr>
        <w:t>Modeled Flood Depth and Risk Interpretation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82"/>
        <w:gridCol w:w="2118"/>
        <w:gridCol w:w="1162"/>
      </w:tblGrid>
      <w:tr w:rsidR="00AD53B3">
        <w:trPr>
          <w:tblHeader/>
          <w:tblCellSpacing w:w="15" w:type="dxa"/>
          <w:jc w:val="center"/>
        </w:trPr>
        <w:tc>
          <w:tcPr>
            <w:tcW w:w="0" w:type="auto"/>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Flood Depth Range (m)</w:t>
            </w:r>
          </w:p>
        </w:tc>
        <w:tc>
          <w:tcPr>
            <w:tcW w:w="0" w:type="auto"/>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Area Affected (km²)</w:t>
            </w:r>
          </w:p>
        </w:tc>
        <w:tc>
          <w:tcPr>
            <w:tcW w:w="0" w:type="auto"/>
            <w:shd w:val="clear" w:color="auto" w:fill="auto"/>
            <w:vAlign w:val="center"/>
          </w:tcPr>
          <w:p w:rsidR="00AD53B3" w:rsidRDefault="00B72EBD">
            <w:pPr>
              <w:jc w:val="center"/>
              <w:rPr>
                <w:rFonts w:ascii="Times New Roman" w:hAnsi="Times New Roman" w:cs="Times New Roman"/>
                <w:b/>
                <w:bCs/>
                <w:sz w:val="24"/>
                <w:szCs w:val="24"/>
              </w:rPr>
            </w:pPr>
            <w:r>
              <w:rPr>
                <w:rFonts w:ascii="Times New Roman" w:eastAsia="SimSun" w:hAnsi="Times New Roman" w:cs="Times New Roman"/>
                <w:b/>
                <w:bCs/>
                <w:sz w:val="24"/>
                <w:szCs w:val="24"/>
                <w:lang w:bidi="ar"/>
              </w:rPr>
              <w:t>Risk Level</w:t>
            </w:r>
          </w:p>
        </w:tc>
      </w:tr>
      <w:tr w:rsidR="00AD53B3">
        <w:trPr>
          <w:tblCellSpacing w:w="15" w:type="dxa"/>
          <w:jc w:val="center"/>
        </w:trPr>
        <w:tc>
          <w:tcPr>
            <w:tcW w:w="0" w:type="auto"/>
            <w:tcBorders>
              <w:top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lastRenderedPageBreak/>
              <w:t>0.0 – 0.5</w:t>
            </w:r>
          </w:p>
        </w:tc>
        <w:tc>
          <w:tcPr>
            <w:tcW w:w="0" w:type="auto"/>
            <w:tcBorders>
              <w:top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4.8</w:t>
            </w:r>
          </w:p>
        </w:tc>
        <w:tc>
          <w:tcPr>
            <w:tcW w:w="0" w:type="auto"/>
            <w:tcBorders>
              <w:top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Low</w:t>
            </w:r>
          </w:p>
        </w:tc>
      </w:tr>
      <w:tr w:rsidR="00AD53B3">
        <w:trPr>
          <w:tblCellSpacing w:w="15" w:type="dxa"/>
          <w:jc w:val="center"/>
        </w:trPr>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0.6 – 1.5</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5.6</w:t>
            </w:r>
          </w:p>
        </w:tc>
        <w:tc>
          <w:tcPr>
            <w:tcW w:w="0" w:type="auto"/>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Moderate</w:t>
            </w:r>
          </w:p>
        </w:tc>
      </w:tr>
      <w:tr w:rsidR="00AD53B3">
        <w:trPr>
          <w:tblCellSpacing w:w="15" w:type="dxa"/>
          <w:jc w:val="center"/>
        </w:trPr>
        <w:tc>
          <w:tcPr>
            <w:tcW w:w="0" w:type="auto"/>
            <w:tcBorders>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&gt;1.5</w:t>
            </w:r>
          </w:p>
        </w:tc>
        <w:tc>
          <w:tcPr>
            <w:tcW w:w="0" w:type="auto"/>
            <w:tcBorders>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7.9</w:t>
            </w:r>
          </w:p>
        </w:tc>
        <w:tc>
          <w:tcPr>
            <w:tcW w:w="0" w:type="auto"/>
            <w:tcBorders>
              <w:bottom w:val="single" w:sz="4" w:space="0" w:color="auto"/>
            </w:tcBorders>
            <w:shd w:val="clear" w:color="auto" w:fill="auto"/>
            <w:vAlign w:val="center"/>
          </w:tcPr>
          <w:p w:rsidR="00AD53B3" w:rsidRDefault="00B72EBD">
            <w:pPr>
              <w:jc w:val="center"/>
              <w:rPr>
                <w:rFonts w:ascii="Times New Roman" w:hAnsi="Times New Roman" w:cs="Times New Roman"/>
                <w:sz w:val="24"/>
                <w:szCs w:val="24"/>
              </w:rPr>
            </w:pPr>
            <w:r>
              <w:rPr>
                <w:rFonts w:ascii="Times New Roman" w:eastAsia="SimSun" w:hAnsi="Times New Roman" w:cs="Times New Roman"/>
                <w:sz w:val="24"/>
                <w:szCs w:val="24"/>
                <w:lang w:bidi="ar"/>
              </w:rPr>
              <w:t>High</w:t>
            </w:r>
          </w:p>
        </w:tc>
      </w:tr>
    </w:tbl>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 xml:space="preserve">In terms of Rainfall–Flood Extent Relationship, the Regression </w:t>
      </w:r>
      <w:r>
        <w:rPr>
          <w:rFonts w:ascii="Times New Roman" w:hAnsi="Times New Roman" w:cs="Times New Roman"/>
          <w:sz w:val="24"/>
          <w:szCs w:val="24"/>
        </w:rPr>
        <w:t>analysis confirmed a strong relationship between rainfall intensity and flood extent with Correlation Coefficient (r) = 0.82 (strong relationship) and Significance (p-value): p &lt; 0.01. Thus, Flood extent increases significantly during weeks with rainfall e</w:t>
      </w:r>
      <w:r>
        <w:rPr>
          <w:rFonts w:ascii="Times New Roman" w:hAnsi="Times New Roman" w:cs="Times New Roman"/>
          <w:sz w:val="24"/>
          <w:szCs w:val="24"/>
        </w:rPr>
        <w:t>xceeding 100–120 mm. Also, over one-third of residential and public infrastructure lies within flood hazard zones, underscoring the urgency of mitigation as illustrated in Figure 9.</w:t>
      </w:r>
    </w:p>
    <w:p w:rsidR="00AD53B3" w:rsidRDefault="00AD53B3">
      <w:pPr>
        <w:jc w:val="both"/>
        <w:rPr>
          <w:rFonts w:ascii="Times New Roman" w:hAnsi="Times New Roman" w:cs="Times New Roman"/>
          <w:sz w:val="24"/>
          <w:szCs w:val="24"/>
        </w:rPr>
      </w:pPr>
    </w:p>
    <w:p w:rsidR="00AD53B3" w:rsidRDefault="00B72EBD">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4385945" cy="2304415"/>
            <wp:effectExtent l="5080" t="4445" r="15875" b="1524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53B3" w:rsidRDefault="00B72EBD">
      <w:pPr>
        <w:jc w:val="center"/>
        <w:rPr>
          <w:rFonts w:ascii="Times New Roman" w:hAnsi="Times New Roman" w:cs="Times New Roman"/>
          <w:sz w:val="24"/>
          <w:szCs w:val="24"/>
        </w:rPr>
      </w:pPr>
      <w:r>
        <w:rPr>
          <w:rFonts w:ascii="Times New Roman" w:hAnsi="Times New Roman" w:cs="Times New Roman"/>
          <w:sz w:val="24"/>
          <w:szCs w:val="24"/>
        </w:rPr>
        <w:t>Figure 9. % of Infrastructure at risk of Flooding in Lugbe, Abuja</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From</w:t>
      </w:r>
      <w:r>
        <w:rPr>
          <w:rFonts w:ascii="Times New Roman" w:hAnsi="Times New Roman" w:cs="Times New Roman"/>
          <w:sz w:val="24"/>
          <w:szCs w:val="24"/>
        </w:rPr>
        <w:t xml:space="preserve"> Table 4 and Figure 9, it is abundantly clear that flood modeling (mapping) and management study of this nature are considered very significant in several key ways:</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b/>
          <w:bCs/>
          <w:i/>
          <w:iCs/>
          <w:sz w:val="24"/>
          <w:szCs w:val="24"/>
        </w:rPr>
      </w:pPr>
      <w:r>
        <w:rPr>
          <w:rFonts w:ascii="Times New Roman" w:hAnsi="Times New Roman" w:cs="Times New Roman"/>
          <w:b/>
          <w:bCs/>
          <w:i/>
          <w:iCs/>
          <w:sz w:val="24"/>
          <w:szCs w:val="24"/>
        </w:rPr>
        <w:t>3.2.1</w:t>
      </w:r>
      <w:r>
        <w:rPr>
          <w:rFonts w:ascii="Times New Roman" w:hAnsi="Times New Roman" w:cs="Times New Roman"/>
          <w:b/>
          <w:bCs/>
          <w:i/>
          <w:iCs/>
          <w:sz w:val="24"/>
          <w:szCs w:val="24"/>
        </w:rPr>
        <w:tab/>
        <w:t>Academic and Scientific Contribution</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research contributes to the growing body of</w:t>
      </w:r>
      <w:r>
        <w:rPr>
          <w:rFonts w:ascii="Times New Roman" w:hAnsi="Times New Roman" w:cs="Times New Roman"/>
          <w:sz w:val="24"/>
          <w:szCs w:val="24"/>
        </w:rPr>
        <w:t xml:space="preserve"> knowledge on urban flood hazards in Nigeria, particularly through the application of WebGIS-based flood extent mapping and spatial intensity analysis (Douglas et al., 2008; Lucas, 2021). Such studies remain limited in peri-urban Abuja despite increasing f</w:t>
      </w:r>
      <w:r>
        <w:rPr>
          <w:rFonts w:ascii="Times New Roman" w:hAnsi="Times New Roman" w:cs="Times New Roman"/>
          <w:sz w:val="24"/>
          <w:szCs w:val="24"/>
        </w:rPr>
        <w:t>lood incidents.</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b/>
          <w:bCs/>
          <w:i/>
          <w:iCs/>
          <w:sz w:val="24"/>
          <w:szCs w:val="24"/>
        </w:rPr>
      </w:pPr>
      <w:r>
        <w:rPr>
          <w:rFonts w:ascii="Times New Roman" w:hAnsi="Times New Roman" w:cs="Times New Roman"/>
          <w:b/>
          <w:bCs/>
          <w:i/>
          <w:iCs/>
          <w:sz w:val="24"/>
          <w:szCs w:val="24"/>
        </w:rPr>
        <w:t>3.2.2</w:t>
      </w:r>
      <w:r>
        <w:rPr>
          <w:rFonts w:ascii="Times New Roman" w:hAnsi="Times New Roman" w:cs="Times New Roman"/>
          <w:b/>
          <w:bCs/>
          <w:i/>
          <w:iCs/>
          <w:sz w:val="24"/>
          <w:szCs w:val="24"/>
        </w:rPr>
        <w:tab/>
        <w:t>Urban Planning and Policy Relevance</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By identifying flood hotspots and vulnerable zones, the study provides critical information that can guide land-use zoning, infrastructure planning, and enforcement of development regulations to pr</w:t>
      </w:r>
      <w:r>
        <w:rPr>
          <w:rFonts w:ascii="Times New Roman" w:hAnsi="Times New Roman" w:cs="Times New Roman"/>
          <w:sz w:val="24"/>
          <w:szCs w:val="24"/>
        </w:rPr>
        <w:t>event construction in flood-prone areas.</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b/>
          <w:bCs/>
          <w:i/>
          <w:iCs/>
          <w:sz w:val="24"/>
          <w:szCs w:val="24"/>
        </w:rPr>
      </w:pPr>
      <w:r>
        <w:rPr>
          <w:rFonts w:ascii="Times New Roman" w:hAnsi="Times New Roman" w:cs="Times New Roman"/>
          <w:b/>
          <w:bCs/>
          <w:i/>
          <w:iCs/>
          <w:sz w:val="24"/>
          <w:szCs w:val="24"/>
        </w:rPr>
        <w:t>3.2.3</w:t>
      </w:r>
      <w:r>
        <w:rPr>
          <w:rFonts w:ascii="Times New Roman" w:hAnsi="Times New Roman" w:cs="Times New Roman"/>
          <w:b/>
          <w:bCs/>
          <w:i/>
          <w:iCs/>
          <w:sz w:val="24"/>
          <w:szCs w:val="24"/>
        </w:rPr>
        <w:tab/>
        <w:t>Disaster Risk Reduction</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findings will support emergency response agencies and disaster management authorities such as the National Emergency Management Agency (NEMA), Nigerian Meteorological Agency (NIMET</w:t>
      </w:r>
      <w:r>
        <w:rPr>
          <w:rFonts w:ascii="Times New Roman" w:hAnsi="Times New Roman" w:cs="Times New Roman"/>
          <w:sz w:val="24"/>
          <w:szCs w:val="24"/>
        </w:rPr>
        <w:t>), Nigerian Hydrological Services Agency (NIHSA), and the National Space Research and Development Agency (NASRDA) in improving flood preparedness, early warning systems, and evacuation planning in Lugbe.</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b/>
          <w:bCs/>
          <w:i/>
          <w:iCs/>
          <w:sz w:val="24"/>
          <w:szCs w:val="24"/>
        </w:rPr>
      </w:pPr>
      <w:r>
        <w:rPr>
          <w:rFonts w:ascii="Times New Roman" w:hAnsi="Times New Roman" w:cs="Times New Roman"/>
          <w:b/>
          <w:bCs/>
          <w:i/>
          <w:iCs/>
          <w:sz w:val="24"/>
          <w:szCs w:val="24"/>
        </w:rPr>
        <w:t>3.2.4</w:t>
      </w:r>
      <w:r>
        <w:rPr>
          <w:rFonts w:ascii="Times New Roman" w:hAnsi="Times New Roman" w:cs="Times New Roman"/>
          <w:b/>
          <w:bCs/>
          <w:i/>
          <w:iCs/>
          <w:sz w:val="24"/>
          <w:szCs w:val="24"/>
        </w:rPr>
        <w:tab/>
        <w:t>Socioeconomic Benefits</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lastRenderedPageBreak/>
        <w:t>Flooding imposes heavy</w:t>
      </w:r>
      <w:r>
        <w:rPr>
          <w:rFonts w:ascii="Times New Roman" w:hAnsi="Times New Roman" w:cs="Times New Roman"/>
          <w:sz w:val="24"/>
          <w:szCs w:val="24"/>
        </w:rPr>
        <w:t xml:space="preserve"> financial burdens on residents through property damage, displacement, and livelihood disruption (Bello &amp; Ogendegbe, 2015). Spatial flood risk assessments can help reduce these losses through targeted mitigation strategies (Nkeki, Bello &amp; Agbaje, 2022).</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cs="Times New Roman"/>
          <w:b/>
          <w:bCs/>
          <w:i/>
          <w:iCs/>
          <w:sz w:val="24"/>
          <w:szCs w:val="24"/>
        </w:rPr>
      </w:pPr>
      <w:r>
        <w:rPr>
          <w:rFonts w:ascii="Times New Roman" w:hAnsi="Times New Roman" w:cs="Times New Roman"/>
          <w:b/>
          <w:bCs/>
          <w:i/>
          <w:iCs/>
          <w:sz w:val="24"/>
          <w:szCs w:val="24"/>
        </w:rPr>
        <w:t>3</w:t>
      </w:r>
      <w:r>
        <w:rPr>
          <w:rFonts w:ascii="Times New Roman" w:hAnsi="Times New Roman" w:cs="Times New Roman"/>
          <w:b/>
          <w:bCs/>
          <w:i/>
          <w:iCs/>
          <w:sz w:val="24"/>
          <w:szCs w:val="24"/>
        </w:rPr>
        <w:t>.2.5</w:t>
      </w:r>
      <w:r>
        <w:rPr>
          <w:rFonts w:ascii="Times New Roman" w:hAnsi="Times New Roman" w:cs="Times New Roman"/>
          <w:b/>
          <w:bCs/>
          <w:i/>
          <w:iCs/>
          <w:sz w:val="24"/>
          <w:szCs w:val="24"/>
        </w:rPr>
        <w:tab/>
        <w:t>Environmental Sustainability</w:t>
      </w:r>
    </w:p>
    <w:p w:rsidR="00AD53B3" w:rsidRDefault="00B72EBD">
      <w:pPr>
        <w:rPr>
          <w:rFonts w:ascii="Times New Roman" w:hAnsi="Times New Roman" w:cs="Times New Roman"/>
          <w:sz w:val="24"/>
          <w:szCs w:val="24"/>
        </w:rPr>
      </w:pPr>
      <w:r>
        <w:rPr>
          <w:rFonts w:ascii="Times New Roman" w:hAnsi="Times New Roman" w:cs="Times New Roman"/>
          <w:sz w:val="24"/>
          <w:szCs w:val="24"/>
        </w:rPr>
        <w:t>The study highlights the environmental consequences of unregulated urbanization and provides pathways for sustainable drainage management and ecological restoration.</w:t>
      </w:r>
    </w:p>
    <w:p w:rsidR="00AD53B3" w:rsidRDefault="00AD53B3">
      <w:pPr>
        <w:rPr>
          <w:rFonts w:ascii="Times New Roman" w:hAnsi="Times New Roman" w:cs="Times New Roman"/>
          <w:b/>
          <w:bCs/>
          <w:sz w:val="24"/>
          <w:szCs w:val="24"/>
        </w:rPr>
      </w:pPr>
    </w:p>
    <w:p w:rsidR="00AD53B3" w:rsidRDefault="00B72EBD">
      <w:pPr>
        <w:numPr>
          <w:ilvl w:val="1"/>
          <w:numId w:val="1"/>
        </w:numPr>
        <w:tabs>
          <w:tab w:val="clear" w:pos="312"/>
        </w:tabs>
        <w:rPr>
          <w:rFonts w:ascii="Times New Roman" w:hAnsi="Times New Roman" w:cs="Times New Roman"/>
          <w:b/>
          <w:bCs/>
          <w:sz w:val="24"/>
          <w:szCs w:val="24"/>
        </w:rPr>
      </w:pPr>
      <w:r>
        <w:rPr>
          <w:rFonts w:ascii="Times New Roman" w:hAnsi="Times New Roman" w:cs="Times New Roman"/>
          <w:b/>
          <w:bCs/>
          <w:sz w:val="24"/>
          <w:szCs w:val="24"/>
        </w:rPr>
        <w:t>Strategies for flood mitigation and community resilienc</w:t>
      </w:r>
      <w:r>
        <w:rPr>
          <w:rFonts w:ascii="Times New Roman" w:hAnsi="Times New Roman" w:cs="Times New Roman"/>
          <w:b/>
          <w:bCs/>
          <w:sz w:val="24"/>
          <w:szCs w:val="24"/>
        </w:rPr>
        <w:t>e in Lugbe</w:t>
      </w:r>
    </w:p>
    <w:p w:rsidR="00AD53B3" w:rsidRDefault="00B72EBD">
      <w:pPr>
        <w:jc w:val="both"/>
        <w:rPr>
          <w:rFonts w:ascii="Times New Roman" w:eastAsia="SimSun" w:hAnsi="Times New Roman" w:cs="Times New Roman"/>
          <w:sz w:val="24"/>
          <w:szCs w:val="24"/>
        </w:rPr>
      </w:pPr>
      <w:r>
        <w:rPr>
          <w:rFonts w:ascii="Times New Roman" w:hAnsi="Times New Roman" w:cs="Times New Roman"/>
          <w:sz w:val="24"/>
          <w:szCs w:val="24"/>
        </w:rPr>
        <w:t xml:space="preserve">From field investigation, respondents in the area </w:t>
      </w:r>
      <w:r>
        <w:rPr>
          <w:rFonts w:ascii="Times New Roman" w:eastAsia="SimSun" w:hAnsi="Times New Roman" w:cs="Times New Roman"/>
          <w:sz w:val="24"/>
          <w:szCs w:val="24"/>
        </w:rPr>
        <w:t>posited that</w:t>
      </w:r>
      <w:r>
        <w:rPr>
          <w:rFonts w:ascii="Times New Roman" w:eastAsia="SimSun" w:hAnsi="Times New Roman" w:cs="Times New Roman"/>
          <w:sz w:val="24"/>
          <w:szCs w:val="24"/>
        </w:rPr>
        <w:t xml:space="preserve"> recurring flood impacts, limited preparedness, and weak early warning access.</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Flood resilience remains low due to limited awareness and poor institutional support.</w:t>
      </w:r>
    </w:p>
    <w:p w:rsidR="00AD53B3" w:rsidRDefault="00AD53B3">
      <w:pPr>
        <w:jc w:val="both"/>
        <w:rPr>
          <w:rFonts w:ascii="Times New Roman" w:eastAsia="SimSun" w:hAnsi="Times New Roman" w:cs="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In view of the ab</w:t>
      </w:r>
      <w:r>
        <w:rPr>
          <w:rFonts w:ascii="Times New Roman" w:hAnsi="Times New Roman" w:cs="Times New Roman"/>
          <w:sz w:val="24"/>
          <w:szCs w:val="24"/>
        </w:rPr>
        <w:t>ove challenges, the articulated strategies for flood mitigation in the study area are summed up under the following sub-head: structural (50%), none-structural (30%) and WebGIS-Driven Resilience Strategies (20%_.</w:t>
      </w:r>
    </w:p>
    <w:p w:rsidR="00AD53B3" w:rsidRDefault="00AD53B3">
      <w:pPr>
        <w:jc w:val="both"/>
        <w:rPr>
          <w:rFonts w:ascii="Times New Roman" w:hAnsi="Times New Roman" w:cs="Times New Roman"/>
          <w:sz w:val="24"/>
          <w:szCs w:val="24"/>
        </w:rPr>
      </w:pPr>
    </w:p>
    <w:p w:rsidR="00AD53B3" w:rsidRDefault="00B72EBD">
      <w:pPr>
        <w:pStyle w:val="Heading1"/>
        <w:keepNext/>
        <w:spacing w:beforeAutospacing="0" w:afterAutospacing="0"/>
        <w:rPr>
          <w:rFonts w:ascii="Times New Roman" w:hAnsi="Times New Roman" w:hint="default"/>
          <w:i/>
          <w:iCs/>
          <w:sz w:val="24"/>
          <w:szCs w:val="24"/>
        </w:rPr>
      </w:pPr>
      <w:r>
        <w:rPr>
          <w:rFonts w:ascii="Times New Roman" w:hAnsi="Times New Roman" w:hint="default"/>
          <w:i/>
          <w:iCs/>
          <w:sz w:val="24"/>
          <w:szCs w:val="24"/>
        </w:rPr>
        <w:t>3.3.1</w:t>
      </w:r>
      <w:r>
        <w:rPr>
          <w:rFonts w:ascii="Times New Roman" w:hAnsi="Times New Roman" w:hint="default"/>
          <w:i/>
          <w:iCs/>
          <w:sz w:val="24"/>
          <w:szCs w:val="24"/>
        </w:rPr>
        <w:tab/>
      </w:r>
      <w:r>
        <w:rPr>
          <w:rFonts w:ascii="Times New Roman" w:hAnsi="Times New Roman" w:hint="default"/>
          <w:i/>
          <w:iCs/>
          <w:sz w:val="24"/>
          <w:szCs w:val="24"/>
        </w:rPr>
        <w:t xml:space="preserve">Structural Measures – </w:t>
      </w:r>
      <w:r>
        <w:rPr>
          <w:rStyle w:val="Strong"/>
          <w:rFonts w:ascii="Times New Roman" w:hAnsi="Times New Roman" w:hint="default"/>
          <w:b/>
          <w:bCs/>
          <w:i/>
          <w:iCs/>
          <w:sz w:val="24"/>
          <w:szCs w:val="24"/>
        </w:rPr>
        <w:t xml:space="preserve">50% Overall </w:t>
      </w:r>
      <w:r>
        <w:rPr>
          <w:rStyle w:val="Strong"/>
          <w:rFonts w:ascii="Times New Roman" w:hAnsi="Times New Roman" w:hint="default"/>
          <w:b/>
          <w:bCs/>
          <w:i/>
          <w:iCs/>
          <w:sz w:val="24"/>
          <w:szCs w:val="24"/>
        </w:rPr>
        <w:t>Contribution</w:t>
      </w:r>
    </w:p>
    <w:p w:rsidR="00AD53B3" w:rsidRDefault="00B72EBD">
      <w:pPr>
        <w:pStyle w:val="NormalWeb"/>
        <w:keepNext/>
        <w:spacing w:beforeAutospacing="0" w:afterAutospacing="0"/>
      </w:pPr>
      <w:r>
        <w:t>Structural measures directly reduce physical flood exposure and typically account for the largest share of risk reduction.</w:t>
      </w:r>
    </w:p>
    <w:p w:rsidR="00AD53B3" w:rsidRDefault="00B72EBD">
      <w:pPr>
        <w:pStyle w:val="Heading3"/>
        <w:keepNext/>
        <w:numPr>
          <w:ilvl w:val="0"/>
          <w:numId w:val="3"/>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Drainage Expansion and Desilting – 20%</w:t>
      </w:r>
    </w:p>
    <w:p w:rsidR="00AD53B3" w:rsidRDefault="00B72EBD">
      <w:pPr>
        <w:pStyle w:val="NormalWeb"/>
        <w:keepNext/>
        <w:spacing w:beforeAutospacing="0" w:afterAutospacing="0"/>
        <w:ind w:left="720"/>
      </w:pPr>
      <w:r>
        <w:t>Increases hydraulic capacity of urban drains.</w:t>
      </w:r>
    </w:p>
    <w:p w:rsidR="00AD53B3" w:rsidRDefault="00B72EBD">
      <w:pPr>
        <w:pStyle w:val="NormalWeb"/>
        <w:keepNext/>
        <w:spacing w:beforeAutospacing="0" w:afterAutospacing="0"/>
        <w:ind w:left="720"/>
      </w:pPr>
      <w:r>
        <w:t>Prevents blockage caused by sedimen</w:t>
      </w:r>
      <w:r>
        <w:t>t and waste.</w:t>
      </w:r>
    </w:p>
    <w:p w:rsidR="00AD53B3" w:rsidRDefault="00B72EBD">
      <w:pPr>
        <w:pStyle w:val="NormalWeb"/>
        <w:keepNext/>
        <w:spacing w:beforeAutospacing="0" w:afterAutospacing="0"/>
        <w:ind w:left="720"/>
      </w:pPr>
      <w:r>
        <w:t xml:space="preserve">Can reduce peak surface runoff by </w:t>
      </w:r>
      <w:r>
        <w:rPr>
          <w:rStyle w:val="Strong"/>
        </w:rPr>
        <w:t>15–25%</w:t>
      </w:r>
      <w:r>
        <w:t xml:space="preserve"> in high-density areas.</w:t>
      </w:r>
    </w:p>
    <w:p w:rsidR="00AD53B3" w:rsidRDefault="00B72EBD">
      <w:pPr>
        <w:pStyle w:val="NormalWeb"/>
        <w:keepNext/>
        <w:spacing w:beforeAutospacing="0" w:afterAutospacing="0"/>
        <w:ind w:left="720"/>
      </w:pPr>
      <w:r>
        <w:t>Immediate short-term impact.</w:t>
      </w:r>
    </w:p>
    <w:p w:rsidR="00AD53B3" w:rsidRDefault="00B72EBD">
      <w:pPr>
        <w:pStyle w:val="Heading3"/>
        <w:keepNext/>
        <w:numPr>
          <w:ilvl w:val="0"/>
          <w:numId w:val="3"/>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Construction of Retention Ponds – 18%</w:t>
      </w:r>
    </w:p>
    <w:p w:rsidR="00AD53B3" w:rsidRDefault="00B72EBD">
      <w:pPr>
        <w:pStyle w:val="NormalWeb"/>
        <w:keepNext/>
        <w:spacing w:beforeAutospacing="0" w:afterAutospacing="0"/>
        <w:ind w:left="720"/>
      </w:pPr>
      <w:r>
        <w:t>Temporarily stores excess stormwater.</w:t>
      </w:r>
    </w:p>
    <w:p w:rsidR="00AD53B3" w:rsidRDefault="00B72EBD">
      <w:pPr>
        <w:pStyle w:val="NormalWeb"/>
        <w:keepNext/>
        <w:spacing w:beforeAutospacing="0" w:afterAutospacing="0"/>
        <w:ind w:left="720"/>
      </w:pPr>
      <w:r>
        <w:t xml:space="preserve">Reduces downstream flood peaks by </w:t>
      </w:r>
      <w:r>
        <w:rPr>
          <w:rStyle w:val="Strong"/>
        </w:rPr>
        <w:t>10–20%</w:t>
      </w:r>
      <w:r>
        <w:t>.</w:t>
      </w:r>
    </w:p>
    <w:p w:rsidR="00AD53B3" w:rsidRDefault="00B72EBD">
      <w:pPr>
        <w:pStyle w:val="NormalWeb"/>
        <w:keepNext/>
        <w:spacing w:beforeAutospacing="0" w:afterAutospacing="0"/>
        <w:ind w:left="720"/>
      </w:pPr>
      <w:r>
        <w:t>Enhances groundwater recharge.</w:t>
      </w:r>
    </w:p>
    <w:p w:rsidR="00AD53B3" w:rsidRDefault="00B72EBD">
      <w:pPr>
        <w:pStyle w:val="Heading3"/>
        <w:keepNext/>
        <w:numPr>
          <w:ilvl w:val="0"/>
          <w:numId w:val="3"/>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C</w:t>
      </w:r>
      <w:r>
        <w:rPr>
          <w:rStyle w:val="Strong"/>
          <w:rFonts w:ascii="Times New Roman" w:hAnsi="Times New Roman" w:hint="default"/>
          <w:b/>
          <w:bCs/>
          <w:sz w:val="24"/>
          <w:szCs w:val="24"/>
        </w:rPr>
        <w:t>hannelization of Flood Basins – 12%</w:t>
      </w:r>
    </w:p>
    <w:p w:rsidR="00AD53B3" w:rsidRDefault="00B72EBD">
      <w:pPr>
        <w:pStyle w:val="NormalWeb"/>
        <w:keepNext/>
        <w:spacing w:beforeAutospacing="0" w:afterAutospacing="0"/>
        <w:ind w:left="720"/>
      </w:pPr>
      <w:r>
        <w:t>Improves flow velocity and direction.</w:t>
      </w:r>
    </w:p>
    <w:p w:rsidR="00AD53B3" w:rsidRDefault="00B72EBD">
      <w:pPr>
        <w:pStyle w:val="NormalWeb"/>
        <w:keepNext/>
        <w:spacing w:beforeAutospacing="0" w:afterAutospacing="0"/>
        <w:ind w:left="720"/>
      </w:pPr>
      <w:r>
        <w:t>Protects built-up zones from overflow.</w:t>
      </w:r>
    </w:p>
    <w:p w:rsidR="00AD53B3" w:rsidRDefault="00B72EBD">
      <w:pPr>
        <w:pStyle w:val="NormalWeb"/>
        <w:keepNext/>
        <w:spacing w:beforeAutospacing="0" w:afterAutospacing="0"/>
        <w:ind w:left="720"/>
      </w:pPr>
      <w:r>
        <w:t>Most effective when combined with watershed management.</w:t>
      </w:r>
    </w:p>
    <w:p w:rsidR="00AD53B3" w:rsidRDefault="00AD53B3">
      <w:pPr>
        <w:pStyle w:val="NormalWeb"/>
        <w:keepNext/>
        <w:spacing w:beforeAutospacing="0" w:afterAutospacing="0"/>
        <w:rPr>
          <w:rStyle w:val="Emphasis"/>
        </w:rPr>
      </w:pPr>
    </w:p>
    <w:p w:rsidR="00AD53B3" w:rsidRDefault="00B72EBD">
      <w:pPr>
        <w:pStyle w:val="NormalWeb"/>
        <w:keepNext/>
        <w:spacing w:beforeAutospacing="0" w:afterAutospacing="0"/>
      </w:pPr>
      <w:r>
        <w:rPr>
          <w:rStyle w:val="Emphasis"/>
          <w:i w:val="0"/>
          <w:iCs w:val="0"/>
        </w:rPr>
        <w:t xml:space="preserve">The </w:t>
      </w:r>
      <w:r>
        <w:rPr>
          <w:rStyle w:val="Emphasis"/>
          <w:i w:val="0"/>
          <w:iCs w:val="0"/>
        </w:rPr>
        <w:t>50%</w:t>
      </w:r>
      <w:r>
        <w:rPr>
          <w:rStyle w:val="Emphasis"/>
          <w:i w:val="0"/>
          <w:iCs w:val="0"/>
        </w:rPr>
        <w:t xml:space="preserve"> </w:t>
      </w:r>
      <w:r>
        <w:rPr>
          <w:rStyle w:val="Emphasis"/>
          <w:i w:val="0"/>
          <w:iCs w:val="0"/>
        </w:rPr>
        <w:t>Structural Measures is</w:t>
      </w:r>
      <w:r>
        <w:rPr>
          <w:rStyle w:val="Emphasis"/>
          <w:i w:val="0"/>
          <w:iCs w:val="0"/>
        </w:rPr>
        <w:t xml:space="preserve"> b</w:t>
      </w:r>
      <w:r>
        <w:t>ecause structural interventions directly control water</w:t>
      </w:r>
      <w:r>
        <w:t xml:space="preserve"> movement and are critical in rapidly urbanizing environments.</w:t>
      </w:r>
    </w:p>
    <w:p w:rsidR="00AD53B3" w:rsidRDefault="00AD53B3">
      <w:pPr>
        <w:rPr>
          <w:rFonts w:ascii="Times New Roman" w:hAnsi="Times New Roman" w:cs="Times New Roman"/>
          <w:sz w:val="24"/>
          <w:szCs w:val="24"/>
        </w:rPr>
      </w:pPr>
    </w:p>
    <w:p w:rsidR="00AD53B3" w:rsidRDefault="00B72EBD">
      <w:pPr>
        <w:pStyle w:val="Heading1"/>
        <w:keepNext/>
        <w:spacing w:beforeAutospacing="0" w:afterAutospacing="0"/>
        <w:rPr>
          <w:rFonts w:ascii="Times New Roman" w:hAnsi="Times New Roman" w:hint="default"/>
          <w:i/>
          <w:iCs/>
          <w:sz w:val="24"/>
          <w:szCs w:val="24"/>
        </w:rPr>
      </w:pPr>
      <w:r>
        <w:rPr>
          <w:rFonts w:ascii="Times New Roman" w:hAnsi="Times New Roman" w:hint="default"/>
          <w:i/>
          <w:iCs/>
          <w:sz w:val="24"/>
          <w:szCs w:val="24"/>
        </w:rPr>
        <w:t>3.3.2.</w:t>
      </w:r>
      <w:r>
        <w:rPr>
          <w:rFonts w:ascii="Times New Roman" w:hAnsi="Times New Roman" w:hint="default"/>
          <w:i/>
          <w:iCs/>
          <w:sz w:val="24"/>
          <w:szCs w:val="24"/>
        </w:rPr>
        <w:tab/>
      </w:r>
      <w:r>
        <w:rPr>
          <w:rFonts w:ascii="Times New Roman" w:hAnsi="Times New Roman" w:hint="default"/>
          <w:i/>
          <w:iCs/>
          <w:sz w:val="24"/>
          <w:szCs w:val="24"/>
        </w:rPr>
        <w:t xml:space="preserve">Non-Structural Measures – </w:t>
      </w:r>
      <w:r>
        <w:rPr>
          <w:rStyle w:val="Strong"/>
          <w:rFonts w:ascii="Times New Roman" w:hAnsi="Times New Roman" w:hint="default"/>
          <w:b/>
          <w:bCs/>
          <w:i/>
          <w:iCs/>
          <w:sz w:val="24"/>
          <w:szCs w:val="24"/>
        </w:rPr>
        <w:t>30% Overall Contribution</w:t>
      </w:r>
    </w:p>
    <w:p w:rsidR="00AD53B3" w:rsidRDefault="00B72EBD">
      <w:pPr>
        <w:pStyle w:val="NormalWeb"/>
        <w:keepNext/>
        <w:spacing w:beforeAutospacing="0" w:afterAutospacing="0"/>
      </w:pPr>
      <w:r>
        <w:t>These measures reduce vulnerability and exposure rather than controlling water physically.</w:t>
      </w:r>
    </w:p>
    <w:p w:rsidR="00AD53B3" w:rsidRDefault="00B72EBD">
      <w:pPr>
        <w:pStyle w:val="Heading3"/>
        <w:keepNext/>
        <w:numPr>
          <w:ilvl w:val="0"/>
          <w:numId w:val="4"/>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Floodplain Zoning Enforcement – 12%</w:t>
      </w:r>
    </w:p>
    <w:p w:rsidR="00AD53B3" w:rsidRDefault="00B72EBD">
      <w:pPr>
        <w:pStyle w:val="NormalWeb"/>
        <w:keepNext/>
        <w:numPr>
          <w:ilvl w:val="0"/>
          <w:numId w:val="5"/>
        </w:numPr>
        <w:spacing w:beforeAutospacing="0" w:afterAutospacing="0"/>
      </w:pPr>
      <w:r>
        <w:t>Prevent</w:t>
      </w:r>
      <w:r>
        <w:t>s development in high-risk zones.</w:t>
      </w:r>
    </w:p>
    <w:p w:rsidR="00AD53B3" w:rsidRDefault="00B72EBD">
      <w:pPr>
        <w:pStyle w:val="NormalWeb"/>
        <w:numPr>
          <w:ilvl w:val="0"/>
          <w:numId w:val="5"/>
        </w:numPr>
        <w:spacing w:beforeAutospacing="0" w:afterAutospacing="0"/>
      </w:pPr>
      <w:r>
        <w:t>Long-term reduction in exposure.</w:t>
      </w:r>
    </w:p>
    <w:p w:rsidR="00AD53B3" w:rsidRDefault="00B72EBD">
      <w:pPr>
        <w:pStyle w:val="NormalWeb"/>
        <w:spacing w:beforeAutospacing="0" w:afterAutospacing="0"/>
        <w:ind w:left="720"/>
      </w:pPr>
      <w:r>
        <w:t xml:space="preserve">Can decrease disaster losses by </w:t>
      </w:r>
      <w:r>
        <w:rPr>
          <w:rStyle w:val="Strong"/>
        </w:rPr>
        <w:t>10–15%</w:t>
      </w:r>
      <w:r>
        <w:t xml:space="preserve"> over time.</w:t>
      </w:r>
    </w:p>
    <w:p w:rsidR="00AD53B3" w:rsidRDefault="00B72EBD">
      <w:pPr>
        <w:pStyle w:val="Heading3"/>
        <w:numPr>
          <w:ilvl w:val="0"/>
          <w:numId w:val="4"/>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Community-Based Flood Education – 8%</w:t>
      </w:r>
    </w:p>
    <w:p w:rsidR="00AD53B3" w:rsidRDefault="00B72EBD">
      <w:pPr>
        <w:pStyle w:val="NormalWeb"/>
        <w:numPr>
          <w:ilvl w:val="0"/>
          <w:numId w:val="6"/>
        </w:numPr>
        <w:spacing w:beforeAutospacing="0" w:afterAutospacing="0"/>
      </w:pPr>
      <w:r>
        <w:t>Improves preparedness and early evacuation.</w:t>
      </w:r>
    </w:p>
    <w:p w:rsidR="00AD53B3" w:rsidRDefault="00B72EBD">
      <w:pPr>
        <w:pStyle w:val="NormalWeb"/>
        <w:numPr>
          <w:ilvl w:val="0"/>
          <w:numId w:val="6"/>
        </w:numPr>
        <w:spacing w:beforeAutospacing="0" w:afterAutospacing="0"/>
      </w:pPr>
      <w:r>
        <w:t xml:space="preserve">Reduces casualties by </w:t>
      </w:r>
      <w:r>
        <w:rPr>
          <w:rStyle w:val="Strong"/>
        </w:rPr>
        <w:t>20–40%</w:t>
      </w:r>
      <w:r>
        <w:t xml:space="preserve"> in severe events.</w:t>
      </w:r>
    </w:p>
    <w:p w:rsidR="00AD53B3" w:rsidRDefault="00B72EBD">
      <w:pPr>
        <w:pStyle w:val="Heading3"/>
        <w:numPr>
          <w:ilvl w:val="0"/>
          <w:numId w:val="4"/>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 xml:space="preserve">Improved </w:t>
      </w:r>
      <w:r>
        <w:rPr>
          <w:rStyle w:val="Strong"/>
          <w:rFonts w:ascii="Times New Roman" w:hAnsi="Times New Roman" w:hint="default"/>
          <w:b/>
          <w:bCs/>
          <w:sz w:val="24"/>
          <w:szCs w:val="24"/>
        </w:rPr>
        <w:t>Waste Management – 10%</w:t>
      </w:r>
    </w:p>
    <w:p w:rsidR="00AD53B3" w:rsidRDefault="00B72EBD">
      <w:pPr>
        <w:pStyle w:val="NormalWeb"/>
        <w:numPr>
          <w:ilvl w:val="0"/>
          <w:numId w:val="7"/>
        </w:numPr>
        <w:spacing w:beforeAutospacing="0" w:afterAutospacing="0"/>
      </w:pPr>
      <w:r>
        <w:t>Prevents drain blockage.</w:t>
      </w:r>
    </w:p>
    <w:p w:rsidR="00AD53B3" w:rsidRDefault="00B72EBD">
      <w:pPr>
        <w:pStyle w:val="NormalWeb"/>
        <w:numPr>
          <w:ilvl w:val="0"/>
          <w:numId w:val="7"/>
        </w:numPr>
        <w:spacing w:beforeAutospacing="0" w:afterAutospacing="0"/>
      </w:pPr>
      <w:r>
        <w:lastRenderedPageBreak/>
        <w:t xml:space="preserve">Reduces localized urban flooding incidents by </w:t>
      </w:r>
      <w:r>
        <w:rPr>
          <w:rStyle w:val="Strong"/>
        </w:rPr>
        <w:t>15–30%</w:t>
      </w:r>
      <w:r>
        <w:t>.</w:t>
      </w:r>
    </w:p>
    <w:p w:rsidR="00AD53B3" w:rsidRDefault="00AD53B3">
      <w:pPr>
        <w:pStyle w:val="NormalWeb"/>
        <w:spacing w:beforeAutospacing="0" w:afterAutospacing="0"/>
        <w:rPr>
          <w:rStyle w:val="Emphasis"/>
        </w:rPr>
      </w:pPr>
    </w:p>
    <w:p w:rsidR="00AD53B3" w:rsidRDefault="00B72EBD">
      <w:pPr>
        <w:pStyle w:val="NormalWeb"/>
        <w:spacing w:beforeAutospacing="0" w:afterAutospacing="0"/>
        <w:jc w:val="both"/>
      </w:pPr>
      <w:r>
        <w:rPr>
          <w:rStyle w:val="Emphasis"/>
          <w:i w:val="0"/>
          <w:iCs w:val="0"/>
        </w:rPr>
        <w:t xml:space="preserve">The </w:t>
      </w:r>
      <w:r>
        <w:rPr>
          <w:rStyle w:val="Emphasis"/>
          <w:i w:val="0"/>
          <w:iCs w:val="0"/>
        </w:rPr>
        <w:t>30%</w:t>
      </w:r>
      <w:r>
        <w:rPr>
          <w:rStyle w:val="Emphasis"/>
          <w:i w:val="0"/>
          <w:iCs w:val="0"/>
        </w:rPr>
        <w:t xml:space="preserve"> </w:t>
      </w:r>
      <w:r>
        <w:rPr>
          <w:rStyle w:val="Emphasis"/>
          <w:i w:val="0"/>
          <w:iCs w:val="0"/>
        </w:rPr>
        <w:t>Non-Structural Measures is</w:t>
      </w:r>
      <w:r>
        <w:rPr>
          <w:rStyle w:val="Emphasis"/>
          <w:i w:val="0"/>
          <w:iCs w:val="0"/>
        </w:rPr>
        <w:t xml:space="preserve"> b</w:t>
      </w:r>
      <w:r>
        <w:t>ecause risk re</w:t>
      </w:r>
      <w:r>
        <w:t>duction is not only engineering-based; governance and behavior significantly affect flood outcomes.</w:t>
      </w:r>
    </w:p>
    <w:p w:rsidR="00AD53B3" w:rsidRDefault="00AD53B3">
      <w:pPr>
        <w:rPr>
          <w:rFonts w:ascii="Times New Roman" w:hAnsi="Times New Roman" w:cs="Times New Roman"/>
          <w:sz w:val="24"/>
          <w:szCs w:val="24"/>
        </w:rPr>
      </w:pPr>
    </w:p>
    <w:p w:rsidR="00AD53B3" w:rsidRDefault="00B72EBD">
      <w:pPr>
        <w:pStyle w:val="Heading1"/>
        <w:keepNext/>
        <w:spacing w:beforeAutospacing="0" w:afterAutospacing="0"/>
        <w:rPr>
          <w:rFonts w:ascii="Times New Roman" w:hAnsi="Times New Roman" w:hint="default"/>
          <w:sz w:val="24"/>
          <w:szCs w:val="24"/>
        </w:rPr>
      </w:pPr>
      <w:r>
        <w:rPr>
          <w:rFonts w:ascii="Times New Roman" w:hAnsi="Times New Roman" w:hint="default"/>
          <w:sz w:val="24"/>
          <w:szCs w:val="24"/>
        </w:rPr>
        <w:t>3.3.3</w:t>
      </w:r>
      <w:r>
        <w:rPr>
          <w:rFonts w:ascii="Times New Roman" w:hAnsi="Times New Roman" w:hint="default"/>
          <w:sz w:val="24"/>
          <w:szCs w:val="24"/>
        </w:rPr>
        <w:tab/>
      </w:r>
      <w:r>
        <w:rPr>
          <w:rFonts w:ascii="Times New Roman" w:hAnsi="Times New Roman" w:hint="default"/>
          <w:sz w:val="24"/>
          <w:szCs w:val="24"/>
        </w:rPr>
        <w:t xml:space="preserve">WebGIS-Driven Resilience Strategy – </w:t>
      </w:r>
      <w:r>
        <w:rPr>
          <w:rStyle w:val="Strong"/>
          <w:rFonts w:ascii="Times New Roman" w:hAnsi="Times New Roman" w:hint="default"/>
          <w:b/>
          <w:bCs/>
          <w:sz w:val="24"/>
          <w:szCs w:val="24"/>
        </w:rPr>
        <w:t>20% Overall Contribution</w:t>
      </w:r>
    </w:p>
    <w:p w:rsidR="00AD53B3" w:rsidRDefault="00B72EBD">
      <w:pPr>
        <w:pStyle w:val="NormalWeb"/>
        <w:keepNext/>
        <w:spacing w:beforeAutospacing="0" w:afterAutospacing="0"/>
      </w:pPr>
      <w:r>
        <w:t xml:space="preserve">Digital geospatial tools </w:t>
      </w:r>
      <w:r>
        <w:t xml:space="preserve">such as IoTs,Web Mapping WebGIS, VGI, etc. </w:t>
      </w:r>
      <w:r>
        <w:t>enhance monitoring, coordination, and early warning.</w:t>
      </w:r>
    </w:p>
    <w:p w:rsidR="00AD53B3" w:rsidRDefault="00B72EBD">
      <w:pPr>
        <w:pStyle w:val="Heading3"/>
        <w:keepNext/>
        <w:numPr>
          <w:ilvl w:val="0"/>
          <w:numId w:val="8"/>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Real-Time Flood Alert Dashboards – 8%</w:t>
      </w:r>
    </w:p>
    <w:p w:rsidR="00AD53B3" w:rsidRDefault="00B72EBD">
      <w:pPr>
        <w:pStyle w:val="NormalWeb"/>
        <w:keepNext/>
        <w:numPr>
          <w:ilvl w:val="0"/>
          <w:numId w:val="9"/>
        </w:numPr>
        <w:spacing w:beforeAutospacing="0" w:afterAutospacing="0"/>
      </w:pPr>
      <w:r>
        <w:t xml:space="preserve">Uses rainfall and river gauge </w:t>
      </w:r>
      <w:r>
        <w:t>data.</w:t>
      </w:r>
    </w:p>
    <w:p w:rsidR="00AD53B3" w:rsidRDefault="00B72EBD">
      <w:pPr>
        <w:pStyle w:val="NormalWeb"/>
        <w:keepNext/>
        <w:numPr>
          <w:ilvl w:val="0"/>
          <w:numId w:val="9"/>
        </w:numPr>
        <w:spacing w:beforeAutospacing="0" w:afterAutospacing="0"/>
      </w:pPr>
      <w:r>
        <w:t>Provides early warning within minutes.</w:t>
      </w:r>
    </w:p>
    <w:p w:rsidR="00AD53B3" w:rsidRDefault="00B72EBD">
      <w:pPr>
        <w:pStyle w:val="NormalWeb"/>
        <w:keepNext/>
        <w:numPr>
          <w:ilvl w:val="0"/>
          <w:numId w:val="9"/>
        </w:numPr>
        <w:spacing w:beforeAutospacing="0" w:afterAutospacing="0"/>
      </w:pPr>
      <w:r>
        <w:t xml:space="preserve">Can reduce response time by </w:t>
      </w:r>
      <w:r>
        <w:rPr>
          <w:rStyle w:val="Strong"/>
        </w:rPr>
        <w:t>30–50%</w:t>
      </w:r>
      <w:r>
        <w:t>.</w:t>
      </w:r>
    </w:p>
    <w:p w:rsidR="00AD53B3" w:rsidRDefault="00B72EBD">
      <w:pPr>
        <w:pStyle w:val="Heading3"/>
        <w:keepNext/>
        <w:numPr>
          <w:ilvl w:val="0"/>
          <w:numId w:val="8"/>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Mobile Reporting Applications – 6%</w:t>
      </w:r>
    </w:p>
    <w:p w:rsidR="00AD53B3" w:rsidRDefault="00B72EBD">
      <w:pPr>
        <w:pStyle w:val="NormalWeb"/>
        <w:keepNext/>
        <w:numPr>
          <w:ilvl w:val="0"/>
          <w:numId w:val="10"/>
        </w:numPr>
        <w:spacing w:beforeAutospacing="0" w:afterAutospacing="0"/>
      </w:pPr>
      <w:r>
        <w:t>Crowdsourced flood incident reporting.</w:t>
      </w:r>
    </w:p>
    <w:p w:rsidR="00AD53B3" w:rsidRDefault="00B72EBD">
      <w:pPr>
        <w:pStyle w:val="NormalWeb"/>
        <w:keepNext/>
        <w:numPr>
          <w:ilvl w:val="0"/>
          <w:numId w:val="10"/>
        </w:numPr>
        <w:spacing w:beforeAutospacing="0" w:afterAutospacing="0"/>
      </w:pPr>
      <w:r>
        <w:t>Improves situational awareness.</w:t>
      </w:r>
    </w:p>
    <w:p w:rsidR="00AD53B3" w:rsidRDefault="00B72EBD">
      <w:pPr>
        <w:pStyle w:val="NormalWeb"/>
        <w:keepNext/>
        <w:numPr>
          <w:ilvl w:val="0"/>
          <w:numId w:val="10"/>
        </w:numPr>
        <w:spacing w:beforeAutospacing="0" w:afterAutospacing="0"/>
      </w:pPr>
      <w:r>
        <w:t>Supports rapid emergency deployment.</w:t>
      </w:r>
    </w:p>
    <w:p w:rsidR="00AD53B3" w:rsidRDefault="00B72EBD">
      <w:pPr>
        <w:pStyle w:val="Heading3"/>
        <w:keepNext/>
        <w:numPr>
          <w:ilvl w:val="0"/>
          <w:numId w:val="8"/>
        </w:numPr>
        <w:spacing w:beforeAutospacing="0" w:afterAutospacing="0"/>
        <w:rPr>
          <w:rFonts w:ascii="Times New Roman" w:hAnsi="Times New Roman" w:hint="default"/>
          <w:sz w:val="24"/>
          <w:szCs w:val="24"/>
        </w:rPr>
      </w:pPr>
      <w:r>
        <w:rPr>
          <w:rStyle w:val="Strong"/>
          <w:rFonts w:ascii="Times New Roman" w:hAnsi="Times New Roman" w:hint="default"/>
          <w:b/>
          <w:bCs/>
          <w:sz w:val="24"/>
          <w:szCs w:val="24"/>
        </w:rPr>
        <w:t>Open Hazard Maps for Residents –</w:t>
      </w:r>
      <w:r>
        <w:rPr>
          <w:rStyle w:val="Strong"/>
          <w:rFonts w:ascii="Times New Roman" w:hAnsi="Times New Roman" w:hint="default"/>
          <w:b/>
          <w:bCs/>
          <w:sz w:val="24"/>
          <w:szCs w:val="24"/>
        </w:rPr>
        <w:t xml:space="preserve"> 6%</w:t>
      </w:r>
    </w:p>
    <w:p w:rsidR="00AD53B3" w:rsidRDefault="00B72EBD">
      <w:pPr>
        <w:pStyle w:val="NormalWeb"/>
        <w:keepNext/>
        <w:numPr>
          <w:ilvl w:val="0"/>
          <w:numId w:val="11"/>
        </w:numPr>
        <w:spacing w:beforeAutospacing="0" w:afterAutospacing="0"/>
      </w:pPr>
      <w:r>
        <w:t>Public access to flood-risk maps.</w:t>
      </w:r>
    </w:p>
    <w:p w:rsidR="00AD53B3" w:rsidRDefault="00B72EBD">
      <w:pPr>
        <w:pStyle w:val="NormalWeb"/>
        <w:keepNext/>
        <w:numPr>
          <w:ilvl w:val="0"/>
          <w:numId w:val="11"/>
        </w:numPr>
        <w:spacing w:beforeAutospacing="0" w:afterAutospacing="0"/>
      </w:pPr>
      <w:r>
        <w:t>Improves household-level preparedness.</w:t>
      </w:r>
    </w:p>
    <w:p w:rsidR="00AD53B3" w:rsidRDefault="00B72EBD">
      <w:pPr>
        <w:pStyle w:val="NormalWeb"/>
        <w:keepNext/>
        <w:numPr>
          <w:ilvl w:val="0"/>
          <w:numId w:val="11"/>
        </w:numPr>
        <w:spacing w:beforeAutospacing="0" w:afterAutospacing="0"/>
      </w:pPr>
      <w:r>
        <w:t>Supports informed land-use decisions.</w:t>
      </w:r>
    </w:p>
    <w:p w:rsidR="00AD53B3" w:rsidRDefault="00AD53B3">
      <w:pPr>
        <w:pStyle w:val="NormalWeb"/>
        <w:keepNext/>
        <w:spacing w:beforeAutospacing="0" w:afterAutospacing="0"/>
        <w:ind w:left="720"/>
      </w:pPr>
    </w:p>
    <w:p w:rsidR="00AD53B3" w:rsidRDefault="00B72EBD">
      <w:pPr>
        <w:pStyle w:val="NormalWeb"/>
        <w:keepNext/>
        <w:spacing w:beforeAutospacing="0" w:afterAutospacing="0"/>
        <w:jc w:val="both"/>
      </w:pPr>
      <w:r>
        <w:rPr>
          <w:rStyle w:val="Emphasis"/>
          <w:i w:val="0"/>
          <w:iCs w:val="0"/>
        </w:rPr>
        <w:t xml:space="preserve">The </w:t>
      </w:r>
      <w:r>
        <w:rPr>
          <w:rStyle w:val="Emphasis"/>
          <w:i w:val="0"/>
          <w:iCs w:val="0"/>
        </w:rPr>
        <w:t>20%</w:t>
      </w:r>
      <w:r>
        <w:rPr>
          <w:rStyle w:val="Emphasis"/>
          <w:i w:val="0"/>
          <w:iCs w:val="0"/>
        </w:rPr>
        <w:t xml:space="preserve"> </w:t>
      </w:r>
      <w:r>
        <w:t>WebGIS-Driven resilience strategy</w:t>
      </w:r>
      <w:r>
        <w:t xml:space="preserve"> is</w:t>
      </w:r>
      <w:r>
        <w:rPr>
          <w:rStyle w:val="Emphasis"/>
          <w:i w:val="0"/>
          <w:iCs w:val="0"/>
        </w:rPr>
        <w:t xml:space="preserve"> b</w:t>
      </w:r>
      <w:r>
        <w:t>ecaus</w:t>
      </w:r>
      <w:r>
        <w:t>e digital systems enhance efficiency and resilience but must work alongside physical infr</w:t>
      </w:r>
      <w:r>
        <w:t>astructure and governance.</w:t>
      </w:r>
    </w:p>
    <w:p w:rsidR="00AD53B3" w:rsidRDefault="00AD53B3">
      <w:pPr>
        <w:ind w:left="720"/>
        <w:rPr>
          <w:rFonts w:ascii="Times New Roman" w:hAnsi="Times New Roman" w:cs="Times New Roman"/>
          <w:sz w:val="24"/>
          <w:szCs w:val="24"/>
        </w:rPr>
      </w:pPr>
    </w:p>
    <w:p w:rsidR="00AD53B3" w:rsidRDefault="00B72EBD">
      <w:pPr>
        <w:numPr>
          <w:ilvl w:val="0"/>
          <w:numId w:val="1"/>
        </w:numPr>
        <w:rPr>
          <w:rFonts w:ascii="Times New Roman" w:hAnsi="Times New Roman" w:cs="Times New Roman"/>
          <w:b/>
          <w:bCs/>
          <w:sz w:val="24"/>
          <w:szCs w:val="24"/>
        </w:rPr>
      </w:pPr>
      <w:r>
        <w:rPr>
          <w:rFonts w:ascii="Times New Roman" w:hAnsi="Times New Roman" w:cs="Times New Roman"/>
          <w:b/>
          <w:bCs/>
          <w:sz w:val="24"/>
          <w:szCs w:val="24"/>
        </w:rPr>
        <w:t>Summary and Conclusion</w:t>
      </w:r>
    </w:p>
    <w:p w:rsidR="00AD53B3" w:rsidRDefault="00B72EBD">
      <w:pPr>
        <w:jc w:val="both"/>
        <w:rPr>
          <w:rFonts w:ascii="Times New Roman" w:hAnsi="Times New Roman" w:cs="Times New Roman"/>
          <w:sz w:val="24"/>
          <w:szCs w:val="24"/>
        </w:rPr>
      </w:pPr>
      <w:r>
        <w:rPr>
          <w:rFonts w:ascii="Times New Roman" w:hAnsi="Times New Roman" w:cs="Times New Roman"/>
          <w:sz w:val="24"/>
          <w:szCs w:val="24"/>
        </w:rPr>
        <w:t>The study confirms that flooding in Lugbe is spatially concentrated in low-lying drainage corridors and rapidly urbanizing estates such as Trademore. Flood intensity is highest where: impervious surfaces dominate, drainage is blocked or undersized, and con</w:t>
      </w:r>
      <w:r>
        <w:rPr>
          <w:rFonts w:ascii="Times New Roman" w:hAnsi="Times New Roman" w:cs="Times New Roman"/>
          <w:sz w:val="24"/>
          <w:szCs w:val="24"/>
        </w:rPr>
        <w:t>struction occurs within natural floodplains. The integration of WebGIS significantly enhances hazard communication and supports flood risk governance. Flood modeling further demonstrates that rainfall extremes are a major driver, and without urgent mitigat</w:t>
      </w:r>
      <w:r>
        <w:rPr>
          <w:rFonts w:ascii="Times New Roman" w:hAnsi="Times New Roman" w:cs="Times New Roman"/>
          <w:sz w:val="24"/>
          <w:szCs w:val="24"/>
        </w:rPr>
        <w:t xml:space="preserve">ion, flood risk will intensify under climate variability. </w:t>
      </w:r>
      <w:r>
        <w:rPr>
          <w:rFonts w:ascii="Times New Roman" w:hAnsi="Times New Roman"/>
          <w:sz w:val="24"/>
          <w:szCs w:val="24"/>
        </w:rPr>
        <w:t xml:space="preserve">Hydrological modeling reveals that:  Peak rainfall events (&gt;50 mm/day) account for over 60% of severe flood occurrences, a 10% increase in rainfall intensity could raise runoff volume by 15–20% due </w:t>
      </w:r>
      <w:r>
        <w:rPr>
          <w:rFonts w:ascii="Times New Roman" w:hAnsi="Times New Roman"/>
          <w:sz w:val="24"/>
          <w:szCs w:val="24"/>
        </w:rPr>
        <w:t>to high impervious cover, Climate variability scenarios project a 12–18% rise in extreme rainfall frequency. Thus, rainfall extremes are a primary driver, but urban land-use change amplifies the impact.</w:t>
      </w:r>
    </w:p>
    <w:p w:rsidR="00AD53B3" w:rsidRDefault="00AD53B3">
      <w:pPr>
        <w:jc w:val="both"/>
        <w:rPr>
          <w:rFonts w:ascii="Times New Roman" w:hAnsi="Times New Roman" w:cs="Times New Roman"/>
          <w:sz w:val="24"/>
          <w:szCs w:val="24"/>
        </w:rPr>
      </w:pPr>
    </w:p>
    <w:p w:rsidR="00AD53B3" w:rsidRDefault="00B72EBD">
      <w:pPr>
        <w:jc w:val="both"/>
        <w:rPr>
          <w:rFonts w:ascii="Times New Roman" w:hAnsi="Times New Roman"/>
          <w:sz w:val="24"/>
          <w:szCs w:val="24"/>
        </w:rPr>
      </w:pPr>
      <w:r>
        <w:rPr>
          <w:rFonts w:ascii="Times New Roman" w:hAnsi="Times New Roman" w:cs="Times New Roman"/>
          <w:sz w:val="24"/>
          <w:szCs w:val="24"/>
        </w:rPr>
        <w:t>From the study, it can be concluded that flood exten</w:t>
      </w:r>
      <w:r>
        <w:rPr>
          <w:rFonts w:ascii="Times New Roman" w:hAnsi="Times New Roman" w:cs="Times New Roman"/>
          <w:sz w:val="24"/>
          <w:szCs w:val="24"/>
        </w:rPr>
        <w:t>t in Lugbe increased from 18.9% in 2021 to over 8.1% in 2026 as at February. About 34% of Lugbe lies within moderate-to-high flood hazard zones. Flood intensity exceeds 1.5 m in severe hotspots such as Trademore Estate and over one-third of buildings and r</w:t>
      </w:r>
      <w:r>
        <w:rPr>
          <w:rFonts w:ascii="Times New Roman" w:hAnsi="Times New Roman" w:cs="Times New Roman"/>
          <w:sz w:val="24"/>
          <w:szCs w:val="24"/>
        </w:rPr>
        <w:t>oads are exposed to flood risk. Unfortunately, Community resilience remains weak due to limited preparedness and early warning access. It is, therefore, recommended that residents continuously carryout r</w:t>
      </w:r>
      <w:r>
        <w:rPr>
          <w:rFonts w:ascii="Times New Roman" w:hAnsi="Times New Roman"/>
          <w:sz w:val="24"/>
          <w:szCs w:val="24"/>
        </w:rPr>
        <w:t>egular drainage clearing (to reduce localized floodin</w:t>
      </w:r>
      <w:r>
        <w:rPr>
          <w:rFonts w:ascii="Times New Roman" w:hAnsi="Times New Roman"/>
          <w:sz w:val="24"/>
          <w:szCs w:val="24"/>
        </w:rPr>
        <w:t>g by 15–25%), observe strict enforcement against construction on natural waterways, expansion of retention infrastructure, institutional adoption of WebGIS dashboards for continuous monitoring, and community flood education programs to improve resilience b</w:t>
      </w:r>
      <w:r>
        <w:rPr>
          <w:rFonts w:ascii="Times New Roman" w:hAnsi="Times New Roman"/>
          <w:sz w:val="24"/>
          <w:szCs w:val="24"/>
        </w:rPr>
        <w:t>y 20–30%.</w:t>
      </w:r>
    </w:p>
    <w:p w:rsidR="00AD53B3" w:rsidRDefault="00AD53B3">
      <w:pPr>
        <w:jc w:val="both"/>
        <w:rPr>
          <w:rFonts w:ascii="Times New Roman" w:hAnsi="Times New Roman"/>
          <w:sz w:val="24"/>
          <w:szCs w:val="24"/>
        </w:rPr>
      </w:pPr>
    </w:p>
    <w:p w:rsidR="00AD53B3" w:rsidRDefault="00B72EBD">
      <w:pPr>
        <w:jc w:val="both"/>
        <w:rPr>
          <w:rFonts w:ascii="Times New Roman" w:hAnsi="Times New Roman" w:cs="Times New Roman"/>
          <w:sz w:val="24"/>
          <w:szCs w:val="24"/>
        </w:rPr>
      </w:pPr>
      <w:r>
        <w:rPr>
          <w:rFonts w:ascii="Times New Roman" w:hAnsi="Times New Roman" w:cs="Times New Roman"/>
          <w:b/>
          <w:bCs/>
          <w:sz w:val="24"/>
          <w:szCs w:val="24"/>
        </w:rPr>
        <w:t>CONFLICT OF INTEREST:</w:t>
      </w:r>
      <w:r>
        <w:rPr>
          <w:rFonts w:ascii="Times New Roman" w:hAnsi="Times New Roman" w:cs="Times New Roman"/>
          <w:sz w:val="24"/>
          <w:szCs w:val="24"/>
        </w:rPr>
        <w:t xml:space="preserve"> There is no conflict of interest in this study as it relies on similar studies and approaches adopted in previous domain of investigation.</w:t>
      </w:r>
    </w:p>
    <w:p w:rsidR="00AD53B3" w:rsidRDefault="00AD53B3">
      <w:pPr>
        <w:jc w:val="both"/>
        <w:rPr>
          <w:rFonts w:ascii="Times New Roman" w:hAnsi="Times New Roman" w:cs="Times New Roman"/>
          <w:sz w:val="24"/>
          <w:szCs w:val="24"/>
        </w:rPr>
      </w:pPr>
    </w:p>
    <w:p w:rsidR="00AD53B3" w:rsidRDefault="00B72EBD">
      <w:pPr>
        <w:rPr>
          <w:rFonts w:ascii="Times New Roman" w:hAnsi="Times New Roman" w:cs="Times New Roman"/>
          <w:b/>
          <w:bCs/>
          <w:sz w:val="24"/>
          <w:szCs w:val="24"/>
        </w:rPr>
      </w:pPr>
      <w:r>
        <w:rPr>
          <w:rFonts w:ascii="Times New Roman" w:hAnsi="Times New Roman" w:cs="Times New Roman"/>
          <w:b/>
          <w:bCs/>
          <w:sz w:val="24"/>
          <w:szCs w:val="24"/>
        </w:rPr>
        <w:t>References</w:t>
      </w:r>
    </w:p>
    <w:p w:rsidR="00AD53B3" w:rsidRDefault="00B72EBD">
      <w:pPr>
        <w:pStyle w:val="NormalWeb"/>
        <w:keepNext/>
        <w:spacing w:beforeAutospacing="0" w:afterAutospacing="0"/>
        <w:ind w:left="600" w:hangingChars="250" w:hanging="600"/>
        <w:jc w:val="both"/>
      </w:pPr>
      <w:r>
        <w:t xml:space="preserve">Afeonkhai, E. (2025). </w:t>
      </w:r>
      <w:r>
        <w:rPr>
          <w:rStyle w:val="Emphasis"/>
          <w:i w:val="0"/>
          <w:iCs w:val="0"/>
        </w:rPr>
        <w:t>Sustainability and environmental challenges in Lug</w:t>
      </w:r>
      <w:r>
        <w:rPr>
          <w:rStyle w:val="Emphasis"/>
          <w:i w:val="0"/>
          <w:iCs w:val="0"/>
        </w:rPr>
        <w:t>be, Abuja, Nigeria: Assessing urban development, resource management, and climate resilience</w:t>
      </w:r>
      <w:r>
        <w:t>.</w:t>
      </w:r>
      <w:r>
        <w:t xml:space="preserve"> </w:t>
      </w:r>
      <w:r>
        <w:rPr>
          <w:rStyle w:val="Emphasis"/>
        </w:rPr>
        <w:t>International Journal of Innovative Science and Research Technology, 10</w:t>
      </w:r>
      <w:r>
        <w:t>(4), 1738–1745. https://doi.org/10.38124/ijisrt/25apr1071</w:t>
      </w:r>
    </w:p>
    <w:p w:rsidR="00AD53B3" w:rsidRDefault="00B72EBD">
      <w:pPr>
        <w:pStyle w:val="ListParagraph"/>
        <w:widowControl/>
        <w:ind w:left="600" w:hangingChars="250" w:hanging="600"/>
        <w:contextualSpacing/>
        <w:jc w:val="both"/>
        <w:rPr>
          <w:rFonts w:ascii="Times New Roman" w:hAnsi="Times New Roman"/>
          <w:bCs/>
          <w:sz w:val="24"/>
          <w:szCs w:val="24"/>
        </w:rPr>
      </w:pPr>
      <w:r>
        <w:rPr>
          <w:rFonts w:ascii="Times New Roman" w:hAnsi="Times New Roman"/>
          <w:bCs/>
          <w:sz w:val="24"/>
          <w:szCs w:val="24"/>
        </w:rPr>
        <w:t>Bello, I. E &amp; Ogedegbe, S. O. (20</w:t>
      </w:r>
      <w:r>
        <w:rPr>
          <w:rFonts w:ascii="Times New Roman" w:hAnsi="Times New Roman"/>
          <w:bCs/>
          <w:sz w:val="24"/>
          <w:szCs w:val="24"/>
        </w:rPr>
        <w:t xml:space="preserve">15). Geospatial Analysis of Flood Problems in Jimeta Riverine Community of Adamawa State, Nigeria. </w:t>
      </w:r>
      <w:r>
        <w:rPr>
          <w:rFonts w:ascii="Times New Roman" w:hAnsi="Times New Roman"/>
          <w:bCs/>
          <w:i/>
          <w:iCs/>
          <w:sz w:val="24"/>
          <w:szCs w:val="24"/>
        </w:rPr>
        <w:t xml:space="preserve"> Journal of Environment and Earth Science </w:t>
      </w:r>
      <w:r>
        <w:rPr>
          <w:rFonts w:ascii="Times New Roman" w:hAnsi="Times New Roman"/>
          <w:bCs/>
          <w:iCs/>
          <w:sz w:val="24"/>
          <w:szCs w:val="24"/>
        </w:rPr>
        <w:t>(USA)</w:t>
      </w:r>
      <w:r>
        <w:rPr>
          <w:rFonts w:ascii="Times New Roman" w:hAnsi="Times New Roman"/>
          <w:bCs/>
          <w:i/>
          <w:iCs/>
          <w:sz w:val="24"/>
          <w:szCs w:val="24"/>
        </w:rPr>
        <w:t xml:space="preserve">, </w:t>
      </w:r>
      <w:r>
        <w:rPr>
          <w:rFonts w:ascii="Times New Roman" w:hAnsi="Times New Roman"/>
          <w:bCs/>
          <w:sz w:val="24"/>
          <w:szCs w:val="24"/>
        </w:rPr>
        <w:t xml:space="preserve">5(12), 32-45. (Online):  available at </w:t>
      </w:r>
      <w:hyperlink r:id="rId17" w:history="1">
        <w:r>
          <w:rPr>
            <w:rStyle w:val="Hyperlink"/>
            <w:rFonts w:ascii="Times New Roman" w:hAnsi="Times New Roman"/>
            <w:bCs/>
            <w:sz w:val="24"/>
            <w:szCs w:val="24"/>
            <w:u w:val="none"/>
          </w:rPr>
          <w:t>http://www.iiste.org/Journals/index.php/JEES/article/viewFile/23299/24045</w:t>
        </w:r>
      </w:hyperlink>
    </w:p>
    <w:p w:rsidR="00AD53B3" w:rsidRDefault="00B72EBD">
      <w:pPr>
        <w:pStyle w:val="ListParagraph"/>
        <w:widowControl/>
        <w:ind w:left="600" w:hangingChars="250" w:hanging="600"/>
        <w:contextualSpacing/>
        <w:jc w:val="both"/>
        <w:rPr>
          <w:rFonts w:ascii="Times New Roman" w:hAnsi="Times New Roman"/>
          <w:bCs/>
          <w:color w:val="0000FF"/>
          <w:sz w:val="24"/>
          <w:szCs w:val="24"/>
        </w:rPr>
      </w:pPr>
      <w:r>
        <w:rPr>
          <w:rFonts w:ascii="Times New Roman" w:hAnsi="Times New Roman"/>
          <w:bCs/>
          <w:sz w:val="24"/>
          <w:szCs w:val="24"/>
        </w:rPr>
        <w:t>Bello, I. E., Onothoja, U. T. &amp; Asikhia, M. O. (2013). Application of GIS Technology in Floodplain Delin</w:t>
      </w:r>
      <w:r>
        <w:rPr>
          <w:rFonts w:ascii="Times New Roman" w:hAnsi="Times New Roman"/>
          <w:bCs/>
          <w:sz w:val="24"/>
          <w:szCs w:val="24"/>
        </w:rPr>
        <w:t xml:space="preserve">eation and Risk Mapping in some Communities in Upper Benue Catchment, Taraba State, Nigeria. </w:t>
      </w:r>
      <w:r>
        <w:rPr>
          <w:rFonts w:ascii="Times New Roman" w:hAnsi="Times New Roman"/>
          <w:bCs/>
          <w:i/>
          <w:iCs/>
          <w:sz w:val="24"/>
          <w:szCs w:val="24"/>
        </w:rPr>
        <w:t>West African Social and Management Sciences Review</w:t>
      </w:r>
      <w:r>
        <w:rPr>
          <w:rFonts w:ascii="Times New Roman" w:hAnsi="Times New Roman"/>
          <w:bCs/>
          <w:sz w:val="24"/>
          <w:szCs w:val="24"/>
        </w:rPr>
        <w:t>, 4(1), 79-89</w:t>
      </w:r>
      <w:r>
        <w:rPr>
          <w:rFonts w:ascii="Times New Roman" w:hAnsi="Times New Roman"/>
          <w:bCs/>
          <w:color w:val="0000FF"/>
          <w:sz w:val="24"/>
          <w:szCs w:val="24"/>
        </w:rPr>
        <w:t>.</w:t>
      </w:r>
    </w:p>
    <w:p w:rsidR="00AD53B3" w:rsidRDefault="00B72EBD">
      <w:pPr>
        <w:pStyle w:val="ListParagraph"/>
        <w:widowControl/>
        <w:ind w:left="600" w:hangingChars="250" w:hanging="600"/>
        <w:contextualSpacing/>
        <w:jc w:val="both"/>
        <w:rPr>
          <w:rFonts w:ascii="Times New Roman" w:hAnsi="Times New Roman"/>
          <w:bCs/>
          <w:sz w:val="24"/>
          <w:szCs w:val="24"/>
        </w:rPr>
      </w:pPr>
      <w:r>
        <w:rPr>
          <w:rFonts w:ascii="Times New Roman" w:hAnsi="Times New Roman"/>
          <w:bCs/>
          <w:sz w:val="24"/>
          <w:szCs w:val="24"/>
        </w:rPr>
        <w:t>Bello, I.E. &amp; Ojigi, L.M. (2013)</w:t>
      </w:r>
      <w:r>
        <w:rPr>
          <w:rFonts w:ascii="Times New Roman" w:hAnsi="Times New Roman"/>
          <w:bCs/>
          <w:sz w:val="24"/>
          <w:szCs w:val="24"/>
        </w:rPr>
        <w:t>.</w:t>
      </w:r>
      <w:r>
        <w:rPr>
          <w:rFonts w:ascii="Times New Roman" w:hAnsi="Times New Roman"/>
          <w:bCs/>
          <w:sz w:val="24"/>
          <w:szCs w:val="24"/>
        </w:rPr>
        <w:t xml:space="preserve"> Collaborative Web Mapping and Volunteered Geographic</w:t>
      </w:r>
      <w:r>
        <w:rPr>
          <w:rFonts w:ascii="Times New Roman" w:hAnsi="Times New Roman"/>
          <w:bCs/>
          <w:sz w:val="24"/>
          <w:szCs w:val="24"/>
        </w:rPr>
        <w:t xml:space="preserve"> </w:t>
      </w:r>
      <w:r>
        <w:rPr>
          <w:rFonts w:ascii="Times New Roman" w:hAnsi="Times New Roman"/>
          <w:bCs/>
          <w:sz w:val="24"/>
          <w:szCs w:val="24"/>
        </w:rPr>
        <w:t>Information</w:t>
      </w:r>
      <w:r>
        <w:rPr>
          <w:rFonts w:ascii="Times New Roman" w:hAnsi="Times New Roman"/>
          <w:bCs/>
          <w:sz w:val="24"/>
          <w:szCs w:val="24"/>
        </w:rPr>
        <w:t xml:space="preserve">: a Study in Nigeria.  </w:t>
      </w:r>
      <w:r>
        <w:rPr>
          <w:rFonts w:ascii="Times New Roman" w:hAnsi="Times New Roman"/>
          <w:bCs/>
          <w:i/>
          <w:iCs/>
          <w:sz w:val="24"/>
          <w:szCs w:val="24"/>
        </w:rPr>
        <w:t xml:space="preserve">Applied GIS </w:t>
      </w:r>
      <w:r>
        <w:rPr>
          <w:rFonts w:ascii="Times New Roman" w:hAnsi="Times New Roman"/>
          <w:bCs/>
          <w:iCs/>
          <w:sz w:val="24"/>
          <w:szCs w:val="24"/>
        </w:rPr>
        <w:t>(Australia)</w:t>
      </w:r>
      <w:r>
        <w:rPr>
          <w:rFonts w:ascii="Times New Roman" w:hAnsi="Times New Roman"/>
          <w:bCs/>
          <w:sz w:val="24"/>
          <w:szCs w:val="24"/>
        </w:rPr>
        <w:t xml:space="preserve">, 9(2), 1-17. (Online): available at </w:t>
      </w:r>
      <w:hyperlink r:id="rId18" w:history="1">
        <w:r>
          <w:rPr>
            <w:rStyle w:val="Hyperlink"/>
            <w:rFonts w:ascii="Times New Roman" w:hAnsi="Times New Roman"/>
            <w:bCs/>
            <w:sz w:val="24"/>
            <w:szCs w:val="24"/>
            <w:u w:val="none"/>
          </w:rPr>
          <w:t>http://arrow.monash.edu.au/vital/access/manager/Repository/monash:120577</w:t>
        </w:r>
      </w:hyperlink>
    </w:p>
    <w:p w:rsidR="00AD53B3" w:rsidRDefault="00B72EBD">
      <w:pPr>
        <w:ind w:left="600" w:hangingChars="250" w:hanging="600"/>
        <w:jc w:val="both"/>
        <w:rPr>
          <w:rFonts w:ascii="Times New Roman" w:hAnsi="Times New Roman" w:cs="Times New Roman"/>
          <w:bCs/>
          <w:sz w:val="24"/>
          <w:szCs w:val="24"/>
        </w:rPr>
      </w:pPr>
      <w:r>
        <w:rPr>
          <w:rFonts w:ascii="Times New Roman" w:hAnsi="Times New Roman" w:cs="Times New Roman"/>
          <w:bCs/>
          <w:sz w:val="24"/>
          <w:szCs w:val="24"/>
        </w:rPr>
        <w:t>Bello, I.E.</w:t>
      </w:r>
      <w:r>
        <w:rPr>
          <w:rFonts w:ascii="Times New Roman" w:hAnsi="Times New Roman" w:cs="Times New Roman"/>
          <w:bCs/>
          <w:sz w:val="24"/>
          <w:szCs w:val="24"/>
        </w:rPr>
        <w:t xml:space="preserve">, Agbanwu, I.A., Ishaya, I.K. &amp; Kpalo, S.Y. (2024). Spatial Pattern of Landuse/Landcover and Flood Management Strategies by Vulnerable Communities in Kogi State, Nigeria. </w:t>
      </w:r>
      <w:r>
        <w:rPr>
          <w:rFonts w:ascii="Times New Roman" w:hAnsi="Times New Roman" w:cs="Times New Roman"/>
          <w:bCs/>
          <w:i/>
          <w:iCs/>
          <w:sz w:val="24"/>
          <w:szCs w:val="24"/>
        </w:rPr>
        <w:t xml:space="preserve">International Journal of Geography &amp; Environmental Management (IJGEM), </w:t>
      </w:r>
      <w:r>
        <w:rPr>
          <w:rFonts w:ascii="Times New Roman" w:hAnsi="Times New Roman" w:cs="Times New Roman"/>
          <w:bCs/>
          <w:sz w:val="24"/>
          <w:szCs w:val="24"/>
        </w:rPr>
        <w:t xml:space="preserve">10(9), 126-144. DOI: 10.56201/ijgem.v10.no9.2024.pg126.144 </w:t>
      </w:r>
    </w:p>
    <w:p w:rsidR="00AD53B3" w:rsidRDefault="00B72EBD">
      <w:pPr>
        <w:pStyle w:val="NormalWeb"/>
        <w:keepNext/>
        <w:spacing w:beforeAutospacing="0" w:afterAutospacing="0"/>
        <w:ind w:left="600" w:hangingChars="250" w:hanging="600"/>
        <w:jc w:val="both"/>
      </w:pPr>
      <w:r>
        <w:t xml:space="preserve">Douglas, I., Alam, K., Maghenda, M., Mcdonnell, Y., McLean, L., &amp; Campbell, J. (2008). Unjust waters: Climate change, flooding and the urban poor in Africa. </w:t>
      </w:r>
      <w:r>
        <w:rPr>
          <w:rStyle w:val="Emphasis"/>
        </w:rPr>
        <w:t>Environment and Urbanization, 20</w:t>
      </w:r>
      <w:r>
        <w:t>(1), 18</w:t>
      </w:r>
      <w:r>
        <w:t>7–205. https://doi.org/10.1177/0956247808089156</w:t>
      </w:r>
    </w:p>
    <w:p w:rsidR="00AD53B3" w:rsidRDefault="00B72EBD">
      <w:pPr>
        <w:ind w:left="600" w:hangingChars="250" w:hanging="600"/>
        <w:jc w:val="both"/>
        <w:rPr>
          <w:rFonts w:ascii="Times New Roman" w:hAnsi="Times New Roman" w:cs="Times New Roman"/>
          <w:sz w:val="24"/>
          <w:szCs w:val="24"/>
        </w:rPr>
      </w:pPr>
      <w:hyperlink r:id="rId19" w:history="1">
        <w:r>
          <w:rPr>
            <w:rStyle w:val="Hyperlink"/>
            <w:rFonts w:ascii="Times New Roman" w:eastAsia="Helvetica" w:hAnsi="Times New Roman" w:cs="Times New Roman"/>
            <w:color w:val="auto"/>
            <w:sz w:val="24"/>
            <w:szCs w:val="24"/>
            <w:u w:val="none"/>
            <w:shd w:val="clear" w:color="auto" w:fill="FFFFFF"/>
          </w:rPr>
          <w:t>Idowu</w:t>
        </w:r>
      </w:hyperlink>
      <w:r>
        <w:rPr>
          <w:rFonts w:ascii="Times New Roman" w:eastAsia="Helvetica" w:hAnsi="Times New Roman" w:cs="Times New Roman"/>
          <w:sz w:val="24"/>
          <w:szCs w:val="24"/>
          <w:shd w:val="clear" w:color="auto" w:fill="FFFFFF"/>
        </w:rPr>
        <w:t>, R.S. (2021). Three Killed As Flood Hits Estate In Abuja. Chnnels TV, Nigeria (Online): Retrieved from</w:t>
      </w:r>
      <w:r>
        <w:rPr>
          <w:rFonts w:ascii="Times New Roman" w:eastAsia="Helvetica" w:hAnsi="Times New Roman" w:cs="Times New Roman"/>
          <w:color w:val="666666"/>
          <w:sz w:val="24"/>
          <w:szCs w:val="24"/>
          <w:shd w:val="clear" w:color="auto" w:fill="FFFFFF"/>
        </w:rPr>
        <w:t xml:space="preserve"> </w:t>
      </w:r>
      <w:hyperlink r:id="rId20" w:history="1">
        <w:r>
          <w:rPr>
            <w:rStyle w:val="Hyperlink"/>
            <w:rFonts w:ascii="Times New Roman" w:eastAsia="Helvetica" w:hAnsi="Times New Roman" w:cs="Times New Roman"/>
            <w:sz w:val="24"/>
            <w:szCs w:val="24"/>
            <w:shd w:val="clear" w:color="auto" w:fill="FFFFFF"/>
          </w:rPr>
          <w:t>https://www.channelstv.com/2021/09/13/three-killed-as-flood-hits-estate-in-abuja/</w:t>
        </w:r>
      </w:hyperlink>
      <w:r>
        <w:rPr>
          <w:rFonts w:ascii="Times New Roman" w:eastAsia="Helvetica" w:hAnsi="Times New Roman" w:cs="Times New Roman"/>
          <w:color w:val="666666"/>
          <w:sz w:val="24"/>
          <w:szCs w:val="24"/>
          <w:shd w:val="clear" w:color="auto" w:fill="FFFFFF"/>
        </w:rPr>
        <w:t xml:space="preserve"> </w:t>
      </w:r>
    </w:p>
    <w:p w:rsidR="00AD53B3" w:rsidRDefault="00B72EBD">
      <w:pPr>
        <w:pStyle w:val="NormalWeb"/>
        <w:shd w:val="clear" w:color="auto" w:fill="FFFFFF"/>
        <w:spacing w:beforeAutospacing="0" w:afterAutospacing="0"/>
        <w:ind w:left="600" w:hangingChars="250" w:hanging="600"/>
        <w:jc w:val="both"/>
        <w:rPr>
          <w:rFonts w:eastAsia="sans-serif"/>
          <w:color w:val="202122"/>
          <w:shd w:val="clear" w:color="auto" w:fill="FFFFFF"/>
        </w:rPr>
      </w:pPr>
      <w:r>
        <w:rPr>
          <w:rFonts w:eastAsia="sans-serif"/>
          <w:color w:val="202122"/>
          <w:shd w:val="clear" w:color="auto" w:fill="FFFFFF"/>
        </w:rPr>
        <w:t>Igibah, E.C. Agashua, L. O.</w:t>
      </w:r>
      <w:r>
        <w:rPr>
          <w:rFonts w:eastAsia="sans-serif"/>
          <w:color w:val="202122"/>
          <w:shd w:val="clear" w:color="auto" w:fill="FFFFFF"/>
        </w:rPr>
        <w:t xml:space="preserve"> &amp;</w:t>
      </w:r>
      <w:r>
        <w:rPr>
          <w:rFonts w:eastAsia="sans-serif"/>
          <w:color w:val="202122"/>
          <w:shd w:val="clear" w:color="auto" w:fill="FFFFFF"/>
        </w:rPr>
        <w:t xml:space="preserve"> Sadiq, A. A. (</w:t>
      </w:r>
      <w:r>
        <w:rPr>
          <w:rFonts w:eastAsia="sans-serif"/>
          <w:color w:val="202122"/>
          <w:shd w:val="clear" w:color="auto" w:fill="FFFFFF"/>
        </w:rPr>
        <w:t>2</w:t>
      </w:r>
      <w:r>
        <w:rPr>
          <w:rFonts w:eastAsia="sans-serif"/>
          <w:color w:val="202122"/>
          <w:shd w:val="clear" w:color="auto" w:fill="FFFFFF"/>
        </w:rPr>
        <w:t>019). </w:t>
      </w:r>
      <w:hyperlink r:id="rId21" w:history="1">
        <w:r>
          <w:rPr>
            <w:rStyle w:val="Hyperlink"/>
            <w:rFonts w:eastAsia="sans-serif"/>
            <w:color w:val="auto"/>
            <w:u w:val="none"/>
          </w:rPr>
          <w:t>Correlated respiratory indicators of Household waste burning practices in Lugbe – Abuja, Nigeria"</w:t>
        </w:r>
      </w:hyperlink>
      <w:r>
        <w:rPr>
          <w:rFonts w:eastAsia="sans-serif"/>
          <w:shd w:val="clear" w:color="auto" w:fill="FFFFFF"/>
        </w:rPr>
        <w:t>.</w:t>
      </w:r>
      <w:r>
        <w:rPr>
          <w:rFonts w:eastAsia="sans-serif"/>
          <w:color w:val="202122"/>
          <w:shd w:val="clear" w:color="auto" w:fill="FFFFFF"/>
        </w:rPr>
        <w:t> </w:t>
      </w:r>
      <w:r>
        <w:rPr>
          <w:rFonts w:eastAsia="sans-serif"/>
          <w:i/>
          <w:iCs/>
          <w:color w:val="202122"/>
          <w:shd w:val="clear" w:color="auto" w:fill="FFFFFF"/>
        </w:rPr>
        <w:t>Journal of Physics: Conference Series</w:t>
      </w:r>
      <w:r>
        <w:rPr>
          <w:rFonts w:eastAsia="sans-serif"/>
          <w:color w:val="202122"/>
          <w:shd w:val="clear" w:color="auto" w:fill="FFFFFF"/>
        </w:rPr>
        <w:t>. </w:t>
      </w:r>
      <w:r>
        <w:rPr>
          <w:rFonts w:eastAsia="sans-serif"/>
          <w:color w:val="202122"/>
          <w:shd w:val="clear" w:color="auto" w:fill="FFFFFF"/>
        </w:rPr>
        <w:t>1378 (4</w:t>
      </w:r>
      <w:r>
        <w:rPr>
          <w:rFonts w:eastAsia="sans-serif"/>
          <w:color w:val="202122"/>
          <w:shd w:val="clear" w:color="auto" w:fill="FFFFFF"/>
        </w:rPr>
        <w:t>)</w:t>
      </w:r>
      <w:r>
        <w:rPr>
          <w:rFonts w:eastAsia="sans-serif"/>
          <w:color w:val="202122"/>
          <w:shd w:val="clear" w:color="auto" w:fill="FFFFFF"/>
        </w:rPr>
        <w:t xml:space="preserve">, </w:t>
      </w:r>
      <w:r>
        <w:rPr>
          <w:rFonts w:eastAsia="sans-serif"/>
          <w:color w:val="202122"/>
          <w:shd w:val="clear" w:color="auto" w:fill="FFFFFF"/>
        </w:rPr>
        <w:t xml:space="preserve">042012.  </w:t>
      </w:r>
    </w:p>
    <w:p w:rsidR="00AD53B3" w:rsidRDefault="00B72EBD">
      <w:pPr>
        <w:pStyle w:val="NormalWeb"/>
        <w:keepNext/>
        <w:spacing w:beforeAutospacing="0" w:afterAutospacing="0"/>
        <w:ind w:left="600" w:hangingChars="250" w:hanging="600"/>
        <w:jc w:val="both"/>
      </w:pPr>
      <w:r>
        <w:t xml:space="preserve">Intergovernmental Panel on Climate Change. (2021). </w:t>
      </w:r>
      <w:r>
        <w:rPr>
          <w:rStyle w:val="Emphasis"/>
        </w:rPr>
        <w:t xml:space="preserve">Climate change 2021: The physical science </w:t>
      </w:r>
      <w:r>
        <w:rPr>
          <w:rStyle w:val="Emphasis"/>
        </w:rPr>
        <w:t>basis</w:t>
      </w:r>
      <w:r>
        <w:t>. Cambridge University Press.</w:t>
      </w:r>
    </w:p>
    <w:p w:rsidR="00AD53B3" w:rsidRDefault="00B72EBD">
      <w:pPr>
        <w:pStyle w:val="NormalWeb"/>
        <w:keepNext/>
        <w:spacing w:beforeAutospacing="0" w:afterAutospacing="0"/>
        <w:ind w:left="600" w:hangingChars="250" w:hanging="600"/>
        <w:jc w:val="both"/>
      </w:pPr>
      <w:r>
        <w:t xml:space="preserve">Lucas, B. (2021). </w:t>
      </w:r>
      <w:r>
        <w:rPr>
          <w:rStyle w:val="Emphasis"/>
        </w:rPr>
        <w:t>Urban flood risks, impacts, and management in Nigeria</w:t>
      </w:r>
      <w:r>
        <w:t xml:space="preserve"> (Report). PreventionWeb. </w:t>
      </w:r>
      <w:hyperlink r:id="rId22" w:tgtFrame="_new" w:history="1">
        <w:r>
          <w:rPr>
            <w:rStyle w:val="Hyperlink"/>
          </w:rPr>
          <w:t>https://www.preventionweb.net/publication/urban-flood-risks-impacts-and-management-nigeria</w:t>
        </w:r>
      </w:hyperlink>
    </w:p>
    <w:p w:rsidR="00AD53B3" w:rsidRDefault="00B72EBD">
      <w:pPr>
        <w:pStyle w:val="ListParagraph"/>
        <w:widowControl/>
        <w:ind w:left="600" w:hangingChars="250" w:hanging="600"/>
        <w:jc w:val="both"/>
        <w:rPr>
          <w:rFonts w:ascii="Times New Roman" w:hAnsi="Times New Roman"/>
          <w:bCs/>
          <w:sz w:val="24"/>
          <w:szCs w:val="24"/>
        </w:rPr>
      </w:pPr>
      <w:r>
        <w:rPr>
          <w:rFonts w:ascii="Times New Roman" w:eastAsia="Arial" w:hAnsi="Times New Roman"/>
          <w:bCs/>
          <w:color w:val="111111"/>
          <w:sz w:val="24"/>
          <w:szCs w:val="24"/>
          <w:shd w:val="clear" w:color="auto" w:fill="FFFFFF"/>
        </w:rPr>
        <w:t>Nkeki, F. N; Bello, I. E. &amp;</w:t>
      </w:r>
      <w:r>
        <w:rPr>
          <w:rFonts w:ascii="Times New Roman" w:eastAsia="Arial" w:hAnsi="Times New Roman"/>
          <w:bCs/>
          <w:color w:val="111111"/>
          <w:sz w:val="24"/>
          <w:szCs w:val="24"/>
          <w:shd w:val="clear" w:color="auto" w:fill="FFFFFF"/>
        </w:rPr>
        <w:t xml:space="preserve"> Agbaje, G. I. (2022). Flood risk mapping and urban infrastructural susceptibility assessment using a GIS and analytic hierarchical raster fusion approach in the Ona River Basin, Nigeria. </w:t>
      </w:r>
      <w:r>
        <w:rPr>
          <w:rFonts w:ascii="Times New Roman" w:eastAsia="Arial" w:hAnsi="Times New Roman"/>
          <w:bCs/>
          <w:i/>
          <w:iCs/>
          <w:color w:val="111111"/>
          <w:sz w:val="24"/>
          <w:szCs w:val="24"/>
          <w:shd w:val="clear" w:color="auto" w:fill="FFFFFF"/>
        </w:rPr>
        <w:t>International Journal of Disaster Risk Reduction</w:t>
      </w:r>
      <w:r>
        <w:rPr>
          <w:rFonts w:ascii="Times New Roman" w:eastAsia="Arial" w:hAnsi="Times New Roman"/>
          <w:bCs/>
          <w:color w:val="111111"/>
          <w:sz w:val="24"/>
          <w:szCs w:val="24"/>
          <w:shd w:val="clear" w:color="auto" w:fill="FFFFFF"/>
        </w:rPr>
        <w:t xml:space="preserve"> (ELSEVIER), 77(1030</w:t>
      </w:r>
      <w:r>
        <w:rPr>
          <w:rFonts w:ascii="Times New Roman" w:eastAsia="Arial" w:hAnsi="Times New Roman"/>
          <w:bCs/>
          <w:color w:val="111111"/>
          <w:sz w:val="24"/>
          <w:szCs w:val="24"/>
          <w:shd w:val="clear" w:color="auto" w:fill="FFFFFF"/>
        </w:rPr>
        <w:t xml:space="preserve">97), 1-27. (online): </w:t>
      </w:r>
      <w:hyperlink r:id="rId23" w:history="1">
        <w:r>
          <w:rPr>
            <w:rStyle w:val="Hyperlink"/>
            <w:rFonts w:ascii="Times New Roman" w:eastAsia="Arial" w:hAnsi="Times New Roman"/>
            <w:bCs/>
            <w:color w:val="111111"/>
            <w:sz w:val="24"/>
            <w:szCs w:val="24"/>
            <w:shd w:val="clear" w:color="auto" w:fill="FFFFFF"/>
          </w:rPr>
          <w:t>https://doi.org/10.1016/j.ijdrr.2022.103097</w:t>
        </w:r>
      </w:hyperlink>
      <w:r>
        <w:rPr>
          <w:rFonts w:ascii="Times New Roman" w:eastAsia="Arial" w:hAnsi="Times New Roman"/>
          <w:bCs/>
          <w:color w:val="111111"/>
          <w:sz w:val="24"/>
          <w:szCs w:val="24"/>
          <w:shd w:val="clear" w:color="auto" w:fill="FFFFFF"/>
        </w:rPr>
        <w:t xml:space="preserve"> </w:t>
      </w:r>
    </w:p>
    <w:p w:rsidR="00AD53B3" w:rsidRDefault="00B72EBD">
      <w:pPr>
        <w:pStyle w:val="ListParagraph"/>
        <w:widowControl/>
        <w:ind w:left="600" w:hangingChars="250" w:hanging="600"/>
        <w:jc w:val="both"/>
        <w:rPr>
          <w:rFonts w:ascii="Times New Roman" w:eastAsia="Times" w:hAnsi="Times New Roman"/>
          <w:bCs/>
          <w:i/>
          <w:iCs/>
          <w:sz w:val="24"/>
          <w:szCs w:val="24"/>
          <w:shd w:val="clear" w:color="auto" w:fill="FFFFFF"/>
        </w:rPr>
      </w:pPr>
      <w:r>
        <w:rPr>
          <w:rFonts w:ascii="Times New Roman" w:eastAsia="Arial" w:hAnsi="Times New Roman"/>
          <w:bCs/>
          <w:color w:val="111111"/>
          <w:sz w:val="24"/>
          <w:szCs w:val="24"/>
          <w:shd w:val="clear" w:color="auto" w:fill="FFFFFF"/>
        </w:rPr>
        <w:t xml:space="preserve">Nkeki, F. N; Bello, I. E. &amp; Agbaje, G. I. (2023). </w:t>
      </w:r>
      <w:r>
        <w:rPr>
          <w:rFonts w:ascii="Times New Roman" w:eastAsia="Times" w:hAnsi="Times New Roman"/>
          <w:bCs/>
          <w:sz w:val="24"/>
          <w:szCs w:val="24"/>
          <w:shd w:val="clear" w:color="auto" w:fill="FFFFFF"/>
        </w:rPr>
        <w:t xml:space="preserve">Is the existing methods sustainable? A hybrid approach to flood risk mapping. </w:t>
      </w:r>
      <w:r>
        <w:rPr>
          <w:rFonts w:ascii="Times New Roman" w:eastAsia="Times" w:hAnsi="Times New Roman"/>
          <w:bCs/>
          <w:i/>
          <w:iCs/>
          <w:sz w:val="24"/>
          <w:szCs w:val="24"/>
          <w:shd w:val="clear" w:color="auto" w:fill="FFFFFF"/>
        </w:rPr>
        <w:t>MethodsX,</w:t>
      </w:r>
      <w:r>
        <w:rPr>
          <w:rFonts w:ascii="Times New Roman" w:eastAsia="Times" w:hAnsi="Times New Roman"/>
          <w:bCs/>
          <w:sz w:val="24"/>
          <w:szCs w:val="24"/>
          <w:shd w:val="clear" w:color="auto" w:fill="FFFFFF"/>
        </w:rPr>
        <w:t xml:space="preserve"> 11 102348, </w:t>
      </w:r>
      <w:r>
        <w:rPr>
          <w:rFonts w:ascii="Times New Roman" w:eastAsia="SimSun" w:hAnsi="Times New Roman"/>
          <w:bCs/>
          <w:color w:val="000000"/>
          <w:sz w:val="24"/>
          <w:szCs w:val="24"/>
          <w:lang w:bidi="ar"/>
        </w:rPr>
        <w:t xml:space="preserve">D.O.I: 10.56201/ijgem.v9.no5.2023.pg67.87 </w:t>
      </w:r>
    </w:p>
    <w:p w:rsidR="00AD53B3" w:rsidRDefault="00B72EBD">
      <w:pPr>
        <w:ind w:left="600" w:hangingChars="250" w:hanging="600"/>
        <w:jc w:val="both"/>
        <w:rPr>
          <w:rFonts w:ascii="Times New Roman" w:eastAsia="sans-serif" w:hAnsi="Times New Roman" w:cs="Times New Roman"/>
          <w:color w:val="3056A9"/>
          <w:sz w:val="24"/>
          <w:szCs w:val="24"/>
          <w:u w:val="single"/>
        </w:rPr>
      </w:pPr>
      <w:r>
        <w:rPr>
          <w:rFonts w:ascii="Times New Roman" w:eastAsia="sans-serif" w:hAnsi="Times New Roman" w:cs="Times New Roman"/>
          <w:color w:val="202122"/>
          <w:sz w:val="24"/>
          <w:szCs w:val="24"/>
          <w:shd w:val="clear" w:color="auto" w:fill="FFFFFF"/>
        </w:rPr>
        <w:lastRenderedPageBreak/>
        <w:t>Oluyori, N. R.</w:t>
      </w:r>
      <w:r>
        <w:rPr>
          <w:rFonts w:ascii="Times New Roman" w:eastAsia="sans-serif" w:hAnsi="Times New Roman" w:cs="Times New Roman"/>
          <w:color w:val="202122"/>
          <w:sz w:val="24"/>
          <w:szCs w:val="24"/>
          <w:shd w:val="clear" w:color="auto" w:fill="FFFFFF"/>
        </w:rPr>
        <w:t xml:space="preserve"> &amp;</w:t>
      </w:r>
      <w:r>
        <w:rPr>
          <w:rFonts w:ascii="Times New Roman" w:eastAsia="sans-serif" w:hAnsi="Times New Roman" w:cs="Times New Roman"/>
          <w:color w:val="202122"/>
          <w:sz w:val="24"/>
          <w:szCs w:val="24"/>
          <w:shd w:val="clear" w:color="auto" w:fill="FFFFFF"/>
        </w:rPr>
        <w:t xml:space="preserve"> Alhassan, M. M. (2020). </w:t>
      </w:r>
      <w:hyperlink r:id="rId24" w:history="1">
        <w:r>
          <w:rPr>
            <w:rStyle w:val="Hyperlink"/>
            <w:rFonts w:ascii="Times New Roman" w:eastAsia="sans-serif" w:hAnsi="Times New Roman" w:cs="Times New Roman"/>
            <w:color w:val="auto"/>
            <w:sz w:val="24"/>
            <w:szCs w:val="24"/>
            <w:u w:val="none"/>
          </w:rPr>
          <w:t xml:space="preserve">Assessment of urban storm runoff water quality in Lugbe, Abuja Municipal Area </w:t>
        </w:r>
        <w:r>
          <w:rPr>
            <w:rStyle w:val="Hyperlink"/>
            <w:rFonts w:ascii="Times New Roman" w:eastAsia="sans-serif" w:hAnsi="Times New Roman" w:cs="Times New Roman"/>
            <w:color w:val="auto"/>
            <w:sz w:val="24"/>
            <w:szCs w:val="24"/>
            <w:u w:val="none"/>
          </w:rPr>
          <w:t>Council, FCT, Nigeria"</w:t>
        </w:r>
      </w:hyperlink>
      <w:r>
        <w:rPr>
          <w:rFonts w:ascii="Times New Roman" w:eastAsia="sans-serif" w:hAnsi="Times New Roman" w:cs="Times New Roman"/>
          <w:sz w:val="24"/>
          <w:szCs w:val="24"/>
          <w:shd w:val="clear" w:color="auto" w:fill="FFFFFF"/>
        </w:rPr>
        <w:t>.</w:t>
      </w:r>
      <w:r>
        <w:rPr>
          <w:rFonts w:ascii="Times New Roman" w:eastAsia="sans-serif" w:hAnsi="Times New Roman" w:cs="Times New Roman"/>
          <w:color w:val="202122"/>
          <w:sz w:val="24"/>
          <w:szCs w:val="24"/>
          <w:shd w:val="clear" w:color="auto" w:fill="FFFFFF"/>
        </w:rPr>
        <w:t> </w:t>
      </w:r>
      <w:r>
        <w:rPr>
          <w:rFonts w:ascii="Times New Roman" w:eastAsia="sans-serif" w:hAnsi="Times New Roman" w:cs="Times New Roman"/>
          <w:i/>
          <w:iCs/>
          <w:color w:val="202122"/>
          <w:sz w:val="24"/>
          <w:szCs w:val="24"/>
          <w:shd w:val="clear" w:color="auto" w:fill="FFFFFF"/>
        </w:rPr>
        <w:t>Journal of Research in Forestry, Wildlife and Environment</w:t>
      </w:r>
      <w:r>
        <w:rPr>
          <w:rFonts w:ascii="Times New Roman" w:eastAsia="sans-serif" w:hAnsi="Times New Roman" w:cs="Times New Roman"/>
          <w:color w:val="202122"/>
          <w:sz w:val="24"/>
          <w:szCs w:val="24"/>
          <w:shd w:val="clear" w:color="auto" w:fill="FFFFFF"/>
        </w:rPr>
        <w:t>. </w:t>
      </w:r>
      <w:r>
        <w:rPr>
          <w:rFonts w:ascii="Times New Roman" w:eastAsia="sans-serif" w:hAnsi="Times New Roman" w:cs="Times New Roman"/>
          <w:b/>
          <w:bCs/>
          <w:color w:val="202122"/>
          <w:sz w:val="24"/>
          <w:szCs w:val="24"/>
          <w:shd w:val="clear" w:color="auto" w:fill="FFFFFF"/>
        </w:rPr>
        <w:t>12</w:t>
      </w:r>
      <w:r>
        <w:rPr>
          <w:rFonts w:ascii="Times New Roman" w:eastAsia="sans-serif" w:hAnsi="Times New Roman" w:cs="Times New Roman"/>
          <w:color w:val="202122"/>
          <w:sz w:val="24"/>
          <w:szCs w:val="24"/>
          <w:shd w:val="clear" w:color="auto" w:fill="FFFFFF"/>
        </w:rPr>
        <w:t> (1): 138–147. </w:t>
      </w:r>
    </w:p>
    <w:p w:rsidR="00AD53B3" w:rsidRDefault="00B72EBD">
      <w:pPr>
        <w:ind w:left="600" w:hangingChars="250" w:hanging="600"/>
        <w:jc w:val="both"/>
        <w:rPr>
          <w:rFonts w:ascii="Times New Roman" w:hAnsi="Times New Roman" w:cs="Times New Roman"/>
          <w:sz w:val="24"/>
          <w:szCs w:val="24"/>
        </w:rPr>
      </w:pPr>
      <w:r>
        <w:rPr>
          <w:rFonts w:ascii="Times New Roman" w:eastAsia="sans-serif" w:hAnsi="Times New Roman" w:cs="Times New Roman"/>
          <w:color w:val="202122"/>
          <w:sz w:val="24"/>
          <w:szCs w:val="24"/>
          <w:shd w:val="clear" w:color="auto" w:fill="FFFFFF"/>
        </w:rPr>
        <w:t>O</w:t>
      </w:r>
      <w:r>
        <w:rPr>
          <w:rFonts w:ascii="Times New Roman" w:eastAsia="sans-serif" w:hAnsi="Times New Roman" w:cs="Times New Roman"/>
          <w:sz w:val="24"/>
          <w:szCs w:val="24"/>
          <w:shd w:val="clear" w:color="auto" w:fill="FFFFFF"/>
        </w:rPr>
        <w:t>yoyo</w:t>
      </w:r>
      <w:r>
        <w:rPr>
          <w:rFonts w:ascii="Times New Roman" w:eastAsia="sans-serif" w:hAnsi="Times New Roman" w:cs="Times New Roman"/>
          <w:sz w:val="24"/>
          <w:szCs w:val="24"/>
          <w:shd w:val="clear" w:color="auto" w:fill="FFFFFF"/>
        </w:rPr>
        <w:t>, I</w:t>
      </w:r>
      <w:r>
        <w:rPr>
          <w:rFonts w:ascii="Times New Roman" w:eastAsia="sans-serif" w:hAnsi="Times New Roman" w:cs="Times New Roman"/>
          <w:sz w:val="24"/>
          <w:szCs w:val="24"/>
          <w:shd w:val="clear" w:color="auto" w:fill="FFFFFF"/>
        </w:rPr>
        <w:t>.</w:t>
      </w:r>
      <w:r>
        <w:rPr>
          <w:rFonts w:ascii="Times New Roman" w:eastAsia="sans-serif" w:hAnsi="Times New Roman" w:cs="Times New Roman"/>
          <w:sz w:val="24"/>
          <w:szCs w:val="24"/>
          <w:shd w:val="clear" w:color="auto" w:fill="FFFFFF"/>
        </w:rPr>
        <w:t xml:space="preserve"> (202</w:t>
      </w:r>
      <w:r>
        <w:rPr>
          <w:rFonts w:ascii="Times New Roman" w:eastAsia="sans-serif" w:hAnsi="Times New Roman" w:cs="Times New Roman"/>
          <w:sz w:val="24"/>
          <w:szCs w:val="24"/>
          <w:shd w:val="clear" w:color="auto" w:fill="FFFFFF"/>
        </w:rPr>
        <w:t>1</w:t>
      </w:r>
      <w:r>
        <w:rPr>
          <w:rFonts w:ascii="Times New Roman" w:eastAsia="sans-serif" w:hAnsi="Times New Roman" w:cs="Times New Roman"/>
          <w:sz w:val="24"/>
          <w:szCs w:val="24"/>
          <w:shd w:val="clear" w:color="auto" w:fill="FFFFFF"/>
        </w:rPr>
        <w:t>). </w:t>
      </w:r>
      <w:hyperlink r:id="rId25" w:history="1">
        <w:r>
          <w:rPr>
            <w:rStyle w:val="Hyperlink"/>
            <w:rFonts w:ascii="Times New Roman" w:eastAsia="sans-serif" w:hAnsi="Times New Roman" w:cs="Times New Roman"/>
            <w:color w:val="auto"/>
            <w:sz w:val="24"/>
            <w:szCs w:val="24"/>
            <w:u w:val="none"/>
          </w:rPr>
          <w:t xml:space="preserve">"Trademore Disaster: A Cue To </w:t>
        </w:r>
        <w:r>
          <w:rPr>
            <w:rStyle w:val="Hyperlink"/>
            <w:rFonts w:ascii="Times New Roman" w:eastAsia="sans-serif" w:hAnsi="Times New Roman" w:cs="Times New Roman"/>
            <w:color w:val="auto"/>
            <w:sz w:val="24"/>
            <w:szCs w:val="24"/>
            <w:u w:val="none"/>
          </w:rPr>
          <w:t>Avert Future Flooding Within The FCT"</w:t>
        </w:r>
      </w:hyperlink>
      <w:r>
        <w:rPr>
          <w:rFonts w:ascii="Times New Roman" w:eastAsia="sans-serif" w:hAnsi="Times New Roman" w:cs="Times New Roman"/>
          <w:sz w:val="24"/>
          <w:szCs w:val="24"/>
          <w:shd w:val="clear" w:color="auto" w:fill="FFFFFF"/>
        </w:rPr>
        <w:t>.</w:t>
      </w:r>
      <w:r>
        <w:rPr>
          <w:rFonts w:ascii="Times New Roman" w:eastAsia="sans-serif" w:hAnsi="Times New Roman" w:cs="Times New Roman"/>
          <w:color w:val="202122"/>
          <w:sz w:val="24"/>
          <w:szCs w:val="24"/>
          <w:shd w:val="clear" w:color="auto" w:fill="FFFFFF"/>
        </w:rPr>
        <w:t> </w:t>
      </w:r>
      <w:r>
        <w:rPr>
          <w:rFonts w:ascii="Times New Roman" w:eastAsia="sans-serif" w:hAnsi="Times New Roman" w:cs="Times New Roman"/>
          <w:i/>
          <w:iCs/>
          <w:color w:val="202122"/>
          <w:sz w:val="24"/>
          <w:szCs w:val="24"/>
          <w:shd w:val="clear" w:color="auto" w:fill="FFFFFF"/>
        </w:rPr>
        <w:t>Leadership News - Nigeria News, Breaking News, Politics and more</w:t>
      </w:r>
      <w:r>
        <w:rPr>
          <w:rFonts w:ascii="Times New Roman" w:eastAsia="sans-serif" w:hAnsi="Times New Roman" w:cs="Times New Roman"/>
          <w:color w:val="202122"/>
          <w:sz w:val="24"/>
          <w:szCs w:val="24"/>
          <w:shd w:val="clear" w:color="auto" w:fill="FFFFFF"/>
        </w:rPr>
        <w:t xml:space="preserve">. </w:t>
      </w:r>
      <w:r>
        <w:rPr>
          <w:rFonts w:ascii="Times New Roman" w:eastAsia="sans-serif" w:hAnsi="Times New Roman" w:cs="Times New Roman"/>
          <w:color w:val="202122"/>
          <w:sz w:val="24"/>
          <w:szCs w:val="24"/>
          <w:shd w:val="clear" w:color="auto" w:fill="FFFFFF"/>
        </w:rPr>
        <w:t xml:space="preserve">Retrieved from: </w:t>
      </w:r>
      <w:hyperlink r:id="rId26" w:history="1">
        <w:r>
          <w:rPr>
            <w:rStyle w:val="Hyperlink"/>
            <w:rFonts w:ascii="Times New Roman" w:eastAsia="sans-serif" w:hAnsi="Times New Roman" w:cs="Times New Roman"/>
            <w:sz w:val="24"/>
            <w:szCs w:val="24"/>
            <w:shd w:val="clear" w:color="auto" w:fill="FFFFFF"/>
          </w:rPr>
          <w:t>https://leadership.ng/trademore-disaster-a-cue-to-avert-future-flooding-within-the-fct/</w:t>
        </w:r>
      </w:hyperlink>
      <w:r>
        <w:rPr>
          <w:rFonts w:ascii="Times New Roman" w:eastAsia="sans-serif" w:hAnsi="Times New Roman" w:cs="Times New Roman"/>
          <w:color w:val="202122"/>
          <w:sz w:val="24"/>
          <w:szCs w:val="24"/>
          <w:shd w:val="clear" w:color="auto" w:fill="FFFFFF"/>
        </w:rPr>
        <w:t xml:space="preserve"> </w:t>
      </w:r>
    </w:p>
    <w:p w:rsidR="00AD53B3" w:rsidRDefault="00B72EBD">
      <w:pPr>
        <w:pStyle w:val="NormalWeb"/>
        <w:spacing w:beforeAutospacing="0" w:afterAutospacing="0"/>
        <w:ind w:left="600" w:hangingChars="250" w:hanging="600"/>
        <w:jc w:val="both"/>
      </w:pPr>
      <w:r>
        <w:t>Taofik, O. K., Bello, I., Ndabula, C., Jidauna, G. G. &amp;</w:t>
      </w:r>
      <w:r>
        <w:t xml:space="preserve"> Ademola, S. J. (2017). A Comparative Analysis of Drainage Morphometry on Hydrologic Characteristics of Kereke and Ukoghor Basins on Flood Vulnerability in Makurdi Town, Nigeria. </w:t>
      </w:r>
      <w:r>
        <w:rPr>
          <w:i/>
          <w:iCs/>
        </w:rPr>
        <w:t>Hydrology (USA),</w:t>
      </w:r>
      <w:r>
        <w:t xml:space="preserve"> 5(3): 32-40. (Online):  available at doi:10.11648/j.hyd.2017</w:t>
      </w:r>
      <w:r>
        <w:t>0503.11 .</w:t>
      </w:r>
    </w:p>
    <w:p w:rsidR="00AD53B3" w:rsidRDefault="00B72EBD">
      <w:pPr>
        <w:pStyle w:val="NormalWeb"/>
        <w:spacing w:beforeAutospacing="0" w:afterAutospacing="0"/>
        <w:ind w:left="600" w:hangingChars="250" w:hanging="600"/>
        <w:jc w:val="both"/>
      </w:pPr>
      <w:r>
        <w:t xml:space="preserve">Thisday Live. (2023, June 24). </w:t>
      </w:r>
      <w:r>
        <w:rPr>
          <w:rStyle w:val="Emphasis"/>
        </w:rPr>
        <w:t>Heavy rainfall submerges Lugbe, Abuja</w:t>
      </w:r>
      <w:r>
        <w:t xml:space="preserve">. </w:t>
      </w:r>
      <w:r>
        <w:rPr>
          <w:rStyle w:val="Emphasis"/>
        </w:rPr>
        <w:t>Thisday Newspaper</w:t>
      </w:r>
      <w:r>
        <w:t>.</w:t>
      </w:r>
    </w:p>
    <w:p w:rsidR="00AD53B3" w:rsidRDefault="00B72EBD">
      <w:pPr>
        <w:pStyle w:val="NormalWeb"/>
        <w:spacing w:beforeAutospacing="0" w:afterAutospacing="0"/>
        <w:ind w:left="600" w:hangingChars="250" w:hanging="600"/>
        <w:jc w:val="both"/>
      </w:pPr>
      <w:r>
        <w:t>Umaru, I. J., Asare, S. O., Umogbai, D. A., Olayemi, A. G., &amp; Chukwudi, E. E. (2025). Evaluating environmental and public health hazards of urban flooding: C</w:t>
      </w:r>
      <w:r>
        <w:t xml:space="preserve">linical consequences and considerations. </w:t>
      </w:r>
      <w:r>
        <w:rPr>
          <w:rStyle w:val="Emphasis"/>
        </w:rPr>
        <w:t>African Journal of Clinical Medicine and Pharmacy Research, 3</w:t>
      </w:r>
      <w:r>
        <w:t>(1), 42–61.</w:t>
      </w:r>
    </w:p>
    <w:p w:rsidR="00AD53B3" w:rsidRDefault="00B72EBD">
      <w:pPr>
        <w:pStyle w:val="NormalWeb"/>
        <w:spacing w:beforeAutospacing="0" w:afterAutospacing="0"/>
        <w:ind w:left="600" w:hangingChars="250" w:hanging="600"/>
        <w:jc w:val="both"/>
      </w:pPr>
      <w:r>
        <w:t xml:space="preserve">Wikipedia. (2026). </w:t>
      </w:r>
      <w:r>
        <w:rPr>
          <w:rStyle w:val="Emphasis"/>
        </w:rPr>
        <w:t>Lugbe</w:t>
      </w:r>
      <w:r>
        <w:t xml:space="preserve">. Retrieved February 2026, from </w:t>
      </w:r>
      <w:hyperlink r:id="rId27" w:tgtFrame="_new" w:history="1">
        <w:r>
          <w:rPr>
            <w:rStyle w:val="Hyperlink"/>
          </w:rPr>
          <w:t>http</w:t>
        </w:r>
        <w:r>
          <w:rPr>
            <w:rStyle w:val="Hyperlink"/>
          </w:rPr>
          <w:t>s://en.wikipedia.org/wiki/Lugbe</w:t>
        </w:r>
      </w:hyperlink>
    </w:p>
    <w:p w:rsidR="00AD53B3" w:rsidRDefault="00AD53B3">
      <w:pPr>
        <w:rPr>
          <w:rFonts w:ascii="Times New Roman" w:hAnsi="Times New Roman" w:cs="Times New Roman"/>
          <w:sz w:val="24"/>
          <w:szCs w:val="24"/>
        </w:rPr>
      </w:pPr>
    </w:p>
    <w:p w:rsidR="00AD53B3" w:rsidRDefault="00AD53B3">
      <w:pPr>
        <w:pStyle w:val="NormalWeb"/>
      </w:pPr>
    </w:p>
    <w:p w:rsidR="00AD53B3" w:rsidRDefault="00AD53B3">
      <w:pPr>
        <w:rPr>
          <w:rFonts w:ascii="Times New Roman" w:hAnsi="Times New Roman" w:cs="Times New Roman"/>
          <w:sz w:val="24"/>
          <w:szCs w:val="24"/>
        </w:rPr>
      </w:pPr>
    </w:p>
    <w:p w:rsidR="00AD53B3" w:rsidRDefault="00AD53B3">
      <w:pPr>
        <w:rPr>
          <w:rFonts w:ascii="Times New Roman" w:hAnsi="Times New Roman" w:cs="Times New Roman"/>
          <w:sz w:val="24"/>
          <w:szCs w:val="24"/>
        </w:rPr>
      </w:pPr>
    </w:p>
    <w:sectPr w:rsidR="00AD53B3">
      <w:footerReference w:type="default" r:id="rId2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EBD" w:rsidRDefault="00B72EBD">
      <w:r>
        <w:separator/>
      </w:r>
    </w:p>
  </w:endnote>
  <w:endnote w:type="continuationSeparator" w:id="0">
    <w:p w:rsidR="00B72EBD" w:rsidRDefault="00B7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icaier 10cpi">
    <w:altName w:val="Segoe Print"/>
    <w:charset w:val="00"/>
    <w:family w:val="auto"/>
    <w:pitch w:val="default"/>
    <w:sig w:usb0="00000000" w:usb1="00000000" w:usb2="00000000" w:usb3="00000000" w:csb0="00000001" w:csb1="00000000"/>
  </w:font>
  <w:font w:name="sans-serif">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3B3" w:rsidRDefault="00B72EBD">
    <w:pPr>
      <w:pStyle w:val="Footer"/>
    </w:pPr>
    <w:r>
      <w:rPr>
        <w:noProof/>
        <w:lang w:val="en-IN" w:eastAsia="en-I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D53B3" w:rsidRDefault="00B72EBD">
                          <w:pPr>
                            <w:pStyle w:val="Footer"/>
                          </w:pPr>
                          <w:r>
                            <w:fldChar w:fldCharType="begin"/>
                          </w:r>
                          <w:r>
                            <w:instrText xml:space="preserve"> PAGE  \* MERGEFORMAT </w:instrText>
                          </w:r>
                          <w:r>
                            <w:fldChar w:fldCharType="separate"/>
                          </w:r>
                          <w:r w:rsidR="00460372">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h&#10;t3cOUwIAAAkFAAAOAAAAAAAAAAAAAAAAAC4CAABkcnMvZTJvRG9jLnhtbFBLAQItABQABgAIAAAA&#10;IQBxqtG51wAAAAUBAAAPAAAAAAAAAAAAAAAAAK0EAABkcnMvZG93bnJldi54bWxQSwUGAAAAAAQA&#10;BADzAAAAsQUAAAAA&#10;" filled="f" stroked="f" strokeweight=".5pt">
              <v:textbox style="mso-fit-shape-to-text:t" inset="0,0,0,0">
                <w:txbxContent>
                  <w:p w:rsidR="00AD53B3" w:rsidRDefault="00B72EBD">
                    <w:pPr>
                      <w:pStyle w:val="Footer"/>
                    </w:pPr>
                    <w:r>
                      <w:fldChar w:fldCharType="begin"/>
                    </w:r>
                    <w:r>
                      <w:instrText xml:space="preserve"> PAGE  \* MERGEFORMAT </w:instrText>
                    </w:r>
                    <w:r>
                      <w:fldChar w:fldCharType="separate"/>
                    </w:r>
                    <w:r w:rsidR="00460372">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EBD" w:rsidRDefault="00B72EBD">
      <w:r>
        <w:separator/>
      </w:r>
    </w:p>
  </w:footnote>
  <w:footnote w:type="continuationSeparator" w:id="0">
    <w:p w:rsidR="00B72EBD" w:rsidRDefault="00B72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F4A90"/>
    <w:multiLevelType w:val="singleLevel"/>
    <w:tmpl w:val="813F4A90"/>
    <w:lvl w:ilvl="0">
      <w:start w:val="1"/>
      <w:numFmt w:val="lowerLetter"/>
      <w:lvlText w:val="%1."/>
      <w:lvlJc w:val="left"/>
      <w:pPr>
        <w:tabs>
          <w:tab w:val="left" w:pos="845"/>
        </w:tabs>
        <w:ind w:left="845" w:hanging="425"/>
      </w:pPr>
      <w:rPr>
        <w:rFonts w:hint="default"/>
      </w:rPr>
    </w:lvl>
  </w:abstractNum>
  <w:abstractNum w:abstractNumId="1">
    <w:nsid w:val="9CEFF6A4"/>
    <w:multiLevelType w:val="singleLevel"/>
    <w:tmpl w:val="9CEFF6A4"/>
    <w:lvl w:ilvl="0">
      <w:start w:val="1"/>
      <w:numFmt w:val="lowerLetter"/>
      <w:lvlText w:val="%1."/>
      <w:lvlJc w:val="left"/>
      <w:pPr>
        <w:tabs>
          <w:tab w:val="left" w:pos="845"/>
        </w:tabs>
        <w:ind w:left="845" w:hanging="425"/>
      </w:pPr>
      <w:rPr>
        <w:rFonts w:hint="default"/>
      </w:rPr>
    </w:lvl>
  </w:abstractNum>
  <w:abstractNum w:abstractNumId="2">
    <w:nsid w:val="BD8817AC"/>
    <w:multiLevelType w:val="singleLevel"/>
    <w:tmpl w:val="BD8817AC"/>
    <w:lvl w:ilvl="0">
      <w:start w:val="1"/>
      <w:numFmt w:val="lowerLetter"/>
      <w:lvlText w:val="%1."/>
      <w:lvlJc w:val="left"/>
      <w:pPr>
        <w:tabs>
          <w:tab w:val="left" w:pos="845"/>
        </w:tabs>
        <w:ind w:left="845" w:hanging="425"/>
      </w:pPr>
      <w:rPr>
        <w:rFonts w:hint="default"/>
      </w:rPr>
    </w:lvl>
  </w:abstractNum>
  <w:abstractNum w:abstractNumId="3">
    <w:nsid w:val="DA2160C1"/>
    <w:multiLevelType w:val="singleLevel"/>
    <w:tmpl w:val="DA2160C1"/>
    <w:lvl w:ilvl="0">
      <w:start w:val="1"/>
      <w:numFmt w:val="lowerLetter"/>
      <w:lvlText w:val="%1."/>
      <w:lvlJc w:val="left"/>
      <w:pPr>
        <w:tabs>
          <w:tab w:val="left" w:pos="845"/>
        </w:tabs>
        <w:ind w:left="845" w:hanging="425"/>
      </w:pPr>
      <w:rPr>
        <w:rFonts w:hint="default"/>
      </w:rPr>
    </w:lvl>
  </w:abstractNum>
  <w:abstractNum w:abstractNumId="4">
    <w:nsid w:val="F63AC5D9"/>
    <w:multiLevelType w:val="singleLevel"/>
    <w:tmpl w:val="F63AC5D9"/>
    <w:lvl w:ilvl="0">
      <w:start w:val="1"/>
      <w:numFmt w:val="lowerLetter"/>
      <w:lvlText w:val="%1."/>
      <w:lvlJc w:val="left"/>
      <w:pPr>
        <w:tabs>
          <w:tab w:val="left" w:pos="845"/>
        </w:tabs>
        <w:ind w:left="845" w:hanging="425"/>
      </w:pPr>
      <w:rPr>
        <w:rFonts w:hint="default"/>
      </w:rPr>
    </w:lvl>
  </w:abstractNum>
  <w:abstractNum w:abstractNumId="5">
    <w:nsid w:val="FEC74F03"/>
    <w:multiLevelType w:val="singleLevel"/>
    <w:tmpl w:val="FEC74F03"/>
    <w:lvl w:ilvl="0">
      <w:start w:val="1"/>
      <w:numFmt w:val="lowerRoman"/>
      <w:suff w:val="space"/>
      <w:lvlText w:val="%1)"/>
      <w:lvlJc w:val="left"/>
    </w:lvl>
  </w:abstractNum>
  <w:abstractNum w:abstractNumId="6">
    <w:nsid w:val="0697E0ED"/>
    <w:multiLevelType w:val="singleLevel"/>
    <w:tmpl w:val="0697E0ED"/>
    <w:lvl w:ilvl="0">
      <w:start w:val="1"/>
      <w:numFmt w:val="lowerRoman"/>
      <w:lvlText w:val="%1."/>
      <w:lvlJc w:val="left"/>
      <w:pPr>
        <w:tabs>
          <w:tab w:val="left" w:pos="1265"/>
        </w:tabs>
        <w:ind w:left="1265" w:hanging="425"/>
      </w:pPr>
      <w:rPr>
        <w:rFonts w:hint="default"/>
      </w:rPr>
    </w:lvl>
  </w:abstractNum>
  <w:abstractNum w:abstractNumId="7">
    <w:nsid w:val="4DDF1E32"/>
    <w:multiLevelType w:val="singleLevel"/>
    <w:tmpl w:val="4DDF1E32"/>
    <w:lvl w:ilvl="0">
      <w:start w:val="1"/>
      <w:numFmt w:val="lowerRoman"/>
      <w:lvlText w:val="%1."/>
      <w:lvlJc w:val="left"/>
      <w:pPr>
        <w:tabs>
          <w:tab w:val="left" w:pos="425"/>
        </w:tabs>
        <w:ind w:left="425" w:hanging="425"/>
      </w:pPr>
      <w:rPr>
        <w:rFonts w:hint="default"/>
      </w:rPr>
    </w:lvl>
  </w:abstractNum>
  <w:abstractNum w:abstractNumId="8">
    <w:nsid w:val="5E4D37F0"/>
    <w:multiLevelType w:val="singleLevel"/>
    <w:tmpl w:val="5E4D37F0"/>
    <w:lvl w:ilvl="0">
      <w:start w:val="1"/>
      <w:numFmt w:val="lowerRoman"/>
      <w:lvlText w:val="%1."/>
      <w:lvlJc w:val="left"/>
      <w:pPr>
        <w:tabs>
          <w:tab w:val="left" w:pos="425"/>
        </w:tabs>
        <w:ind w:left="425" w:hanging="425"/>
      </w:pPr>
      <w:rPr>
        <w:rFonts w:hint="default"/>
      </w:rPr>
    </w:lvl>
  </w:abstractNum>
  <w:abstractNum w:abstractNumId="9">
    <w:nsid w:val="6549CDEB"/>
    <w:multiLevelType w:val="multilevel"/>
    <w:tmpl w:val="6549CDEB"/>
    <w:lvl w:ilvl="0">
      <w:start w:val="1"/>
      <w:numFmt w:val="decimal"/>
      <w:lvlText w:val="%1."/>
      <w:lvlJc w:val="left"/>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0">
    <w:nsid w:val="6AC4F0BE"/>
    <w:multiLevelType w:val="singleLevel"/>
    <w:tmpl w:val="6AC4F0BE"/>
    <w:lvl w:ilvl="0">
      <w:start w:val="1"/>
      <w:numFmt w:val="lowerLetter"/>
      <w:lvlText w:val="%1."/>
      <w:lvlJc w:val="left"/>
      <w:pPr>
        <w:tabs>
          <w:tab w:val="left" w:pos="845"/>
        </w:tabs>
        <w:ind w:left="845" w:hanging="425"/>
      </w:pPr>
      <w:rPr>
        <w:rFonts w:hint="default"/>
      </w:rPr>
    </w:lvl>
  </w:abstractNum>
  <w:num w:numId="1">
    <w:abstractNumId w:val="9"/>
  </w:num>
  <w:num w:numId="2">
    <w:abstractNumId w:val="6"/>
  </w:num>
  <w:num w:numId="3">
    <w:abstractNumId w:val="8"/>
  </w:num>
  <w:num w:numId="4">
    <w:abstractNumId w:val="7"/>
  </w:num>
  <w:num w:numId="5">
    <w:abstractNumId w:val="0"/>
  </w:num>
  <w:num w:numId="6">
    <w:abstractNumId w:val="1"/>
  </w:num>
  <w:num w:numId="7">
    <w:abstractNumId w:val="2"/>
  </w:num>
  <w:num w:numId="8">
    <w:abstractNumId w:val="5"/>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4050B8"/>
    <w:rsid w:val="001F5444"/>
    <w:rsid w:val="00460372"/>
    <w:rsid w:val="00AD53B3"/>
    <w:rsid w:val="00B72EBD"/>
    <w:rsid w:val="02C2225B"/>
    <w:rsid w:val="036E4906"/>
    <w:rsid w:val="068D1914"/>
    <w:rsid w:val="07A75592"/>
    <w:rsid w:val="08342E75"/>
    <w:rsid w:val="08CC52D4"/>
    <w:rsid w:val="093D4FB7"/>
    <w:rsid w:val="0A1922E7"/>
    <w:rsid w:val="0F9221C8"/>
    <w:rsid w:val="10514DD9"/>
    <w:rsid w:val="114F1410"/>
    <w:rsid w:val="11CC7BFF"/>
    <w:rsid w:val="14ED2436"/>
    <w:rsid w:val="182072A4"/>
    <w:rsid w:val="19F270B5"/>
    <w:rsid w:val="1AC808FC"/>
    <w:rsid w:val="1CE758C3"/>
    <w:rsid w:val="1E666E6B"/>
    <w:rsid w:val="202F6C59"/>
    <w:rsid w:val="21E83A2C"/>
    <w:rsid w:val="240C120F"/>
    <w:rsid w:val="243A6771"/>
    <w:rsid w:val="24DF1D5A"/>
    <w:rsid w:val="2511537E"/>
    <w:rsid w:val="26B723E2"/>
    <w:rsid w:val="279D0AEB"/>
    <w:rsid w:val="28463D36"/>
    <w:rsid w:val="2AC04F52"/>
    <w:rsid w:val="2B2B1412"/>
    <w:rsid w:val="2B60231D"/>
    <w:rsid w:val="2C130A76"/>
    <w:rsid w:val="2E143129"/>
    <w:rsid w:val="2E6C0D90"/>
    <w:rsid w:val="31F72BF4"/>
    <w:rsid w:val="33C92430"/>
    <w:rsid w:val="33D96D8D"/>
    <w:rsid w:val="33F06C66"/>
    <w:rsid w:val="37204C66"/>
    <w:rsid w:val="39BD1E32"/>
    <w:rsid w:val="3A0346DE"/>
    <w:rsid w:val="3AB10C16"/>
    <w:rsid w:val="3B814098"/>
    <w:rsid w:val="3C360818"/>
    <w:rsid w:val="40111F29"/>
    <w:rsid w:val="40C0329F"/>
    <w:rsid w:val="40DB4AB1"/>
    <w:rsid w:val="43026B9B"/>
    <w:rsid w:val="437764F0"/>
    <w:rsid w:val="43A411C9"/>
    <w:rsid w:val="46936C54"/>
    <w:rsid w:val="46BA3C62"/>
    <w:rsid w:val="472C18B0"/>
    <w:rsid w:val="47CC5958"/>
    <w:rsid w:val="48C7608A"/>
    <w:rsid w:val="49BA03EA"/>
    <w:rsid w:val="49C57D80"/>
    <w:rsid w:val="49D4699A"/>
    <w:rsid w:val="49FB2932"/>
    <w:rsid w:val="4E45280A"/>
    <w:rsid w:val="50745A99"/>
    <w:rsid w:val="5285711D"/>
    <w:rsid w:val="5373285E"/>
    <w:rsid w:val="541820FF"/>
    <w:rsid w:val="544E101F"/>
    <w:rsid w:val="55563905"/>
    <w:rsid w:val="57BB2B94"/>
    <w:rsid w:val="590F622A"/>
    <w:rsid w:val="59197564"/>
    <w:rsid w:val="59514715"/>
    <w:rsid w:val="605816A8"/>
    <w:rsid w:val="61335B85"/>
    <w:rsid w:val="61BC5F59"/>
    <w:rsid w:val="62325AA7"/>
    <w:rsid w:val="62420DF1"/>
    <w:rsid w:val="63516641"/>
    <w:rsid w:val="68FE744E"/>
    <w:rsid w:val="6D5743E9"/>
    <w:rsid w:val="6D941A92"/>
    <w:rsid w:val="6E2F624D"/>
    <w:rsid w:val="6F4A2D00"/>
    <w:rsid w:val="70010F43"/>
    <w:rsid w:val="70E31207"/>
    <w:rsid w:val="730B244E"/>
    <w:rsid w:val="734050B8"/>
    <w:rsid w:val="76E6789C"/>
    <w:rsid w:val="77A223CE"/>
    <w:rsid w:val="7A0012EA"/>
    <w:rsid w:val="7B971063"/>
    <w:rsid w:val="7C123F43"/>
    <w:rsid w:val="7D587A55"/>
    <w:rsid w:val="7E034D49"/>
    <w:rsid w:val="7E42653A"/>
    <w:rsid w:val="7FD66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widowControl w:val="0"/>
      <w:ind w:left="720"/>
    </w:pPr>
    <w:rPr>
      <w:rFonts w:ascii="Picaier 10cpi" w:eastAsia="Times New Roman" w:hAnsi="Picaier 10cp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widowControl w:val="0"/>
      <w:ind w:left="720"/>
    </w:pPr>
    <w:rPr>
      <w:rFonts w:ascii="Picaier 10cpi" w:eastAsia="Times New Roman" w:hAnsi="Picaier 10cp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arrow.monash.edu.au/vital/access/manager/Repository/monash:120577" TargetMode="External"/><Relationship Id="rId26" Type="http://schemas.openxmlformats.org/officeDocument/2006/relationships/hyperlink" Target="https://leadership.ng/trademore-disaster-a-cue-to-avert-future-flooding-within-the-fct/" TargetMode="External"/><Relationship Id="rId3" Type="http://schemas.openxmlformats.org/officeDocument/2006/relationships/styles" Target="styles.xml"/><Relationship Id="rId21" Type="http://schemas.openxmlformats.org/officeDocument/2006/relationships/hyperlink" Target="https://doi.org/10.1088/1742-6596/1378/4/042012"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iiste.org/Journals/index.php/JEES/article/viewFile/23299/24045" TargetMode="External"/><Relationship Id="rId25" Type="http://schemas.openxmlformats.org/officeDocument/2006/relationships/hyperlink" Target="https://leadership.ng/trademore-disaster-a-cue-to-avert-future-flooding-within-the-fct/"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channelstv.com/2021/09/13/three-killed-as-flood-hits-estate-in-abuj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Incineration" TargetMode="External"/><Relationship Id="rId24" Type="http://schemas.openxmlformats.org/officeDocument/2006/relationships/hyperlink" Target="https://www.ajol.info/index.php/jrfwe/article/view/194340"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doi.org/10.1016/j.ijdrr.2022.103097" TargetMode="External"/><Relationship Id="rId28" Type="http://schemas.openxmlformats.org/officeDocument/2006/relationships/footer" Target="footer1.xml"/><Relationship Id="rId10" Type="http://schemas.openxmlformats.org/officeDocument/2006/relationships/hyperlink" Target="https://en.wikipedia.org/wiki/National_Emergency_Management_Agency_(Nigeria)" TargetMode="External"/><Relationship Id="rId19" Type="http://schemas.openxmlformats.org/officeDocument/2006/relationships/hyperlink" Target="https://www.channelstv.com/author/ronke/" TargetMode="External"/><Relationship Id="rId4" Type="http://schemas.microsoft.com/office/2007/relationships/stylesWithEffects" Target="stylesWithEffects.xml"/><Relationship Id="rId9" Type="http://schemas.openxmlformats.org/officeDocument/2006/relationships/hyperlink" Target="https://www.channelstv.com/author/ronke/" TargetMode="External"/><Relationship Id="rId14" Type="http://schemas.openxmlformats.org/officeDocument/2006/relationships/hyperlink" Target="https://www.google.com/maps/d/u/0/edit?mid=10e7BzpPIBm54_5YrZtPbWYG_6efrJ70&amp;ll=8.969465989599543%2C7.360723797108664&amp;z=14" TargetMode="External"/><Relationship Id="rId22" Type="http://schemas.openxmlformats.org/officeDocument/2006/relationships/hyperlink" Target="https://www.preventionweb.net/publication/urban-flood-risks-impacts-and-management-nigeria?utm_source=chatgpt.com" TargetMode="External"/><Relationship Id="rId27" Type="http://schemas.openxmlformats.org/officeDocument/2006/relationships/hyperlink" Target="https://en.wikipedia.org/wiki/Lugbe?utm_source=chatgpt.com"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2021 - 2026 Flood Extend (Ha)</a:t>
            </a:r>
          </a:p>
        </c:rich>
      </c:tx>
      <c:overlay val="0"/>
      <c:spPr>
        <a:noFill/>
        <a:ln>
          <a:noFill/>
        </a:ln>
        <a:effectLst/>
      </c:spPr>
    </c:title>
    <c:autoTitleDeleted val="0"/>
    <c:plotArea>
      <c:layout/>
      <c:barChart>
        <c:barDir val="col"/>
        <c:grouping val="clustered"/>
        <c:varyColors val="0"/>
        <c:ser>
          <c:idx val="0"/>
          <c:order val="0"/>
          <c:tx>
            <c:strRef>
              <c:f>[Book1]Sheet1!$B$1</c:f>
              <c:strCache>
                <c:ptCount val="1"/>
              </c:strCache>
            </c:strRef>
          </c:tx>
          <c:spPr>
            <a:solidFill>
              <a:schemeClr val="accent1"/>
            </a:solidFill>
            <a:ln>
              <a:noFill/>
            </a:ln>
            <a:effectLst/>
          </c:spPr>
          <c:invertIfNegative val="0"/>
          <c:cat>
            <c:strRef>
              <c:f>[Book1]Sheet1!$A$2:$A$7</c:f>
              <c:strCache>
                <c:ptCount val="6"/>
                <c:pt idx="0">
                  <c:v>Yr2021</c:v>
                </c:pt>
                <c:pt idx="1">
                  <c:v>Yr2022</c:v>
                </c:pt>
                <c:pt idx="2">
                  <c:v>Yr2023</c:v>
                </c:pt>
                <c:pt idx="3">
                  <c:v>Yr2024</c:v>
                </c:pt>
                <c:pt idx="4">
                  <c:v>Yr2025</c:v>
                </c:pt>
                <c:pt idx="5">
                  <c:v>Yr2026</c:v>
                </c:pt>
              </c:strCache>
            </c:strRef>
          </c:cat>
          <c:val>
            <c:numRef>
              <c:f>[Book1]Sheet1!$B$2:$B$7</c:f>
              <c:numCache>
                <c:formatCode>General</c:formatCode>
                <c:ptCount val="6"/>
              </c:numCache>
            </c:numRef>
          </c:val>
        </c:ser>
        <c:ser>
          <c:idx val="1"/>
          <c:order val="1"/>
          <c:tx>
            <c:strRef>
              <c:f>[Book1]Sheet1!$C$1</c:f>
              <c:strCache>
                <c:ptCount val="1"/>
                <c:pt idx="0">
                  <c:v>Flooded Area (Ha)</c:v>
                </c:pt>
              </c:strCache>
            </c:strRef>
          </c:tx>
          <c:spPr>
            <a:solidFill>
              <a:schemeClr val="accent2"/>
            </a:solidFill>
            <a:ln>
              <a:noFill/>
            </a:ln>
            <a:effectLst/>
          </c:spPr>
          <c:invertIfNegative val="0"/>
          <c:cat>
            <c:strRef>
              <c:f>[Book1]Sheet1!$A$2:$A$7</c:f>
              <c:strCache>
                <c:ptCount val="6"/>
                <c:pt idx="0">
                  <c:v>Yr2021</c:v>
                </c:pt>
                <c:pt idx="1">
                  <c:v>Yr2022</c:v>
                </c:pt>
                <c:pt idx="2">
                  <c:v>Yr2023</c:v>
                </c:pt>
                <c:pt idx="3">
                  <c:v>Yr2024</c:v>
                </c:pt>
                <c:pt idx="4">
                  <c:v>Yr2025</c:v>
                </c:pt>
                <c:pt idx="5">
                  <c:v>Yr2026</c:v>
                </c:pt>
              </c:strCache>
            </c:strRef>
          </c:cat>
          <c:val>
            <c:numRef>
              <c:f>[Book1]Sheet1!$C$2:$C$7</c:f>
              <c:numCache>
                <c:formatCode>General</c:formatCode>
                <c:ptCount val="6"/>
                <c:pt idx="0">
                  <c:v>750</c:v>
                </c:pt>
                <c:pt idx="1">
                  <c:v>910</c:v>
                </c:pt>
                <c:pt idx="2">
                  <c:v>1280</c:v>
                </c:pt>
                <c:pt idx="3">
                  <c:v>1170</c:v>
                </c:pt>
                <c:pt idx="4">
                  <c:v>1040</c:v>
                </c:pt>
                <c:pt idx="5">
                  <c:v>320</c:v>
                </c:pt>
              </c:numCache>
            </c:numRef>
          </c:val>
        </c:ser>
        <c:ser>
          <c:idx val="2"/>
          <c:order val="2"/>
          <c:tx>
            <c:strRef>
              <c:f>[Book1]Sheet1!$D$1</c:f>
              <c:strCache>
                <c:ptCount val="1"/>
                <c:pt idx="0">
                  <c:v>Percentage Flooded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[Book1]Sheet1!$A$2:$A$7</c:f>
              <c:strCache>
                <c:ptCount val="6"/>
                <c:pt idx="0">
                  <c:v>Yr2021</c:v>
                </c:pt>
                <c:pt idx="1">
                  <c:v>Yr2022</c:v>
                </c:pt>
                <c:pt idx="2">
                  <c:v>Yr2023</c:v>
                </c:pt>
                <c:pt idx="3">
                  <c:v>Yr2024</c:v>
                </c:pt>
                <c:pt idx="4">
                  <c:v>Yr2025</c:v>
                </c:pt>
                <c:pt idx="5">
                  <c:v>Yr2026</c:v>
                </c:pt>
              </c:strCache>
            </c:strRef>
          </c:cat>
          <c:val>
            <c:numRef>
              <c:f>[Book1]Sheet1!$D$2:$D$7</c:f>
              <c:numCache>
                <c:formatCode>General</c:formatCode>
                <c:ptCount val="6"/>
                <c:pt idx="0">
                  <c:v>18.899999999999999</c:v>
                </c:pt>
                <c:pt idx="1">
                  <c:v>23</c:v>
                </c:pt>
                <c:pt idx="2">
                  <c:v>32.4</c:v>
                </c:pt>
                <c:pt idx="3">
                  <c:v>29.6</c:v>
                </c:pt>
                <c:pt idx="4">
                  <c:v>26.3</c:v>
                </c:pt>
                <c:pt idx="5">
                  <c:v>8.1</c:v>
                </c:pt>
              </c:numCache>
            </c:numRef>
          </c:val>
        </c:ser>
        <c:dLbls>
          <c:showLegendKey val="0"/>
          <c:showVal val="0"/>
          <c:showCatName val="0"/>
          <c:showSerName val="0"/>
          <c:showPercent val="0"/>
          <c:showBubbleSize val="0"/>
        </c:dLbls>
        <c:gapWidth val="246"/>
        <c:overlap val="-28"/>
        <c:axId val="177713152"/>
        <c:axId val="48562176"/>
      </c:barChart>
      <c:catAx>
        <c:axId val="1777131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562176"/>
        <c:crosses val="autoZero"/>
        <c:auto val="1"/>
        <c:lblAlgn val="ctr"/>
        <c:lblOffset val="100"/>
        <c:noMultiLvlLbl val="0"/>
      </c:catAx>
      <c:valAx>
        <c:axId val="4856217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71315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7f8b99ff-3639-403a-bba5-01b54abb632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dk1">
                    <a:lumMod val="75000"/>
                    <a:lumOff val="25000"/>
                  </a:schemeClr>
                </a:solidFill>
                <a:latin typeface="+mn-lt"/>
                <a:ea typeface="+mn-ea"/>
                <a:cs typeface="+mn-cs"/>
              </a:defRPr>
            </a:pPr>
            <a:r>
              <a:t>% of Infrastructure at Risk of Flooding in Lugbe</a:t>
            </a:r>
          </a:p>
        </c:rich>
      </c:tx>
      <c:layout>
        <c:manualLayout>
          <c:xMode val="edge"/>
          <c:yMode val="edge"/>
          <c:x val="0.17717105263157901"/>
          <c:y val="1.38888888888889E-2"/>
        </c:manualLayout>
      </c:layout>
      <c:overlay val="0"/>
      <c:spPr>
        <a:noFill/>
        <a:ln>
          <a:noFill/>
        </a:ln>
        <a:effectLst/>
      </c:spPr>
    </c:title>
    <c:autoTitleDeleted val="0"/>
    <c:plotArea>
      <c:layout/>
      <c:barChart>
        <c:barDir val="bar"/>
        <c:grouping val="clustered"/>
        <c:varyColors val="0"/>
        <c:ser>
          <c:idx val="0"/>
          <c:order val="0"/>
          <c:tx>
            <c:strRef>
              <c:f>[Book2]Sheet1!$D$6</c:f>
              <c:strCache>
                <c:ptCount val="1"/>
              </c:strCache>
            </c:strRef>
          </c:tx>
          <c:spPr>
            <a:gradFill>
              <a:gsLst>
                <a:gs pos="100000">
                  <a:schemeClr val="accent1"/>
                </a:gs>
                <a:gs pos="0">
                  <a:schemeClr val="accent1">
                    <a:hueOff val="-1670000"/>
                  </a:schemeClr>
                </a:gs>
              </a:gsLst>
              <a:lin ang="10800000" scaled="0"/>
            </a:gradFill>
            <a:ln>
              <a:gradFill>
                <a:gsLst>
                  <a:gs pos="100000">
                    <a:schemeClr val="accent1">
                      <a:lumMod val="75000"/>
                    </a:schemeClr>
                  </a:gs>
                  <a:gs pos="0">
                    <a:schemeClr val="accent1">
                      <a:lumMod val="75000"/>
                      <a:hueOff val="-1670000"/>
                    </a:schemeClr>
                  </a:gs>
                </a:gsLst>
                <a:lin ang="10800000" scaled="0"/>
              </a:gradFill>
            </a:ln>
            <a:effectLst/>
          </c:spPr>
          <c:invertIfNegative val="0"/>
          <c:cat>
            <c:strRef>
              <c:f>[Book2]Sheet1!$C$7:$C$10</c:f>
              <c:strCache>
                <c:ptCount val="4"/>
                <c:pt idx="0">
                  <c:v>Residential Buildings</c:v>
                </c:pt>
                <c:pt idx="1">
                  <c:v>Roads</c:v>
                </c:pt>
                <c:pt idx="2">
                  <c:v>Schools</c:v>
                </c:pt>
                <c:pt idx="3">
                  <c:v>Health Facilities</c:v>
                </c:pt>
              </c:strCache>
            </c:strRef>
          </c:cat>
          <c:val>
            <c:numRef>
              <c:f>[Book2]Sheet1!$D$7:$D$10</c:f>
              <c:numCache>
                <c:formatCode>General</c:formatCode>
                <c:ptCount val="4"/>
              </c:numCache>
            </c:numRef>
          </c:val>
        </c:ser>
        <c:ser>
          <c:idx val="1"/>
          <c:order val="1"/>
          <c:tx>
            <c:strRef>
              <c:f>[Book2]Sheet1!$E$6</c:f>
              <c:strCache>
                <c:ptCount val="1"/>
              </c:strCache>
            </c:strRef>
          </c:tx>
          <c:spPr>
            <a:gradFill>
              <a:gsLst>
                <a:gs pos="100000">
                  <a:schemeClr val="accent2"/>
                </a:gs>
                <a:gs pos="0">
                  <a:schemeClr val="accent2">
                    <a:hueOff val="-1670000"/>
                  </a:schemeClr>
                </a:gs>
              </a:gsLst>
              <a:lin ang="10800000" scaled="0"/>
            </a:gradFill>
            <a:ln>
              <a:gradFill>
                <a:gsLst>
                  <a:gs pos="100000">
                    <a:schemeClr val="accent2">
                      <a:lumMod val="75000"/>
                    </a:schemeClr>
                  </a:gs>
                  <a:gs pos="0">
                    <a:schemeClr val="accent2">
                      <a:lumMod val="75000"/>
                      <a:hueOff val="-1670000"/>
                    </a:schemeClr>
                  </a:gs>
                </a:gsLst>
                <a:lin ang="10800000" scaled="0"/>
              </a:gradFill>
            </a:ln>
            <a:effectLst/>
          </c:spPr>
          <c:invertIfNegative val="0"/>
          <c:cat>
            <c:strRef>
              <c:f>[Book2]Sheet1!$C$7:$C$10</c:f>
              <c:strCache>
                <c:ptCount val="4"/>
                <c:pt idx="0">
                  <c:v>Residential Buildings</c:v>
                </c:pt>
                <c:pt idx="1">
                  <c:v>Roads</c:v>
                </c:pt>
                <c:pt idx="2">
                  <c:v>Schools</c:v>
                </c:pt>
                <c:pt idx="3">
                  <c:v>Health Facilities</c:v>
                </c:pt>
              </c:strCache>
            </c:strRef>
          </c:cat>
          <c:val>
            <c:numRef>
              <c:f>[Book2]Sheet1!$E$7:$E$10</c:f>
              <c:numCache>
                <c:formatCode>General</c:formatCode>
                <c:ptCount val="4"/>
              </c:numCache>
            </c:numRef>
          </c:val>
        </c:ser>
        <c:ser>
          <c:idx val="2"/>
          <c:order val="2"/>
          <c:tx>
            <c:strRef>
              <c:f>[Book2]Sheet1!$F$6</c:f>
              <c:strCache>
                <c:ptCount val="1"/>
                <c:pt idx="0">
                  <c:v>Percentage at Risk (%)</c:v>
                </c:pt>
              </c:strCache>
            </c:strRef>
          </c:tx>
          <c:spPr>
            <a:solidFill>
              <a:schemeClr val="accent2"/>
            </a:solidFill>
            <a:ln>
              <a:gradFill>
                <a:gsLst>
                  <a:gs pos="100000">
                    <a:schemeClr val="accent3">
                      <a:lumMod val="75000"/>
                    </a:schemeClr>
                  </a:gs>
                  <a:gs pos="0">
                    <a:schemeClr val="accent3">
                      <a:lumMod val="75000"/>
                      <a:hueOff val="-1670000"/>
                    </a:schemeClr>
                  </a:gs>
                </a:gsLst>
                <a:lin ang="10800000" scaled="0"/>
              </a:gradFill>
            </a:ln>
            <a:effectLst/>
          </c:spPr>
          <c:invertIfNegative val="0"/>
          <c:cat>
            <c:strRef>
              <c:f>[Book2]Sheet1!$C$7:$C$10</c:f>
              <c:strCache>
                <c:ptCount val="4"/>
                <c:pt idx="0">
                  <c:v>Residential Buildings</c:v>
                </c:pt>
                <c:pt idx="1">
                  <c:v>Roads</c:v>
                </c:pt>
                <c:pt idx="2">
                  <c:v>Schools</c:v>
                </c:pt>
                <c:pt idx="3">
                  <c:v>Health Facilities</c:v>
                </c:pt>
              </c:strCache>
            </c:strRef>
          </c:cat>
          <c:val>
            <c:numRef>
              <c:f>[Book2]Sheet1!$F$7:$F$10</c:f>
              <c:numCache>
                <c:formatCode>General</c:formatCode>
                <c:ptCount val="4"/>
                <c:pt idx="0">
                  <c:v>36.9</c:v>
                </c:pt>
                <c:pt idx="1">
                  <c:v>35.200000000000003</c:v>
                </c:pt>
                <c:pt idx="2">
                  <c:v>38.9</c:v>
                </c:pt>
                <c:pt idx="3">
                  <c:v>33.299999999999997</c:v>
                </c:pt>
              </c:numCache>
            </c:numRef>
          </c:val>
        </c:ser>
        <c:dLbls>
          <c:showLegendKey val="0"/>
          <c:showVal val="0"/>
          <c:showCatName val="0"/>
          <c:showSerName val="0"/>
          <c:showPercent val="0"/>
          <c:showBubbleSize val="0"/>
        </c:dLbls>
        <c:gapWidth val="140"/>
        <c:overlap val="-40"/>
        <c:axId val="179251712"/>
        <c:axId val="200689920"/>
      </c:barChart>
      <c:catAx>
        <c:axId val="179251712"/>
        <c:scaling>
          <c:orientation val="minMax"/>
        </c:scaling>
        <c:delete val="0"/>
        <c:axPos val="l"/>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200689920"/>
        <c:crosses val="autoZero"/>
        <c:auto val="1"/>
        <c:lblAlgn val="ctr"/>
        <c:lblOffset val="100"/>
        <c:noMultiLvlLbl val="0"/>
      </c:catAx>
      <c:valAx>
        <c:axId val="200689920"/>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7925171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095f62fe-263c-4b4d-998e-6394a5cf570f}"/>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4051</Words>
  <Characters>23091</Characters>
  <Application>Microsoft Office Word</Application>
  <DocSecurity>0</DocSecurity>
  <Lines>192</Lines>
  <Paragraphs>54</Paragraphs>
  <ScaleCrop>false</ScaleCrop>
  <Company/>
  <LinksUpToDate>false</LinksUpToDate>
  <CharactersWithSpaces>27088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2</cp:revision>
  <dcterms:created xsi:type="dcterms:W3CDTF">2023-05-02T11:19:00Z</dcterms:created>
  <dcterms:modified xsi:type="dcterms:W3CDTF">2026-05-11T18:20:00Z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53E28FC25ACA456FBC922019E09ED5ED_13</vt:lpwstr>
  </property>
</Properties>
</file>