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FA" w:rsidRPr="00237DFA" w:rsidRDefault="00237DFA" w:rsidP="00237DFA">
      <w:pPr>
        <w:spacing w:after="0" w:line="480" w:lineRule="auto"/>
        <w:jc w:val="center"/>
        <w:rPr>
          <w:rFonts w:ascii="Times New Roman" w:eastAsia="Calibri" w:hAnsi="Times New Roman" w:cs="Times New Roman"/>
          <w:b/>
          <w:i/>
          <w:color w:val="000000"/>
          <w:sz w:val="20"/>
          <w:szCs w:val="24"/>
        </w:rPr>
      </w:pPr>
      <w:r w:rsidRPr="00237DFA">
        <w:rPr>
          <w:rFonts w:ascii="Times New Roman" w:eastAsia="Calibri" w:hAnsi="Times New Roman" w:cs="Times New Roman"/>
          <w:b/>
          <w:i/>
          <w:color w:val="000000"/>
          <w:sz w:val="20"/>
          <w:szCs w:val="24"/>
        </w:rPr>
        <w:t>Estimating the Amount Litterfall and the Rate of Decomposition: the Case of Two Selected Agroforestry Species in the Aba Gerima watershed, Northwest Ethiopia</w:t>
      </w:r>
    </w:p>
    <w:p w:rsidR="00237DFA" w:rsidRPr="00237DFA" w:rsidRDefault="00F364F2" w:rsidP="00237DFA">
      <w:pPr>
        <w:spacing w:after="120" w:line="48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color w:val="000000"/>
          <w:sz w:val="20"/>
          <w:szCs w:val="24"/>
        </w:rPr>
        <w:t>=</w:t>
      </w:r>
      <w:bookmarkStart w:id="0" w:name="_GoBack"/>
      <w:bookmarkEnd w:id="0"/>
      <w:r w:rsidR="00237DFA" w:rsidRPr="00237DFA">
        <w:rPr>
          <w:rFonts w:ascii="Times New Roman" w:eastAsia="Times New Roman" w:hAnsi="Times New Roman" w:cs="Times New Roman"/>
          <w:b/>
          <w:i/>
          <w:sz w:val="28"/>
          <w:szCs w:val="28"/>
        </w:rPr>
        <w:t>ABSTRACT</w:t>
      </w:r>
    </w:p>
    <w:p w:rsidR="00237DFA" w:rsidRPr="00237DFA" w:rsidRDefault="00237DFA" w:rsidP="00237DFA">
      <w:pPr>
        <w:spacing w:after="120" w:line="360" w:lineRule="auto"/>
        <w:jc w:val="both"/>
        <w:rPr>
          <w:rFonts w:ascii="Times New Roman" w:eastAsia="Times New Roman" w:hAnsi="Times New Roman" w:cs="Times New Roman"/>
          <w:i/>
          <w:sz w:val="24"/>
          <w:szCs w:val="24"/>
        </w:rPr>
      </w:pPr>
      <w:r w:rsidRPr="00237DFA">
        <w:rPr>
          <w:rFonts w:ascii="Times New Roman" w:eastAsia="Times New Roman" w:hAnsi="Times New Roman" w:cs="Times New Roman"/>
          <w:i/>
          <w:sz w:val="24"/>
          <w:szCs w:val="24"/>
        </w:rPr>
        <w:t>This study evaluated the litterfall and decomposition rates of two agroforestry tree species, C. macrostachyus, and C. africana, in the Aba Gerima watershed to improve soil nutrient management in low-input agricultural systems. Using litter-bag techniques and RCBD design, estimating the amount of  litterfall was collected every 15 days from February to May 2023, and decomposition rates were monitored over 30, 60, 90, and 120 days during both dry and wet seasons for</w:t>
      </w:r>
      <w:r w:rsidRPr="00237DFA">
        <w:rPr>
          <w:rFonts w:ascii="Times New Roman" w:eastAsia="Times New Roman" w:hAnsi="Times New Roman" w:cs="Times New Roman"/>
          <w:sz w:val="24"/>
          <w:szCs w:val="24"/>
        </w:rPr>
        <w:t xml:space="preserve"> </w:t>
      </w:r>
      <w:r w:rsidRPr="00237DFA">
        <w:rPr>
          <w:rFonts w:ascii="Times New Roman" w:eastAsia="Times New Roman" w:hAnsi="Times New Roman" w:cs="Times New Roman"/>
          <w:i/>
          <w:sz w:val="24"/>
          <w:szCs w:val="24"/>
        </w:rPr>
        <w:t>February to May 2023 and June to September 2023, respectively. Soil samples were analyzed for physicochemical properties of the under-canopy and outside-canopy. Results indicated that C. africana produced more litterfall (5.89 t/ha) compared to C. macrostachyus (5.19 t/ha). However, C. macrostachyus decomposed faster, with higher mass loss (94% in the dry season) and a greater impact on soil nutrient input. Both species showed no significant difference in decomposition during the wet season. The study concludes that litterfall and organic matter from C. macrostachyus and C. africana can be used as mulch or compost to enhance soil fertility. Raising community awareness about conserving these trees in cropland and homegarden agroforestry practices can improve soil fertility and crop productivity.</w:t>
      </w:r>
    </w:p>
    <w:p w:rsidR="00BF0716" w:rsidRDefault="00237DFA" w:rsidP="00237DFA">
      <w:pPr>
        <w:rPr>
          <w:rFonts w:ascii="Times New Roman" w:eastAsia="Times New Roman" w:hAnsi="Times New Roman" w:cs="Times New Roman"/>
          <w:i/>
          <w:iCs/>
          <w:color w:val="000000"/>
          <w:sz w:val="24"/>
          <w:szCs w:val="24"/>
        </w:rPr>
      </w:pPr>
      <w:r w:rsidRPr="00237DFA">
        <w:rPr>
          <w:rFonts w:ascii="Times New Roman" w:eastAsia="Times New Roman" w:hAnsi="Times New Roman" w:cs="Times New Roman"/>
          <w:b/>
          <w:sz w:val="24"/>
          <w:szCs w:val="24"/>
        </w:rPr>
        <w:t xml:space="preserve">Keywords: </w:t>
      </w:r>
      <w:r w:rsidRPr="00237DFA">
        <w:rPr>
          <w:rFonts w:ascii="Times New Roman" w:eastAsia="Times New Roman" w:hAnsi="Times New Roman" w:cs="Times New Roman"/>
          <w:i/>
          <w:iCs/>
          <w:color w:val="000000"/>
          <w:sz w:val="24"/>
          <w:szCs w:val="24"/>
        </w:rPr>
        <w:t>litterfall, decomposition rate, Agroforestry system, C. macrostachyus, C. africana.</w:t>
      </w:r>
    </w:p>
    <w:p w:rsidR="00237DFA" w:rsidRDefault="00237DFA">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br w:type="page"/>
      </w:r>
    </w:p>
    <w:p w:rsidR="00A6678D" w:rsidRPr="00237DFA" w:rsidRDefault="00237DFA" w:rsidP="00237DFA">
      <w:pPr>
        <w:pStyle w:val="Heading1"/>
        <w:spacing w:after="240"/>
        <w:jc w:val="center"/>
        <w:rPr>
          <w:rFonts w:ascii="Times New Roman" w:eastAsia="Times New Roman" w:hAnsi="Times New Roman" w:cs="Times New Roman"/>
          <w:color w:val="auto"/>
        </w:rPr>
      </w:pPr>
      <w:r w:rsidRPr="00237DFA">
        <w:rPr>
          <w:rFonts w:ascii="Times New Roman" w:eastAsia="Times New Roman" w:hAnsi="Times New Roman" w:cs="Times New Roman"/>
          <w:color w:val="auto"/>
        </w:rPr>
        <w:lastRenderedPageBreak/>
        <w:t>INTRODUCTION</w:t>
      </w:r>
    </w:p>
    <w:p w:rsidR="00237DFA" w:rsidRPr="00237DFA" w:rsidRDefault="00237DFA" w:rsidP="00237DFA">
      <w:pPr>
        <w:spacing w:line="360" w:lineRule="auto"/>
        <w:contextualSpacing/>
        <w:jc w:val="both"/>
        <w:rPr>
          <w:rFonts w:ascii="Times New Roman" w:eastAsia="Calibri" w:hAnsi="Times New Roman" w:cs="Times New Roman"/>
          <w:sz w:val="24"/>
          <w:szCs w:val="24"/>
          <w:lang w:val="en-GB"/>
        </w:rPr>
      </w:pPr>
      <w:r w:rsidRPr="00237DFA">
        <w:rPr>
          <w:rFonts w:ascii="Times New Roman" w:eastAsia="Calibri" w:hAnsi="Times New Roman" w:cs="Times New Roman"/>
          <w:sz w:val="24"/>
          <w:szCs w:val="24"/>
        </w:rPr>
        <w:t xml:space="preserve">Agroforestry (AF) is a dynamic, ecologically oriented plan for managing natural resources that diversifies and sustains smallholder production on farm and range land for greater social, economic, and environmental advantages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{"citationItems":[{"id":"ITEM-1","itemData":{"DOI":"10.1016/b978-0-12-805356-0.00001-5","abstract":"The present definition of agroforestry by ICRAF is a collective name for land use systems and practices in which woody perennials are deliberately integrated with crops and/or animals on the same land management unit. The author points out that this definition falls short of its ultimate potential as a way of mitigating deforestation; thus he suggests that agroforestry should be defined as a dynamic, ecologically based, natural resource management system that, through the integration of trees in farm and rangeland, diversifies and sustains smallholder production for increased social, economic and environmental benefits.","author":[{"dropping-particle":"","family":"Leakey","given":"Roger R.B.","non-dropping-particle":"","parse-names":false,"suffix":""}],"container-title":"Multifunctional Agriculture","id":"ITEM-1","issue":"February","issued":{"date-parts":[["2017"]]},"page":"5-6","title":"Definition of Agroforestry Revisited","type":"article-journal"},"uris":["http://www.mendeley.com/documents/?uuid=4395852f-b9ce-4bec-8afb-9b8234e2074a"]}],"mendeley":{"formattedCitation":"(Leakey, 2017)","plainTextFormattedCitation":"(Leakey, 2017)","previouslyFormattedCitation":"(Leakey, 2017)"},"properties":{"noteIndex":0},"schema":"https://github.com/citation-style-language/schema/raw/master/csl-citation.json"}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(Leakey, 2017)</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color w:val="000000"/>
          <w:sz w:val="24"/>
          <w:szCs w:val="24"/>
          <w:lang w:val="en-GB"/>
        </w:rPr>
        <w:t xml:space="preserve">Litterfall is considered to be one of the most critical ecological processes in agroforestry systems and is a key component of the system's biogeochemical cycle of matter </w:t>
      </w:r>
      <w:r w:rsidRPr="00237DFA">
        <w:rPr>
          <w:rFonts w:ascii="Times New Roman" w:eastAsia="Calibri" w:hAnsi="Times New Roman" w:cs="Times New Roman"/>
          <w:color w:val="000000"/>
          <w:sz w:val="24"/>
          <w:szCs w:val="24"/>
          <w:lang w:val="en-GB"/>
        </w:rPr>
        <w:fldChar w:fldCharType="begin" w:fldLock="1"/>
      </w:r>
      <w:r w:rsidRPr="00237DFA">
        <w:rPr>
          <w:rFonts w:ascii="Times New Roman" w:eastAsia="Calibri" w:hAnsi="Times New Roman" w:cs="Times New Roman"/>
          <w:color w:val="000000"/>
          <w:sz w:val="24"/>
          <w:szCs w:val="24"/>
          <w:lang w:val="en-GB"/>
        </w:rPr>
        <w:instrText>ADDIN CSL_CITATION {"citationItems":[{"id":"ITEM-1","itemData":{"ISSN":"1466-822X","author":[{"dropping-particle":"","family":"Liu","given":"Chunjiang","non-dropping-particle":"","parse-names":false,"suffix":""},{"dropping-particle":"","family":"Westman","given":"Carl J","non-dropping-particle":"","parse-names":false,"suffix":""},{"dropping-particle":"","family":"Berg","given":"Björn","non-dropping-particle":"","parse-names":false,"suffix":""},{"dropping-particle":"","family":"Kutsch","given":"Werner","non-dropping-particle":"","parse-names":false,"suffix":""},{"dropping-particle":"","family":"Wang","given":"Gary Z","non-dropping-particle":"","parse-names":false,"suffix":""},{"dropping-particle":"","family":"Man","given":"Rongzhou","non-dropping-particle":"","parse-names":false,"suffix":""},{"dropping-particle":"","family":"Ilvesniemi","given":"Hannu","non-dropping-particle":"","parse-names":false,"suffix":""}],"container-title":"Global Ecology and Biogeography","id":"ITEM-1","issue":"2","issued":{"date-parts":[["2004"]]},"page":"105-114","publisher":"Wiley Online Library","title":"Variation in litterfall‐climate relationships between coniferous and broadleaf forests in Eurasia","type":"article-journal","volume":"13"},"uris":["http://www.mendeley.com/documents/?uuid=564308c5-84dc-4e27-9d92-ef39d4352a09"]}],"mendeley":{"formattedCitation":"(C. Liu et al., 2004)","manualFormatting":"( Liu et al., 2004)","plainTextFormattedCitation":"(C. Liu et al., 2004)","previouslyFormattedCitation":"(C. Liu et al., 2004)"},"properties":{"noteIndex":0},"schema":"https://github.com/citation-style-language/schema/raw/master/csl-citation.json"}</w:instrText>
      </w:r>
      <w:r w:rsidRPr="00237DFA">
        <w:rPr>
          <w:rFonts w:ascii="Times New Roman" w:eastAsia="Calibri" w:hAnsi="Times New Roman" w:cs="Times New Roman"/>
          <w:color w:val="000000"/>
          <w:sz w:val="24"/>
          <w:szCs w:val="24"/>
          <w:lang w:val="en-GB"/>
        </w:rPr>
        <w:fldChar w:fldCharType="separate"/>
      </w:r>
      <w:r w:rsidRPr="00237DFA">
        <w:rPr>
          <w:rFonts w:ascii="Times New Roman" w:eastAsia="Calibri" w:hAnsi="Times New Roman" w:cs="Times New Roman"/>
          <w:noProof/>
          <w:color w:val="000000"/>
          <w:sz w:val="24"/>
          <w:szCs w:val="24"/>
          <w:lang w:val="en-GB"/>
        </w:rPr>
        <w:t>( Liu et al., 2004)</w:t>
      </w:r>
      <w:r w:rsidRPr="00237DFA">
        <w:rPr>
          <w:rFonts w:ascii="Times New Roman" w:eastAsia="Calibri" w:hAnsi="Times New Roman" w:cs="Times New Roman"/>
          <w:color w:val="000000"/>
          <w:sz w:val="24"/>
          <w:szCs w:val="24"/>
          <w:lang w:val="en-GB"/>
        </w:rPr>
        <w:fldChar w:fldCharType="end"/>
      </w:r>
      <w:r w:rsidRPr="00237DFA">
        <w:rPr>
          <w:rFonts w:ascii="Times New Roman" w:eastAsia="Calibri" w:hAnsi="Times New Roman" w:cs="Times New Roman"/>
          <w:color w:val="000000"/>
          <w:sz w:val="24"/>
          <w:szCs w:val="24"/>
          <w:lang w:val="en-GB"/>
        </w:rPr>
        <w:t>.</w:t>
      </w:r>
      <w:r w:rsidRPr="00237DFA">
        <w:rPr>
          <w:rFonts w:ascii="Times New Roman" w:eastAsia="Times New Roman" w:hAnsi="Times New Roman" w:cs="Times New Roman"/>
          <w:sz w:val="24"/>
          <w:szCs w:val="24"/>
        </w:rPr>
        <w:t xml:space="preserve"> </w:t>
      </w:r>
      <w:r w:rsidRPr="00237DFA">
        <w:rPr>
          <w:rFonts w:ascii="Times New Roman" w:eastAsia="Calibri" w:hAnsi="Times New Roman" w:cs="Times New Roman"/>
          <w:sz w:val="24"/>
          <w:szCs w:val="24"/>
        </w:rPr>
        <w:t xml:space="preserve">Dead animal matter is primarily decomposed by bacteria, while fungi are the main decomposers of dead plant material. The main process, known as lighting decomposition, is highly complex and can be further divided into many sub-processes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https://doi.org/10.7747/JFES.2019.35.2.121","author":[{"dropping-particle":"","family":"Petit-aldana","given":"Judith","non-dropping-particle":"","parse-names":false,"suffix":""},{"dropping-particle":"","family":"Rahman","given":"Mohammed Mahabubur","non-dropping-particle":"","parse-names":false,"suffix":""},{"dropping-particle":"","family":"Parraguirre-lezama","given":"Conrado","non-dropping-particle":"","parse-names":false,"suffix":""},{"dropping-particle":"","family":"Infante-cruz","given":"Angel","non-dropping-particle":"","parse-names":false,"suffix":""},{"dropping-particle":"","family":"Romero-arenas","given":"Omar","non-dropping-particle":"","parse-names":false,"suffix":""}],"container-title":"Forest and Environmental Science","id":"ITEM-1","issue":"2","issued":{"date-parts":[["2019"]]},"page":"121-139","title":"Litter Decomposition Process in Coffee Agroforestry Systems","type":"article-journal","volume":"35"},"uris":["http://www.mendeley.com/documents/?uuid=5ec12547-b8b4-46e9-84a0-0364ec4cd347"]}],"mendeley":{"formattedCitation":"(Petit-aldana et al., 2019)","plainTextFormattedCitation":"(Petit-aldana et al., 2019)","previouslyFormattedCitation":"(Petit-aldana et al., 2019)"},"properties":{"noteIndex":0},"schema":"https://github.com/citation-style-language/schema/raw/master/csl-citation.json"}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(Petit-aldana et al., 2019)</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color w:val="000000"/>
          <w:sz w:val="24"/>
          <w:szCs w:val="24"/>
        </w:rPr>
        <w:t xml:space="preserve">In agricultural environments, a more diversified soil fauna community causes faster decomposition but has minimal effect on the overall rate of decomposition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(Nivethadevi et al., 2022)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sz w:val="24"/>
          <w:szCs w:val="24"/>
          <w:lang w:val="en-GB"/>
        </w:rPr>
        <w:t xml:space="preserve">In the study area, farmers maintain or plant valuable tree species such as </w:t>
      </w:r>
      <w:r w:rsidRPr="00237DFA">
        <w:rPr>
          <w:rFonts w:ascii="Times New Roman" w:eastAsia="Calibri" w:hAnsi="Times New Roman" w:cs="Times New Roman"/>
          <w:i/>
          <w:sz w:val="24"/>
          <w:szCs w:val="24"/>
          <w:lang w:val="en-GB"/>
        </w:rPr>
        <w:t xml:space="preserve">Croton macrostachyus, Cordia africana, Milletia ferruginea, Albizia gummifera, </w:t>
      </w:r>
      <w:r w:rsidRPr="00237DFA">
        <w:rPr>
          <w:rFonts w:ascii="Times New Roman" w:eastAsia="Calibri" w:hAnsi="Times New Roman" w:cs="Times New Roman"/>
          <w:i/>
          <w:color w:val="000000"/>
          <w:sz w:val="24"/>
          <w:szCs w:val="24"/>
          <w:lang w:val="en-GB"/>
        </w:rPr>
        <w:t xml:space="preserve">Mangifera indica, and </w:t>
      </w:r>
      <w:r w:rsidRPr="00237DFA">
        <w:rPr>
          <w:rFonts w:ascii="Times New Roman" w:eastAsia="Times New Roman" w:hAnsi="Times New Roman" w:cs="Times New Roman"/>
          <w:i/>
          <w:iCs/>
          <w:color w:val="242021"/>
          <w:sz w:val="24"/>
          <w:szCs w:val="24"/>
        </w:rPr>
        <w:t xml:space="preserve">Persea American </w:t>
      </w:r>
      <w:r w:rsidRPr="00237DFA">
        <w:rPr>
          <w:rFonts w:ascii="Times New Roman" w:eastAsia="Calibri" w:hAnsi="Times New Roman" w:cs="Times New Roman"/>
          <w:sz w:val="24"/>
          <w:szCs w:val="24"/>
          <w:lang w:val="en-GB"/>
        </w:rPr>
        <w:t xml:space="preserve">in their agroforestry practice. The relative abundance of trees in residential areas compared to croplands indicates improvement of soil organisms, soil enhancement, maintaining soil fertility, and sustainable productivity. </w:t>
      </w:r>
      <w:r w:rsidRPr="00237DFA">
        <w:rPr>
          <w:rFonts w:ascii="Times New Roman" w:eastAsia="Calibri" w:hAnsi="Times New Roman" w:cs="Times New Roman"/>
          <w:color w:val="000000"/>
          <w:sz w:val="24"/>
          <w:szCs w:val="24"/>
          <w:lang w:val="en-GB"/>
        </w:rPr>
        <w:t xml:space="preserve">The plants in the highlands of north-western Ethiopia have not been sufficient for the amount of litterfall and subsequent decomposition rates. Litterfall is often used for firewood. Farmers would have benefited more by incorporating tree litter into the soil, which can enhance the overall productivity and sustainability of their agricultural land. Therefore, the goal of this study is to determine the amount of litter released and the rate of decomposition and incorporation into the soil nutrient content of input for </w:t>
      </w:r>
      <w:r w:rsidRPr="00237DFA">
        <w:rPr>
          <w:rFonts w:ascii="Times New Roman" w:eastAsia="Calibri" w:hAnsi="Times New Roman" w:cs="Times New Roman"/>
          <w:i/>
          <w:color w:val="000000"/>
          <w:sz w:val="24"/>
          <w:szCs w:val="24"/>
          <w:lang w:val="en-GB"/>
        </w:rPr>
        <w:t xml:space="preserve">Croton macrostachyus </w:t>
      </w:r>
      <w:r w:rsidRPr="00237DFA">
        <w:rPr>
          <w:rFonts w:ascii="Times New Roman" w:eastAsia="Calibri" w:hAnsi="Times New Roman" w:cs="Times New Roman"/>
          <w:color w:val="000000"/>
          <w:sz w:val="24"/>
          <w:szCs w:val="24"/>
          <w:lang w:val="en-GB"/>
        </w:rPr>
        <w:t>and</w:t>
      </w:r>
      <w:r w:rsidRPr="00237DFA">
        <w:rPr>
          <w:rFonts w:ascii="Times New Roman" w:eastAsia="Calibri" w:hAnsi="Times New Roman" w:cs="Times New Roman"/>
          <w:i/>
          <w:color w:val="000000"/>
          <w:sz w:val="24"/>
          <w:szCs w:val="24"/>
          <w:lang w:val="en-GB"/>
        </w:rPr>
        <w:t xml:space="preserve"> Cordia africana </w:t>
      </w:r>
      <w:r w:rsidRPr="00237DFA">
        <w:rPr>
          <w:rFonts w:ascii="Times New Roman" w:eastAsia="Calibri" w:hAnsi="Times New Roman" w:cs="Times New Roman"/>
          <w:color w:val="000000"/>
          <w:sz w:val="24"/>
          <w:szCs w:val="24"/>
          <w:lang w:val="en-GB"/>
        </w:rPr>
        <w:t>species. It is also to find out which species of tree decomposes faster.</w:t>
      </w:r>
      <w:r w:rsidRPr="00237DFA">
        <w:rPr>
          <w:rFonts w:ascii="Times New Roman" w:eastAsia="Calibri" w:hAnsi="Times New Roman" w:cs="Times New Roman"/>
          <w:sz w:val="24"/>
          <w:szCs w:val="24"/>
          <w:lang w:val="en-GB"/>
        </w:rPr>
        <w:t xml:space="preserve"> i) To </w:t>
      </w:r>
      <w:r w:rsidRPr="00237DFA">
        <w:rPr>
          <w:rFonts w:ascii="Times New Roman" w:eastAsia="Calibri" w:hAnsi="Times New Roman" w:cs="Times New Roman"/>
          <w:sz w:val="24"/>
          <w:szCs w:val="24"/>
        </w:rPr>
        <w:t>quantify and compare</w:t>
      </w:r>
      <w:r w:rsidRPr="00237DFA">
        <w:rPr>
          <w:rFonts w:ascii="Times New Roman" w:eastAsia="Calibri" w:hAnsi="Times New Roman" w:cs="Times New Roman"/>
          <w:sz w:val="24"/>
          <w:szCs w:val="24"/>
          <w:lang w:val="en-GB"/>
        </w:rPr>
        <w:t xml:space="preserve"> the </w:t>
      </w:r>
      <w:bookmarkStart w:id="1" w:name="_Hlk119237854"/>
      <w:r w:rsidRPr="00237DFA">
        <w:rPr>
          <w:rFonts w:ascii="Times New Roman" w:eastAsia="Calibri" w:hAnsi="Times New Roman" w:cs="Times New Roman"/>
          <w:sz w:val="24"/>
          <w:szCs w:val="24"/>
          <w:lang w:val="en-GB"/>
        </w:rPr>
        <w:t xml:space="preserve">amount of leaf litterfall from </w:t>
      </w:r>
      <w:r w:rsidRPr="00237DFA">
        <w:rPr>
          <w:rFonts w:ascii="Times New Roman" w:eastAsia="Calibri" w:hAnsi="Times New Roman" w:cs="Times New Roman"/>
          <w:i/>
          <w:sz w:val="24"/>
          <w:szCs w:val="24"/>
          <w:lang w:val="en-GB"/>
        </w:rPr>
        <w:t>Croton macrostachyus</w:t>
      </w:r>
      <w:r w:rsidRPr="00237DFA">
        <w:rPr>
          <w:rFonts w:ascii="Times New Roman" w:eastAsia="Calibri" w:hAnsi="Times New Roman" w:cs="Times New Roman"/>
          <w:sz w:val="24"/>
          <w:szCs w:val="24"/>
          <w:lang w:val="en-GB"/>
        </w:rPr>
        <w:t xml:space="preserve"> and </w:t>
      </w:r>
      <w:r w:rsidRPr="00237DFA">
        <w:rPr>
          <w:rFonts w:ascii="Times New Roman" w:eastAsia="Calibri" w:hAnsi="Times New Roman" w:cs="Times New Roman"/>
          <w:i/>
          <w:sz w:val="24"/>
          <w:szCs w:val="24"/>
          <w:lang w:val="en-GB"/>
        </w:rPr>
        <w:t xml:space="preserve">Cordia africana </w:t>
      </w:r>
      <w:r w:rsidRPr="00237DFA">
        <w:rPr>
          <w:rFonts w:ascii="Times New Roman" w:eastAsia="Calibri" w:hAnsi="Times New Roman" w:cs="Times New Roman"/>
          <w:sz w:val="24"/>
          <w:szCs w:val="24"/>
          <w:lang w:val="en-GB"/>
        </w:rPr>
        <w:t xml:space="preserve">from the </w:t>
      </w:r>
      <w:bookmarkEnd w:id="1"/>
      <w:r w:rsidRPr="00237DFA">
        <w:rPr>
          <w:rFonts w:ascii="Times New Roman" w:eastAsia="Calibri" w:hAnsi="Times New Roman" w:cs="Times New Roman"/>
          <w:sz w:val="24"/>
          <w:szCs w:val="24"/>
          <w:lang w:val="en-GB"/>
        </w:rPr>
        <w:t xml:space="preserve">watershed of the study area. ii) To </w:t>
      </w:r>
      <w:r w:rsidRPr="00237DFA">
        <w:rPr>
          <w:rFonts w:ascii="Times New Roman" w:eastAsia="Calibri" w:hAnsi="Times New Roman" w:cs="Times New Roman"/>
          <w:sz w:val="24"/>
          <w:szCs w:val="24"/>
        </w:rPr>
        <w:t>measure and compare</w:t>
      </w:r>
      <w:r w:rsidRPr="00237DFA">
        <w:rPr>
          <w:rFonts w:ascii="Times New Roman" w:eastAsia="Calibri" w:hAnsi="Times New Roman" w:cs="Times New Roman"/>
          <w:sz w:val="24"/>
          <w:szCs w:val="24"/>
          <w:lang w:val="en-GB"/>
        </w:rPr>
        <w:t xml:space="preserve"> the rate of decomposition of litterfall for </w:t>
      </w:r>
      <w:r w:rsidRPr="00237DFA">
        <w:rPr>
          <w:rFonts w:ascii="Times New Roman" w:eastAsia="Calibri" w:hAnsi="Times New Roman" w:cs="Times New Roman"/>
          <w:i/>
          <w:sz w:val="24"/>
          <w:szCs w:val="24"/>
          <w:lang w:val="en-GB"/>
        </w:rPr>
        <w:t xml:space="preserve">Croton macrostachyus </w:t>
      </w:r>
      <w:r w:rsidRPr="00237DFA">
        <w:rPr>
          <w:rFonts w:ascii="Times New Roman" w:eastAsia="Calibri" w:hAnsi="Times New Roman" w:cs="Times New Roman"/>
          <w:sz w:val="24"/>
          <w:szCs w:val="24"/>
          <w:lang w:val="en-GB"/>
        </w:rPr>
        <w:t xml:space="preserve">and </w:t>
      </w:r>
      <w:r w:rsidRPr="00237DFA">
        <w:rPr>
          <w:rFonts w:ascii="Times New Roman" w:eastAsia="Calibri" w:hAnsi="Times New Roman" w:cs="Times New Roman"/>
          <w:i/>
          <w:sz w:val="24"/>
          <w:szCs w:val="24"/>
          <w:lang w:val="en-GB"/>
        </w:rPr>
        <w:t>Cordia africana</w:t>
      </w:r>
      <w:r>
        <w:rPr>
          <w:rFonts w:ascii="Times New Roman" w:eastAsia="Calibri" w:hAnsi="Times New Roman" w:cs="Times New Roman"/>
          <w:sz w:val="24"/>
          <w:szCs w:val="24"/>
          <w:lang w:val="en-GB"/>
        </w:rPr>
        <w:t xml:space="preserve"> in the watershed.</w:t>
      </w:r>
    </w:p>
    <w:p w:rsidR="00237DFA" w:rsidRPr="00237DFA" w:rsidRDefault="00237DFA" w:rsidP="00237DFA">
      <w:pPr>
        <w:pStyle w:val="Heading1"/>
        <w:spacing w:after="240"/>
        <w:jc w:val="center"/>
        <w:rPr>
          <w:rFonts w:ascii="Times New Roman" w:eastAsia="Times New Roman" w:hAnsi="Times New Roman" w:cs="Times New Roman"/>
          <w:color w:val="auto"/>
          <w:lang w:val="en-GB" w:eastAsia="en-GB"/>
        </w:rPr>
      </w:pPr>
      <w:r w:rsidRPr="00237DFA">
        <w:rPr>
          <w:rFonts w:ascii="Times New Roman" w:eastAsia="Times New Roman" w:hAnsi="Times New Roman" w:cs="Times New Roman"/>
          <w:color w:val="auto"/>
          <w:lang w:val="en-GB" w:eastAsia="en-GB"/>
        </w:rPr>
        <w:t>METHODOGY</w:t>
      </w:r>
    </w:p>
    <w:p w:rsidR="00237DFA" w:rsidRPr="00237DFA" w:rsidRDefault="00237DFA" w:rsidP="00237DFA">
      <w:pPr>
        <w:spacing w:after="120" w:line="480" w:lineRule="auto"/>
        <w:jc w:val="both"/>
        <w:rPr>
          <w:rFonts w:ascii="Times New Roman" w:eastAsia="Times New Roman" w:hAnsi="Times New Roman" w:cs="Times New Roman"/>
          <w:b/>
          <w:color w:val="1F2126"/>
          <w:sz w:val="24"/>
          <w:szCs w:val="24"/>
          <w:lang w:val="en-GB" w:eastAsia="en-GB"/>
        </w:rPr>
      </w:pPr>
      <w:r w:rsidRPr="00237DFA">
        <w:rPr>
          <w:rFonts w:ascii="Times New Roman" w:eastAsia="Times New Roman" w:hAnsi="Times New Roman" w:cs="Times New Roman"/>
          <w:b/>
          <w:color w:val="1F2126"/>
          <w:sz w:val="24"/>
          <w:szCs w:val="24"/>
          <w:lang w:val="en-GB" w:eastAsia="en-GB"/>
        </w:rPr>
        <w:t>2.1. Study Site Description</w:t>
      </w:r>
    </w:p>
    <w:p w:rsidR="00237DFA" w:rsidRPr="00237DFA" w:rsidRDefault="00237DFA" w:rsidP="00237DFA">
      <w:pPr>
        <w:shd w:val="clear" w:color="auto" w:fill="FFFFFF"/>
        <w:spacing w:before="120" w:after="120" w:line="480" w:lineRule="auto"/>
        <w:jc w:val="both"/>
        <w:rPr>
          <w:rFonts w:ascii="Times New Roman" w:eastAsia="Calibri" w:hAnsi="Times New Roman" w:cs="Times New Roman"/>
          <w:color w:val="000000"/>
          <w:sz w:val="24"/>
          <w:szCs w:val="24"/>
        </w:rPr>
      </w:pPr>
      <w:r w:rsidRPr="00237DFA">
        <w:rPr>
          <w:rFonts w:ascii="Times New Roman" w:eastAsia="Times New Roman" w:hAnsi="Times New Roman" w:cs="Times New Roman"/>
          <w:color w:val="1F2126"/>
          <w:sz w:val="24"/>
          <w:szCs w:val="24"/>
          <w:lang w:val="en-GB" w:eastAsia="en-GB"/>
        </w:rPr>
        <w:lastRenderedPageBreak/>
        <w:t xml:space="preserve">Aba Gerima watershed is bounded by two Kebeles namely, Gonibat Aba Gerima to the north and North West and Laguna Abune Hana to the south and South West, but the majority of the watershed is found in Gonibat Aba Gerima Kebele. Aba Gerima watershed covers an area of 900 ha. The watershed is part of Tana Sub-basin located nearby Lake Tana. </w:t>
      </w:r>
      <w:r w:rsidRPr="00237DFA">
        <w:rPr>
          <w:rFonts w:ascii="Times New Roman" w:eastAsia="Calibri" w:hAnsi="Times New Roman" w:cs="Times New Roman"/>
          <w:color w:val="000000"/>
          <w:sz w:val="24"/>
          <w:szCs w:val="24"/>
        </w:rPr>
        <w:t>The study watershed is located between 11</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38'30" and 11</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41'30"N latitude and 37</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29'0" and 37</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 xml:space="preserve">31'0"E longitude (Figure 3.1). </w:t>
      </w:r>
      <w:r w:rsidRPr="00237DFA">
        <w:rPr>
          <w:rFonts w:ascii="Times New Roman" w:eastAsia="Calibri" w:hAnsi="Times New Roman" w:cs="Times New Roman"/>
          <w:sz w:val="24"/>
          <w:szCs w:val="24"/>
        </w:rPr>
        <w:t>The location of the watershed is between 1600 and 2200 m.a.s.l.</w:t>
      </w:r>
      <w:r w:rsidRPr="00237DFA">
        <w:rPr>
          <w:rFonts w:ascii="Times New Roman" w:eastAsia="Calibri" w:hAnsi="Times New Roman" w:cs="Times New Roman"/>
          <w:color w:val="000000"/>
          <w:sz w:val="24"/>
          <w:szCs w:val="24"/>
        </w:rPr>
        <w:t xml:space="preserve"> The elevation in the study watersheds ranges from 1880 m to 2078m, which is typical for a tropical highland environment. </w:t>
      </w:r>
    </w:p>
    <w:p w:rsidR="00237DFA" w:rsidRPr="00237DFA" w:rsidRDefault="00237DFA" w:rsidP="00237DFA">
      <w:pPr>
        <w:spacing w:before="60" w:after="120" w:line="480" w:lineRule="auto"/>
        <w:jc w:val="center"/>
        <w:rPr>
          <w:rFonts w:ascii="Times New Roman" w:eastAsia="Calibri" w:hAnsi="Times New Roman" w:cs="Times New Roman"/>
          <w:b/>
          <w:bCs/>
          <w:sz w:val="24"/>
          <w:szCs w:val="24"/>
        </w:rPr>
      </w:pPr>
      <w:bookmarkStart w:id="2" w:name="_Toc171283400"/>
      <w:r w:rsidRPr="00237DFA">
        <w:rPr>
          <w:rFonts w:ascii="Times New Roman" w:eastAsia="Calibri" w:hAnsi="Times New Roman" w:cs="Times New Roman"/>
          <w:b/>
          <w:bCs/>
          <w:sz w:val="24"/>
          <w:szCs w:val="24"/>
        </w:rPr>
        <w:t xml:space="preserve"> </w:t>
      </w:r>
      <w:r w:rsidR="00193234" w:rsidRPr="00574EBE">
        <w:rPr>
          <w:rFonts w:ascii="Times New Roman" w:eastAsia="Calibri" w:hAnsi="Times New Roman" w:cs="Times New Roman"/>
          <w:noProof/>
          <w:color w:val="000000"/>
          <w:sz w:val="24"/>
          <w:szCs w:val="24"/>
          <w:lang w:val="en-IN" w:eastAsia="en-IN"/>
        </w:rPr>
        <w:drawing>
          <wp:inline distT="0" distB="0" distL="0" distR="0" wp14:anchorId="13CB930A" wp14:editId="03D4AFFE">
            <wp:extent cx="4895849" cy="2828925"/>
            <wp:effectExtent l="0" t="0" r="635" b="0"/>
            <wp:docPr id="4" name="Picture 4" descr="C:\Users\HP\Desktop\study area 20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tudy area 2024.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1929" cy="2838216"/>
                    </a:xfrm>
                    <a:prstGeom prst="rect">
                      <a:avLst/>
                    </a:prstGeom>
                    <a:noFill/>
                    <a:ln>
                      <a:noFill/>
                    </a:ln>
                  </pic:spPr>
                </pic:pic>
              </a:graphicData>
            </a:graphic>
          </wp:inline>
        </w:drawing>
      </w:r>
    </w:p>
    <w:p w:rsidR="00237DFA" w:rsidRPr="00237DFA" w:rsidRDefault="00237DFA" w:rsidP="00237DFA">
      <w:pPr>
        <w:spacing w:before="60" w:after="120" w:line="480" w:lineRule="auto"/>
        <w:jc w:val="center"/>
        <w:rPr>
          <w:rFonts w:ascii="Times New Roman" w:eastAsia="Calibri" w:hAnsi="Times New Roman" w:cs="Times New Roman"/>
          <w:b/>
          <w:bCs/>
          <w:sz w:val="24"/>
          <w:szCs w:val="24"/>
          <w:lang w:val="en-GB"/>
        </w:rPr>
      </w:pPr>
      <w:r w:rsidRPr="00237DFA">
        <w:rPr>
          <w:rFonts w:ascii="Times New Roman" w:eastAsia="Calibri" w:hAnsi="Times New Roman" w:cs="Times New Roman"/>
          <w:b/>
          <w:bCs/>
          <w:sz w:val="24"/>
          <w:szCs w:val="24"/>
        </w:rPr>
        <w:t>Figure 2.</w:t>
      </w:r>
      <w:r w:rsidRPr="00237DFA">
        <w:rPr>
          <w:rFonts w:ascii="Times New Roman" w:eastAsia="Calibri" w:hAnsi="Times New Roman" w:cs="Times New Roman"/>
          <w:b/>
          <w:bCs/>
          <w:sz w:val="24"/>
          <w:szCs w:val="24"/>
        </w:rPr>
        <w:fldChar w:fldCharType="begin"/>
      </w:r>
      <w:r w:rsidRPr="00237DFA">
        <w:rPr>
          <w:rFonts w:ascii="Times New Roman" w:eastAsia="Calibri" w:hAnsi="Times New Roman" w:cs="Times New Roman"/>
          <w:b/>
          <w:bCs/>
          <w:sz w:val="24"/>
          <w:szCs w:val="24"/>
        </w:rPr>
        <w:instrText xml:space="preserve"> SEQ Figure_3. \* ARABIC </w:instrText>
      </w:r>
      <w:r w:rsidRPr="00237DFA">
        <w:rPr>
          <w:rFonts w:ascii="Times New Roman" w:eastAsia="Calibri" w:hAnsi="Times New Roman" w:cs="Times New Roman"/>
          <w:b/>
          <w:bCs/>
          <w:sz w:val="24"/>
          <w:szCs w:val="24"/>
        </w:rPr>
        <w:fldChar w:fldCharType="separate"/>
      </w:r>
      <w:r w:rsidR="00060D03">
        <w:rPr>
          <w:rFonts w:ascii="Times New Roman" w:eastAsia="Calibri" w:hAnsi="Times New Roman" w:cs="Times New Roman"/>
          <w:b/>
          <w:bCs/>
          <w:noProof/>
          <w:sz w:val="24"/>
          <w:szCs w:val="24"/>
        </w:rPr>
        <w:t>1</w:t>
      </w:r>
      <w:r w:rsidRPr="00237DFA">
        <w:rPr>
          <w:rFonts w:ascii="Times New Roman" w:eastAsia="Calibri" w:hAnsi="Times New Roman" w:cs="Times New Roman"/>
          <w:b/>
          <w:bCs/>
          <w:sz w:val="24"/>
          <w:szCs w:val="24"/>
        </w:rPr>
        <w:fldChar w:fldCharType="end"/>
      </w:r>
      <w:r w:rsidRPr="00237DFA">
        <w:rPr>
          <w:rFonts w:ascii="Times New Roman" w:eastAsia="Calibri" w:hAnsi="Times New Roman" w:cs="Times New Roman"/>
          <w:b/>
          <w:bCs/>
          <w:sz w:val="24"/>
          <w:szCs w:val="24"/>
        </w:rPr>
        <w:t>:</w:t>
      </w:r>
      <w:r w:rsidRPr="00237DFA">
        <w:rPr>
          <w:rFonts w:ascii="Times New Roman" w:eastAsia="Calibri" w:hAnsi="Times New Roman" w:cs="Times New Roman"/>
          <w:b/>
          <w:bCs/>
          <w:sz w:val="24"/>
          <w:szCs w:val="24"/>
          <w:lang w:val="en-GB"/>
        </w:rPr>
        <w:t xml:space="preserve"> Study area location</w:t>
      </w:r>
      <w:bookmarkEnd w:id="2"/>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lang w:val="en-GB"/>
        </w:rPr>
        <w:t>Figure 3.1 indicates (a) a Map of Ethiopia and Amhara region, (b) the North Gojjam Zone, (c) Indicates Bahir Dar Zuria District, and (d) Indicate Aba Gerima watershed area, watershed streams feature, and experimental site.</w:t>
      </w:r>
    </w:p>
    <w:p w:rsidR="00237DFA" w:rsidRPr="00237DFA" w:rsidRDefault="00237DFA" w:rsidP="00237DFA">
      <w:pPr>
        <w:spacing w:after="120" w:line="480" w:lineRule="auto"/>
        <w:jc w:val="both"/>
        <w:rPr>
          <w:rFonts w:ascii="Times New Roman" w:eastAsia="Times New Roman" w:hAnsi="Times New Roman" w:cs="Times New Roman"/>
          <w:b/>
          <w:sz w:val="24"/>
          <w:szCs w:val="24"/>
        </w:rPr>
      </w:pPr>
      <w:r w:rsidRPr="00237DFA">
        <w:rPr>
          <w:rFonts w:ascii="Times New Roman" w:eastAsia="Times New Roman" w:hAnsi="Times New Roman" w:cs="Times New Roman"/>
          <w:b/>
          <w:sz w:val="24"/>
          <w:szCs w:val="24"/>
        </w:rPr>
        <w:t>2.2 Sampling Technique</w:t>
      </w:r>
    </w:p>
    <w:p w:rsidR="00237DFA" w:rsidRPr="00237DFA" w:rsidRDefault="00237DFA" w:rsidP="00237DFA">
      <w:pPr>
        <w:spacing w:after="120" w:line="480" w:lineRule="auto"/>
        <w:jc w:val="both"/>
        <w:rPr>
          <w:rFonts w:ascii="Times New Roman" w:eastAsia="Calibri" w:hAnsi="Times New Roman" w:cs="Times New Roman"/>
          <w:b/>
          <w:sz w:val="24"/>
          <w:szCs w:val="24"/>
          <w:lang w:val="en-GB"/>
        </w:rPr>
      </w:pPr>
      <w:r w:rsidRPr="00237DFA">
        <w:rPr>
          <w:rFonts w:ascii="Times New Roman" w:eastAsia="Times New Roman" w:hAnsi="Times New Roman" w:cs="Times New Roman"/>
          <w:b/>
          <w:sz w:val="24"/>
          <w:szCs w:val="24"/>
        </w:rPr>
        <w:t xml:space="preserve">2.2.1 </w:t>
      </w:r>
      <w:r w:rsidRPr="00237DFA">
        <w:rPr>
          <w:rFonts w:ascii="Times New Roman" w:eastAsia="Calibri" w:hAnsi="Times New Roman" w:cs="Times New Roman"/>
          <w:b/>
          <w:sz w:val="24"/>
          <w:szCs w:val="24"/>
          <w:lang w:val="en-GB"/>
        </w:rPr>
        <w:t xml:space="preserve">Selection of the specific tree species </w:t>
      </w:r>
    </w:p>
    <w:p w:rsidR="00237DFA" w:rsidRPr="00237DFA" w:rsidRDefault="00237DFA" w:rsidP="00237DFA">
      <w:pPr>
        <w:spacing w:after="120" w:line="480" w:lineRule="auto"/>
        <w:jc w:val="both"/>
        <w:rPr>
          <w:rFonts w:ascii="Times New Roman" w:eastAsia="Times New Roman" w:hAnsi="Times New Roman" w:cs="Times New Roman"/>
          <w:color w:val="000000"/>
          <w:sz w:val="24"/>
          <w:szCs w:val="24"/>
        </w:rPr>
      </w:pPr>
      <w:r w:rsidRPr="00237DFA">
        <w:rPr>
          <w:rFonts w:ascii="Times New Roman" w:eastAsia="Calibri" w:hAnsi="Times New Roman" w:cs="Times New Roman"/>
          <w:color w:val="000000"/>
          <w:sz w:val="24"/>
          <w:szCs w:val="24"/>
          <w:shd w:val="clear" w:color="auto" w:fill="FFFFFF"/>
        </w:rPr>
        <w:lastRenderedPageBreak/>
        <w:t xml:space="preserve">The dominant tree species in the Aba Gerima watershed were </w:t>
      </w:r>
      <w:r w:rsidRPr="00237DFA">
        <w:rPr>
          <w:rFonts w:ascii="Times New Roman" w:eastAsia="Calibri" w:hAnsi="Times New Roman" w:cs="Times New Roman"/>
          <w:i/>
          <w:color w:val="000000"/>
          <w:sz w:val="24"/>
          <w:szCs w:val="24"/>
          <w:shd w:val="clear" w:color="auto" w:fill="FFFFFF"/>
        </w:rPr>
        <w:t>Croton macrostachyus</w:t>
      </w:r>
      <w:r w:rsidRPr="00237DFA">
        <w:rPr>
          <w:rFonts w:ascii="Times New Roman" w:eastAsia="Calibri" w:hAnsi="Times New Roman" w:cs="Times New Roman"/>
          <w:color w:val="000000"/>
          <w:sz w:val="24"/>
          <w:szCs w:val="24"/>
          <w:shd w:val="clear" w:color="auto" w:fill="FFFFFF"/>
        </w:rPr>
        <w:t xml:space="preserve"> and</w:t>
      </w:r>
      <w:r w:rsidRPr="00237DFA">
        <w:rPr>
          <w:rFonts w:ascii="Times New Roman" w:eastAsia="Calibri" w:hAnsi="Times New Roman" w:cs="Times New Roman"/>
          <w:i/>
          <w:color w:val="000000"/>
          <w:sz w:val="24"/>
          <w:szCs w:val="24"/>
          <w:shd w:val="clear" w:color="auto" w:fill="FFFFFF"/>
        </w:rPr>
        <w:t xml:space="preserve"> Cordia africana</w:t>
      </w:r>
      <w:r w:rsidRPr="00237DFA">
        <w:rPr>
          <w:rFonts w:ascii="Times New Roman" w:eastAsia="Times New Roman" w:hAnsi="Times New Roman" w:cs="Times New Roman"/>
          <w:color w:val="000000"/>
          <w:sz w:val="24"/>
          <w:szCs w:val="24"/>
        </w:rPr>
        <w:t xml:space="preserve">. Therefore, these two agroforestry species were found to be appropriate for this study. The selected watershed with these tree species is characterized by approximately similar slopes where under the shade of these tree species </w:t>
      </w:r>
      <w:r w:rsidRPr="00237DFA">
        <w:rPr>
          <w:rFonts w:ascii="Times New Roman" w:eastAsia="Calibri" w:hAnsi="Times New Roman" w:cs="Times New Roman"/>
          <w:i/>
          <w:sz w:val="24"/>
          <w:szCs w:val="24"/>
        </w:rPr>
        <w:t>Rhamnus prinoides</w:t>
      </w:r>
      <w:r w:rsidRPr="00237DFA">
        <w:rPr>
          <w:rFonts w:ascii="Times New Roman" w:eastAsia="Calibri" w:hAnsi="Times New Roman" w:cs="Times New Roman"/>
          <w:sz w:val="24"/>
          <w:szCs w:val="24"/>
        </w:rPr>
        <w:t xml:space="preserve"> and </w:t>
      </w:r>
      <w:r w:rsidRPr="00237DFA">
        <w:rPr>
          <w:rFonts w:ascii="Times New Roman" w:eastAsia="Times New Roman" w:hAnsi="Times New Roman" w:cs="Times New Roman"/>
          <w:i/>
          <w:iCs/>
          <w:color w:val="242021"/>
          <w:sz w:val="24"/>
          <w:szCs w:val="24"/>
        </w:rPr>
        <w:t xml:space="preserve">Coffea arabica </w:t>
      </w:r>
      <w:r w:rsidRPr="00237DFA">
        <w:rPr>
          <w:rFonts w:ascii="Times New Roman" w:eastAsia="Times New Roman" w:hAnsi="Times New Roman" w:cs="Times New Roman"/>
          <w:color w:val="000000"/>
          <w:sz w:val="24"/>
          <w:szCs w:val="24"/>
        </w:rPr>
        <w:t xml:space="preserve">were grown as the main socioeconomic cash crop of the area.  The sampled trees taken also have a more or less similar management history.  On the selected field, individual trees of </w:t>
      </w:r>
      <w:r w:rsidRPr="00237DFA">
        <w:rPr>
          <w:rFonts w:ascii="Times New Roman" w:eastAsia="Times New Roman" w:hAnsi="Times New Roman" w:cs="Times New Roman"/>
          <w:i/>
          <w:color w:val="000000"/>
          <w:sz w:val="24"/>
          <w:szCs w:val="24"/>
        </w:rPr>
        <w:t>Croton macrostachyus</w:t>
      </w:r>
      <w:r w:rsidRPr="00237DFA">
        <w:rPr>
          <w:rFonts w:ascii="Times New Roman" w:eastAsia="Times New Roman" w:hAnsi="Times New Roman" w:cs="Times New Roman"/>
          <w:color w:val="000000"/>
          <w:sz w:val="24"/>
          <w:szCs w:val="24"/>
        </w:rPr>
        <w:t xml:space="preserve"> and</w:t>
      </w:r>
      <w:r w:rsidRPr="00237DFA">
        <w:rPr>
          <w:rFonts w:ascii="Times New Roman" w:eastAsia="Times New Roman" w:hAnsi="Times New Roman" w:cs="Times New Roman"/>
          <w:i/>
          <w:color w:val="000000"/>
          <w:sz w:val="24"/>
          <w:szCs w:val="24"/>
        </w:rPr>
        <w:t xml:space="preserve"> Cordia africana</w:t>
      </w:r>
      <w:r w:rsidRPr="00237DFA">
        <w:rPr>
          <w:rFonts w:ascii="Times New Roman" w:eastAsia="Times New Roman" w:hAnsi="Times New Roman" w:cs="Times New Roman"/>
          <w:color w:val="000000"/>
          <w:sz w:val="24"/>
          <w:szCs w:val="24"/>
        </w:rPr>
        <w:t xml:space="preserve"> having approximately similar height, diameter at breast height (DBH), crown diameter, and uniform site conditions were taken to factors nearly constant. The potential candidate trees identified, three individual </w:t>
      </w:r>
      <w:r w:rsidRPr="00237DFA">
        <w:rPr>
          <w:rFonts w:ascii="Times New Roman" w:eastAsia="Times New Roman" w:hAnsi="Times New Roman" w:cs="Times New Roman"/>
          <w:i/>
          <w:color w:val="000000"/>
          <w:sz w:val="24"/>
          <w:szCs w:val="24"/>
        </w:rPr>
        <w:t>Croton macrostachyus</w:t>
      </w:r>
      <w:r w:rsidRPr="00237DFA">
        <w:rPr>
          <w:rFonts w:ascii="Times New Roman" w:eastAsia="Times New Roman" w:hAnsi="Times New Roman" w:cs="Times New Roman"/>
          <w:color w:val="000000"/>
          <w:sz w:val="24"/>
          <w:szCs w:val="24"/>
        </w:rPr>
        <w:t xml:space="preserve"> and</w:t>
      </w:r>
      <w:r w:rsidRPr="00237DFA">
        <w:rPr>
          <w:rFonts w:ascii="Times New Roman" w:eastAsia="Times New Roman" w:hAnsi="Times New Roman" w:cs="Times New Roman"/>
          <w:i/>
          <w:color w:val="000000"/>
          <w:sz w:val="24"/>
          <w:szCs w:val="24"/>
        </w:rPr>
        <w:t xml:space="preserve"> Cordia africana</w:t>
      </w:r>
      <w:r w:rsidRPr="00237DFA">
        <w:rPr>
          <w:rFonts w:ascii="Times New Roman" w:eastAsia="Times New Roman" w:hAnsi="Times New Roman" w:cs="Times New Roman"/>
          <w:color w:val="000000"/>
          <w:sz w:val="24"/>
          <w:szCs w:val="24"/>
        </w:rPr>
        <w:t xml:space="preserve"> trees were selected purposively for this study.</w:t>
      </w:r>
    </w:p>
    <w:p w:rsidR="00237DFA" w:rsidRPr="00237DFA" w:rsidRDefault="00237DFA" w:rsidP="00237DFA">
      <w:pPr>
        <w:keepNext/>
        <w:keepLines/>
        <w:spacing w:before="120" w:after="120" w:line="360" w:lineRule="auto"/>
        <w:outlineLvl w:val="2"/>
        <w:rPr>
          <w:rFonts w:ascii="Times New Roman" w:eastAsia="Times New Roman" w:hAnsi="Times New Roman" w:cs="Times New Roman"/>
          <w:b/>
          <w:sz w:val="24"/>
          <w:szCs w:val="24"/>
          <w:lang w:val="en-GB"/>
        </w:rPr>
      </w:pPr>
      <w:bookmarkStart w:id="3" w:name="_Toc171282902"/>
      <w:r w:rsidRPr="00237DFA">
        <w:rPr>
          <w:rFonts w:ascii="Times New Roman" w:eastAsia="Times New Roman" w:hAnsi="Times New Roman" w:cs="Times New Roman"/>
          <w:b/>
          <w:sz w:val="24"/>
          <w:szCs w:val="24"/>
          <w:lang w:val="en-GB"/>
        </w:rPr>
        <w:t>2.2.2 The estimating of leaf litter collection</w:t>
      </w:r>
      <w:bookmarkEnd w:id="3"/>
    </w:p>
    <w:p w:rsidR="00237DFA" w:rsidRPr="00237DFA" w:rsidRDefault="00237DFA" w:rsidP="00237DFA">
      <w:pPr>
        <w:spacing w:after="120" w:line="480" w:lineRule="auto"/>
        <w:jc w:val="both"/>
        <w:rPr>
          <w:rFonts w:ascii="Times New Roman" w:eastAsia="Times New Roman" w:hAnsi="Times New Roman" w:cs="Times New Roman"/>
          <w:sz w:val="24"/>
          <w:szCs w:val="24"/>
          <w:lang w:val="en-GB" w:eastAsia="en-GB"/>
        </w:rPr>
      </w:pPr>
      <w:r w:rsidRPr="00237DFA">
        <w:rPr>
          <w:rFonts w:ascii="Times New Roman" w:eastAsia="Times New Roman" w:hAnsi="Times New Roman" w:cs="Times New Roman"/>
          <w:sz w:val="24"/>
          <w:szCs w:val="24"/>
          <w:lang w:val="en-GB" w:eastAsia="en-GB"/>
        </w:rPr>
        <w:t xml:space="preserve">For this study, litterfall samples were collected from isolated trees of the species </w:t>
      </w:r>
      <w:r w:rsidRPr="00237DFA">
        <w:rPr>
          <w:rFonts w:ascii="Times New Roman" w:eastAsia="Times New Roman" w:hAnsi="Times New Roman" w:cs="Times New Roman"/>
          <w:i/>
          <w:sz w:val="24"/>
          <w:szCs w:val="24"/>
          <w:lang w:val="en-GB" w:eastAsia="en-GB"/>
        </w:rPr>
        <w:t>Croton macrostachyus</w:t>
      </w:r>
      <w:r w:rsidRPr="00237DFA">
        <w:rPr>
          <w:rFonts w:ascii="Times New Roman" w:eastAsia="Times New Roman" w:hAnsi="Times New Roman" w:cs="Times New Roman"/>
          <w:sz w:val="24"/>
          <w:szCs w:val="24"/>
          <w:lang w:val="en-GB" w:eastAsia="en-GB"/>
        </w:rPr>
        <w:t xml:space="preserve"> and </w:t>
      </w:r>
      <w:r w:rsidRPr="00237DFA">
        <w:rPr>
          <w:rFonts w:ascii="Times New Roman" w:eastAsia="Times New Roman" w:hAnsi="Times New Roman" w:cs="Times New Roman"/>
          <w:i/>
          <w:sz w:val="24"/>
          <w:szCs w:val="24"/>
          <w:lang w:val="en-GB" w:eastAsia="en-GB"/>
        </w:rPr>
        <w:t>Cordia africana</w:t>
      </w:r>
      <w:r w:rsidRPr="00237DFA">
        <w:rPr>
          <w:rFonts w:ascii="Times New Roman" w:eastAsia="Times New Roman" w:hAnsi="Times New Roman" w:cs="Times New Roman"/>
          <w:sz w:val="24"/>
          <w:szCs w:val="24"/>
          <w:lang w:val="en-GB" w:eastAsia="en-GB"/>
        </w:rPr>
        <w:t xml:space="preserve"> growing in the same soil type, landscape location, and roughly comparable age of the tree species</w:t>
      </w:r>
      <w:r w:rsidRPr="00237DFA">
        <w:rPr>
          <w:rFonts w:ascii="Times New Roman" w:eastAsia="Times New Roman" w:hAnsi="Times New Roman" w:cs="Times New Roman"/>
          <w:color w:val="FF0000"/>
          <w:sz w:val="24"/>
          <w:szCs w:val="24"/>
          <w:lang w:val="en-GB" w:eastAsia="en-GB"/>
        </w:rPr>
        <w:t xml:space="preserve">. </w:t>
      </w:r>
      <w:r w:rsidRPr="00237DFA">
        <w:rPr>
          <w:rFonts w:ascii="Times New Roman" w:eastAsia="Times New Roman" w:hAnsi="Times New Roman" w:cs="Times New Roman"/>
          <w:sz w:val="24"/>
          <w:szCs w:val="24"/>
          <w:lang w:val="en-GB" w:eastAsia="en-GB"/>
        </w:rPr>
        <w:t xml:space="preserve">Leaf litter from the selected tree species was collected every 15 days using litter bags from February 2023 to May 2023 to estimate litterfall.  In the four sides of the tree canopy 1.5×1.5 meter plots were laid for each tree species beneath the canopy. The three replicate plots each containing four composite litter bags contain the 24 bag samples of each species. After the bags had been used for approximately four months, one sample bag of each species was taken from each plot every two weeks. A total of 24 sample bags were installed, i.e. 2×3×4 each (tree species, replication, and sample bags). The sample bags in the four directions were mixed and six composite samples were taken for analysis from each sample tree. </w:t>
      </w:r>
    </w:p>
    <w:p w:rsidR="00237DFA" w:rsidRPr="00237DFA" w:rsidRDefault="00237DFA" w:rsidP="00237DFA">
      <w:pPr>
        <w:spacing w:after="0" w:line="360" w:lineRule="auto"/>
        <w:jc w:val="both"/>
        <w:textAlignment w:val="baseline"/>
        <w:rPr>
          <w:rFonts w:ascii="Times New Roman" w:eastAsia="Times New Roman" w:hAnsi="Times New Roman" w:cs="Times New Roman"/>
          <w:sz w:val="24"/>
          <w:szCs w:val="24"/>
          <w:lang w:val="en-GB" w:eastAsia="en-GB"/>
        </w:rPr>
      </w:pPr>
      <w:r w:rsidRPr="00237DFA">
        <w:rPr>
          <w:rFonts w:ascii="Times New Roman" w:eastAsia="Times New Roman" w:hAnsi="Times New Roman" w:cs="Times New Roman"/>
          <w:b/>
          <w:sz w:val="24"/>
          <w:szCs w:val="24"/>
          <w:lang w:val="en-GB" w:eastAsia="en-GB"/>
        </w:rPr>
        <w:lastRenderedPageBreak/>
        <w:t>Calculate the crown area;</w:t>
      </w:r>
      <w:r w:rsidRPr="00237DFA">
        <w:rPr>
          <w:rFonts w:ascii="Times New Roman" w:eastAsia="Times New Roman" w:hAnsi="Times New Roman" w:cs="Times New Roman"/>
          <w:sz w:val="24"/>
          <w:szCs w:val="24"/>
          <w:lang w:val="en-GB" w:eastAsia="en-GB"/>
        </w:rPr>
        <w:t xml:space="preserve"> (assuming an elliptical crown shape) using the formula (Kuyah et al., 2012).  ca = π(d/2) × (w/2)……………Eq.1</w:t>
      </w:r>
    </w:p>
    <w:p w:rsidR="00237DFA" w:rsidRPr="00237DFA" w:rsidRDefault="00237DFA" w:rsidP="00237DFA">
      <w:pPr>
        <w:spacing w:after="0" w:line="360" w:lineRule="auto"/>
        <w:jc w:val="both"/>
        <w:textAlignment w:val="baseline"/>
        <w:rPr>
          <w:rFonts w:ascii="Times New Roman" w:eastAsia="Calibri" w:hAnsi="Times New Roman" w:cs="Times New Roman"/>
          <w:b/>
          <w:kern w:val="24"/>
          <w:sz w:val="24"/>
          <w:szCs w:val="24"/>
        </w:rPr>
      </w:pPr>
      <w:r w:rsidRPr="00237DFA">
        <w:rPr>
          <w:rFonts w:ascii="Times New Roman" w:eastAsia="Times New Roman" w:hAnsi="Times New Roman" w:cs="Times New Roman"/>
          <w:sz w:val="24"/>
          <w:szCs w:val="24"/>
          <w:lang w:val="en-GB" w:eastAsia="en-GB"/>
        </w:rPr>
        <w:t>Where d is the crown diameter at its widest point and w is the perpendicular crown extent at the same height.</w:t>
      </w:r>
    </w:p>
    <w:p w:rsidR="00237DFA" w:rsidRPr="00237DFA" w:rsidRDefault="00237DFA" w:rsidP="00237DFA">
      <w:pPr>
        <w:spacing w:after="0" w:line="360" w:lineRule="auto"/>
        <w:jc w:val="both"/>
        <w:textAlignment w:val="baseline"/>
        <w:rPr>
          <w:rFonts w:ascii="Times New Roman" w:eastAsia="Calibri" w:hAnsi="Times New Roman" w:cs="Times New Roman"/>
          <w:color w:val="000000"/>
          <w:sz w:val="24"/>
          <w:szCs w:val="24"/>
        </w:rPr>
      </w:pPr>
      <w:r w:rsidRPr="00237DFA">
        <w:rPr>
          <w:rFonts w:ascii="Times New Roman" w:eastAsia="Calibri" w:hAnsi="Times New Roman" w:cs="Times New Roman"/>
          <w:b/>
          <w:kern w:val="24"/>
          <w:sz w:val="24"/>
          <w:szCs w:val="24"/>
        </w:rPr>
        <w:t>The amount of litterfall:</w:t>
      </w:r>
      <w:r w:rsidRPr="00237DFA">
        <w:rPr>
          <w:rFonts w:ascii="Times New Roman" w:eastAsia="Calibri" w:hAnsi="Times New Roman" w:cs="Times New Roman"/>
          <w:color w:val="000000"/>
          <w:sz w:val="24"/>
          <w:szCs w:val="24"/>
        </w:rPr>
        <w:t xml:space="preserve"> The litter trap samples were estimated from the litterfall plot established beneath the tree and litterfall samples were collected every two weeks the amount of litter was determined using the plot area (m</w:t>
      </w:r>
      <w:r w:rsidRPr="00237DFA">
        <w:rPr>
          <w:rFonts w:ascii="Times New Roman" w:eastAsia="Calibri" w:hAnsi="Times New Roman" w:cs="Times New Roman"/>
          <w:color w:val="000000"/>
          <w:sz w:val="24"/>
          <w:szCs w:val="24"/>
          <w:vertAlign w:val="superscript"/>
        </w:rPr>
        <w:t>2</w:t>
      </w:r>
      <w:r w:rsidRPr="00237DFA">
        <w:rPr>
          <w:rFonts w:ascii="Times New Roman" w:eastAsia="Calibri" w:hAnsi="Times New Roman" w:cs="Times New Roman"/>
          <w:color w:val="000000"/>
          <w:sz w:val="24"/>
          <w:szCs w:val="24"/>
        </w:rPr>
        <w:t>), the canopy or crown area (m</w:t>
      </w:r>
      <w:r w:rsidRPr="00237DFA">
        <w:rPr>
          <w:rFonts w:ascii="Times New Roman" w:eastAsia="Calibri" w:hAnsi="Times New Roman" w:cs="Times New Roman"/>
          <w:color w:val="000000"/>
          <w:sz w:val="24"/>
          <w:szCs w:val="24"/>
          <w:vertAlign w:val="superscript"/>
        </w:rPr>
        <w:t>2</w:t>
      </w:r>
      <w:r w:rsidRPr="00237DFA">
        <w:rPr>
          <w:rFonts w:ascii="Times New Roman" w:eastAsia="Calibri" w:hAnsi="Times New Roman" w:cs="Times New Roman"/>
          <w:color w:val="000000"/>
          <w:sz w:val="24"/>
          <w:szCs w:val="24"/>
        </w:rPr>
        <w:t xml:space="preserve">), and the amount of litterfall (g) collected (Eq. 2, ): </w:t>
      </w:r>
    </w:p>
    <w:p w:rsidR="00237DFA" w:rsidRPr="00237DFA" w:rsidRDefault="00237DFA" w:rsidP="00237DFA">
      <w:pPr>
        <w:spacing w:after="0" w:line="360" w:lineRule="auto"/>
        <w:jc w:val="both"/>
        <w:textAlignment w:val="baseline"/>
        <w:rPr>
          <w:rFonts w:ascii="Times New Roman" w:eastAsia="Times New Roman" w:hAnsi="Times New Roman" w:cs="Times New Roman"/>
          <w:sz w:val="24"/>
          <w:szCs w:val="24"/>
        </w:rPr>
      </w:pPr>
      <m:oMath>
        <m:r>
          <w:rPr>
            <w:rFonts w:ascii="Cambria Math" w:eastAsia="Calibri" w:hAnsi="Cambria Math" w:cs="Times New Roman"/>
            <w:sz w:val="24"/>
            <w:szCs w:val="24"/>
          </w:rPr>
          <m:t>Amount</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oflitterfall</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g</m:t>
        </m:r>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w:rPr>
                <w:rFonts w:ascii="Cambria Math" w:eastAsia="Calibri" w:hAnsi="Cambria Math" w:cs="Times New Roman"/>
                <w:sz w:val="24"/>
                <w:szCs w:val="24"/>
              </w:rPr>
              <m:t>Tree</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crown</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area</m:t>
            </m:r>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w:rPr>
                        <w:rFonts w:ascii="Cambria Math" w:eastAsia="Calibri" w:hAnsi="Cambria Math" w:cs="Times New Roman"/>
                        <w:sz w:val="24"/>
                        <w:szCs w:val="24"/>
                      </w:rPr>
                      <m:t>m</m:t>
                    </m:r>
                  </m:e>
                  <m:sup>
                    <m:r>
                      <m:rPr>
                        <m:sty m:val="p"/>
                      </m:rPr>
                      <w:rPr>
                        <w:rFonts w:ascii="Cambria Math" w:eastAsia="Calibri" w:hAnsi="Cambria Math" w:cs="Times New Roman"/>
                        <w:sz w:val="24"/>
                        <w:szCs w:val="24"/>
                      </w:rPr>
                      <m:t>2</m:t>
                    </m:r>
                  </m:sup>
                </m:sSup>
              </m:e>
            </m:d>
            <m:r>
              <m:rPr>
                <m:sty m:val="p"/>
              </m:rPr>
              <w:rPr>
                <w:rFonts w:ascii="Cambria Math" w:eastAsia="Calibri" w:hAnsi="Cambria Math" w:cs="Times New Roman"/>
                <w:sz w:val="24"/>
                <w:szCs w:val="24"/>
              </w:rPr>
              <m:t>×</m:t>
            </m:r>
            <m:r>
              <w:rPr>
                <w:rFonts w:ascii="Cambria Math" w:eastAsia="Calibri" w:hAnsi="Cambria Math" w:cs="Times New Roman"/>
                <w:sz w:val="24"/>
                <w:szCs w:val="24"/>
              </w:rPr>
              <m:t>litterfall</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collected</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g</m:t>
            </m:r>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rPr>
              <m:t>Plot area (</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m</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den>
        </m:f>
      </m:oMath>
      <w:r w:rsidRPr="00237DFA">
        <w:rPr>
          <w:rFonts w:ascii="Times New Roman" w:eastAsia="Times New Roman" w:hAnsi="Times New Roman" w:cs="Times New Roman"/>
          <w:sz w:val="24"/>
          <w:szCs w:val="24"/>
        </w:rPr>
        <w:t>……Eq. 2</w:t>
      </w:r>
    </w:p>
    <w:p w:rsidR="00237DFA" w:rsidRPr="00237DFA" w:rsidRDefault="00237DFA" w:rsidP="00237DFA">
      <w:pPr>
        <w:keepNext/>
        <w:keepLines/>
        <w:spacing w:before="120" w:after="120" w:line="360" w:lineRule="auto"/>
        <w:outlineLvl w:val="2"/>
        <w:rPr>
          <w:rFonts w:ascii="Times New Roman" w:eastAsia="Times New Roman" w:hAnsi="Times New Roman" w:cs="Times New Roman"/>
          <w:b/>
          <w:sz w:val="24"/>
          <w:szCs w:val="24"/>
          <w:lang w:val="en-GB" w:eastAsia="en-GB"/>
        </w:rPr>
      </w:pPr>
      <w:bookmarkStart w:id="4" w:name="_Toc171282903"/>
      <w:r w:rsidRPr="00237DFA">
        <w:rPr>
          <w:rFonts w:ascii="Times New Roman" w:eastAsia="Times New Roman" w:hAnsi="Times New Roman" w:cs="Times New Roman"/>
          <w:b/>
          <w:sz w:val="24"/>
          <w:szCs w:val="24"/>
          <w:lang w:val="en-GB" w:eastAsia="en-GB"/>
        </w:rPr>
        <w:t>2.2.3 Rate of decomposition</w:t>
      </w:r>
      <w:bookmarkEnd w:id="4"/>
    </w:p>
    <w:p w:rsidR="00237DFA" w:rsidRPr="00237DFA" w:rsidRDefault="00237DFA" w:rsidP="00237DFA">
      <w:pPr>
        <w:spacing w:after="120" w:line="360" w:lineRule="auto"/>
        <w:jc w:val="both"/>
        <w:rPr>
          <w:rFonts w:ascii="Times New Roman" w:eastAsia="Calibri" w:hAnsi="Times New Roman" w:cs="Times New Roman"/>
          <w:sz w:val="24"/>
          <w:szCs w:val="24"/>
        </w:rPr>
      </w:pPr>
      <w:r w:rsidRPr="00237DFA">
        <w:rPr>
          <w:rFonts w:ascii="Times New Roman" w:eastAsia="Calibri" w:hAnsi="Times New Roman" w:cs="Times New Roman"/>
          <w:sz w:val="24"/>
          <w:szCs w:val="24"/>
        </w:rPr>
        <w:t xml:space="preserve">Leaf litter decomposition was studied using the standard litter bag method defined by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{"citationItems":[{"id":"ITEM-1","itemData":{"author":[{"dropping-particle":"","family":"Swift","given":"M J","non-dropping-particle":"","parse-names":false,"suffix":""},{"dropping-particle":"","family":"Anderson","given":"J M","non-dropping-particle":"","parse-names":false,"suffix":""}],"id":"ITEM-1","issued":{"date-parts":[["1989"]]},"publisher":"Elsevier: Amsterdam","title":"Decomposition. In ‘Tropical rain forest ecosystems. Biogeographical and ecological studies.’(Eds H Lieth, MJA Werger) pp. 547–569","type":"article"},"uris":["http://www.mendeley.com/documents/?uuid=c93e771d-1977-49bb-a41e-a09fe4c2c273"]}],"mendeley":{"formattedCitation":"(Swift &amp; Anderson, 1989)","plainTextFormattedCitation":"(Swift &amp; Anderson, 1989)","previouslyFormattedCitation":"(Swift &amp; Anderson, 1989)"},"properties":{"noteIndex":0},"schema":"https://github.com/citation-style-language/schema/raw/master/csl-citation.json"}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(Swift &amp; Anderson, 1989)</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The 10 × 10 cm nylon mesh bags with a mesh size of 2 mm are used to hold batches of 5g of leaf litter oven-dried at 65</w:t>
      </w:r>
      <w:r w:rsidRPr="00237DFA">
        <w:rPr>
          <w:rFonts w:ascii="Times New Roman" w:eastAsia="Calibri" w:hAnsi="Times New Roman" w:cs="Times New Roman"/>
          <w:sz w:val="24"/>
          <w:szCs w:val="24"/>
          <w:vertAlign w:val="superscript"/>
        </w:rPr>
        <w:t>o</w:t>
      </w:r>
      <w:r w:rsidRPr="00237DFA">
        <w:rPr>
          <w:rFonts w:ascii="Times New Roman" w:eastAsia="Calibri" w:hAnsi="Times New Roman" w:cs="Times New Roman"/>
          <w:sz w:val="24"/>
          <w:szCs w:val="24"/>
        </w:rPr>
        <w:t xml:space="preserve">and 24 hours. Litter bags were placed and buried into the soil layer about 2cm deep in the ground where they were exposed to weathering and soil-borne decomposers. The data collection continued from February 2023 to September 2023, covering both the dry and wet seasons. Nylon meshes were installed in the dry and wet seasons, from February 2023 to September 2023. For each dry and wet season, species there were 24 bag samples; the three replication plots, each with four assembled litter bags. After using the litter bag technique in nylon mesh bags for approximately eight consecutive months, one sample bag of each species was removed from each plot every month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10.7176/jees/11-3-02","author":[{"dropping-particle":"","family":"Bekele","given":"Wondmagegn","non-dropping-particle":"","parse-names":false,"suffix":""},{"dropping-particle":"","family":"Nigatu","given":"Lisanework","non-dropping-particle":"","parse-names":false,"suffix":""},{"dropping-particle":"","family":"Wogi","given":"Lemma","non-dropping-particle":"","parse-names":false,"suffix":""}],"container-title":"Journal of Environment and Earth Science","id":"ITEM-1","issue":"May","issued":{"date-parts":[["2021"]]},"page":"411-417","title":"Foliage Litter Decomposition of Agroforestry Shrub Species in Dello-Menna District of Bale Zone, Southeast Ethiopia","type":"article-journal","volume":"8"},"uris":["http://www.mendeley.com/documents/?uuid=03b94c93-9637-4d4a-837d-7729d5aee88b"]}],"mendeley":{"formattedCitation":"(Bekele et al., 2021)","plainTextFormattedCitation":"(Bekele et al., 2021)","previouslyFormattedCitation":"(Bekele et al., 2021)"},"properties":{"noteIndex":0},"schema":"https://github.com/citation-style-language/schema/raw/master/csl-citation.json"}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(Bekele et al., 2021)</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During the dry season, 24 samples were collected using the nylon mesh bag technique, i.e. 2×3×4 (tree species, replication, and sample bag). Similarly, 24 sample bags were used for the wet season. A total of 48 sample bags were installed, i.e. 2×3×4×2 (tree species, replication, sample bag, and seasonal variation).</w:t>
      </w:r>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b/>
          <w:bCs/>
          <w:color w:val="000000"/>
          <w:sz w:val="24"/>
          <w:szCs w:val="24"/>
        </w:rPr>
        <w:t xml:space="preserve">Decomposition rate (k): </w:t>
      </w:r>
      <w:r w:rsidRPr="00237DFA">
        <w:rPr>
          <w:rFonts w:ascii="Times New Roman" w:eastAsia="Calibri" w:hAnsi="Times New Roman" w:cs="Times New Roman"/>
          <w:color w:val="000000"/>
          <w:sz w:val="24"/>
          <w:szCs w:val="24"/>
        </w:rPr>
        <w:t xml:space="preserve">The litter decomposition rate was calculated using the formula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{"citationItems":[{"id":"ITEM-1","itemData":{"author":[{"dropping-particle":"","family":"Jerry S. Olson","given":"","non-dropping-particle":"","parse-names":false,"suffix":""}],"container-title":"Ecological Society Of America","id":"ITEM-1","issue":"2","issued":{"date-parts":[["1963"]]},"page":"322-331","title":"Energy Storage and the Balance of Producers and Decomposers in Ecological Systems Author ( s ): Jerry S . Olson Reviewed work ( s ): Published by : Ecological Society of America Stable URL : http://www.jstor.org/stable/1932179 .","type":"article-journal","volume":"44"},"uris":["http://www.mendeley.com/documents/?uuid=7e5d27a1-0279-448a-b66c-1499aca081d5"]}],"mendeley":{"formattedCitation":"(Jerry S. Olson, 1963)","manualFormatting":"(Olson, 1963","plainTextFormattedCitation":"(Jerry S. Olson, 1963)","previouslyFormattedCitation":"(Jerry S. Olson, 1963)"},"properties":{"noteIndex":0},"schema":"https://github.com/citation-style-language/schema/raw/master/csl-citation.json"}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(Olson, 1963</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{"citationItems":[{"id":"ITEM-1","itemData":{"DOI":"10.1111/j.1461-0248.2012.01826.x","ISSN":"14610248","abstract":"Plant litter decomposition is a key process in terrestrial carbon cycling, yet the relative importance of various control factors remains ambiguous at a global scale. A full reciprocal litter transplant study with 16 litter species that varied widely in traits and originated from four forest sites covering a large latitudinal gradient (subarctic to tropics) showed a consistent interspecific ranking of decomposition rates. At a global scale, variation in decomposition was driven by a small subset of litter traits (water saturation capacity and concentrations of magnesium and condensed tannins). These consistent findings, that were largely independent of the varying local decomposer communities, suggest that decomposer communities show little specialisation and high metabolic flexibility in processing plant litter, irrespective of litter origin. Our results provide strong support for using trait-based approaches in modelling the global decomposition component of biosphere-atmosphere carbon fluxes. Copyright © 2012 Blackwell Publishing Ltd/CNRS159 September 2012 10.1111/j.1461-0248.2012.01826.x Letter Letters © 2012 Blackwell Publishing Ltd/CNRS.","author":[{"dropping-particle":"","family":"Makkonen","given":"Marika","non-dropping-particle":"","parse-names":false,"suffix":""},{"dropping-particle":"","family":"Berg","given":"Matty P.","non-dropping-particle":"","parse-names":false,"suffix":""},{"dropping-particle":"","family":"Handa","given":"I. Tanya","non-dropping-particle":"","parse-names":false,"suffix":""},{"dropping-particle":"","family":"Hättenschwiler","given":"Stephan","non-dropping-particle":"","parse-names":false,"suffix":""},{"dropping-particle":"","family":"Ruijven","given":"Jasper","non-dropping-particle":"van","parse-names":false,"suffix":""},{"dropping-particle":"","family":"Bodegom","given":"Peter M.","non-dropping-particle":"van","parse-names":false,"suffix":""},{"dropping-particle":"","family":"Aerts","given":"Rien","non-dropping-particle":"","parse-names":false,"suffix":""}],"container-title":"Ecology Letters","id":"ITEM-1","issue":"9","issued":{"date-parts":[["2012"]]},"page":"1033-1041","title":"Highly consistent effects of plant litter identity and functional traits on decomposition across a latitudinal gradient","type":"article-journal","volume":"15"},"uris":["http://www.mendeley.com/documents/?uuid=433e272a-c411-488e-9368-616866410df5"]}],"mendeley":{"formattedCitation":"(Makkonen et al., 2012)","manualFormatting":"Makkonen et al., 2012;","plainTextFormattedCitation":"(Makkonen et al., 2012)","previouslyFormattedCitation":"(Makkonen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Makkonen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2021)","manualFormatting":"Darmawan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Darmawan et al., 2021)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sz w:val="24"/>
          <w:szCs w:val="24"/>
        </w:rPr>
        <w:t xml:space="preserve"> procedures</w:t>
      </w:r>
      <w:r w:rsidRPr="00237DFA">
        <w:rPr>
          <w:rFonts w:ascii="Times New Roman" w:eastAsia="Calibri" w:hAnsi="Times New Roman" w:cs="Times New Roman"/>
          <w:color w:val="000000"/>
          <w:sz w:val="24"/>
          <w:szCs w:val="24"/>
        </w:rPr>
        <w:t>.</w:t>
      </w:r>
    </w:p>
    <w:p w:rsidR="00237DFA" w:rsidRPr="00237DFA" w:rsidRDefault="00237DFA" w:rsidP="00237DFA">
      <w:pPr>
        <w:spacing w:line="360" w:lineRule="auto"/>
        <w:jc w:val="center"/>
        <w:rPr>
          <w:rFonts w:ascii="Times New Roman" w:eastAsia="Calibri" w:hAnsi="Times New Roman" w:cs="Times New Roman"/>
          <w:color w:val="000000"/>
          <w:sz w:val="24"/>
          <w:szCs w:val="24"/>
        </w:rPr>
      </w:pPr>
      <w:r w:rsidRPr="00237DFA">
        <w:rPr>
          <w:rFonts w:ascii="Times New Roman" w:eastAsia="Calibri" w:hAnsi="Times New Roman" w:cs="Times New Roman"/>
          <w:sz w:val="24"/>
          <w:szCs w:val="24"/>
        </w:rPr>
        <w:t>K</w:t>
      </w:r>
      <w:r w:rsidRPr="00237DFA">
        <w:rPr>
          <w:rFonts w:ascii="Times New Roman" w:eastAsia="Calibri" w:hAnsi="Times New Roman" w:cs="Times New Roman"/>
          <w:sz w:val="24"/>
          <w:szCs w:val="24"/>
          <w:vertAlign w:val="subscript"/>
        </w:rPr>
        <w:t>t</w:t>
      </w:r>
      <w:r w:rsidRPr="00237DFA">
        <w:rPr>
          <w:rFonts w:ascii="Times New Roman" w:eastAsia="Calibri" w:hAnsi="Times New Roman" w:cs="Times New Roman"/>
          <w:sz w:val="24"/>
          <w:szCs w:val="24"/>
        </w:rPr>
        <w:t xml:space="preserve"> = - ln (X</w:t>
      </w:r>
      <w:r w:rsidRPr="00237DFA">
        <w:rPr>
          <w:rFonts w:ascii="Times New Roman" w:eastAsia="Calibri" w:hAnsi="Times New Roman" w:cs="Times New Roman"/>
          <w:sz w:val="24"/>
          <w:szCs w:val="24"/>
          <w:vertAlign w:val="subscript"/>
        </w:rPr>
        <w:t>t</w:t>
      </w:r>
      <w:r w:rsidRPr="00237DFA">
        <w:rPr>
          <w:rFonts w:ascii="Times New Roman" w:eastAsia="Calibri" w:hAnsi="Times New Roman" w:cs="Times New Roman"/>
          <w:sz w:val="24"/>
          <w:szCs w:val="24"/>
        </w:rPr>
        <w:t>/X</w:t>
      </w:r>
      <w:r w:rsidRPr="00237DFA">
        <w:rPr>
          <w:rFonts w:ascii="Times New Roman" w:eastAsia="Calibri" w:hAnsi="Times New Roman" w:cs="Times New Roman"/>
          <w:sz w:val="24"/>
          <w:szCs w:val="24"/>
          <w:vertAlign w:val="subscript"/>
        </w:rPr>
        <w:t>o</w:t>
      </w:r>
      <w:r w:rsidRPr="00237DFA">
        <w:rPr>
          <w:rFonts w:ascii="Times New Roman" w:eastAsia="Calibri" w:hAnsi="Times New Roman" w:cs="Times New Roman"/>
          <w:sz w:val="24"/>
          <w:szCs w:val="24"/>
        </w:rPr>
        <w:t xml:space="preserve">) and </w:t>
      </w:r>
      <m:oMath>
        <m:d>
          <m:dPr>
            <m:ctrlPr>
              <w:rPr>
                <w:rFonts w:ascii="Cambria Math" w:eastAsia="Calibri" w:hAnsi="Cambria Math" w:cs="Times New Roman"/>
                <w:color w:val="000000"/>
                <w:sz w:val="24"/>
                <w:szCs w:val="24"/>
              </w:rPr>
            </m:ctrlPr>
          </m:dPr>
          <m:e>
            <m:r>
              <m:rPr>
                <m:sty m:val="p"/>
              </m:rPr>
              <w:rPr>
                <w:rFonts w:ascii="Cambria Math" w:eastAsia="Calibri" w:hAnsi="Cambria Math" w:cs="Times New Roman"/>
                <w:color w:val="000000"/>
                <w:sz w:val="24"/>
                <w:szCs w:val="24"/>
              </w:rPr>
              <m:t>k</m:t>
            </m:r>
          </m:e>
        </m:d>
        <m:r>
          <m:rPr>
            <m:sty m:val="p"/>
          </m:rPr>
          <w:rPr>
            <w:rFonts w:ascii="Cambria Math" w:eastAsia="Calibri" w:hAnsi="Cambria Math" w:cs="Times New Roman"/>
            <w:color w:val="000000"/>
            <w:sz w:val="24"/>
            <w:szCs w:val="24"/>
          </w:rPr>
          <m:t xml:space="preserve">= </m:t>
        </m:r>
        <m:f>
          <m:fPr>
            <m:type m:val="skw"/>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-ln</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(W</m:t>
                </m:r>
              </m:e>
              <m:sub>
                <m:r>
                  <m:rPr>
                    <m:sty m:val="p"/>
                  </m:rPr>
                  <w:rPr>
                    <w:rFonts w:ascii="Cambria Math" w:eastAsia="Calibri" w:hAnsi="Cambria Math" w:cs="Times New Roman"/>
                    <w:color w:val="000000"/>
                    <w:sz w:val="24"/>
                    <w:szCs w:val="24"/>
                  </w:rPr>
                  <m:t>t</m:t>
                </m:r>
              </m:sub>
            </m:sSub>
            <m:r>
              <m:rPr>
                <m:sty m:val="p"/>
              </m:rPr>
              <w:rPr>
                <w:rFonts w:ascii="Cambria Math" w:eastAsia="Calibri" w:hAnsi="Cambria Math" w:cs="Times New Roman"/>
                <w:color w:val="000000"/>
                <w:sz w:val="24"/>
                <w:szCs w:val="24"/>
              </w:rPr>
              <m:t>/</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 xml:space="preserve"> W</m:t>
                </m:r>
              </m:e>
              <m:sub>
                <m:r>
                  <m:rPr>
                    <m:sty m:val="p"/>
                  </m:rPr>
                  <w:rPr>
                    <w:rFonts w:ascii="Cambria Math" w:eastAsia="Calibri" w:hAnsi="Cambria Math" w:cs="Times New Roman"/>
                    <w:color w:val="000000"/>
                    <w:sz w:val="24"/>
                    <w:szCs w:val="24"/>
                  </w:rPr>
                  <m:t>o</m:t>
                </m:r>
              </m:sub>
            </m:sSub>
            <m:r>
              <m:rPr>
                <m:sty m:val="p"/>
              </m:rPr>
              <w:rPr>
                <w:rFonts w:ascii="Cambria Math" w:eastAsia="Calibri" w:hAnsi="Cambria Math" w:cs="Times New Roman"/>
                <w:color w:val="000000"/>
                <w:sz w:val="24"/>
                <w:szCs w:val="24"/>
              </w:rPr>
              <m:t>)</m:t>
            </m:r>
          </m:num>
          <m:den>
            <m:r>
              <m:rPr>
                <m:sty m:val="p"/>
              </m:rPr>
              <w:rPr>
                <w:rFonts w:ascii="Cambria Math" w:eastAsia="Calibri" w:hAnsi="Cambria Math" w:cs="Times New Roman"/>
                <w:color w:val="000000"/>
                <w:sz w:val="24"/>
                <w:szCs w:val="24"/>
              </w:rPr>
              <m:t>t</m:t>
            </m:r>
          </m:den>
        </m:f>
        <m:r>
          <m:rPr>
            <m:sty m:val="p"/>
          </m:rPr>
          <w:rPr>
            <w:rFonts w:ascii="Cambria Math" w:eastAsia="Calibri" w:hAnsi="Cambria Math" w:cs="Times New Roman"/>
            <w:color w:val="000000"/>
            <w:sz w:val="24"/>
            <w:szCs w:val="24"/>
          </w:rPr>
          <m:t xml:space="preserve">  Or </m:t>
        </m:r>
      </m:oMath>
      <w:r w:rsidRPr="00237DFA">
        <w:rPr>
          <w:rFonts w:ascii="Times New Roman" w:eastAsia="Calibri" w:hAnsi="Times New Roman" w:cs="Times New Roman"/>
          <w:color w:val="000000"/>
          <w:sz w:val="24"/>
          <w:szCs w:val="24"/>
        </w:rPr>
        <w:t>…………..Eq. 3</w:t>
      </w:r>
    </w:p>
    <w:p w:rsidR="00237DFA" w:rsidRPr="00237DFA" w:rsidRDefault="00237DFA" w:rsidP="00237DFA">
      <w:pPr>
        <w:spacing w:after="120" w:line="360" w:lineRule="auto"/>
        <w:jc w:val="center"/>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(R)  = </m:t>
        </m:r>
        <m:f>
          <m:fPr>
            <m:ctrlPr>
              <w:rPr>
                <w:rFonts w:ascii="Cambria Math" w:eastAsia="Times New Roman" w:hAnsi="Cambria Math" w:cs="Times New Roman"/>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W</m:t>
                </m:r>
              </m:e>
              <m:sub>
                <m:r>
                  <w:rPr>
                    <w:rFonts w:ascii="Cambria Math" w:eastAsia="Times New Roman" w:hAnsi="Cambria Math" w:cs="Times New Roman"/>
                    <w:color w:val="000000"/>
                    <w:sz w:val="24"/>
                    <w:szCs w:val="24"/>
                  </w:rPr>
                  <m:t>o</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W</m:t>
                </m:r>
              </m:e>
              <m:sub>
                <m:r>
                  <w:rPr>
                    <w:rFonts w:ascii="Cambria Math" w:eastAsia="Times New Roman" w:hAnsi="Cambria Math" w:cs="Times New Roman"/>
                    <w:color w:val="000000"/>
                    <w:sz w:val="24"/>
                    <w:szCs w:val="24"/>
                  </w:rPr>
                  <m:t>t</m:t>
                </m:r>
              </m:sub>
            </m:sSub>
          </m:num>
          <m:den>
            <m:r>
              <m:rPr>
                <m:sty m:val="p"/>
              </m:rPr>
              <w:rPr>
                <w:rFonts w:ascii="Cambria Math" w:eastAsia="Times New Roman" w:hAnsi="Cambria Math" w:cs="Times New Roman"/>
                <w:color w:val="000000"/>
                <w:sz w:val="24"/>
                <w:szCs w:val="24"/>
              </w:rPr>
              <m:t>t</m:t>
            </m:r>
          </m:den>
        </m:f>
      </m:oMath>
      <w:r w:rsidRPr="00237DFA">
        <w:rPr>
          <w:rFonts w:ascii="Times New Roman" w:eastAsia="Times New Roman" w:hAnsi="Times New Roman" w:cs="Times New Roman"/>
          <w:color w:val="000000"/>
          <w:sz w:val="24"/>
          <w:szCs w:val="24"/>
        </w:rPr>
        <w:t xml:space="preserve"> ……………………….….Eq. 4 or</w:t>
      </w:r>
    </w:p>
    <w:p w:rsidR="00237DFA" w:rsidRPr="00237DFA" w:rsidRDefault="00237DFA" w:rsidP="00237DFA">
      <w:pPr>
        <w:spacing w:after="0" w:line="360" w:lineRule="auto"/>
        <w:ind w:left="630" w:hanging="630"/>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lastRenderedPageBreak/>
        <w:t>Where:  (R/k) is the decomposition rate (g/months), t is the time of observation (months), W</w:t>
      </w:r>
      <w:r w:rsidRPr="00237DFA">
        <w:rPr>
          <w:rFonts w:ascii="Times New Roman" w:eastAsia="Calibri" w:hAnsi="Times New Roman" w:cs="Times New Roman"/>
          <w:color w:val="000000"/>
          <w:sz w:val="24"/>
          <w:szCs w:val="24"/>
          <w:vertAlign w:val="subscript"/>
        </w:rPr>
        <w:t>o</w:t>
      </w:r>
      <w:r w:rsidRPr="00237DFA">
        <w:rPr>
          <w:rFonts w:ascii="Times New Roman" w:eastAsia="Calibri" w:hAnsi="Times New Roman" w:cs="Times New Roman"/>
          <w:color w:val="000000"/>
          <w:sz w:val="24"/>
          <w:szCs w:val="24"/>
        </w:rPr>
        <w:t>, X</w:t>
      </w:r>
      <w:r w:rsidRPr="00237DFA">
        <w:rPr>
          <w:rFonts w:ascii="Times New Roman" w:eastAsia="Calibri" w:hAnsi="Times New Roman" w:cs="Times New Roman"/>
          <w:color w:val="000000"/>
          <w:sz w:val="24"/>
          <w:szCs w:val="24"/>
          <w:vertAlign w:val="subscript"/>
        </w:rPr>
        <w:t>o</w:t>
      </w:r>
      <w:r w:rsidRPr="00237DFA">
        <w:rPr>
          <w:rFonts w:ascii="Times New Roman" w:eastAsia="Calibri" w:hAnsi="Times New Roman" w:cs="Times New Roman"/>
          <w:color w:val="000000"/>
          <w:sz w:val="24"/>
          <w:szCs w:val="24"/>
        </w:rPr>
        <w:t xml:space="preserve"> is the initial dry weight of litter (gr), and W</w:t>
      </w:r>
      <w:r w:rsidRPr="00237DFA">
        <w:rPr>
          <w:rFonts w:ascii="Times New Roman" w:eastAsia="Calibri" w:hAnsi="Times New Roman" w:cs="Times New Roman"/>
          <w:color w:val="000000"/>
          <w:sz w:val="24"/>
          <w:szCs w:val="24"/>
          <w:vertAlign w:val="subscript"/>
        </w:rPr>
        <w:t>t</w:t>
      </w:r>
      <w:r w:rsidRPr="00237DFA">
        <w:rPr>
          <w:rFonts w:ascii="Times New Roman" w:eastAsia="Calibri" w:hAnsi="Times New Roman" w:cs="Times New Roman"/>
          <w:color w:val="000000"/>
          <w:sz w:val="24"/>
          <w:szCs w:val="24"/>
        </w:rPr>
        <w:t>, X</w:t>
      </w:r>
      <w:r w:rsidRPr="00237DFA">
        <w:rPr>
          <w:rFonts w:ascii="Times New Roman" w:eastAsia="Calibri" w:hAnsi="Times New Roman" w:cs="Times New Roman"/>
          <w:color w:val="000000"/>
          <w:sz w:val="24"/>
          <w:szCs w:val="24"/>
          <w:vertAlign w:val="subscript"/>
        </w:rPr>
        <w:t>t</w:t>
      </w:r>
      <w:r w:rsidRPr="00237DFA">
        <w:rPr>
          <w:rFonts w:ascii="Times New Roman" w:eastAsia="Calibri" w:hAnsi="Times New Roman" w:cs="Times New Roman"/>
          <w:color w:val="000000"/>
          <w:sz w:val="24"/>
          <w:szCs w:val="24"/>
        </w:rPr>
        <w:t xml:space="preserve"> is the final dry weight of litter (g) time, and Half-life periods t(0.5) of decomposing litter samples were estimated from k values using</w:t>
      </w:r>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b/>
          <w:color w:val="000000"/>
          <w:sz w:val="24"/>
          <w:szCs w:val="24"/>
        </w:rPr>
        <w:t xml:space="preserve">Mass loss (%): </w:t>
      </w:r>
      <w:r w:rsidRPr="00237DFA">
        <w:rPr>
          <w:rFonts w:ascii="Times New Roman" w:eastAsia="Calibri" w:hAnsi="Times New Roman" w:cs="Times New Roman"/>
          <w:color w:val="000000"/>
          <w:sz w:val="24"/>
          <w:szCs w:val="24"/>
        </w:rPr>
        <w:t xml:space="preserve">The estimated oven-dry weight of the litter samples that are collected each month was used to calculate the decrease in weight [mass loss (%) and remaining mass (g)] of all the leaf litter collected for four months of each season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2022)","manualFormatting":"(Nivethadevi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(Nivethadevi et al., 2022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2021)","manualFormatting":"Darmawan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Darmawan et al., 2021)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w:t>
      </w:r>
    </w:p>
    <w:p w:rsidR="00237DFA" w:rsidRPr="00237DFA" w:rsidRDefault="00237DFA" w:rsidP="00237DFA">
      <w:pPr>
        <w:spacing w:line="360" w:lineRule="auto"/>
        <w:rPr>
          <w:rFonts w:ascii="Times New Roman" w:eastAsia="Times New Roman" w:hAnsi="Times New Roman" w:cs="Times New Roman"/>
          <w:sz w:val="24"/>
          <w:szCs w:val="24"/>
        </w:rPr>
      </w:pPr>
      <m:oMath>
        <m:r>
          <m:rPr>
            <m:sty m:val="p"/>
          </m:rPr>
          <w:rPr>
            <w:rFonts w:ascii="Cambria Math" w:eastAsia="Calibri" w:hAnsi="Cambria Math" w:cs="Times New Roman"/>
            <w:sz w:val="24"/>
            <w:szCs w:val="24"/>
          </w:rPr>
          <m:t>Mass loss</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m:t>
            </m:r>
          </m:e>
        </m:d>
        <m:r>
          <m:rPr>
            <m:sty m:val="p"/>
          </m:rP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m:rPr>
                <m:sty m:val="p"/>
              </m:rPr>
              <w:rPr>
                <w:rFonts w:ascii="Cambria Math" w:eastAsia="Calibri" w:hAnsi="Cambria Math" w:cs="Times New Roman"/>
                <w:sz w:val="24"/>
                <w:szCs w:val="24"/>
              </w:rPr>
              <m:t>Initial weight -Final weight</m:t>
            </m:r>
          </m:num>
          <m:den>
            <m:r>
              <m:rPr>
                <m:sty m:val="p"/>
              </m:rPr>
              <w:rPr>
                <w:rFonts w:ascii="Cambria Math" w:eastAsia="Calibri" w:hAnsi="Cambria Math" w:cs="Times New Roman"/>
                <w:sz w:val="24"/>
                <w:szCs w:val="24"/>
              </w:rPr>
              <m:t>Initial weight</m:t>
            </m:r>
          </m:den>
        </m:f>
        <m:r>
          <w:rPr>
            <w:rFonts w:ascii="Cambria Math" w:eastAsia="Calibri" w:hAnsi="Cambria Math" w:cs="Times New Roman"/>
            <w:sz w:val="24"/>
            <w:szCs w:val="24"/>
          </w:rPr>
          <m:t xml:space="preserve">×100 </m:t>
        </m:r>
      </m:oMath>
      <w:r w:rsidRPr="00237DFA">
        <w:rPr>
          <w:rFonts w:ascii="Times New Roman" w:eastAsia="Times New Roman" w:hAnsi="Times New Roman" w:cs="Times New Roman"/>
          <w:sz w:val="24"/>
          <w:szCs w:val="24"/>
        </w:rPr>
        <w:t>………………Eq. 5</w:t>
      </w:r>
    </w:p>
    <w:p w:rsidR="00237DFA" w:rsidRPr="00237DFA" w:rsidRDefault="00237DFA" w:rsidP="00237DFA">
      <w:pPr>
        <w:spacing w:line="360" w:lineRule="auto"/>
        <w:rPr>
          <w:rFonts w:ascii="Times New Roman" w:eastAsia="Calibri" w:hAnsi="Times New Roman" w:cs="Times New Roman"/>
          <w:sz w:val="24"/>
          <w:szCs w:val="24"/>
        </w:rPr>
      </w:pPr>
      <w:r w:rsidRPr="00237DFA">
        <w:rPr>
          <w:rFonts w:ascii="Times New Roman" w:eastAsia="Calibri" w:hAnsi="Times New Roman" w:cs="Times New Roman"/>
          <w:sz w:val="24"/>
          <w:szCs w:val="24"/>
        </w:rPr>
        <w:t>Mass remaining in the litter bag = 100 - % Mass Loss ………….Eq. 6</w:t>
      </w:r>
    </w:p>
    <w:p w:rsidR="00237DFA" w:rsidRPr="00237DFA" w:rsidRDefault="00237DFA" w:rsidP="00237DFA">
      <w:pPr>
        <w:keepNext/>
        <w:keepLines/>
        <w:tabs>
          <w:tab w:val="left" w:pos="360"/>
        </w:tabs>
        <w:spacing w:after="120" w:line="480" w:lineRule="auto"/>
        <w:ind w:left="360" w:hanging="360"/>
        <w:outlineLvl w:val="0"/>
        <w:rPr>
          <w:rFonts w:ascii="Times New Roman" w:eastAsia="Times New Roman" w:hAnsi="Times New Roman" w:cs="Times New Roman"/>
          <w:b/>
          <w:kern w:val="32"/>
          <w:sz w:val="24"/>
          <w:szCs w:val="24"/>
          <w:lang w:val="en-GB"/>
        </w:rPr>
      </w:pPr>
      <w:r w:rsidRPr="00237DFA">
        <w:rPr>
          <w:rFonts w:ascii="Times New Roman" w:eastAsia="Times New Roman" w:hAnsi="Times New Roman" w:cs="Times New Roman"/>
          <w:b/>
          <w:kern w:val="32"/>
          <w:sz w:val="24"/>
          <w:szCs w:val="24"/>
          <w:lang w:val="en-GB"/>
        </w:rPr>
        <w:t>2.3 Data Analysis</w:t>
      </w:r>
    </w:p>
    <w:p w:rsidR="00237DFA" w:rsidRPr="00237DFA" w:rsidRDefault="00237DFA" w:rsidP="00237DFA">
      <w:pPr>
        <w:spacing w:line="360" w:lineRule="auto"/>
        <w:jc w:val="both"/>
        <w:rPr>
          <w:rFonts w:ascii="Times New Roman" w:eastAsia="Calibri" w:hAnsi="Times New Roman" w:cs="Times New Roman"/>
          <w:sz w:val="24"/>
          <w:szCs w:val="24"/>
          <w:lang w:val="en-GB"/>
        </w:rPr>
      </w:pPr>
      <w:r w:rsidRPr="00237DFA">
        <w:rPr>
          <w:rFonts w:ascii="Times New Roman" w:eastAsia="Calibri" w:hAnsi="Times New Roman" w:cs="Times New Roman"/>
          <w:sz w:val="24"/>
          <w:szCs w:val="24"/>
          <w:lang w:val="en-GB"/>
        </w:rPr>
        <w:t xml:space="preserve">​​Descriptive statistics was used to determine leaf litter, decomposition rate, and soil nutrient status under </w:t>
      </w:r>
      <w:r w:rsidRPr="00237DFA">
        <w:rPr>
          <w:rFonts w:ascii="Times New Roman" w:eastAsia="Calibri" w:hAnsi="Times New Roman" w:cs="Times New Roman"/>
          <w:i/>
          <w:sz w:val="24"/>
          <w:szCs w:val="24"/>
          <w:lang w:val="en-GB"/>
        </w:rPr>
        <w:t>Croton macrostachyus</w:t>
      </w:r>
      <w:r w:rsidRPr="00237DFA">
        <w:rPr>
          <w:rFonts w:ascii="Times New Roman" w:eastAsia="Calibri" w:hAnsi="Times New Roman" w:cs="Times New Roman"/>
          <w:sz w:val="24"/>
          <w:szCs w:val="24"/>
          <w:lang w:val="en-GB"/>
        </w:rPr>
        <w:t xml:space="preserve"> and </w:t>
      </w:r>
      <w:r w:rsidRPr="00237DFA">
        <w:rPr>
          <w:rFonts w:ascii="Times New Roman" w:eastAsia="Calibri" w:hAnsi="Times New Roman" w:cs="Times New Roman"/>
          <w:i/>
          <w:sz w:val="24"/>
          <w:szCs w:val="24"/>
          <w:lang w:val="en-GB"/>
        </w:rPr>
        <w:t xml:space="preserve">Cordia africana </w:t>
      </w:r>
      <w:r w:rsidRPr="00237DFA">
        <w:rPr>
          <w:rFonts w:ascii="Times New Roman" w:eastAsia="Calibri" w:hAnsi="Times New Roman" w:cs="Times New Roman"/>
          <w:sz w:val="24"/>
          <w:szCs w:val="24"/>
          <w:lang w:val="en-GB"/>
        </w:rPr>
        <w:t xml:space="preserve">tree species. A one-way analysis of variance (ANOVA) was used to compare the amount of litterfall and rate of the decomposition between, and </w:t>
      </w:r>
      <w:r w:rsidRPr="00237DFA">
        <w:rPr>
          <w:rFonts w:ascii="Times New Roman" w:eastAsia="Calibri" w:hAnsi="Times New Roman" w:cs="Times New Roman"/>
          <w:i/>
          <w:sz w:val="24"/>
          <w:szCs w:val="24"/>
          <w:lang w:val="en-GB"/>
        </w:rPr>
        <w:t>Croton macrostachyus</w:t>
      </w:r>
      <w:r w:rsidRPr="00237DFA">
        <w:rPr>
          <w:rFonts w:ascii="Times New Roman" w:eastAsia="Calibri" w:hAnsi="Times New Roman" w:cs="Times New Roman"/>
          <w:sz w:val="24"/>
          <w:szCs w:val="24"/>
          <w:lang w:val="en-GB"/>
        </w:rPr>
        <w:t xml:space="preserve"> and </w:t>
      </w:r>
      <w:r w:rsidRPr="00237DFA">
        <w:rPr>
          <w:rFonts w:ascii="Times New Roman" w:eastAsia="Calibri" w:hAnsi="Times New Roman" w:cs="Times New Roman"/>
          <w:i/>
          <w:sz w:val="24"/>
          <w:szCs w:val="24"/>
          <w:lang w:val="en-GB"/>
        </w:rPr>
        <w:t xml:space="preserve">Cordia africana </w:t>
      </w:r>
      <w:r w:rsidRPr="00237DFA">
        <w:rPr>
          <w:rFonts w:ascii="Times New Roman" w:eastAsia="Calibri" w:hAnsi="Times New Roman" w:cs="Times New Roman"/>
          <w:sz w:val="24"/>
          <w:szCs w:val="24"/>
          <w:lang w:val="en-GB"/>
        </w:rPr>
        <w:t>tree species. The LSD (Least Significant Difference) test was used to compare means at significance levels of 0.05. All statistical analysis was performed using Microsoft Office Excel and SAS 9.4 software.</w:t>
      </w:r>
    </w:p>
    <w:p w:rsidR="00237DFA" w:rsidRPr="00237DFA" w:rsidRDefault="00237DFA" w:rsidP="00237DFA">
      <w:pPr>
        <w:pStyle w:val="Heading1"/>
        <w:spacing w:after="240" w:line="360" w:lineRule="auto"/>
        <w:jc w:val="center"/>
        <w:rPr>
          <w:rFonts w:ascii="Times New Roman" w:eastAsia="Calibri" w:hAnsi="Times New Roman" w:cs="Times New Roman"/>
          <w:color w:val="auto"/>
          <w:lang w:val="en-GB"/>
        </w:rPr>
      </w:pPr>
      <w:r w:rsidRPr="00237DFA">
        <w:rPr>
          <w:rFonts w:ascii="Times New Roman" w:eastAsia="Calibri" w:hAnsi="Times New Roman" w:cs="Times New Roman"/>
          <w:color w:val="auto"/>
          <w:lang w:val="en-GB"/>
        </w:rPr>
        <w:t>RESULTS AND DISCUSSION</w:t>
      </w:r>
    </w:p>
    <w:p w:rsidR="00237DFA" w:rsidRPr="00237DFA" w:rsidRDefault="00237DFA" w:rsidP="00237DFA">
      <w:pPr>
        <w:keepNext/>
        <w:keepLines/>
        <w:spacing w:before="120" w:after="120" w:line="360" w:lineRule="auto"/>
        <w:outlineLvl w:val="1"/>
        <w:rPr>
          <w:rFonts w:ascii="Times New Roman" w:eastAsia="Times New Roman" w:hAnsi="Times New Roman" w:cs="Times New Roman"/>
          <w:b/>
          <w:sz w:val="24"/>
          <w:szCs w:val="24"/>
        </w:rPr>
      </w:pPr>
      <w:r w:rsidRPr="00237DFA">
        <w:rPr>
          <w:rFonts w:ascii="Times New Roman" w:eastAsia="Times New Roman" w:hAnsi="Times New Roman" w:cs="Times New Roman"/>
          <w:b/>
          <w:sz w:val="24"/>
          <w:szCs w:val="24"/>
        </w:rPr>
        <w:t xml:space="preserve">3.1 The Amount of Litterfall for </w:t>
      </w:r>
      <w:r w:rsidRPr="00237DFA">
        <w:rPr>
          <w:rFonts w:ascii="Times New Roman" w:eastAsia="Times New Roman" w:hAnsi="Times New Roman" w:cs="Times New Roman"/>
          <w:b/>
          <w:i/>
          <w:sz w:val="24"/>
          <w:szCs w:val="24"/>
        </w:rPr>
        <w:t>Croton macrostachyus</w:t>
      </w:r>
      <w:r w:rsidRPr="00237DFA">
        <w:rPr>
          <w:rFonts w:ascii="Times New Roman" w:eastAsia="Times New Roman" w:hAnsi="Times New Roman" w:cs="Times New Roman"/>
          <w:b/>
          <w:sz w:val="24"/>
          <w:szCs w:val="24"/>
        </w:rPr>
        <w:t xml:space="preserve"> and </w:t>
      </w:r>
      <w:r w:rsidRPr="00237DFA">
        <w:rPr>
          <w:rFonts w:ascii="Times New Roman" w:eastAsia="Times New Roman" w:hAnsi="Times New Roman" w:cs="Times New Roman"/>
          <w:b/>
          <w:i/>
          <w:sz w:val="24"/>
          <w:szCs w:val="24"/>
        </w:rPr>
        <w:t>Cordia africana</w:t>
      </w:r>
    </w:p>
    <w:p w:rsidR="00237DFA" w:rsidRPr="00237DFA" w:rsidRDefault="00237DFA" w:rsidP="00237DFA">
      <w:pPr>
        <w:spacing w:before="240" w:after="240"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t xml:space="preserve">The litterfall collected </w:t>
      </w:r>
      <w:r w:rsidRPr="00237DFA">
        <w:rPr>
          <w:rFonts w:ascii="Times New Roman" w:eastAsia="Calibri" w:hAnsi="Times New Roman" w:cs="Times New Roman"/>
          <w:sz w:val="24"/>
          <w:szCs w:val="24"/>
        </w:rPr>
        <w:t xml:space="preserve">from </w:t>
      </w:r>
      <w:r w:rsidRPr="00237DFA">
        <w:rPr>
          <w:rFonts w:ascii="Times New Roman" w:eastAsia="Calibri" w:hAnsi="Times New Roman" w:cs="Times New Roman"/>
          <w:i/>
          <w:sz w:val="24"/>
          <w:szCs w:val="24"/>
        </w:rPr>
        <w:t xml:space="preserve">Croton macrostachyus </w:t>
      </w:r>
      <w:r w:rsidRPr="00237DFA">
        <w:rPr>
          <w:rFonts w:ascii="Times New Roman" w:eastAsia="Calibri" w:hAnsi="Times New Roman" w:cs="Times New Roman"/>
          <w:sz w:val="24"/>
          <w:szCs w:val="24"/>
        </w:rPr>
        <w:t xml:space="preserve">and </w:t>
      </w:r>
      <w:r w:rsidRPr="00237DFA">
        <w:rPr>
          <w:rFonts w:ascii="Times New Roman" w:eastAsia="Calibri" w:hAnsi="Times New Roman" w:cs="Times New Roman"/>
          <w:i/>
          <w:sz w:val="24"/>
          <w:szCs w:val="24"/>
          <w:lang w:val="en-GB"/>
        </w:rPr>
        <w:t>Cordia africana</w:t>
      </w:r>
      <w:r w:rsidRPr="00237DFA">
        <w:rPr>
          <w:rFonts w:ascii="Times New Roman" w:eastAsia="Calibri" w:hAnsi="Times New Roman" w:cs="Times New Roman"/>
          <w:i/>
          <w:color w:val="000000"/>
          <w:sz w:val="24"/>
          <w:szCs w:val="24"/>
        </w:rPr>
        <w:t>,</w:t>
      </w:r>
      <w:r w:rsidRPr="00237DFA">
        <w:rPr>
          <w:rFonts w:ascii="Times New Roman" w:eastAsia="Calibri" w:hAnsi="Times New Roman" w:cs="Times New Roman"/>
          <w:color w:val="000000"/>
          <w:sz w:val="24"/>
          <w:szCs w:val="24"/>
        </w:rPr>
        <w:t xml:space="preserve"> in four months the two tree species of the crown litterfall were 1.76 t/ha, 1.83 t/ha, and 1.6 t/ha at plot1, plot2, and plot3 sites, respectively. At plot1, plot2, and plot3 sites, it was 2.21 t/ha, 2.2 t/ha, and 1.46 t/ha of the equivalent per the canopy of litterfall. From the amount of litter collected, it is evident that the mean difference between the </w:t>
      </w:r>
      <w:r w:rsidRPr="00237DFA">
        <w:rPr>
          <w:rFonts w:ascii="Times New Roman" w:eastAsia="Calibri" w:hAnsi="Times New Roman" w:cs="Times New Roman"/>
          <w:i/>
          <w:color w:val="000000"/>
          <w:sz w:val="24"/>
          <w:szCs w:val="24"/>
        </w:rPr>
        <w:t xml:space="preserve">Croton macrostachyus </w:t>
      </w:r>
      <w:r w:rsidRPr="00237DFA">
        <w:rPr>
          <w:rFonts w:ascii="Times New Roman" w:eastAsia="Calibri" w:hAnsi="Times New Roman" w:cs="Times New Roman"/>
          <w:color w:val="000000"/>
          <w:sz w:val="24"/>
          <w:szCs w:val="24"/>
        </w:rPr>
        <w:t>and</w:t>
      </w:r>
      <w:r w:rsidRPr="00237DFA">
        <w:rPr>
          <w:rFonts w:ascii="Times New Roman" w:eastAsia="Calibri" w:hAnsi="Times New Roman" w:cs="Times New Roman"/>
          <w:i/>
          <w:color w:val="000000"/>
          <w:sz w:val="24"/>
          <w:szCs w:val="24"/>
        </w:rPr>
        <w:t xml:space="preserve"> Cordia africana</w:t>
      </w:r>
      <w:r w:rsidRPr="00237DFA">
        <w:rPr>
          <w:rFonts w:ascii="Times New Roman" w:eastAsia="Calibri" w:hAnsi="Times New Roman" w:cs="Times New Roman"/>
          <w:color w:val="000000"/>
          <w:sz w:val="24"/>
          <w:szCs w:val="24"/>
        </w:rPr>
        <w:t xml:space="preserve"> species was significant (Figure 3.1A, B, C). The variation in litterfall between the two species suggests that the disturbance has a substantial impact on the soil physicochemical properties, as can be illustrated </w:t>
      </w:r>
      <w:r w:rsidRPr="00237DFA">
        <w:rPr>
          <w:rFonts w:ascii="Times New Roman" w:eastAsia="Calibri" w:hAnsi="Times New Roman" w:cs="Times New Roman"/>
          <w:color w:val="000000"/>
          <w:sz w:val="24"/>
          <w:szCs w:val="24"/>
        </w:rPr>
        <w:lastRenderedPageBreak/>
        <w:t xml:space="preserve">later. </w:t>
      </w:r>
      <w:r w:rsidRPr="00237DFA">
        <w:rPr>
          <w:rFonts w:ascii="Times New Roman" w:eastAsia="Calibri" w:hAnsi="Times New Roman" w:cs="Times New Roman"/>
          <w:i/>
          <w:color w:val="000000"/>
          <w:sz w:val="24"/>
          <w:szCs w:val="24"/>
        </w:rPr>
        <w:t xml:space="preserve">Croton macrostachyus </w:t>
      </w:r>
      <w:r w:rsidRPr="00237DFA">
        <w:rPr>
          <w:rFonts w:ascii="Times New Roman" w:eastAsia="Calibri" w:hAnsi="Times New Roman" w:cs="Times New Roman"/>
          <w:color w:val="000000"/>
          <w:sz w:val="24"/>
          <w:szCs w:val="24"/>
        </w:rPr>
        <w:t>and</w:t>
      </w:r>
      <w:r w:rsidRPr="00237DFA">
        <w:rPr>
          <w:rFonts w:ascii="Times New Roman" w:eastAsia="Calibri" w:hAnsi="Times New Roman" w:cs="Times New Roman"/>
          <w:i/>
          <w:color w:val="000000"/>
          <w:sz w:val="24"/>
          <w:szCs w:val="24"/>
        </w:rPr>
        <w:t xml:space="preserve"> Cordia africana </w:t>
      </w:r>
      <w:r w:rsidRPr="00237DFA">
        <w:rPr>
          <w:rFonts w:ascii="Times New Roman" w:eastAsia="Calibri" w:hAnsi="Times New Roman" w:cs="Times New Roman"/>
          <w:color w:val="000000"/>
          <w:sz w:val="24"/>
          <w:szCs w:val="24"/>
        </w:rPr>
        <w:t xml:space="preserve">species have a total amount of form four-month litterfall of 5.19 t/ha and 5.89 t/ha respectively, (which is equivalent to the crown area of both tree species), respectively, in four months. The amount of litterfall for the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is greater than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The trend of amount of monthly litterfall in February, March, April, and May were 0.89 t/ha, 1.35 t/ha, 2.53 t/ha, and 0.42 t/ha for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and 0.97 t/ha, 1.84 t/ha, 2.54 t/ha, and 0.49 t/ha for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respectively; indicating that litterfall peaks in April and radically decline in May for both species (Figure 3.1a, b, c). In the agroforestry system of the Aba Gerima watershed, the fractions and the total litterfall between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revealed substantial differences in the total amount of litterfall.</w:t>
      </w:r>
    </w:p>
    <w:p w:rsidR="00237DFA" w:rsidRPr="00237DFA" w:rsidRDefault="00237DFA" w:rsidP="00237DFA">
      <w:pPr>
        <w:spacing w:before="240" w:after="240" w:line="360" w:lineRule="auto"/>
        <w:jc w:val="both"/>
        <w:rPr>
          <w:rFonts w:ascii="Times New Roman" w:eastAsia="Calibri" w:hAnsi="Times New Roman" w:cs="Times New Roman"/>
          <w:color w:val="000000"/>
          <w:sz w:val="20"/>
          <w:szCs w:val="20"/>
        </w:rPr>
      </w:pPr>
      <w:r w:rsidRPr="00237DFA">
        <w:rPr>
          <w:rFonts w:ascii="Times New Roman" w:eastAsia="Times New Roman" w:hAnsi="Times New Roman" w:cs="Times New Roman"/>
          <w:noProof/>
          <w:sz w:val="20"/>
          <w:szCs w:val="20"/>
          <w:lang w:val="en-IN" w:eastAsia="en-IN"/>
        </w:rPr>
        <w:drawing>
          <wp:inline distT="0" distB="0" distL="0" distR="0" wp14:anchorId="6233141B" wp14:editId="5C973124">
            <wp:extent cx="2857500" cy="2133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37DFA">
        <w:rPr>
          <w:rFonts w:ascii="Times New Roman" w:eastAsia="Calibri" w:hAnsi="Times New Roman" w:cs="Times New Roman"/>
          <w:color w:val="000000"/>
          <w:sz w:val="20"/>
          <w:szCs w:val="20"/>
        </w:rPr>
        <w:t xml:space="preserve">   </w:t>
      </w:r>
      <w:r w:rsidRPr="00237DFA">
        <w:rPr>
          <w:rFonts w:ascii="Times New Roman" w:eastAsia="Times New Roman" w:hAnsi="Times New Roman" w:cs="Times New Roman"/>
          <w:noProof/>
          <w:sz w:val="20"/>
          <w:szCs w:val="20"/>
          <w:lang w:val="en-IN" w:eastAsia="en-IN"/>
        </w:rPr>
        <w:drawing>
          <wp:inline distT="0" distB="0" distL="0" distR="0" wp14:anchorId="2F450A0C" wp14:editId="069F2B48">
            <wp:extent cx="2943225" cy="2152650"/>
            <wp:effectExtent l="0" t="0" r="2857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7DFA" w:rsidRDefault="00237DFA" w:rsidP="00237DFA">
      <w:pPr>
        <w:spacing w:before="240" w:after="240" w:line="360" w:lineRule="auto"/>
        <w:jc w:val="both"/>
        <w:rPr>
          <w:rFonts w:ascii="Times New Roman" w:eastAsia="Calibri" w:hAnsi="Times New Roman" w:cs="Times New Roman"/>
          <w:color w:val="000000"/>
          <w:sz w:val="20"/>
          <w:szCs w:val="20"/>
        </w:rPr>
      </w:pPr>
      <w:r w:rsidRPr="00237DFA">
        <w:rPr>
          <w:rFonts w:ascii="Times New Roman" w:eastAsia="Times New Roman" w:hAnsi="Times New Roman" w:cs="Times New Roman"/>
          <w:noProof/>
          <w:sz w:val="20"/>
          <w:szCs w:val="20"/>
          <w:lang w:val="en-IN" w:eastAsia="en-IN"/>
        </w:rPr>
        <w:drawing>
          <wp:anchor distT="0" distB="0" distL="114300" distR="114300" simplePos="0" relativeHeight="251659264" behindDoc="0" locked="0" layoutInCell="1" allowOverlap="1" wp14:anchorId="45F8B569" wp14:editId="7154473F">
            <wp:simplePos x="0" y="0"/>
            <wp:positionH relativeFrom="column">
              <wp:posOffset>785495</wp:posOffset>
            </wp:positionH>
            <wp:positionV relativeFrom="paragraph">
              <wp:posOffset>20320</wp:posOffset>
            </wp:positionV>
            <wp:extent cx="4638675" cy="2295525"/>
            <wp:effectExtent l="0" t="0" r="28575"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r w:rsidRPr="00237DFA">
        <w:rPr>
          <w:rFonts w:ascii="Times New Roman" w:eastAsia="Calibri" w:hAnsi="Times New Roman" w:cs="Times New Roman"/>
          <w:color w:val="000000"/>
          <w:sz w:val="20"/>
          <w:szCs w:val="20"/>
        </w:rPr>
        <w:t xml:space="preserve">Figure 3. 1:  A) The amount of litterfall  </w:t>
      </w:r>
      <w:r w:rsidRPr="00237DFA">
        <w:rPr>
          <w:rFonts w:ascii="Times New Roman" w:eastAsia="Calibri" w:hAnsi="Times New Roman" w:cs="Times New Roman"/>
          <w:i/>
          <w:color w:val="000000"/>
          <w:sz w:val="20"/>
          <w:szCs w:val="20"/>
        </w:rPr>
        <w:t>Croton macrostachyus</w:t>
      </w:r>
      <w:r w:rsidRPr="00237DFA">
        <w:rPr>
          <w:rFonts w:ascii="Times New Roman" w:eastAsia="Calibri" w:hAnsi="Times New Roman" w:cs="Times New Roman"/>
          <w:color w:val="000000"/>
          <w:sz w:val="20"/>
          <w:szCs w:val="20"/>
        </w:rPr>
        <w:t xml:space="preserve">, B) the amount of </w:t>
      </w:r>
      <w:r w:rsidRPr="00237DFA">
        <w:rPr>
          <w:rFonts w:ascii="Times New Roman" w:eastAsia="Calibri" w:hAnsi="Times New Roman" w:cs="Times New Roman"/>
          <w:i/>
          <w:color w:val="000000"/>
          <w:sz w:val="20"/>
          <w:szCs w:val="20"/>
        </w:rPr>
        <w:t>Cordia africana</w:t>
      </w:r>
      <w:r w:rsidRPr="00237DFA">
        <w:rPr>
          <w:rFonts w:ascii="Times New Roman" w:eastAsia="Calibri" w:hAnsi="Times New Roman" w:cs="Times New Roman"/>
          <w:color w:val="000000"/>
          <w:sz w:val="20"/>
          <w:szCs w:val="20"/>
        </w:rPr>
        <w:t xml:space="preserve"> litterfall, and C) the total amount of litterfall for both species throughout four months in Aba Gerima watershe</w:t>
      </w:r>
      <w:r>
        <w:rPr>
          <w:rFonts w:ascii="Times New Roman" w:eastAsia="Calibri" w:hAnsi="Times New Roman" w:cs="Times New Roman"/>
          <w:color w:val="000000"/>
          <w:sz w:val="20"/>
          <w:szCs w:val="20"/>
        </w:rPr>
        <w:t>d</w:t>
      </w:r>
    </w:p>
    <w:p w:rsidR="00237DFA" w:rsidRPr="00237DFA" w:rsidRDefault="00237DFA" w:rsidP="00237DFA">
      <w:pPr>
        <w:spacing w:before="240" w:after="240"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lastRenderedPageBreak/>
        <w:t xml:space="preserve">This finding is supported by studies carried out in the tropics by many different researchers who reported comparable results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{"citationItems":[{"id":"ITEM-1","itemData":{"DOI":"10.1007/s13595-011-0010-5","ISSN":"1297-966X","abstract":"To increase our understanding of litterfall dynamics in mixed-species forests, seasonal and annual variations in litterfall mass and nutrient concentrations were assessed for a 60-year-old spontaneously developed forest dominated by silver birch (Betula pendula Roth), pedunculate oak (Quercus robur L.), and northern red oak (Quercus rubra L.) in Belgium.","author":[{"dropping-particle":"","family":"Staelens","given":"Jeroen","non-dropping-particle":"","parse-names":false,"suffix":""},{"dropping-particle":"","family":"Nachtergale","given":"Lieven","non-dropping-particle":"","parse-names":false,"suffix":""},{"dropping-particle":"","family":"Schrijver","given":"An","non-dropping-particle":"De","parse-names":false,"suffix":""},{"dropping-particle":"","family":"Vanhellemont","given":"Margot","non-dropping-particle":"","parse-names":false,"suffix":""},{"dropping-particle":"","family":"Wuyts","given":"Karen","non-dropping-particle":"","parse-names":false,"suffix":""},{"dropping-particle":"","family":"Verheyen","given":"Kris","non-dropping-particle":"","parse-names":false,"suffix":""}],"container-title":"Annals of Forest Science","id":"ITEM-1","issue":"1","issued":{"date-parts":[["2011"]]},"page":"89-98","title":"Spatio-temporal litterfall dynamics in a 60-year-old mixed deciduous forest","type":"article-journal","volume":"68"},"uris":["http://www.mendeley.com/documents/?uuid=58b4f9e4-83cb-4ca6-b56b-16d3f4bb3866"]}],"mendeley":{"formattedCitation":"(Staelens et al., 2011)","manualFormatting":"(Staelens et al., 2011;","plainTextFormattedCitation":"(Staelens et al., 2011)","previouslyFormattedCitation":"(Staelens et al., 2011)"},"properties":{"noteIndex":0},"schema":"https://github.com/citation-style-language/schema/raw/master/csl-citation.json"}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(Staelens et al., 2011;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{"citationItems":[{"id":"ITEM-1","itemData":{"DOI":"10.5194/bg-7-43-2010","ISSN":"17264189","abstract":"The production of aboveground soft tissue represents an important share of total net primary production in tropical rain forests. Here we draw from a large number of published and unpublished datasets (n=Combining double low line81 sites) to assess the determinants of litterfall variation across South American tropical forests. We show that across old-growth tropical rainforests, litterfall averages 8.61±1.91 Mg ha-1 yr-1 (mean ± standard deviation, in dry mass units). Secondary forests have a lower annual litterfall than old-growth tropical forests with a mean of 8.01±3.41 Mg ha-1 yr-1. Annual litterfall shows no significant variation with total annual rainfall, either globally or within forest types. It does not vary consistently with soil type, except in the poorest soils (white sand soils), where litterfall is significantly lower than in other soil types (5.42±1.91 Mg ha-1 yr-1). We also study the determinants of litterfall seasonality, and find that it does not depend on annual rainfall or on soil type. However, litterfall seasonality is significantly positively correlated with rainfall seasonality. Finally, we assess how much carbon is stored in reproductive organs relative to photosynthetic organs. Mean leaf fall is 5.74±1.83 Mg ha-1 yr-1 (71% of total litterfall). Mean allocation into reproductive organs is 0.69±0.40 Mg ha-1 yr-1 (9% of total litterfall). The investment into reproductive organs divided by leaf litterfall increases with soil fertility, suggesting that on poor soils, the allocation to photosynthetic organs is prioritized over that to reproduction. Finally, we discuss the ecological and biogeochemical implications of these results.","author":[{"dropping-particle":"","family":"Chave","given":"J.","non-dropping-particle":"","parse-names":false,"suffix":""},{"dropping-particle":"","family":"Navarrete","given":"D.","non-dropping-particle":"","parse-names":false,"suffix":""},{"dropping-particle":"","family":"Almeida","given":"S.","non-dropping-particle":"","parse-names":false,"suffix":""},{"dropping-particle":"","family":"Álvarez","given":"E.","non-dropping-particle":"","parse-names":false,"suffix":""},{"dropping-particle":"","family":"Aragão","given":"L. E.O.C.","non-dropping-particle":"","parse-names":false,"suffix":""},{"dropping-particle":"","family":"Bonal","given":"D.","non-dropping-particle":"","parse-names":false,"suffix":""},{"dropping-particle":"","family":"Châtelet","given":"P.","non-dropping-particle":"","parse-names":false,"suffix":""},{"dropping-particle":"","family":"Silva-Espejo","given":"J. E.","non-dropping-particle":"","parse-names":false,"suffix":""},{"dropping-particle":"","family":"Goret","given":"J. Y.","non-dropping-particle":"","parse-names":false,"suffix":""},{"dropping-particle":"","family":"Hildebrand","given":"P.","non-dropping-particle":"Von","parse-names":false,"suffix":""},{"dropping-particle":"","family":"Jiménez","given":"E.","non-dropping-particle":"","parse-names":false,"suffix":""},{"dropping-particle":"","family":"Patiño","given":"S.","non-dropping-particle":"","parse-names":false,"suffix":""},{"dropping-particle":"","family":"Peñuela","given":"M. C.","non-dropping-particle":"","parse-names":false,"suffix":""},{"dropping-particle":"","family":"Phillips","given":"O. L.","non-dropping-particle":"","parse-names":false,"suffix":""},{"dropping-particle":"","family":"Stevenson","given":"P.","non-dropping-particle":"","parse-names":false,"suffix":""},{"dropping-particle":"","family":"Malhi","given":"Y.","non-dropping-particle":"","parse-names":false,"suffix":""}],"container-title":"Biogeosciences","id":"ITEM-1","issue":"1","issued":{"date-parts":[["2010"]]},"page":"43-55","title":"Regional and seasonal patterns of litterfall in tropical South America","type":"article-journal","volume":"7"},"uris":["http://www.mendeley.com/documents/?uuid=031781c4-a65e-4228-b7b1-5bf9c3c1dc2d"]}],"mendeley":{"formattedCitation":"(Chave et al., 2010)","manualFormatting":"Chave et al., 2010","plainTextFormattedCitation":"(Chave et al., 2010)","previouslyFormattedCitation":"(Chave et al., 2010)"},"properties":{"noteIndex":0},"schema":"https://github.com/citation-style-language/schema/raw/master/csl-citation.json"}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Chave et al., 2010</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{"citationItems":[{"id":"ITEM-1","itemData":{"DOI":"10.1007/s11258-006-9149-9","author":[{"dropping-particle":"","family":"Zhou","given":"Guoyi","non-dropping-particle":"","parse-names":false,"suffix":""},{"dropping-particle":"","family":"Guan","given":"Æ Lili","non-dropping-particle":"","parse-names":false,"suffix":""},{"dropping-particle":"","family":"Wei","given":"Æ Xiaohua","non-dropping-particle":"","parse-names":false,"suffix":""},{"dropping-particle":"","family":"Zhang","given":"Æ Deqiang","non-dropping-particle":"","parse-names":false,"suffix":""},{"dropping-particle":"","family":"Zhang","given":"Æ Qianmei","non-dropping-particle":"","parse-names":false,"suffix":""}],"container-title":"Plant Ecol","id":"ITEM-1","issued":{"date-parts":[["2007"]]},"page":"77-89","title":"Litterfall production along successional and altitudinal gradients of subtropical monsoon evergreen broadleaved forests in Guangdong , China","type":"article-journal","volume":"188"},"uris":["http://www.mendeley.com/documents/?uuid=985573d9-586e-4bfc-ad1b-724dc1424bff"]}],"mendeley":{"formattedCitation":"(Zhou et al., 2007)","manualFormatting":"Zhou et al., 2007","plainTextFormattedCitation":"(Zhou et al., 2007)","previouslyFormattedCitation":"(Zhou et al., 2007)"},"properties":{"noteIndex":0},"schema":"https://github.com/citation-style-language/schema/raw/master/csl-citation.json"}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Zhou et al., 2007</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{"citationItems":[{"id":"ITEM-1","itemData":{"DOI":"10.1146/annurev.es.17.110186.001033","ISSN":"0066-4162","abstract":"Moderately fertile soils support productive forests that cycle large quantities of nutrient elements. Forests on the widespread Oxisol/Ultisol soils efficiently cycle smaller quantities of P and Ca, although they appear to be quite rich in N. Forests on sandy Spodosol/Psamment soils cycle small quantities of N (and in some cases P), and they have very high root/shoot ratios. Montane tropical forests generally appear to be low in N, and upper montane forests cycle substantially less N than do lower montane forests. These patterns affect the physiology, community ecology and population biology of tropical forests.-from Authors","author":[{"dropping-particle":"","family":"Vitoussek","given":"P. M.","non-dropping-particle":"","parse-names":false,"suffix":""},{"dropping-particle":"","family":"Sanford","given":"R. L.","non-dropping-particle":"","parse-names":false,"suffix":""}],"container-title":"Annual review of ecology and systematics.","id":"ITEM-1","issued":{"date-parts":[["1986"]]},"page":"137-167","title":"Nutrient cycling in moist tropical forest.","type":"article-journal","volume":"17"},"uris":["http://www.mendeley.com/documents/?uuid=ff45ad61-6397-4779-81c1-d77fbf88201a"]}],"mendeley":{"formattedCitation":"(Vitoussek &amp; Sanford, 1986)","manualFormatting":"Vitoussek &amp; Sanford, 1986)","plainTextFormattedCitation":"(Vitoussek &amp; Sanford, 1986)","previouslyFormattedCitation":"(Vitoussek &amp; Sanford, 1986)"},"properties":{"noteIndex":0},"schema":"https://github.com/citation-style-language/schema/raw/master/csl-citation.json"}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Vitoussek &amp; Sanford, 1986)</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According to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{"citationItems":[{"id":"ITEM-1","itemData":{"DOI":"10.1146/annurev.es.17.110186.001033","ISSN":"0066-4162","abstract":"Moderately fertile soils support productive forests that cycle large quantities of nutrient elements. Forests on the widespread Oxisol/Ultisol soils efficiently cycle smaller quantities of P and Ca, although they appear to be quite rich in N. Forests on sandy Spodosol/Psamment soils cycle small quantities of N (and in some cases P), and they have very high root/shoot ratios. Montane tropical forests generally appear to be low in N, and upper montane forests cycle substantially less N than do lower montane forests. These patterns affect the physiology, community ecology and population biology of tropical forests.-from Authors","author":[{"dropping-particle":"","family":"Vitoussek","given":"P. M.","non-dropping-particle":"","parse-names":false,"suffix":""},{"dropping-particle":"","family":"Sanford","given":"R. L.","non-dropping-particle":"","parse-names":false,"suffix":""}],"container-title":"Annual review of ecology and systematics.","id":"ITEM-1","issued":{"date-parts":[["1986"]]},"page":"137-167","title":"Nutrient cycling in moist tropical forest.","type":"article-journal","volume":"17"},"uris":["http://www.mendeley.com/documents/?uuid=ff45ad61-6397-4779-81c1-d77fbf88201a"]}],"mendeley":{"formattedCitation":"(Vitoussek &amp; Sanford, 1986)","plainTextFormattedCitation":"(Vitoussek &amp; Sanford, 1986)","previouslyFormattedCitation":"(Vitoussek &amp; Sanford, 1986)"},"properties":{"noteIndex":0},"schema":"https://github.com/citation-style-language/schema/raw/master/csl-citation.json"}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(Vitoussek &amp; Sanford, 1986)</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they reported 3.6 to 12.4 t/ha/year litterfall in the tropical moist forest. In addition reported by </w:t>
      </w:r>
      <w:r w:rsidRPr="00237DFA">
        <w:rPr>
          <w:rFonts w:ascii="Times New Roman" w:eastAsia="Calibri" w:hAnsi="Times New Roman" w:cs="Times New Roman"/>
          <w:noProof/>
          <w:color w:val="000000"/>
          <w:sz w:val="24"/>
          <w:szCs w:val="24"/>
        </w:rPr>
        <w:t>Talemos Seta et al., (2018),</w:t>
      </w:r>
      <w:r w:rsidRPr="00237DFA">
        <w:rPr>
          <w:rFonts w:ascii="Times New Roman" w:eastAsia="Calibri" w:hAnsi="Times New Roman" w:cs="Times New Roman"/>
          <w:color w:val="000000"/>
          <w:sz w:val="24"/>
          <w:szCs w:val="24"/>
        </w:rPr>
        <w:t xml:space="preserve"> the mean annual dry mass of litterfall was 10.76 t/ha/yr</w:t>
      </w:r>
      <w:r w:rsidRPr="00237DFA">
        <w:rPr>
          <w:rFonts w:ascii="Times New Roman" w:eastAsia="Calibri" w:hAnsi="Times New Roman" w:cs="Times New Roman"/>
          <w:color w:val="000000"/>
          <w:sz w:val="24"/>
          <w:szCs w:val="24"/>
          <w:vertAlign w:val="superscript"/>
        </w:rPr>
        <w:t xml:space="preserve"> </w:t>
      </w:r>
      <w:r w:rsidRPr="00237DFA">
        <w:rPr>
          <w:rFonts w:ascii="Times New Roman" w:eastAsia="Calibri" w:hAnsi="Times New Roman" w:cs="Times New Roman"/>
          <w:color w:val="000000"/>
          <w:sz w:val="24"/>
          <w:szCs w:val="24"/>
        </w:rPr>
        <w:t xml:space="preserve">and 6.64 t/ha/yr in lower-distributed and high-distributed sites, respectively. The high value of reproductive parts as a fraction of litterfall was recorded in March, April, December, January, and February in both lower-distributed and high-distributed sites of the forest, which might indicate the flowering and fruiting seasons of some of the forest species. Moreover, a significant difference in the mean dry weight of litterfall was observed between lower-distributed and high-distributed sites of the forest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{"citationItems":[{"id":"ITEM-1","itemData":{"DOI":"10.5897/jene2017.0648","abstract":"Litterfall in the forest is essential for balanced ecosystem processes. The present study determined seasonal variations of litterfall in the Boter-Becho forest, Southwestern Ethiopia. Based on forest disturbance level, two sites were selected: Low and high. Litterfall production in the high and low disturbed forest sites averaged 6.6 and 10.8 t ha-1 year-1 , respectively. Significant differences (P&lt;0.001) in litterfall were manifested between wet (0.6 ton ha-1 month-1) and dry (0.8 tons ha-1 month-1) seasons. Higher litterfall was associated with the dry compared with the wet season. Both litterfall and its fractions including leaf litter, reproductive parts and twigs followed a multimodal distribution pattern. Litterfall peaked during March, April, December, January and February with maximum peaks during March and December respectively. Monthly rainfall and temperature directly influenced litterfall production. Litterfall was strongly but negatively correlated with rainfall compared to ambient temperature. Although the present study provided useful information on the effects of low and high disturbance on litterfall production of the Boter Becho forest, further studies are required to quantify and understand the impact of disturbance on nutrient cycling specific to this forest.","author":[{"dropping-particle":"","family":"Talemos Seta","given":"","non-dropping-particle":"","parse-names":false,"suffix":""},{"dropping-particle":"","family":"Demissew","given":"Sebsebe","non-dropping-particle":"","parse-names":false,"suffix":""},{"dropping-particle":"","family":"Woldu","given":"Zerihun","non-dropping-particle":"","parse-names":false,"suffix":""}],"container-title":"Journal of Ecology and The Natural Environment","id":"ITEM-1","issue":"1","issued":{"date-parts":[["2018"]]},"page":"13-21","title":"Litterfall dynamics in Boter-Becho Forest: Moist evergreen montane forest of Southwestern Ethiopia","type":"article-journal","volume":"10"},"uris":["http://www.mendeley.com/documents/?uuid=7afa671b-7b9a-4e3f-b41f-4215247764b9"]}],"mendeley":{"formattedCitation":"(Talemos Seta et al., 2018)","plainTextFormattedCitation":"(Talemos Seta et al., 2018)"},"properties":{"noteIndex":0},"schema":"https://github.com/citation-style-language/schema/raw/master/csl-citation.json"}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(Talemos Seta et al., 2018)</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In Southern Ethiopia,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2012)","manualFormatting":"Ambachew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Ambachew Demessie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found that among deciduous plantation species and natural forests, litter production rates ranging from 9.7 to 12.6 t/ha/year occurred. In the Ethiopian Highlands,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{"citationItems":[{"id":"ITEM-1","itemData":{"DOI":"10.1016/0378-1127(94)90166-X","ISSN":"03781127","abstract":"The pattern of litterfall, its nutrient element content, rate of weight loss and release of nutrient elements were investigated in 28-40 year old plantations of two exotic species, Cupressus lusitanica and Eucalyptus globulus and one indigenous species, Juniperus procera, and compared with that of an adjacent Juniperus-Olea-Podocarpus montane forest in the Ethiopian highland. The total annual fine litterfall was 501 g m-2 year-1, 583 g m-2 year-1, 653 g m-1 year-1 and 1087 g m-2 year-1 in the C. lusitanica, Eucalyptus globulus, J. procera plantations and the natural forest, respectively: of this litterfall, leaves constituted 57.6%, 77.2%, 71.9% and 65.5%. Litterfall was higher in the natural forest than in any of the plantations in 18 of 24 months studied. It was generally high during the dry months and low during wetter months and varied between the 2 years of study. The concentration of nutrient elements in the litterfall to some extent showed a seasonal pattern, most pronounced for K. The four sites could be arranged in this sequence with respect to the rate of nutrient release from decomposing litter after 12 months: J. procera=C. lusitanica&gt;Eucalyptus globulus=natural forest. Nutrient elements and dry weight (DW) followed the release pattern: K &gt; Mg &gt; Ca &gt; DW &gt; N = P. After 24 months, the weight loss was less in the natural forest and C. lusitanica site than in the Eucalyptus globulus and J. procera sites, with 11.8%, 10.6%, 7.2% and 4.6% remaining DW, respectively. The high N to P ratio in litter in the first phase and at the end of decomposition, or during the whole period in the case of Eucalyptus globulus, indicates that P was generally limiting for the decomposition. Owing to the lower amount of litter and its lower nutritional quality, the annual nutrient input by litter of the two exotics generally was much lower than that of J. procera and, in particular, that of the natural forest. A consequence of the less efficient within-stand cycling in the J. procera and natural forest sites may be that the herbs, shrubs and tree seedlings here may benefit more from nutrient elements released from litterfall than plants in the C. lusitanica and Eucalyptus globulus sites. © 1994.","author":[{"dropping-particle":"","family":"Lisanework","given":"N.","non-dropping-particle":"","parse-names":false,"suffix":""},{"dropping-particle":"","family":"Michelsen","given":"A.","non-dropping-particle":"","parse-names":false,"suffix":""}],"container-title":"Forest Ecology and Management","id":"ITEM-1","issue":"2-3","issued":{"date-parts":[["1994"]]},"page":"149-164","title":"Litterfall and nutrient release by decomposition in three plantations compared with a natural forest in the Ethiopian highland","type":"article-journal","volume":"65"},"uris":["http://www.mendeley.com/documents/?uuid=60a34a76-b867-4a55-bc76-57ddb1fce10a"]}],"mendeley":{"formattedCitation":"(Lisanework &amp; Michelsen, 1994)","manualFormatting":"Lisanework &amp; Michelsen, (1994)","plainTextFormattedCitation":"(Lisanework &amp; Michelsen, 1994)","previouslyFormattedCitation":"(Lisanework &amp; Michelsen, 1994)"},"properties":{"noteIndex":0},"schema":"https://github.com/citation-style-language/schema/raw/master/csl-citation.json"}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Lisanework &amp; Michelsen, (1994)</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reported the annual fine litter production ranging from 5.0 to 6.5 t/ha in tree plantations and 10.9 Mg/ha in a natural forest relatively higher than the present value.</w:t>
      </w:r>
    </w:p>
    <w:p w:rsidR="00237DFA" w:rsidRPr="00237DFA" w:rsidRDefault="00237DFA" w:rsidP="00237DFA">
      <w:pPr>
        <w:spacing w:before="240" w:after="240" w:line="360" w:lineRule="auto"/>
        <w:jc w:val="both"/>
        <w:rPr>
          <w:rFonts w:ascii="Times New Roman" w:eastAsia="Calibri" w:hAnsi="Times New Roman" w:cs="Times New Roman"/>
          <w:color w:val="000000"/>
          <w:sz w:val="24"/>
          <w:szCs w:val="24"/>
        </w:rPr>
      </w:pPr>
      <w:bookmarkStart w:id="5" w:name="_Toc171282908"/>
      <w:r w:rsidRPr="00237DFA">
        <w:rPr>
          <w:rFonts w:ascii="Times New Roman" w:eastAsia="Times New Roman" w:hAnsi="Times New Roman" w:cs="Times New Roman"/>
          <w:b/>
          <w:sz w:val="24"/>
          <w:szCs w:val="24"/>
          <w:lang w:val="en-GB"/>
        </w:rPr>
        <w:t xml:space="preserve">3.2 The Rate of Decomposition of the Litterfall </w:t>
      </w:r>
      <w:r w:rsidRPr="00237DFA">
        <w:rPr>
          <w:rFonts w:ascii="Times New Roman" w:eastAsia="Times New Roman" w:hAnsi="Times New Roman" w:cs="Times New Roman"/>
          <w:b/>
          <w:sz w:val="24"/>
          <w:szCs w:val="24"/>
        </w:rPr>
        <w:t xml:space="preserve">for </w:t>
      </w:r>
      <w:r w:rsidRPr="00237DFA">
        <w:rPr>
          <w:rFonts w:ascii="Times New Roman" w:eastAsia="Times New Roman" w:hAnsi="Times New Roman" w:cs="Times New Roman"/>
          <w:b/>
          <w:i/>
          <w:sz w:val="24"/>
          <w:szCs w:val="24"/>
        </w:rPr>
        <w:t>Croton macrostachyus</w:t>
      </w:r>
      <w:r w:rsidRPr="00237DFA">
        <w:rPr>
          <w:rFonts w:ascii="Times New Roman" w:eastAsia="Times New Roman" w:hAnsi="Times New Roman" w:cs="Times New Roman"/>
          <w:b/>
          <w:sz w:val="24"/>
          <w:szCs w:val="24"/>
        </w:rPr>
        <w:t xml:space="preserve"> and </w:t>
      </w:r>
      <w:r w:rsidRPr="00237DFA">
        <w:rPr>
          <w:rFonts w:ascii="Times New Roman" w:eastAsia="Times New Roman" w:hAnsi="Times New Roman" w:cs="Times New Roman"/>
          <w:b/>
          <w:i/>
          <w:sz w:val="24"/>
          <w:szCs w:val="24"/>
        </w:rPr>
        <w:t>Cordia africana</w:t>
      </w:r>
      <w:bookmarkEnd w:id="5"/>
    </w:p>
    <w:p w:rsidR="00237DFA" w:rsidRPr="00237DFA" w:rsidRDefault="00237DFA" w:rsidP="00237DFA">
      <w:pPr>
        <w:keepNext/>
        <w:keepLines/>
        <w:spacing w:before="120" w:after="120" w:line="360" w:lineRule="auto"/>
        <w:jc w:val="both"/>
        <w:outlineLvl w:val="2"/>
        <w:rPr>
          <w:rFonts w:ascii="Calibri Light" w:eastAsia="Times New Roman" w:hAnsi="Calibri Light" w:cs="Times New Roman"/>
          <w:b/>
          <w:color w:val="1F4D78"/>
          <w:sz w:val="24"/>
          <w:szCs w:val="24"/>
        </w:rPr>
      </w:pPr>
      <w:bookmarkStart w:id="6" w:name="_Toc171282909"/>
      <w:r w:rsidRPr="00237DFA">
        <w:rPr>
          <w:rFonts w:ascii="Times New Roman" w:eastAsia="Calibri" w:hAnsi="Times New Roman" w:cs="Times New Roman"/>
          <w:b/>
          <w:sz w:val="24"/>
          <w:szCs w:val="24"/>
        </w:rPr>
        <w:t xml:space="preserve">3.2.1 </w:t>
      </w:r>
      <w:r w:rsidRPr="00237DFA">
        <w:rPr>
          <w:rFonts w:ascii="Times New Roman" w:eastAsia="Times New Roman" w:hAnsi="Times New Roman" w:cs="Times New Roman"/>
          <w:b/>
          <w:sz w:val="24"/>
          <w:szCs w:val="24"/>
        </w:rPr>
        <w:t xml:space="preserve">The effect of tree species on mass loss for  </w:t>
      </w:r>
      <w:r w:rsidRPr="00237DFA">
        <w:rPr>
          <w:rFonts w:ascii="Times New Roman" w:eastAsia="Calibri" w:hAnsi="Times New Roman" w:cs="Times New Roman"/>
          <w:b/>
          <w:sz w:val="24"/>
          <w:szCs w:val="24"/>
        </w:rPr>
        <w:t>120</w:t>
      </w:r>
      <w:r w:rsidRPr="00237DFA">
        <w:rPr>
          <w:rFonts w:ascii="Times New Roman" w:eastAsia="Times New Roman" w:hAnsi="Times New Roman" w:cs="Times New Roman"/>
          <w:b/>
          <w:sz w:val="24"/>
          <w:szCs w:val="24"/>
        </w:rPr>
        <w:t xml:space="preserve"> days of </w:t>
      </w:r>
      <w:r w:rsidRPr="00237DFA">
        <w:rPr>
          <w:rFonts w:ascii="Times New Roman" w:eastAsia="Calibri" w:hAnsi="Times New Roman" w:cs="Times New Roman"/>
          <w:b/>
          <w:sz w:val="24"/>
          <w:szCs w:val="24"/>
        </w:rPr>
        <w:t>the dry and wet season</w:t>
      </w:r>
      <w:bookmarkEnd w:id="6"/>
    </w:p>
    <w:p w:rsidR="00237DFA" w:rsidRPr="00237DFA" w:rsidRDefault="00237DFA" w:rsidP="00237DFA">
      <w:pPr>
        <w:spacing w:line="360" w:lineRule="auto"/>
        <w:jc w:val="both"/>
        <w:rPr>
          <w:rFonts w:ascii="Times New Roman" w:eastAsia="Calibri" w:hAnsi="Times New Roman" w:cs="Times New Roman"/>
          <w:sz w:val="24"/>
          <w:szCs w:val="24"/>
        </w:rPr>
      </w:pPr>
      <w:r w:rsidRPr="00237DFA">
        <w:rPr>
          <w:rFonts w:ascii="Times New Roman" w:eastAsia="Calibri" w:hAnsi="Times New Roman" w:cs="Times New Roman"/>
          <w:sz w:val="24"/>
          <w:szCs w:val="24"/>
          <w:shd w:val="clear" w:color="auto" w:fill="FFFFFF"/>
        </w:rPr>
        <w:t xml:space="preserve">The result showed that the dry and wet season maximum mass remaining for </w:t>
      </w:r>
      <w:r w:rsidRPr="00237DFA">
        <w:rPr>
          <w:rFonts w:ascii="Times New Roman" w:eastAsia="Calibri" w:hAnsi="Times New Roman" w:cs="Times New Roman"/>
          <w:i/>
          <w:sz w:val="24"/>
          <w:szCs w:val="24"/>
          <w:shd w:val="clear" w:color="auto" w:fill="FFFFFF"/>
        </w:rPr>
        <w:t>Cordia africana</w:t>
      </w:r>
      <w:r w:rsidRPr="00237DFA">
        <w:rPr>
          <w:rFonts w:ascii="Times New Roman" w:eastAsia="Calibri" w:hAnsi="Times New Roman" w:cs="Times New Roman"/>
          <w:sz w:val="24"/>
          <w:szCs w:val="24"/>
          <w:shd w:val="clear" w:color="auto" w:fill="FFFFFF"/>
        </w:rPr>
        <w:t xml:space="preserve"> was lower than </w:t>
      </w:r>
      <w:r w:rsidRPr="00237DFA">
        <w:rPr>
          <w:rFonts w:ascii="Times New Roman" w:eastAsia="Calibri" w:hAnsi="Times New Roman" w:cs="Times New Roman"/>
          <w:i/>
          <w:sz w:val="24"/>
          <w:szCs w:val="24"/>
          <w:shd w:val="clear" w:color="auto" w:fill="FFFFFF"/>
        </w:rPr>
        <w:t>Croton macrostachyus</w:t>
      </w:r>
      <w:r w:rsidRPr="00237DFA">
        <w:rPr>
          <w:rFonts w:ascii="Times New Roman" w:eastAsia="Calibri" w:hAnsi="Times New Roman" w:cs="Times New Roman"/>
          <w:sz w:val="24"/>
          <w:szCs w:val="24"/>
          <w:shd w:val="clear" w:color="auto" w:fill="FFFFFF"/>
        </w:rPr>
        <w:t xml:space="preserve"> over the entire experimental period (figure 3.2).  In the dry season, the mass loss in the first 30 days was 3.9 % for </w:t>
      </w:r>
      <w:r w:rsidRPr="00237DFA">
        <w:rPr>
          <w:rFonts w:ascii="Times New Roman" w:eastAsia="Calibri" w:hAnsi="Times New Roman" w:cs="Times New Roman"/>
          <w:i/>
          <w:sz w:val="24"/>
          <w:szCs w:val="24"/>
          <w:shd w:val="clear" w:color="auto" w:fill="FFFFFF"/>
        </w:rPr>
        <w:t>Cordia africana</w:t>
      </w:r>
      <w:r w:rsidRPr="00237DFA">
        <w:rPr>
          <w:rFonts w:ascii="Times New Roman" w:eastAsia="Calibri" w:hAnsi="Times New Roman" w:cs="Times New Roman"/>
          <w:sz w:val="24"/>
          <w:szCs w:val="24"/>
          <w:shd w:val="clear" w:color="auto" w:fill="FFFFFF"/>
        </w:rPr>
        <w:t xml:space="preserve"> and 10.3% for </w:t>
      </w:r>
      <w:r w:rsidRPr="00237DFA">
        <w:rPr>
          <w:rFonts w:ascii="Times New Roman" w:eastAsia="Calibri" w:hAnsi="Times New Roman" w:cs="Times New Roman"/>
          <w:i/>
          <w:sz w:val="24"/>
          <w:szCs w:val="24"/>
          <w:shd w:val="clear" w:color="auto" w:fill="FFFFFF"/>
        </w:rPr>
        <w:t>Croton macrostachyus</w:t>
      </w:r>
      <w:r w:rsidRPr="00237DFA">
        <w:rPr>
          <w:rFonts w:ascii="Times New Roman" w:eastAsia="Calibri" w:hAnsi="Times New Roman" w:cs="Times New Roman"/>
          <w:sz w:val="24"/>
          <w:szCs w:val="24"/>
          <w:shd w:val="clear" w:color="auto" w:fill="FFFFFF"/>
        </w:rPr>
        <w:t>. On the 60</w:t>
      </w:r>
      <w:r w:rsidRPr="00237DFA">
        <w:rPr>
          <w:rFonts w:ascii="Times New Roman" w:eastAsia="Calibri" w:hAnsi="Times New Roman" w:cs="Times New Roman"/>
          <w:sz w:val="24"/>
          <w:szCs w:val="24"/>
          <w:shd w:val="clear" w:color="auto" w:fill="FFFFFF"/>
          <w:vertAlign w:val="superscript"/>
        </w:rPr>
        <w:t>th</w:t>
      </w:r>
      <w:r w:rsidRPr="00237DFA">
        <w:rPr>
          <w:rFonts w:ascii="Times New Roman" w:eastAsia="Calibri" w:hAnsi="Times New Roman" w:cs="Times New Roman"/>
          <w:sz w:val="24"/>
          <w:szCs w:val="24"/>
          <w:shd w:val="clear" w:color="auto" w:fill="FFFFFF"/>
        </w:rPr>
        <w:t xml:space="preserve"> and 90</w:t>
      </w:r>
      <w:r w:rsidRPr="00237DFA">
        <w:rPr>
          <w:rFonts w:ascii="Times New Roman" w:eastAsia="Calibri" w:hAnsi="Times New Roman" w:cs="Times New Roman"/>
          <w:sz w:val="24"/>
          <w:szCs w:val="24"/>
          <w:shd w:val="clear" w:color="auto" w:fill="FFFFFF"/>
          <w:vertAlign w:val="superscript"/>
        </w:rPr>
        <w:t>th</w:t>
      </w:r>
      <w:r w:rsidRPr="00237DFA">
        <w:rPr>
          <w:rFonts w:ascii="Times New Roman" w:eastAsia="Calibri" w:hAnsi="Times New Roman" w:cs="Times New Roman"/>
          <w:sz w:val="24"/>
          <w:szCs w:val="24"/>
          <w:shd w:val="clear" w:color="auto" w:fill="FFFFFF"/>
        </w:rPr>
        <w:t xml:space="preserve"> days, the leaf litter mass loss for </w:t>
      </w:r>
      <w:r w:rsidRPr="00237DFA">
        <w:rPr>
          <w:rFonts w:ascii="Times New Roman" w:eastAsia="Calibri" w:hAnsi="Times New Roman" w:cs="Times New Roman"/>
          <w:i/>
          <w:sz w:val="24"/>
          <w:szCs w:val="24"/>
          <w:shd w:val="clear" w:color="auto" w:fill="FFFFFF"/>
        </w:rPr>
        <w:t>Cordia africana</w:t>
      </w:r>
      <w:r w:rsidRPr="00237DFA">
        <w:rPr>
          <w:rFonts w:ascii="Times New Roman" w:eastAsia="Calibri" w:hAnsi="Times New Roman" w:cs="Times New Roman"/>
          <w:sz w:val="24"/>
          <w:szCs w:val="24"/>
          <w:shd w:val="clear" w:color="auto" w:fill="FFFFFF"/>
        </w:rPr>
        <w:t xml:space="preserve"> was 15.3% and 30.4%, respectively, compared to 44.3% and 72.5%, respectively for </w:t>
      </w:r>
      <w:r w:rsidRPr="00237DFA">
        <w:rPr>
          <w:rFonts w:ascii="Times New Roman" w:eastAsia="Calibri" w:hAnsi="Times New Roman" w:cs="Times New Roman"/>
          <w:i/>
          <w:sz w:val="24"/>
          <w:szCs w:val="24"/>
          <w:shd w:val="clear" w:color="auto" w:fill="FFFFFF"/>
        </w:rPr>
        <w:t>Croton macrostachyus</w:t>
      </w:r>
      <w:r w:rsidRPr="00237DFA">
        <w:rPr>
          <w:rFonts w:ascii="Times New Roman" w:eastAsia="Calibri" w:hAnsi="Times New Roman" w:cs="Times New Roman"/>
          <w:sz w:val="24"/>
          <w:szCs w:val="24"/>
        </w:rPr>
        <w:t xml:space="preserve">. During the wet season, the percentage of remaining mass loss after the initial 30 days showed variations from 55% for </w:t>
      </w:r>
      <w:r w:rsidRPr="00237DFA">
        <w:rPr>
          <w:rFonts w:ascii="Times New Roman" w:eastAsia="Calibri" w:hAnsi="Times New Roman" w:cs="Times New Roman"/>
          <w:i/>
          <w:sz w:val="24"/>
          <w:szCs w:val="24"/>
        </w:rPr>
        <w:t xml:space="preserve">Cordia africana </w:t>
      </w:r>
      <w:r w:rsidRPr="00237DFA">
        <w:rPr>
          <w:rFonts w:ascii="Times New Roman" w:eastAsia="Calibri" w:hAnsi="Times New Roman" w:cs="Times New Roman"/>
          <w:sz w:val="24"/>
          <w:szCs w:val="24"/>
        </w:rPr>
        <w:t xml:space="preserve">and 76.3% for </w:t>
      </w:r>
      <w:r w:rsidRPr="00237DFA">
        <w:rPr>
          <w:rFonts w:ascii="Times New Roman" w:eastAsia="Calibri" w:hAnsi="Times New Roman" w:cs="Times New Roman"/>
          <w:i/>
          <w:sz w:val="24"/>
          <w:szCs w:val="24"/>
        </w:rPr>
        <w:t>Croton macrostachyus</w:t>
      </w:r>
      <w:r w:rsidRPr="00237DFA">
        <w:rPr>
          <w:rFonts w:ascii="Times New Roman" w:eastAsia="Calibri" w:hAnsi="Times New Roman" w:cs="Times New Roman"/>
          <w:sz w:val="24"/>
          <w:szCs w:val="24"/>
        </w:rPr>
        <w:t>. Subsequently, on the 60</w:t>
      </w:r>
      <w:r w:rsidRPr="00237DFA">
        <w:rPr>
          <w:rFonts w:ascii="Times New Roman" w:eastAsia="Calibri" w:hAnsi="Times New Roman" w:cs="Times New Roman"/>
          <w:sz w:val="24"/>
          <w:szCs w:val="24"/>
          <w:vertAlign w:val="superscript"/>
        </w:rPr>
        <w:t>th</w:t>
      </w:r>
      <w:r w:rsidRPr="00237DFA">
        <w:rPr>
          <w:rFonts w:ascii="Times New Roman" w:eastAsia="Calibri" w:hAnsi="Times New Roman" w:cs="Times New Roman"/>
          <w:sz w:val="24"/>
          <w:szCs w:val="24"/>
        </w:rPr>
        <w:t xml:space="preserve"> and 90</w:t>
      </w:r>
      <w:r w:rsidRPr="00237DFA">
        <w:rPr>
          <w:rFonts w:ascii="Times New Roman" w:eastAsia="Calibri" w:hAnsi="Times New Roman" w:cs="Times New Roman"/>
          <w:sz w:val="24"/>
          <w:szCs w:val="24"/>
          <w:vertAlign w:val="superscript"/>
        </w:rPr>
        <w:t xml:space="preserve">th </w:t>
      </w:r>
      <w:r w:rsidRPr="00237DFA">
        <w:rPr>
          <w:rFonts w:ascii="Times New Roman" w:eastAsia="Calibri" w:hAnsi="Times New Roman" w:cs="Times New Roman"/>
          <w:sz w:val="24"/>
          <w:szCs w:val="24"/>
        </w:rPr>
        <w:t xml:space="preserve">days, the mass loss of leaf litter still present was recorded at 80.3% and 97.7% for </w:t>
      </w:r>
      <w:r w:rsidRPr="00237DFA">
        <w:rPr>
          <w:rFonts w:ascii="Times New Roman" w:eastAsia="Calibri" w:hAnsi="Times New Roman" w:cs="Times New Roman"/>
          <w:i/>
          <w:sz w:val="24"/>
          <w:szCs w:val="24"/>
        </w:rPr>
        <w:t>Cordia africana</w:t>
      </w:r>
      <w:r w:rsidRPr="00237DFA">
        <w:rPr>
          <w:rFonts w:ascii="Times New Roman" w:eastAsia="Calibri" w:hAnsi="Times New Roman" w:cs="Times New Roman"/>
          <w:sz w:val="24"/>
          <w:szCs w:val="24"/>
        </w:rPr>
        <w:t xml:space="preserve">, respectively. In contrast, for </w:t>
      </w:r>
      <w:r w:rsidRPr="00237DFA">
        <w:rPr>
          <w:rFonts w:ascii="Times New Roman" w:eastAsia="Calibri" w:hAnsi="Times New Roman" w:cs="Times New Roman"/>
          <w:i/>
          <w:sz w:val="24"/>
          <w:szCs w:val="24"/>
        </w:rPr>
        <w:t>Croton macrostachyus</w:t>
      </w:r>
      <w:r w:rsidRPr="00237DFA">
        <w:rPr>
          <w:rFonts w:ascii="Times New Roman" w:eastAsia="Calibri" w:hAnsi="Times New Roman" w:cs="Times New Roman"/>
          <w:sz w:val="24"/>
          <w:szCs w:val="24"/>
        </w:rPr>
        <w:t>, these values were 85.3% and 99.7% for the 60</w:t>
      </w:r>
      <w:r w:rsidRPr="00237DFA">
        <w:rPr>
          <w:rFonts w:ascii="Times New Roman" w:eastAsia="Calibri" w:hAnsi="Times New Roman" w:cs="Times New Roman"/>
          <w:sz w:val="24"/>
          <w:szCs w:val="24"/>
          <w:vertAlign w:val="superscript"/>
        </w:rPr>
        <w:t>th</w:t>
      </w:r>
      <w:r w:rsidRPr="00237DFA">
        <w:rPr>
          <w:rFonts w:ascii="Times New Roman" w:eastAsia="Calibri" w:hAnsi="Times New Roman" w:cs="Times New Roman"/>
          <w:sz w:val="24"/>
          <w:szCs w:val="24"/>
        </w:rPr>
        <w:t xml:space="preserve"> and 90</w:t>
      </w:r>
      <w:r w:rsidRPr="00237DFA">
        <w:rPr>
          <w:rFonts w:ascii="Times New Roman" w:eastAsia="Calibri" w:hAnsi="Times New Roman" w:cs="Times New Roman"/>
          <w:sz w:val="24"/>
          <w:szCs w:val="24"/>
          <w:vertAlign w:val="superscript"/>
        </w:rPr>
        <w:t>th</w:t>
      </w:r>
      <w:r w:rsidRPr="00237DFA">
        <w:rPr>
          <w:rFonts w:ascii="Times New Roman" w:eastAsia="Calibri" w:hAnsi="Times New Roman" w:cs="Times New Roman"/>
          <w:sz w:val="24"/>
          <w:szCs w:val="24"/>
        </w:rPr>
        <w:t xml:space="preserve"> days incubation periods, respectively.</w:t>
      </w:r>
      <w:r w:rsidRPr="00237DFA">
        <w:rPr>
          <w:rFonts w:ascii="Times New Roman" w:eastAsia="Calibri" w:hAnsi="Times New Roman" w:cs="Times New Roman"/>
          <w:iCs/>
          <w:sz w:val="24"/>
          <w:szCs w:val="24"/>
        </w:rPr>
        <w:t xml:space="preserve"> The mass losses of the rate of decomposition after 120 days of the dry season were 47% and 94% for </w:t>
      </w:r>
      <w:r w:rsidRPr="00237DFA">
        <w:rPr>
          <w:rFonts w:ascii="Times New Roman" w:eastAsia="Calibri" w:hAnsi="Times New Roman" w:cs="Times New Roman"/>
          <w:i/>
          <w:iCs/>
          <w:sz w:val="24"/>
          <w:szCs w:val="24"/>
        </w:rPr>
        <w:t>Cordia africana</w:t>
      </w:r>
      <w:r w:rsidRPr="00237DFA">
        <w:rPr>
          <w:rFonts w:ascii="Times New Roman" w:eastAsia="Calibri" w:hAnsi="Times New Roman" w:cs="Times New Roman"/>
          <w:iCs/>
          <w:sz w:val="24"/>
          <w:szCs w:val="24"/>
        </w:rPr>
        <w:t xml:space="preserve"> and </w:t>
      </w:r>
      <w:r w:rsidRPr="00237DFA">
        <w:rPr>
          <w:rFonts w:ascii="Times New Roman" w:eastAsia="Calibri" w:hAnsi="Times New Roman" w:cs="Times New Roman"/>
          <w:i/>
          <w:iCs/>
          <w:sz w:val="24"/>
          <w:szCs w:val="24"/>
        </w:rPr>
        <w:t>Croton macrostachyus</w:t>
      </w:r>
      <w:r w:rsidRPr="00237DFA">
        <w:rPr>
          <w:rFonts w:ascii="Times New Roman" w:eastAsia="Calibri" w:hAnsi="Times New Roman" w:cs="Times New Roman"/>
          <w:iCs/>
          <w:sz w:val="24"/>
          <w:szCs w:val="24"/>
        </w:rPr>
        <w:t xml:space="preserve">, respectively. However, during the 120-day </w:t>
      </w:r>
      <w:r w:rsidRPr="00237DFA">
        <w:rPr>
          <w:rFonts w:ascii="Times New Roman" w:eastAsia="Calibri" w:hAnsi="Times New Roman" w:cs="Times New Roman"/>
          <w:iCs/>
          <w:sz w:val="24"/>
          <w:szCs w:val="24"/>
        </w:rPr>
        <w:lastRenderedPageBreak/>
        <w:t xml:space="preserve">incubation period of the wet season, there was a constant mass loss due to the decomposition of both tree species. Additionally, </w:t>
      </w:r>
      <w:r w:rsidRPr="00237DFA">
        <w:rPr>
          <w:rFonts w:ascii="Times New Roman" w:eastAsia="Calibri" w:hAnsi="Times New Roman" w:cs="Times New Roman"/>
          <w:i/>
          <w:iCs/>
          <w:sz w:val="24"/>
          <w:szCs w:val="24"/>
        </w:rPr>
        <w:t>Croton macrostachyus</w:t>
      </w:r>
      <w:r w:rsidRPr="00237DFA">
        <w:rPr>
          <w:rFonts w:ascii="Times New Roman" w:eastAsia="Calibri" w:hAnsi="Times New Roman" w:cs="Times New Roman"/>
          <w:iCs/>
          <w:sz w:val="24"/>
          <w:szCs w:val="24"/>
        </w:rPr>
        <w:t xml:space="preserve"> experienced greater mass loss throughout the sampling days than </w:t>
      </w:r>
      <w:r w:rsidRPr="00237DFA">
        <w:rPr>
          <w:rFonts w:ascii="Times New Roman" w:eastAsia="Calibri" w:hAnsi="Times New Roman" w:cs="Times New Roman"/>
          <w:i/>
          <w:iCs/>
          <w:sz w:val="24"/>
          <w:szCs w:val="24"/>
        </w:rPr>
        <w:t>Cordia africana</w:t>
      </w:r>
      <w:r w:rsidRPr="00237DFA">
        <w:rPr>
          <w:rFonts w:ascii="Times New Roman" w:eastAsia="Calibri" w:hAnsi="Times New Roman" w:cs="Times New Roman"/>
          <w:iCs/>
          <w:sz w:val="24"/>
          <w:szCs w:val="24"/>
        </w:rPr>
        <w:t xml:space="preserve"> (Table 3.1). </w:t>
      </w:r>
      <w:r w:rsidRPr="00237DFA">
        <w:rPr>
          <w:rFonts w:ascii="Times New Roman" w:eastAsia="Calibri" w:hAnsi="Times New Roman" w:cs="Times New Roman"/>
          <w:sz w:val="24"/>
          <w:szCs w:val="24"/>
        </w:rPr>
        <w:t>The decomposition rates of the two species were higher significantly different except for 120 days of the wet season. Besides, the litter mass loss during the dry season was lower than that of the wet season.</w:t>
      </w:r>
      <w:bookmarkStart w:id="7" w:name="_Toc171283234"/>
    </w:p>
    <w:p w:rsidR="00237DFA" w:rsidRPr="00237DFA" w:rsidRDefault="00237DFA" w:rsidP="00237DFA">
      <w:pPr>
        <w:keepNext/>
        <w:spacing w:line="240" w:lineRule="auto"/>
        <w:rPr>
          <w:rFonts w:ascii="Times New Roman" w:eastAsia="Calibri" w:hAnsi="Times New Roman" w:cs="Times New Roman"/>
          <w:b/>
          <w:bCs/>
          <w:sz w:val="24"/>
          <w:szCs w:val="24"/>
        </w:rPr>
      </w:pPr>
      <w:r w:rsidRPr="00237DFA">
        <w:rPr>
          <w:rFonts w:ascii="Times New Roman" w:eastAsia="Calibri" w:hAnsi="Times New Roman" w:cs="Times New Roman"/>
          <w:b/>
          <w:bCs/>
          <w:sz w:val="24"/>
          <w:szCs w:val="24"/>
        </w:rPr>
        <w:t xml:space="preserve">Table 3. </w:t>
      </w:r>
      <w:r w:rsidRPr="00237DFA">
        <w:rPr>
          <w:rFonts w:ascii="Times New Roman" w:eastAsia="Calibri" w:hAnsi="Times New Roman" w:cs="Times New Roman"/>
          <w:b/>
          <w:bCs/>
          <w:color w:val="4F81BD"/>
          <w:sz w:val="24"/>
          <w:szCs w:val="24"/>
        </w:rPr>
        <w:fldChar w:fldCharType="begin"/>
      </w:r>
      <w:r w:rsidRPr="00237DFA">
        <w:rPr>
          <w:rFonts w:ascii="Times New Roman" w:eastAsia="Calibri" w:hAnsi="Times New Roman" w:cs="Times New Roman"/>
          <w:b/>
          <w:bCs/>
          <w:sz w:val="24"/>
          <w:szCs w:val="24"/>
        </w:rPr>
        <w:instrText xml:space="preserve"> SEQ Table_4. \* ARABIC </w:instrText>
      </w:r>
      <w:r w:rsidRPr="00237DFA">
        <w:rPr>
          <w:rFonts w:ascii="Times New Roman" w:eastAsia="Calibri" w:hAnsi="Times New Roman" w:cs="Times New Roman"/>
          <w:b/>
          <w:bCs/>
          <w:color w:val="4F81BD"/>
          <w:sz w:val="24"/>
          <w:szCs w:val="24"/>
        </w:rPr>
        <w:fldChar w:fldCharType="separate"/>
      </w:r>
      <w:r w:rsidR="00060D03">
        <w:rPr>
          <w:rFonts w:ascii="Times New Roman" w:eastAsia="Calibri" w:hAnsi="Times New Roman" w:cs="Times New Roman"/>
          <w:b/>
          <w:bCs/>
          <w:noProof/>
          <w:sz w:val="24"/>
          <w:szCs w:val="24"/>
        </w:rPr>
        <w:t>1</w:t>
      </w:r>
      <w:r w:rsidRPr="00237DFA">
        <w:rPr>
          <w:rFonts w:ascii="Times New Roman" w:eastAsia="Calibri" w:hAnsi="Times New Roman" w:cs="Times New Roman"/>
          <w:b/>
          <w:bCs/>
          <w:color w:val="4F81BD"/>
          <w:sz w:val="24"/>
          <w:szCs w:val="24"/>
        </w:rPr>
        <w:fldChar w:fldCharType="end"/>
      </w:r>
      <w:r w:rsidRPr="00237DFA">
        <w:rPr>
          <w:rFonts w:ascii="Times New Roman" w:eastAsia="Calibri" w:hAnsi="Times New Roman" w:cs="Times New Roman"/>
          <w:b/>
          <w:bCs/>
          <w:sz w:val="24"/>
          <w:szCs w:val="24"/>
        </w:rPr>
        <w:t xml:space="preserve"> </w:t>
      </w:r>
      <w:r w:rsidRPr="00237DFA">
        <w:rPr>
          <w:rFonts w:ascii="Times New Roman" w:eastAsia="Calibri" w:hAnsi="Times New Roman" w:cs="Times New Roman"/>
          <w:bCs/>
          <w:sz w:val="24"/>
          <w:szCs w:val="24"/>
        </w:rPr>
        <w:t>The effect of species on litter mass loss at different stages of decomposition for 120 days in the dry and wet seasons</w:t>
      </w:r>
      <w:bookmarkEnd w:id="7"/>
    </w:p>
    <w:tbl>
      <w:tblPr>
        <w:tblStyle w:val="TableGrid61"/>
        <w:tblW w:w="9555" w:type="dxa"/>
        <w:tblLayout w:type="fixed"/>
        <w:tblLook w:val="04A0" w:firstRow="1" w:lastRow="0" w:firstColumn="1" w:lastColumn="0" w:noHBand="0" w:noVBand="1"/>
      </w:tblPr>
      <w:tblGrid>
        <w:gridCol w:w="1998"/>
        <w:gridCol w:w="1980"/>
        <w:gridCol w:w="1889"/>
        <w:gridCol w:w="1889"/>
        <w:gridCol w:w="1799"/>
      </w:tblGrid>
      <w:tr w:rsidR="00237DFA" w:rsidRPr="00237DFA" w:rsidTr="00F717B4">
        <w:trPr>
          <w:trHeight w:val="260"/>
        </w:trPr>
        <w:tc>
          <w:tcPr>
            <w:tcW w:w="1998" w:type="dxa"/>
            <w:vMerge w:val="restart"/>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Species ±</w:t>
            </w:r>
          </w:p>
        </w:tc>
        <w:tc>
          <w:tcPr>
            <w:tcW w:w="7560" w:type="dxa"/>
            <w:gridSpan w:val="4"/>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Incubation period (day)</w:t>
            </w:r>
          </w:p>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………K</w:t>
            </w:r>
            <w:r w:rsidRPr="00237DFA">
              <w:rPr>
                <w:rFonts w:ascii="Times New Roman" w:eastAsia="Times New Roman" w:hAnsi="Times New Roman"/>
                <w:sz w:val="20"/>
                <w:szCs w:val="20"/>
                <w:vertAlign w:val="subscript"/>
              </w:rPr>
              <w:t xml:space="preserve">D </w:t>
            </w:r>
            <w:r w:rsidRPr="00237DFA">
              <w:rPr>
                <w:rFonts w:ascii="Times New Roman" w:eastAsia="Times New Roman" w:hAnsi="Times New Roman"/>
                <w:sz w:val="20"/>
                <w:szCs w:val="20"/>
              </w:rPr>
              <w:t>(gday</w:t>
            </w:r>
            <w:r w:rsidRPr="00237DFA">
              <w:rPr>
                <w:rFonts w:ascii="Times New Roman" w:eastAsia="Times New Roman" w:hAnsi="Times New Roman"/>
                <w:sz w:val="20"/>
                <w:szCs w:val="20"/>
                <w:vertAlign w:val="superscript"/>
              </w:rPr>
              <w:t>-1</w:t>
            </w:r>
            <w:r w:rsidRPr="00237DFA">
              <w:rPr>
                <w:rFonts w:ascii="Times New Roman" w:eastAsia="Times New Roman" w:hAnsi="Times New Roman"/>
                <w:sz w:val="20"/>
                <w:szCs w:val="20"/>
              </w:rPr>
              <w:t>)……</w:t>
            </w:r>
          </w:p>
        </w:tc>
      </w:tr>
      <w:tr w:rsidR="00237DFA" w:rsidRPr="00237DFA" w:rsidTr="00F717B4">
        <w:trPr>
          <w:trHeight w:val="242"/>
        </w:trPr>
        <w:tc>
          <w:tcPr>
            <w:tcW w:w="9558" w:type="dxa"/>
            <w:vMerge/>
            <w:tcBorders>
              <w:top w:val="single" w:sz="4" w:space="0" w:color="auto"/>
              <w:left w:val="single" w:sz="4" w:space="0" w:color="auto"/>
              <w:bottom w:val="single" w:sz="4" w:space="0" w:color="auto"/>
              <w:right w:val="single" w:sz="4" w:space="0" w:color="auto"/>
            </w:tcBorders>
            <w:vAlign w:val="center"/>
            <w:hideMark/>
          </w:tcPr>
          <w:p w:rsidR="00237DFA" w:rsidRPr="00237DFA" w:rsidRDefault="00237DFA" w:rsidP="00237DFA">
            <w:pPr>
              <w:rPr>
                <w:rFonts w:ascii="Times New Roman" w:eastAsia="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tabs>
                <w:tab w:val="left" w:pos="795"/>
              </w:tabs>
              <w:rPr>
                <w:rFonts w:ascii="Times New Roman" w:eastAsia="Times New Roman" w:hAnsi="Times New Roman"/>
                <w:b/>
                <w:sz w:val="20"/>
                <w:szCs w:val="20"/>
              </w:rPr>
            </w:pPr>
            <w:r w:rsidRPr="00237DFA">
              <w:rPr>
                <w:rFonts w:ascii="Times New Roman" w:eastAsia="Times New Roman" w:hAnsi="Times New Roman"/>
                <w:b/>
                <w:sz w:val="20"/>
                <w:szCs w:val="20"/>
              </w:rPr>
              <w:t>30D</w:t>
            </w:r>
            <w:r w:rsidRPr="00237DFA">
              <w:rPr>
                <w:rFonts w:ascii="Times New Roman" w:eastAsia="Times New Roman" w:hAnsi="Times New Roman"/>
                <w:b/>
                <w:sz w:val="20"/>
                <w:szCs w:val="20"/>
              </w:rPr>
              <w:tab/>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b/>
                <w:sz w:val="20"/>
                <w:szCs w:val="20"/>
              </w:rPr>
              <w:t>60D</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b/>
                <w:sz w:val="20"/>
                <w:szCs w:val="20"/>
              </w:rPr>
              <w:t>90D</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b/>
                <w:sz w:val="20"/>
                <w:szCs w:val="20"/>
              </w:rPr>
              <w:t>120D</w:t>
            </w:r>
          </w:p>
        </w:tc>
      </w:tr>
      <w:tr w:rsidR="00237DFA" w:rsidRPr="00237DFA" w:rsidTr="00F717B4">
        <w:trPr>
          <w:trHeight w:val="242"/>
        </w:trPr>
        <w:tc>
          <w:tcPr>
            <w:tcW w:w="9558"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The dry season mass loss % of mean value and std dev. Respectively</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 Macrostachyus</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10.33 </w:t>
            </w:r>
            <w:r w:rsidRPr="00237DFA">
              <w:rPr>
                <w:rFonts w:ascii="Times New Roman" w:eastAsia="Times New Roman" w:hAnsi="Times New Roman"/>
                <w:sz w:val="20"/>
                <w:szCs w:val="20"/>
              </w:rPr>
              <w:t>± 3.44867</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44.33 </w:t>
            </w:r>
            <w:r w:rsidRPr="00237DFA">
              <w:rPr>
                <w:rFonts w:ascii="Times New Roman" w:eastAsia="Times New Roman" w:hAnsi="Times New Roman"/>
                <w:sz w:val="20"/>
                <w:szCs w:val="20"/>
              </w:rPr>
              <w:t>± 4.22532</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72.53 </w:t>
            </w:r>
            <w:r w:rsidRPr="00237DFA">
              <w:rPr>
                <w:rFonts w:ascii="Times New Roman" w:eastAsia="Times New Roman" w:hAnsi="Times New Roman"/>
                <w:sz w:val="20"/>
                <w:szCs w:val="20"/>
              </w:rPr>
              <w:t>± 2.90057</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94.00 </w:t>
            </w:r>
            <w:r w:rsidRPr="00237DFA">
              <w:rPr>
                <w:rFonts w:ascii="Times New Roman" w:eastAsia="Times New Roman" w:hAnsi="Times New Roman"/>
                <w:sz w:val="20"/>
                <w:szCs w:val="20"/>
              </w:rPr>
              <w:t>± 3.34066</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Cordia Africana</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3.87 </w:t>
            </w:r>
            <w:r w:rsidRPr="00237DFA">
              <w:rPr>
                <w:rFonts w:ascii="Times New Roman" w:eastAsia="Times New Roman" w:hAnsi="Times New Roman"/>
                <w:sz w:val="20"/>
                <w:szCs w:val="20"/>
              </w:rPr>
              <w:t>± 1.50111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15.33 </w:t>
            </w:r>
            <w:r w:rsidRPr="00237DFA">
              <w:rPr>
                <w:rFonts w:ascii="Times New Roman" w:eastAsia="Times New Roman" w:hAnsi="Times New Roman"/>
                <w:sz w:val="20"/>
                <w:szCs w:val="20"/>
              </w:rPr>
              <w:t>±  1.94251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 xml:space="preserve">30.40 </w:t>
            </w:r>
            <w:r w:rsidRPr="00237DFA">
              <w:rPr>
                <w:rFonts w:ascii="Times New Roman" w:eastAsia="Times New Roman" w:hAnsi="Times New Roman"/>
                <w:sz w:val="20"/>
                <w:szCs w:val="20"/>
              </w:rPr>
              <w:t>± 4.27551</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 xml:space="preserve">47.93 </w:t>
            </w:r>
            <w:r w:rsidRPr="00237DFA">
              <w:rPr>
                <w:rFonts w:ascii="Times New Roman" w:eastAsia="Times New Roman" w:hAnsi="Times New Roman"/>
                <w:sz w:val="20"/>
                <w:szCs w:val="20"/>
              </w:rPr>
              <w:t>± 8.01332</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0.956</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0.992</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0.991</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19.952</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5.825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6.207</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5.259</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4.977*</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6.105**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11.244**</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13.11**</w:t>
            </w:r>
          </w:p>
        </w:tc>
      </w:tr>
      <w:tr w:rsidR="00237DFA" w:rsidRPr="00237DFA" w:rsidTr="00F717B4">
        <w:trPr>
          <w:trHeight w:val="242"/>
        </w:trPr>
        <w:tc>
          <w:tcPr>
            <w:tcW w:w="9558"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The wet season mass loss % mean value and std dev. Respectively</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 Macrostachyus</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76.33 ± .90185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85.93 ± .50332</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99.70 ± .08718</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100.00 ± .00000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Cordia Africana</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55.00 </w:t>
            </w:r>
            <w:r w:rsidRPr="00237DFA">
              <w:rPr>
                <w:rFonts w:ascii="Times New Roman" w:eastAsia="Times New Roman" w:hAnsi="Times New Roman"/>
                <w:sz w:val="20"/>
                <w:szCs w:val="20"/>
              </w:rPr>
              <w:t>±1.24900</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80.33 </w:t>
            </w:r>
            <w:r w:rsidRPr="00237DFA">
              <w:rPr>
                <w:rFonts w:ascii="Times New Roman" w:eastAsia="Times New Roman" w:hAnsi="Times New Roman"/>
                <w:sz w:val="20"/>
                <w:szCs w:val="20"/>
              </w:rPr>
              <w:t>±1.10151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 xml:space="preserve">97.66 </w:t>
            </w:r>
            <w:r w:rsidRPr="00237DFA">
              <w:rPr>
                <w:rFonts w:ascii="Times New Roman" w:eastAsia="Times New Roman" w:hAnsi="Times New Roman"/>
                <w:sz w:val="20"/>
                <w:szCs w:val="20"/>
              </w:rPr>
              <w:t>± .30551</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color w:val="010205"/>
                <w:sz w:val="20"/>
                <w:szCs w:val="20"/>
              </w:rPr>
            </w:pPr>
            <w:r w:rsidRPr="00237DFA">
              <w:rPr>
                <w:rFonts w:ascii="Times New Roman" w:eastAsia="Times New Roman" w:hAnsi="Times New Roman"/>
                <w:sz w:val="20"/>
                <w:szCs w:val="20"/>
              </w:rPr>
              <w:t>100.00 ± .00000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0.994</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0.949</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0.987</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2.179</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1.361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0.209</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5.026**</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3.975**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0724*</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Ns</w:t>
            </w:r>
          </w:p>
        </w:tc>
      </w:tr>
    </w:tbl>
    <w:p w:rsidR="00237DFA" w:rsidRPr="00237DFA" w:rsidRDefault="00237DFA" w:rsidP="00237DFA">
      <w:pPr>
        <w:spacing w:before="240"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sz w:val="24"/>
          <w:szCs w:val="24"/>
        </w:rPr>
        <w:t xml:space="preserve">According to a research finding on the pattern of leaf litter decomposition (weight loss) of tree species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{"citationItems":[{"id":"ITEM-1","itemData":{"ISSN":"1996-0824","abstract":"The present study was conducted under 3 developed agroforestry systems that is, Khasi mandarin (Citrus reticulata), Alder (Alnus nepalensis) and Khasi pine (Pinus kesiya) in the state of Meghalaya, northeast India to study the litter dynamics and physico-chemical properties of soil. The findings of our investigation revealed that the soil texture in 3 systems varied from sandy to loamy sand and water holding capacity varied significantly (P &lt; 0.05) between plots and depths. Porosity and soil temperature was higher at surface layer than into the subsurface layer. Soil was acidic in all the plots. Soil organic carbon as well as organic matter content was high in Khasi mandarin-based system than the other systems. Total Kjeldahl nitrogen concentration was low in all the soils. It was lowest in Khasi pine based system and a similar trend was observed in concentrations of available phosphorus and potassium. Monthly variation in litter mass varied markedly between different agroforestry systems. The leaf litter constituted 65-76% of total litter mass. The rate of weight loss of Alder leaf litter was much faster than other 2 species. Litter decomposition was fast during rainy season and slow during winter season. Rate of release of nitrogen and phosphorus from the decaying leaf litter of Alder occurred at much faster rate compared to Khasi mandarin and Khasi pine, however, potassium release was faster from Khasi mandarin. Total input of N, P and K through litter was higher in Khasi than other 2 species due to greater litter production.","author":[{"dropping-particle":"","family":"Tripathi","given":"O P","non-dropping-particle":"","parse-names":false,"suffix":""},{"dropping-particle":"","family":"Pandey","given":"H N","non-dropping-particle":"","parse-names":false,"suffix":""},{"dropping-particle":"","family":"Tripathi","given":"R S","non-dropping-particle":"","parse-names":false,"suffix":""}],"container-title":"African Journal of Plant Science","id":"ITEM-1","issue":"8","issued":{"date-parts":[["2009"]]},"page":"160-167","title":"Litter production, decomposition and physico-chemical properties of soil in 3 developed agroforestry systems of Meghalaya, Northeast India","type":"article-journal","volume":"3"},"uris":["http://www.mendeley.com/documents/?uuid=0e96f19b-3f48-4cec-b8b1-404779b621db"]}],"mendeley":{"formattedCitation":"(Tripathi et al., 2009)","plainTextFormattedCitation":"(Tripathi et al., 2009)","previouslyFormattedCitation":"(Tripathi et al., 2009)"},"properties":{"noteIndex":0},"schema":"https://github.com/citation-style-language/schema/raw/master/csl-citation.json"}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(Tripathi et al., 2009)</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weight loss in alder was initially slower than in leaves of Khasi pine needles and Khasi mandarin for about a month. Comparisons of the potential nutrient content (N, P, and K) in the leaf litter of each tree species revealed that the leaf litter of </w:t>
      </w:r>
      <w:r w:rsidRPr="00237DFA">
        <w:rPr>
          <w:rFonts w:ascii="Times New Roman" w:eastAsia="Calibri" w:hAnsi="Times New Roman" w:cs="Times New Roman"/>
          <w:i/>
          <w:sz w:val="24"/>
          <w:szCs w:val="24"/>
        </w:rPr>
        <w:t>Croton</w:t>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i/>
          <w:sz w:val="24"/>
          <w:szCs w:val="24"/>
        </w:rPr>
        <w:t>macrostachyus</w:t>
      </w:r>
      <w:r w:rsidRPr="00237DFA">
        <w:rPr>
          <w:rFonts w:ascii="Times New Roman" w:eastAsia="Calibri" w:hAnsi="Times New Roman" w:cs="Times New Roman"/>
          <w:sz w:val="24"/>
          <w:szCs w:val="24"/>
        </w:rPr>
        <w:t xml:space="preserve"> exhibited a significantly higher K value (P &lt; 0.05) in comparison to the leaf litter of </w:t>
      </w:r>
      <w:r w:rsidRPr="00237DFA">
        <w:rPr>
          <w:rFonts w:ascii="Times New Roman" w:eastAsia="Calibri" w:hAnsi="Times New Roman" w:cs="Times New Roman"/>
          <w:i/>
          <w:sz w:val="24"/>
          <w:szCs w:val="24"/>
        </w:rPr>
        <w:t>Cordia africana</w:t>
      </w:r>
      <w:r w:rsidRPr="00237DFA">
        <w:rPr>
          <w:rFonts w:ascii="Times New Roman" w:eastAsia="Calibri" w:hAnsi="Times New Roman" w:cs="Times New Roman"/>
          <w:sz w:val="24"/>
          <w:szCs w:val="24"/>
        </w:rPr>
        <w:t xml:space="preserve"> and </w:t>
      </w:r>
      <w:r w:rsidRPr="00237DFA">
        <w:rPr>
          <w:rFonts w:ascii="Times New Roman" w:eastAsia="Calibri" w:hAnsi="Times New Roman" w:cs="Times New Roman"/>
          <w:i/>
          <w:sz w:val="24"/>
          <w:szCs w:val="24"/>
        </w:rPr>
        <w:t>Hygenia abyssinica</w:t>
      </w:r>
      <w:r w:rsidRPr="00237DFA">
        <w:rPr>
          <w:rFonts w:ascii="Times New Roman" w:eastAsia="Calibri" w:hAnsi="Times New Roman" w:cs="Times New Roman"/>
          <w:sz w:val="24"/>
          <w:szCs w:val="24"/>
        </w:rPr>
        <w:t xml:space="preserve">. Moreover, both </w:t>
      </w:r>
      <w:r w:rsidRPr="00237DFA">
        <w:rPr>
          <w:rFonts w:ascii="Times New Roman" w:eastAsia="Calibri" w:hAnsi="Times New Roman" w:cs="Times New Roman"/>
          <w:i/>
          <w:sz w:val="24"/>
          <w:szCs w:val="24"/>
        </w:rPr>
        <w:t>Croton macrostachyus</w:t>
      </w:r>
      <w:r w:rsidRPr="00237DFA">
        <w:rPr>
          <w:rFonts w:ascii="Times New Roman" w:eastAsia="Calibri" w:hAnsi="Times New Roman" w:cs="Times New Roman"/>
          <w:sz w:val="24"/>
          <w:szCs w:val="24"/>
        </w:rPr>
        <w:t xml:space="preserve"> and </w:t>
      </w:r>
      <w:r w:rsidRPr="00237DFA">
        <w:rPr>
          <w:rFonts w:ascii="Times New Roman" w:eastAsia="Calibri" w:hAnsi="Times New Roman" w:cs="Times New Roman"/>
          <w:i/>
          <w:sz w:val="24"/>
          <w:szCs w:val="24"/>
        </w:rPr>
        <w:t>Hygenia abyssinica</w:t>
      </w:r>
      <w:r w:rsidRPr="00237DFA">
        <w:rPr>
          <w:rFonts w:ascii="Times New Roman" w:eastAsia="Calibri" w:hAnsi="Times New Roman" w:cs="Times New Roman"/>
          <w:sz w:val="24"/>
          <w:szCs w:val="24"/>
        </w:rPr>
        <w:t xml:space="preserve"> demonstrated a higher concentration of N and P than </w:t>
      </w:r>
      <w:r w:rsidRPr="00237DFA">
        <w:rPr>
          <w:rFonts w:ascii="Times New Roman" w:eastAsia="Calibri" w:hAnsi="Times New Roman" w:cs="Times New Roman"/>
          <w:i/>
          <w:sz w:val="24"/>
          <w:szCs w:val="24"/>
        </w:rPr>
        <w:t>Cordia africana</w:t>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author":[{"dropping-particle":"","family":"Getachew","given":"Kiros","non-dropping-particle":"","parse-names":false,"suffix":""},{"dropping-particle":"","family":"Itanna","given":"Fisseha","non-dropping-particle":"","parse-names":false,"suffix":""},{"dropping-particle":"","family":"Mahari","given":"Abraham","non-dropping-particle":"","parse-names":false,"suffix":""}],"container-title":"Agriculture and Environmental Management","id":"ITEM-1","issue":"3","issued":{"date-parts":[["2015"]]},"page":"164-168","title":"Evaluation of locally available fertilizer tree / shrub species in Gozamin Woreda , North Central Ethiopia","type":"article-journal","volume":"4"},"uris":["http://www.mendeley.com/documents/?uuid=50fec6d8-12ec-448d-849f-c92464ad01bc"]}],"mendeley":{"formattedCitation":"(Getachew et al., 2015)","plainTextFormattedCitation":"(Getachew et al., 2015)","previouslyFormattedCitation":"(Getachew et al., 2015)"},"properties":{"noteIndex":0},"schema":"https://github.com/citation-style-language/schema/raw/master/csl-citation.json"}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(Getachew et al., 2015)</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Soil organic matter content was determined from the mass loss process and decomposition rate to show a positive correlation of p=0.631 and an effect of 32.3% and 32.8%, respectively, on the CO</w:t>
      </w:r>
      <w:r w:rsidRPr="00237DFA">
        <w:rPr>
          <w:rFonts w:ascii="Times New Roman" w:eastAsia="Calibri" w:hAnsi="Times New Roman" w:cs="Times New Roman"/>
          <w:sz w:val="24"/>
          <w:szCs w:val="24"/>
          <w:vertAlign w:val="subscript"/>
        </w:rPr>
        <w:t>2</w:t>
      </w:r>
      <w:r w:rsidRPr="00237DFA">
        <w:rPr>
          <w:rFonts w:ascii="Times New Roman" w:eastAsia="Calibri" w:hAnsi="Times New Roman" w:cs="Times New Roman"/>
          <w:sz w:val="24"/>
          <w:szCs w:val="24"/>
        </w:rPr>
        <w:t xml:space="preserve"> flux emitted from the soil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(Darmawan et al., 2021)</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The maximum weight loss percentage was for </w:t>
      </w:r>
      <w:r w:rsidRPr="00237DFA">
        <w:rPr>
          <w:rFonts w:ascii="Times New Roman" w:eastAsia="Calibri" w:hAnsi="Times New Roman" w:cs="Times New Roman"/>
          <w:i/>
          <w:sz w:val="24"/>
          <w:szCs w:val="24"/>
        </w:rPr>
        <w:t>Acacia nilotica</w:t>
      </w:r>
      <w:r w:rsidRPr="00237DFA">
        <w:rPr>
          <w:rFonts w:ascii="Times New Roman" w:eastAsia="Calibri" w:hAnsi="Times New Roman" w:cs="Times New Roman"/>
          <w:sz w:val="24"/>
          <w:szCs w:val="24"/>
        </w:rPr>
        <w:t xml:space="preserve"> at week seven (55.36%), followed by </w:t>
      </w:r>
      <w:r w:rsidRPr="00237DFA">
        <w:rPr>
          <w:rFonts w:ascii="Times New Roman" w:eastAsia="Calibri" w:hAnsi="Times New Roman" w:cs="Times New Roman"/>
          <w:i/>
          <w:sz w:val="24"/>
          <w:szCs w:val="24"/>
        </w:rPr>
        <w:t>Prosopis juliflora</w:t>
      </w:r>
      <w:r w:rsidRPr="00237DFA">
        <w:rPr>
          <w:rFonts w:ascii="Times New Roman" w:eastAsia="Calibri" w:hAnsi="Times New Roman" w:cs="Times New Roman"/>
          <w:sz w:val="24"/>
          <w:szCs w:val="24"/>
        </w:rPr>
        <w:t xml:space="preserve"> (55.04%), and the differences in percentage mass loss of leaf litter from the first to the seventh week of decomposition decreased by 10.64, 7.69, 4.62, 4.5, and 3.95 percent, respectively </w:t>
      </w:r>
      <w:r w:rsidRPr="00237DFA">
        <w:rPr>
          <w:rFonts w:ascii="Times New Roman" w:eastAsia="Calibri" w:hAnsi="Times New Roman" w:cs="Times New Roman"/>
          <w:color w:val="000000"/>
          <w:sz w:val="24"/>
          <w:szCs w:val="24"/>
        </w:rPr>
        <w:t>due to winter conditions</w:t>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(Nivethadevi et al., 2022)</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This is substantiated, by </w:t>
      </w:r>
      <w:r w:rsidRPr="00237DFA">
        <w:rPr>
          <w:rFonts w:ascii="Times New Roman" w:eastAsia="Calibri" w:hAnsi="Times New Roman" w:cs="Times New Roman"/>
          <w:sz w:val="24"/>
          <w:szCs w:val="24"/>
        </w:rPr>
        <w:lastRenderedPageBreak/>
        <w:fldChar w:fldCharType="begin" w:fldLock="1"/>
      </w:r>
      <w:r w:rsidRPr="00237DFA">
        <w:rPr>
          <w:rFonts w:ascii="Times New Roman" w:eastAsia="Calibri" w:hAnsi="Times New Roman" w:cs="Times New Roman"/>
          <w:sz w:val="24"/>
          <w:szCs w:val="24"/>
        </w:rPr>
        <w:instrText>ADDIN CSL_CITATION {"citationItems":[{"id":"ITEM-1","itemData":{"DOI":"10.5897/jene2017.0648","abstract":"Litterfall in the forest is essential for balanced ecosystem processes. The present study determined seasonal variations of litterfall in the Boter-Becho forest, Southwestern Ethiopia. Based on forest disturbance level, two sites were selected: Low and high. Litterfall production in the high and low disturbed forest sites averaged 6.6 and 10.8 t ha-1 year-1 , respectively. Significant differences (P&lt;0.001) in litterfall were manifested between wet (0.6 ton ha-1 month-1) and dry (0.8 tons ha-1 month-1) seasons. Higher litterfall was associated with the dry compared with the wet season. Both litterfall and its fractions including leaf litter, reproductive parts and twigs followed a multimodal distribution pattern. Litterfall peaked during March, April, December, January and February with maximum peaks during March and December respectively. Monthly rainfall and temperature directly influenced litterfall production. Litterfall was strongly but negatively correlated with rainfall compared to ambient temperature. Although the present study provided useful information on the effects of low and high disturbance on litterfall production of the Boter Becho forest, further studies are required to quantify and understand the impact of disturbance on nutrient cycling specific to this forest.","author":[{"dropping-particle":"","family":"Talemos Seta","given":"","non-dropping-particle":"","parse-names":false,"suffix":""},{"dropping-particle":"","family":"Demissew","given":"Sebsebe","non-dropping-particle":"","parse-names":false,"suffix":""},{"dropping-particle":"","family":"Woldu","given":"Zerihun","non-dropping-particle":"","parse-names":false,"suffix":""}],"container-title":"Journal of Ecology and The Natural Environment","id":"ITEM-1","issue":"1","issued":{"date-parts":[["2018"]]},"page":"13-21","title":"Litterfall dynamics in Boter-Becho Forest: Moist evergreen montane forest of Southwestern Ethiopia","type":"article-journal","volume":"10"},"uris":["http://www.mendeley.com/documents/?uuid=7afa671b-7b9a-4e3f-b41f-4215247764b9"]}],"mendeley":{"formattedCitation":"(Talemos Seta et al., 2018)","manualFormatting":"Talemos Seta et al., (2018)","plainTextFormattedCitation":"(Talemos Seta et al., 2018)","previouslyFormattedCitation":"(Talemos Seta et al., 2018)"},"properties":{"noteIndex":0},"schema":"https://github.com/citation-style-language/schema/raw/master/csl-citation.json"}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Talemos Seta et al., (2018)</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who reported the components and the total litterfall also showed a significant difference between wet and dry seasons in the forest. </w:t>
      </w:r>
      <w:r w:rsidRPr="00237DFA">
        <w:rPr>
          <w:rFonts w:ascii="Times New Roman" w:eastAsia="Times New Roman" w:hAnsi="Times New Roman" w:cs="Times New Roman"/>
          <w:iCs/>
          <w:color w:val="242021"/>
          <w:sz w:val="24"/>
          <w:szCs w:val="24"/>
        </w:rPr>
        <w:t xml:space="preserve">This result was in line with </w:t>
      </w:r>
      <w:r w:rsidRPr="00237DFA">
        <w:rPr>
          <w:rFonts w:ascii="Times New Roman" w:eastAsia="Times New Roman" w:hAnsi="Times New Roman" w:cs="Times New Roman"/>
          <w:iCs/>
          <w:noProof/>
          <w:color w:val="242021"/>
          <w:sz w:val="24"/>
          <w:szCs w:val="24"/>
        </w:rPr>
        <w:t>Zenebe Argado et al., (2024)</w:t>
      </w:r>
      <w:r w:rsidRPr="00237DFA">
        <w:rPr>
          <w:rFonts w:ascii="Times New Roman" w:eastAsia="Times New Roman" w:hAnsi="Times New Roman" w:cs="Times New Roman"/>
          <w:i/>
          <w:iCs/>
          <w:color w:val="242021"/>
          <w:sz w:val="24"/>
          <w:szCs w:val="24"/>
        </w:rPr>
        <w:t xml:space="preserve">, </w:t>
      </w:r>
      <w:r w:rsidRPr="00237DFA">
        <w:rPr>
          <w:rFonts w:ascii="Times New Roman" w:eastAsia="Times New Roman" w:hAnsi="Times New Roman" w:cs="Times New Roman"/>
          <w:iCs/>
          <w:color w:val="242021"/>
          <w:sz w:val="24"/>
          <w:szCs w:val="24"/>
        </w:rPr>
        <w:t xml:space="preserve">who reported a significant difference in litter production among studied species (P &lt; 0.05). Also, there was a significant difference in decay constant among studied species (P &lt; 0.05) and indigenous species such as </w:t>
      </w:r>
      <w:r w:rsidRPr="00237DFA">
        <w:rPr>
          <w:rFonts w:ascii="Times New Roman" w:eastAsia="Times New Roman" w:hAnsi="Times New Roman" w:cs="Times New Roman"/>
          <w:i/>
          <w:iCs/>
          <w:color w:val="242021"/>
          <w:sz w:val="24"/>
          <w:szCs w:val="24"/>
        </w:rPr>
        <w:t>Coffea arabica, Cordia africana,</w:t>
      </w:r>
      <w:r w:rsidRPr="00237DFA">
        <w:rPr>
          <w:rFonts w:ascii="Times New Roman" w:eastAsia="Times New Roman" w:hAnsi="Times New Roman" w:cs="Times New Roman"/>
          <w:iCs/>
          <w:color w:val="242021"/>
          <w:sz w:val="24"/>
          <w:szCs w:val="24"/>
        </w:rPr>
        <w:t xml:space="preserve"> and </w:t>
      </w:r>
      <w:r w:rsidRPr="00237DFA">
        <w:rPr>
          <w:rFonts w:ascii="Times New Roman" w:eastAsia="Times New Roman" w:hAnsi="Times New Roman" w:cs="Times New Roman"/>
          <w:i/>
          <w:iCs/>
          <w:color w:val="242021"/>
          <w:sz w:val="24"/>
          <w:szCs w:val="24"/>
        </w:rPr>
        <w:t>Millettia ferruginea</w:t>
      </w:r>
      <w:r w:rsidRPr="00237DFA">
        <w:rPr>
          <w:rFonts w:ascii="Times New Roman" w:eastAsia="Times New Roman" w:hAnsi="Times New Roman" w:cs="Times New Roman"/>
          <w:iCs/>
          <w:color w:val="242021"/>
          <w:sz w:val="24"/>
          <w:szCs w:val="24"/>
        </w:rPr>
        <w:t xml:space="preserve"> showed a greater value of the decay constant as compared to exotic species such as </w:t>
      </w:r>
      <w:r w:rsidRPr="00237DFA">
        <w:rPr>
          <w:rFonts w:ascii="Times New Roman" w:eastAsia="Times New Roman" w:hAnsi="Times New Roman" w:cs="Times New Roman"/>
          <w:i/>
          <w:iCs/>
          <w:color w:val="242021"/>
          <w:sz w:val="24"/>
          <w:szCs w:val="24"/>
        </w:rPr>
        <w:t>Eucalyptus camaldulensis, Persea Americana,</w:t>
      </w:r>
      <w:r w:rsidRPr="00237DFA">
        <w:rPr>
          <w:rFonts w:ascii="Times New Roman" w:eastAsia="Times New Roman" w:hAnsi="Times New Roman" w:cs="Times New Roman"/>
          <w:iCs/>
          <w:color w:val="242021"/>
          <w:sz w:val="24"/>
          <w:szCs w:val="24"/>
        </w:rPr>
        <w:t xml:space="preserve"> and </w:t>
      </w:r>
      <w:r w:rsidRPr="00237DFA">
        <w:rPr>
          <w:rFonts w:ascii="Times New Roman" w:eastAsia="Times New Roman" w:hAnsi="Times New Roman" w:cs="Times New Roman"/>
          <w:i/>
          <w:iCs/>
          <w:color w:val="242021"/>
          <w:sz w:val="24"/>
          <w:szCs w:val="24"/>
        </w:rPr>
        <w:t>Mangifera indica. Coffea arabica</w:t>
      </w:r>
      <w:r w:rsidRPr="00237DFA">
        <w:rPr>
          <w:rFonts w:ascii="Times New Roman" w:eastAsia="Times New Roman" w:hAnsi="Times New Roman" w:cs="Times New Roman"/>
          <w:iCs/>
          <w:color w:val="242021"/>
          <w:sz w:val="24"/>
          <w:szCs w:val="24"/>
        </w:rPr>
        <w:t xml:space="preserve"> showed the fastest decomposition with a decay constant of 2.4 while it was 1.1 for </w:t>
      </w:r>
      <w:r w:rsidRPr="00237DFA">
        <w:rPr>
          <w:rFonts w:ascii="Times New Roman" w:eastAsia="Times New Roman" w:hAnsi="Times New Roman" w:cs="Times New Roman"/>
          <w:i/>
          <w:iCs/>
          <w:color w:val="242021"/>
          <w:sz w:val="24"/>
          <w:szCs w:val="24"/>
        </w:rPr>
        <w:t>Eucalyptus camaldulensis</w:t>
      </w:r>
      <w:r w:rsidRPr="00237DFA">
        <w:rPr>
          <w:rFonts w:ascii="Times New Roman" w:eastAsia="Times New Roman" w:hAnsi="Times New Roman" w:cs="Times New Roman"/>
          <w:iCs/>
          <w:color w:val="242021"/>
          <w:sz w:val="24"/>
          <w:szCs w:val="24"/>
        </w:rPr>
        <w:t xml:space="preserve">. In addition reported by </w:t>
      </w:r>
      <w:r w:rsidRPr="00237DFA">
        <w:rPr>
          <w:rFonts w:ascii="Times New Roman" w:eastAsia="Times New Roman" w:hAnsi="Times New Roman" w:cs="Times New Roman"/>
          <w:iCs/>
          <w:color w:val="242021"/>
          <w:sz w:val="24"/>
          <w:szCs w:val="24"/>
        </w:rPr>
        <w:fldChar w:fldCharType="begin" w:fldLock="1"/>
      </w:r>
      <w:r w:rsidRPr="00237DFA">
        <w:rPr>
          <w:rFonts w:ascii="Times New Roman" w:eastAsia="Times New Roman" w:hAnsi="Times New Roman" w:cs="Times New Roman"/>
          <w:iCs/>
          <w:color w:val="242021"/>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Times New Roman" w:hAnsi="Times New Roman" w:cs="Times New Roman"/>
          <w:iCs/>
          <w:color w:val="242021"/>
          <w:sz w:val="24"/>
          <w:szCs w:val="24"/>
        </w:rPr>
        <w:fldChar w:fldCharType="separate"/>
      </w:r>
      <w:r w:rsidRPr="00237DFA">
        <w:rPr>
          <w:rFonts w:ascii="Times New Roman" w:eastAsia="Times New Roman" w:hAnsi="Times New Roman" w:cs="Times New Roman"/>
          <w:iCs/>
          <w:noProof/>
          <w:color w:val="242021"/>
          <w:sz w:val="24"/>
          <w:szCs w:val="24"/>
        </w:rPr>
        <w:t>Ambachew Demessie et al., (2012)</w:t>
      </w:r>
      <w:r w:rsidRPr="00237DFA">
        <w:rPr>
          <w:rFonts w:ascii="Times New Roman" w:eastAsia="Times New Roman" w:hAnsi="Times New Roman" w:cs="Times New Roman"/>
          <w:iCs/>
          <w:color w:val="242021"/>
          <w:sz w:val="24"/>
          <w:szCs w:val="24"/>
        </w:rPr>
        <w:fldChar w:fldCharType="end"/>
      </w:r>
      <w:r w:rsidRPr="00237DFA">
        <w:rPr>
          <w:rFonts w:ascii="Times New Roman" w:eastAsia="Times New Roman" w:hAnsi="Times New Roman" w:cs="Times New Roman"/>
          <w:iCs/>
          <w:color w:val="242021"/>
          <w:sz w:val="24"/>
          <w:szCs w:val="24"/>
        </w:rPr>
        <w:t xml:space="preserve">, </w:t>
      </w:r>
      <w:r w:rsidRPr="00237DFA">
        <w:rPr>
          <w:rFonts w:ascii="Times New Roman" w:eastAsia="Calibri" w:hAnsi="Times New Roman" w:cs="Times New Roman"/>
          <w:color w:val="000000"/>
          <w:sz w:val="24"/>
          <w:szCs w:val="24"/>
        </w:rPr>
        <w:t>the reduction of residual litter mass in the bags at each sampling time (measured in months) showed an exponential decline across all plantation species and in the natural forest.</w:t>
      </w:r>
    </w:p>
    <w:p w:rsidR="00237DFA" w:rsidRPr="00237DFA" w:rsidRDefault="00237DFA" w:rsidP="00237DFA">
      <w:pPr>
        <w:keepNext/>
        <w:keepLines/>
        <w:spacing w:before="120" w:after="120" w:line="360" w:lineRule="auto"/>
        <w:outlineLvl w:val="2"/>
        <w:rPr>
          <w:rFonts w:ascii="Times New Roman" w:eastAsia="Times New Roman" w:hAnsi="Times New Roman" w:cs="Times New Roman"/>
          <w:b/>
          <w:sz w:val="24"/>
          <w:szCs w:val="24"/>
        </w:rPr>
      </w:pPr>
      <w:bookmarkStart w:id="8" w:name="_Toc171282910"/>
      <w:r w:rsidRPr="00237DFA">
        <w:rPr>
          <w:rFonts w:ascii="Times New Roman" w:eastAsia="Times New Roman" w:hAnsi="Times New Roman" w:cs="Times New Roman"/>
          <w:b/>
          <w:sz w:val="24"/>
          <w:szCs w:val="24"/>
        </w:rPr>
        <w:t>3.2.2 The effect of tree species on decomposition rate constant (K) for 120 days in the dry and wet season</w:t>
      </w:r>
      <w:bookmarkEnd w:id="8"/>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t xml:space="preserve">The dry and wet season decomposition rate (g/day) of the studied foliage litter materials has shown a different pattern. In this study, the rate of decomposition constant (K) levels was significantly high (P &lt; 0.05) for Croton </w:t>
      </w:r>
      <w:r w:rsidRPr="00237DFA">
        <w:rPr>
          <w:rFonts w:ascii="Times New Roman" w:eastAsia="Calibri" w:hAnsi="Times New Roman" w:cs="Times New Roman"/>
          <w:i/>
          <w:color w:val="000000"/>
          <w:sz w:val="24"/>
          <w:szCs w:val="24"/>
        </w:rPr>
        <w:t>macrostachyus</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 xml:space="preserve">Cordia africana </w:t>
      </w:r>
      <w:r w:rsidRPr="00237DFA">
        <w:rPr>
          <w:rFonts w:ascii="Times New Roman" w:eastAsia="Calibri" w:hAnsi="Times New Roman" w:cs="Times New Roman"/>
          <w:color w:val="000000"/>
          <w:sz w:val="24"/>
          <w:szCs w:val="24"/>
        </w:rPr>
        <w:t xml:space="preserve">during the 120 days of incubation periods. In the dry season, the rate of decomposition during the first 30 days varied from 0.0172 g/day for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and 0.0064 g/day for </w:t>
      </w:r>
      <w:r w:rsidRPr="00237DFA">
        <w:rPr>
          <w:rFonts w:ascii="Times New Roman" w:eastAsia="Calibri" w:hAnsi="Times New Roman" w:cs="Times New Roman"/>
          <w:i/>
          <w:color w:val="000000"/>
          <w:sz w:val="24"/>
          <w:szCs w:val="24"/>
        </w:rPr>
        <w:t xml:space="preserve">Cordia africana. </w:t>
      </w:r>
      <w:r w:rsidRPr="00237DFA">
        <w:rPr>
          <w:rFonts w:ascii="Times New Roman" w:eastAsia="Calibri" w:hAnsi="Times New Roman" w:cs="Times New Roman"/>
          <w:color w:val="000000"/>
          <w:sz w:val="24"/>
          <w:szCs w:val="24"/>
        </w:rPr>
        <w:t>On the 60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day incubation period, the remaining leaf litterfall mass was 0.0369 g/day, and 0.0128 g/day, for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respectively. </w:t>
      </w:r>
      <w:r w:rsidRPr="00237DFA">
        <w:rPr>
          <w:rFonts w:ascii="Times New Roman" w:eastAsia="Calibri" w:hAnsi="Times New Roman" w:cs="Times New Roman"/>
          <w:sz w:val="24"/>
          <w:szCs w:val="24"/>
          <w:shd w:val="clear" w:color="auto" w:fill="FFFFFF"/>
        </w:rPr>
        <w:t>For the 90</w:t>
      </w:r>
      <w:r w:rsidRPr="00237DFA">
        <w:rPr>
          <w:rFonts w:ascii="Times New Roman" w:eastAsia="Calibri" w:hAnsi="Times New Roman" w:cs="Times New Roman"/>
          <w:sz w:val="24"/>
          <w:szCs w:val="24"/>
          <w:shd w:val="clear" w:color="auto" w:fill="FFFFFF"/>
          <w:vertAlign w:val="superscript"/>
        </w:rPr>
        <w:t>th</w:t>
      </w:r>
      <w:r w:rsidRPr="00237DFA">
        <w:rPr>
          <w:rFonts w:ascii="Times New Roman" w:eastAsia="Calibri" w:hAnsi="Times New Roman" w:cs="Times New Roman"/>
          <w:sz w:val="24"/>
          <w:szCs w:val="24"/>
          <w:shd w:val="clear" w:color="auto" w:fill="FFFFFF"/>
        </w:rPr>
        <w:t xml:space="preserve"> and 120</w:t>
      </w:r>
      <w:r w:rsidRPr="00237DFA">
        <w:rPr>
          <w:rFonts w:ascii="Times New Roman" w:eastAsia="Calibri" w:hAnsi="Times New Roman" w:cs="Times New Roman"/>
          <w:sz w:val="24"/>
          <w:szCs w:val="24"/>
          <w:shd w:val="clear" w:color="auto" w:fill="FFFFFF"/>
          <w:vertAlign w:val="superscript"/>
        </w:rPr>
        <w:t xml:space="preserve">th </w:t>
      </w:r>
      <w:r w:rsidRPr="00237DFA">
        <w:rPr>
          <w:rFonts w:ascii="Times New Roman" w:eastAsia="Calibri" w:hAnsi="Times New Roman" w:cs="Times New Roman"/>
          <w:sz w:val="24"/>
          <w:szCs w:val="24"/>
          <w:shd w:val="clear" w:color="auto" w:fill="FFFFFF"/>
        </w:rPr>
        <w:t xml:space="preserve">days, the decomposition rate of leaf litter was 0.0169 </w:t>
      </w:r>
      <w:r w:rsidRPr="00237DFA">
        <w:rPr>
          <w:rFonts w:ascii="Times New Roman" w:eastAsia="Calibri" w:hAnsi="Times New Roman" w:cs="Times New Roman"/>
          <w:color w:val="000000"/>
          <w:sz w:val="24"/>
          <w:szCs w:val="24"/>
        </w:rPr>
        <w:t>g/day</w:t>
      </w:r>
      <w:r w:rsidRPr="00237DFA">
        <w:rPr>
          <w:rFonts w:ascii="Times New Roman" w:eastAsia="Calibri" w:hAnsi="Times New Roman" w:cs="Times New Roman"/>
          <w:sz w:val="24"/>
          <w:szCs w:val="24"/>
          <w:shd w:val="clear" w:color="auto" w:fill="FFFFFF"/>
        </w:rPr>
        <w:t xml:space="preserve">, and 0.0200 </w:t>
      </w:r>
      <w:r w:rsidRPr="00237DFA">
        <w:rPr>
          <w:rFonts w:ascii="Times New Roman" w:eastAsia="Calibri" w:hAnsi="Times New Roman" w:cs="Times New Roman"/>
          <w:color w:val="000000"/>
          <w:sz w:val="24"/>
          <w:szCs w:val="24"/>
        </w:rPr>
        <w:t xml:space="preserve">g/day </w:t>
      </w:r>
      <w:r w:rsidRPr="00237DFA">
        <w:rPr>
          <w:rFonts w:ascii="Times New Roman" w:eastAsia="Calibri" w:hAnsi="Times New Roman" w:cs="Times New Roman"/>
          <w:sz w:val="24"/>
          <w:szCs w:val="24"/>
          <w:shd w:val="clear" w:color="auto" w:fill="FFFFFF"/>
        </w:rPr>
        <w:t xml:space="preserve">in </w:t>
      </w:r>
      <w:r w:rsidRPr="00237DFA">
        <w:rPr>
          <w:rFonts w:ascii="Times New Roman" w:eastAsia="Calibri" w:hAnsi="Times New Roman" w:cs="Times New Roman"/>
          <w:i/>
          <w:sz w:val="24"/>
          <w:szCs w:val="24"/>
          <w:shd w:val="clear" w:color="auto" w:fill="FFFFFF"/>
        </w:rPr>
        <w:t>Cordia africana</w:t>
      </w:r>
      <w:r w:rsidRPr="00237DFA">
        <w:rPr>
          <w:rFonts w:ascii="Times New Roman" w:eastAsia="Calibri" w:hAnsi="Times New Roman" w:cs="Times New Roman"/>
          <w:sz w:val="24"/>
          <w:szCs w:val="24"/>
          <w:shd w:val="clear" w:color="auto" w:fill="FFFFFF"/>
        </w:rPr>
        <w:t xml:space="preserve">, respectively, compared to that of </w:t>
      </w:r>
      <w:r w:rsidRPr="00237DFA">
        <w:rPr>
          <w:rFonts w:ascii="Times New Roman" w:eastAsia="Calibri" w:hAnsi="Times New Roman" w:cs="Times New Roman"/>
          <w:i/>
          <w:sz w:val="24"/>
          <w:szCs w:val="24"/>
          <w:shd w:val="clear" w:color="auto" w:fill="FFFFFF"/>
        </w:rPr>
        <w:t>Croton macrostachyus</w:t>
      </w:r>
      <w:r w:rsidRPr="00237DFA">
        <w:rPr>
          <w:rFonts w:ascii="Times New Roman" w:eastAsia="Calibri" w:hAnsi="Times New Roman" w:cs="Times New Roman"/>
          <w:sz w:val="24"/>
          <w:szCs w:val="24"/>
          <w:shd w:val="clear" w:color="auto" w:fill="FFFFFF"/>
        </w:rPr>
        <w:t xml:space="preserve">, which was about 0.0403 </w:t>
      </w:r>
      <w:r w:rsidRPr="00237DFA">
        <w:rPr>
          <w:rFonts w:ascii="Times New Roman" w:eastAsia="Calibri" w:hAnsi="Times New Roman" w:cs="Times New Roman"/>
          <w:color w:val="000000"/>
          <w:sz w:val="24"/>
          <w:szCs w:val="24"/>
        </w:rPr>
        <w:t>g/day</w:t>
      </w:r>
      <w:r w:rsidRPr="00237DFA">
        <w:rPr>
          <w:rFonts w:ascii="Times New Roman" w:eastAsia="Calibri" w:hAnsi="Times New Roman" w:cs="Times New Roman"/>
          <w:sz w:val="24"/>
          <w:szCs w:val="24"/>
          <w:shd w:val="clear" w:color="auto" w:fill="FFFFFF"/>
        </w:rPr>
        <w:t xml:space="preserve"> and 0.0392 </w:t>
      </w:r>
      <w:r w:rsidRPr="00237DFA">
        <w:rPr>
          <w:rFonts w:ascii="Times New Roman" w:eastAsia="Calibri" w:hAnsi="Times New Roman" w:cs="Times New Roman"/>
          <w:color w:val="000000"/>
          <w:sz w:val="24"/>
          <w:szCs w:val="24"/>
        </w:rPr>
        <w:t>g/day</w:t>
      </w:r>
      <w:r w:rsidRPr="00237DFA">
        <w:rPr>
          <w:rFonts w:ascii="Times New Roman" w:eastAsia="Calibri" w:hAnsi="Times New Roman" w:cs="Times New Roman"/>
          <w:sz w:val="24"/>
          <w:szCs w:val="24"/>
          <w:shd w:val="clear" w:color="auto" w:fill="FFFFFF"/>
        </w:rPr>
        <w:t>, respectively</w:t>
      </w:r>
      <w:r w:rsidRPr="00237DFA">
        <w:rPr>
          <w:rFonts w:ascii="Times New Roman" w:eastAsia="Calibri" w:hAnsi="Times New Roman" w:cs="Times New Roman"/>
          <w:sz w:val="24"/>
          <w:szCs w:val="24"/>
        </w:rPr>
        <w:t xml:space="preserve">. The decomposition rates of </w:t>
      </w:r>
      <w:r w:rsidRPr="00237DFA">
        <w:rPr>
          <w:rFonts w:ascii="Times New Roman" w:eastAsia="Calibri" w:hAnsi="Times New Roman" w:cs="Times New Roman"/>
          <w:i/>
          <w:sz w:val="24"/>
          <w:szCs w:val="24"/>
        </w:rPr>
        <w:t>Croton macrostachyus</w:t>
      </w:r>
      <w:r w:rsidRPr="00237DFA">
        <w:rPr>
          <w:rFonts w:ascii="Times New Roman" w:eastAsia="Calibri" w:hAnsi="Times New Roman" w:cs="Times New Roman"/>
          <w:sz w:val="24"/>
          <w:szCs w:val="24"/>
        </w:rPr>
        <w:t xml:space="preserve"> were recorded as the highest, ranging from 0.0172 to 0.0392 g/day for each 30-120 days sampling period. In contrast, </w:t>
      </w:r>
      <w:r w:rsidRPr="00237DFA">
        <w:rPr>
          <w:rFonts w:ascii="Times New Roman" w:eastAsia="Calibri" w:hAnsi="Times New Roman" w:cs="Times New Roman"/>
          <w:i/>
          <w:sz w:val="24"/>
          <w:szCs w:val="24"/>
        </w:rPr>
        <w:t>Cordia africana</w:t>
      </w:r>
      <w:r w:rsidRPr="00237DFA">
        <w:rPr>
          <w:rFonts w:ascii="Times New Roman" w:eastAsia="Calibri" w:hAnsi="Times New Roman" w:cs="Times New Roman"/>
          <w:sz w:val="24"/>
          <w:szCs w:val="24"/>
        </w:rPr>
        <w:t xml:space="preserve"> displayed decomposition rates of 0.0064 to 0.0200 g/day for the same sampling period. </w:t>
      </w:r>
      <w:r w:rsidRPr="00237DFA">
        <w:rPr>
          <w:rFonts w:ascii="Times New Roman" w:eastAsia="Calibri" w:hAnsi="Times New Roman" w:cs="Times New Roman"/>
          <w:color w:val="000000"/>
          <w:sz w:val="24"/>
          <w:szCs w:val="24"/>
        </w:rPr>
        <w:t xml:space="preserve">During the wet season, the rate of decomposition for the 30-day incubation period varied from 0.1272 g/day and 0.0916 g/day for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 xml:space="preserve">Cordia africana respectively. </w:t>
      </w:r>
      <w:r w:rsidRPr="00237DFA">
        <w:rPr>
          <w:rFonts w:ascii="Times New Roman" w:eastAsia="Calibri" w:hAnsi="Times New Roman" w:cs="Times New Roman"/>
          <w:color w:val="000000"/>
          <w:sz w:val="24"/>
          <w:szCs w:val="24"/>
        </w:rPr>
        <w:t>At the 60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day incubation period, the remaining leaf litter mass was 0.0716 g/day and 0.0669 g/day for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respectively. The decomposition rates of </w:t>
      </w:r>
      <w:r w:rsidRPr="00237DFA">
        <w:rPr>
          <w:rFonts w:ascii="Times New Roman" w:eastAsia="Calibri" w:hAnsi="Times New Roman" w:cs="Times New Roman"/>
          <w:i/>
          <w:color w:val="000000"/>
          <w:sz w:val="24"/>
          <w:szCs w:val="24"/>
        </w:rPr>
        <w:t xml:space="preserve">Croton </w:t>
      </w:r>
      <w:r w:rsidRPr="00237DFA">
        <w:rPr>
          <w:rFonts w:ascii="Times New Roman" w:eastAsia="Calibri" w:hAnsi="Times New Roman" w:cs="Times New Roman"/>
          <w:i/>
          <w:iCs/>
          <w:color w:val="000000"/>
          <w:sz w:val="24"/>
          <w:szCs w:val="24"/>
        </w:rPr>
        <w:t xml:space="preserve">macrostachyus </w:t>
      </w:r>
      <w:r w:rsidRPr="00237DFA">
        <w:rPr>
          <w:rFonts w:ascii="Times New Roman" w:eastAsia="Calibri" w:hAnsi="Times New Roman" w:cs="Times New Roman"/>
          <w:color w:val="000000"/>
          <w:sz w:val="24"/>
          <w:szCs w:val="24"/>
        </w:rPr>
        <w:t xml:space="preserve">were found to be the fastest with the range from </w:t>
      </w:r>
      <w:r w:rsidRPr="00237DFA">
        <w:rPr>
          <w:rFonts w:ascii="Times New Roman" w:eastAsia="Calibri" w:hAnsi="Times New Roman" w:cs="Times New Roman"/>
          <w:color w:val="000000"/>
          <w:sz w:val="24"/>
          <w:szCs w:val="24"/>
        </w:rPr>
        <w:lastRenderedPageBreak/>
        <w:t xml:space="preserve">0.1272 to </w:t>
      </w:r>
      <w:r w:rsidRPr="00237DFA">
        <w:rPr>
          <w:rFonts w:ascii="Times New Roman" w:eastAsia="Calibri" w:hAnsi="Times New Roman" w:cs="Times New Roman"/>
          <w:sz w:val="24"/>
          <w:szCs w:val="24"/>
        </w:rPr>
        <w:t xml:space="preserve">0.0554 </w:t>
      </w:r>
      <w:r w:rsidRPr="00237DFA">
        <w:rPr>
          <w:rFonts w:ascii="Times New Roman" w:eastAsia="Calibri" w:hAnsi="Times New Roman" w:cs="Times New Roman"/>
          <w:color w:val="000000"/>
          <w:sz w:val="24"/>
          <w:szCs w:val="24"/>
        </w:rPr>
        <w:t xml:space="preserve">g/day for each 30-90 days sampling period, respectively. </w:t>
      </w:r>
      <w:r w:rsidRPr="00237DFA">
        <w:rPr>
          <w:rFonts w:ascii="Times New Roman" w:eastAsia="Calibri" w:hAnsi="Times New Roman" w:cs="Times New Roman"/>
          <w:i/>
          <w:iCs/>
          <w:color w:val="000000"/>
          <w:sz w:val="24"/>
          <w:szCs w:val="24"/>
        </w:rPr>
        <w:t xml:space="preserve">Cordia africana </w:t>
      </w:r>
      <w:r w:rsidRPr="00237DFA">
        <w:rPr>
          <w:rFonts w:ascii="Times New Roman" w:eastAsia="Calibri" w:hAnsi="Times New Roman" w:cs="Times New Roman"/>
          <w:color w:val="000000"/>
          <w:sz w:val="24"/>
          <w:szCs w:val="24"/>
        </w:rPr>
        <w:t xml:space="preserve">has decomposition rates in the range from 0.0916 to </w:t>
      </w:r>
      <w:r w:rsidRPr="00237DFA">
        <w:rPr>
          <w:rFonts w:ascii="Times New Roman" w:eastAsia="Calibri" w:hAnsi="Times New Roman" w:cs="Times New Roman"/>
          <w:sz w:val="24"/>
          <w:szCs w:val="24"/>
        </w:rPr>
        <w:t xml:space="preserve">0.0542 </w:t>
      </w:r>
      <w:r w:rsidRPr="00237DFA">
        <w:rPr>
          <w:rFonts w:ascii="Times New Roman" w:eastAsia="Calibri" w:hAnsi="Times New Roman" w:cs="Times New Roman"/>
          <w:color w:val="000000"/>
          <w:sz w:val="24"/>
          <w:szCs w:val="24"/>
        </w:rPr>
        <w:t>g/day for each 30-90 days incubation period respectively</w:t>
      </w:r>
      <w:r w:rsidRPr="00237DFA">
        <w:rPr>
          <w:rFonts w:ascii="Times New Roman" w:eastAsia="Calibri" w:hAnsi="Times New Roman" w:cs="Times New Roman"/>
          <w:i/>
          <w:iCs/>
          <w:color w:val="000000"/>
          <w:sz w:val="24"/>
          <w:szCs w:val="24"/>
        </w:rPr>
        <w:t xml:space="preserve">. </w:t>
      </w:r>
      <w:r w:rsidRPr="00237DFA">
        <w:rPr>
          <w:rFonts w:ascii="Times New Roman" w:eastAsia="Calibri" w:hAnsi="Times New Roman" w:cs="Times New Roman"/>
          <w:color w:val="000000"/>
          <w:sz w:val="24"/>
          <w:szCs w:val="24"/>
        </w:rPr>
        <w:t>Significant variation was not observed after the 90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and 120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days of the incubation period (P&lt;0.05) for both tree species of </w:t>
      </w:r>
      <w:r w:rsidRPr="00237DFA">
        <w:rPr>
          <w:rFonts w:ascii="Times New Roman" w:eastAsia="Calibri" w:hAnsi="Times New Roman" w:cs="Times New Roman"/>
          <w:i/>
          <w:color w:val="000000"/>
          <w:sz w:val="24"/>
          <w:szCs w:val="24"/>
        </w:rPr>
        <w:t xml:space="preserve">Croton macrostachyus </w:t>
      </w:r>
      <w:r w:rsidRPr="00237DFA">
        <w:rPr>
          <w:rFonts w:ascii="Times New Roman" w:eastAsia="Calibri" w:hAnsi="Times New Roman" w:cs="Times New Roman"/>
          <w:color w:val="000000"/>
          <w:sz w:val="24"/>
          <w:szCs w:val="24"/>
        </w:rPr>
        <w:t xml:space="preserve">and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with the range from 0.0554 to 0.0416 g/day and 0.0542 to 0.0416g/day, respectively (Table 3.2).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has a more rapid decomposition in the dry and wet seasons, than </w:t>
      </w:r>
      <w:r w:rsidRPr="00237DFA">
        <w:rPr>
          <w:rFonts w:ascii="Times New Roman" w:eastAsia="Calibri" w:hAnsi="Times New Roman" w:cs="Times New Roman"/>
          <w:i/>
          <w:color w:val="000000"/>
          <w:sz w:val="24"/>
          <w:szCs w:val="24"/>
        </w:rPr>
        <w:t xml:space="preserve">Cordia africana, </w:t>
      </w:r>
      <w:r w:rsidRPr="00237DFA">
        <w:rPr>
          <w:rFonts w:ascii="Times New Roman" w:eastAsia="Calibri" w:hAnsi="Times New Roman" w:cs="Times New Roman"/>
          <w:color w:val="000000"/>
          <w:sz w:val="24"/>
          <w:szCs w:val="24"/>
        </w:rPr>
        <w:t xml:space="preserve">because </w:t>
      </w:r>
      <w:r w:rsidRPr="00237DFA">
        <w:rPr>
          <w:rFonts w:ascii="Times New Roman" w:eastAsia="Calibri" w:hAnsi="Times New Roman" w:cs="Times New Roman"/>
          <w:sz w:val="24"/>
          <w:szCs w:val="24"/>
        </w:rPr>
        <w:t xml:space="preserve">of </w:t>
      </w:r>
      <w:r w:rsidRPr="00237DFA">
        <w:rPr>
          <w:rFonts w:ascii="Times New Roman" w:eastAsia="Calibri" w:hAnsi="Times New Roman" w:cs="Times New Roman"/>
          <w:color w:val="000000"/>
          <w:sz w:val="24"/>
          <w:szCs w:val="24"/>
        </w:rPr>
        <w:t xml:space="preserve">the slow decomposition rate of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despite the profuse leaf fall observed under its crowns</w:t>
      </w:r>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The rate of decomposition exhibited a significantly reduced pace during the dry season in comparison to the wet season in the case of these specific tree species. The shedding of reproductive components, namely fruits and flowers, displayed a pronounced seasonality, characterized by elevated quantities observed during the wet season.</w:t>
      </w:r>
    </w:p>
    <w:p w:rsidR="00237DFA" w:rsidRPr="00237DFA" w:rsidRDefault="00237DFA" w:rsidP="00237DFA">
      <w:pPr>
        <w:spacing w:line="360" w:lineRule="auto"/>
        <w:rPr>
          <w:rFonts w:ascii="Times New Roman" w:eastAsia="Calibri" w:hAnsi="Times New Roman" w:cs="Times New Roman"/>
          <w:bCs/>
          <w:sz w:val="24"/>
          <w:szCs w:val="24"/>
        </w:rPr>
      </w:pPr>
      <w:bookmarkStart w:id="9" w:name="_Toc171283235"/>
      <w:r w:rsidRPr="00237DFA">
        <w:rPr>
          <w:rFonts w:ascii="Times New Roman" w:eastAsia="Calibri" w:hAnsi="Times New Roman" w:cs="Times New Roman"/>
          <w:b/>
          <w:bCs/>
          <w:sz w:val="24"/>
          <w:szCs w:val="24"/>
        </w:rPr>
        <w:t xml:space="preserve">Table 3. </w:t>
      </w:r>
      <w:r w:rsidRPr="00237DFA">
        <w:rPr>
          <w:rFonts w:ascii="Times New Roman" w:eastAsia="Calibri" w:hAnsi="Times New Roman" w:cs="Times New Roman"/>
          <w:b/>
          <w:bCs/>
          <w:color w:val="4F81BD"/>
          <w:sz w:val="24"/>
          <w:szCs w:val="24"/>
        </w:rPr>
        <w:fldChar w:fldCharType="begin"/>
      </w:r>
      <w:r w:rsidRPr="00237DFA">
        <w:rPr>
          <w:rFonts w:ascii="Times New Roman" w:eastAsia="Calibri" w:hAnsi="Times New Roman" w:cs="Times New Roman"/>
          <w:b/>
          <w:bCs/>
          <w:sz w:val="24"/>
          <w:szCs w:val="24"/>
        </w:rPr>
        <w:instrText xml:space="preserve"> SEQ Table_4. \* ARABIC </w:instrText>
      </w:r>
      <w:r w:rsidRPr="00237DFA">
        <w:rPr>
          <w:rFonts w:ascii="Times New Roman" w:eastAsia="Calibri" w:hAnsi="Times New Roman" w:cs="Times New Roman"/>
          <w:b/>
          <w:bCs/>
          <w:color w:val="4F81BD"/>
          <w:sz w:val="24"/>
          <w:szCs w:val="24"/>
        </w:rPr>
        <w:fldChar w:fldCharType="separate"/>
      </w:r>
      <w:r w:rsidR="00060D03">
        <w:rPr>
          <w:rFonts w:ascii="Times New Roman" w:eastAsia="Calibri" w:hAnsi="Times New Roman" w:cs="Times New Roman"/>
          <w:b/>
          <w:bCs/>
          <w:noProof/>
          <w:sz w:val="24"/>
          <w:szCs w:val="24"/>
        </w:rPr>
        <w:t>2</w:t>
      </w:r>
      <w:r w:rsidRPr="00237DFA">
        <w:rPr>
          <w:rFonts w:ascii="Times New Roman" w:eastAsia="Calibri" w:hAnsi="Times New Roman" w:cs="Times New Roman"/>
          <w:b/>
          <w:bCs/>
          <w:color w:val="4F81BD"/>
          <w:sz w:val="24"/>
          <w:szCs w:val="24"/>
        </w:rPr>
        <w:fldChar w:fldCharType="end"/>
      </w:r>
      <w:r w:rsidRPr="00237DFA">
        <w:rPr>
          <w:rFonts w:ascii="Times New Roman" w:eastAsia="Calibri" w:hAnsi="Times New Roman" w:cs="Times New Roman"/>
          <w:b/>
          <w:bCs/>
          <w:sz w:val="24"/>
          <w:szCs w:val="24"/>
        </w:rPr>
        <w:t xml:space="preserve">: </w:t>
      </w:r>
      <w:r w:rsidRPr="00237DFA">
        <w:rPr>
          <w:rFonts w:ascii="Times New Roman" w:eastAsia="Calibri" w:hAnsi="Times New Roman" w:cs="Times New Roman"/>
          <w:bCs/>
          <w:sz w:val="24"/>
          <w:szCs w:val="24"/>
        </w:rPr>
        <w:t>The effect of species on decomposition rates at different stages of decomposition for 120 days in the dry and wet seasons</w:t>
      </w:r>
      <w:bookmarkEnd w:id="9"/>
    </w:p>
    <w:tbl>
      <w:tblPr>
        <w:tblStyle w:val="TableGrid6"/>
        <w:tblW w:w="9555" w:type="dxa"/>
        <w:tblLayout w:type="fixed"/>
        <w:tblLook w:val="04A0" w:firstRow="1" w:lastRow="0" w:firstColumn="1" w:lastColumn="0" w:noHBand="0" w:noVBand="1"/>
      </w:tblPr>
      <w:tblGrid>
        <w:gridCol w:w="1994"/>
        <w:gridCol w:w="1980"/>
        <w:gridCol w:w="1892"/>
        <w:gridCol w:w="1891"/>
        <w:gridCol w:w="1798"/>
      </w:tblGrid>
      <w:tr w:rsidR="00237DFA" w:rsidRPr="00237DFA" w:rsidTr="00F717B4">
        <w:trPr>
          <w:trHeight w:val="260"/>
        </w:trPr>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 xml:space="preserve">Species </w:t>
            </w:r>
          </w:p>
        </w:tc>
        <w:tc>
          <w:tcPr>
            <w:tcW w:w="7561" w:type="dxa"/>
            <w:gridSpan w:val="4"/>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Incubation period (day)</w:t>
            </w:r>
          </w:p>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………K</w:t>
            </w:r>
            <w:r w:rsidRPr="00237DFA">
              <w:rPr>
                <w:rFonts w:ascii="Times New Roman" w:eastAsia="Times New Roman" w:hAnsi="Times New Roman"/>
                <w:sz w:val="20"/>
                <w:szCs w:val="20"/>
                <w:vertAlign w:val="subscript"/>
              </w:rPr>
              <w:t xml:space="preserve">D </w:t>
            </w:r>
            <w:r w:rsidRPr="00237DFA">
              <w:rPr>
                <w:rFonts w:ascii="Times New Roman" w:eastAsia="Times New Roman" w:hAnsi="Times New Roman"/>
                <w:sz w:val="20"/>
                <w:szCs w:val="20"/>
              </w:rPr>
              <w:t>(gday</w:t>
            </w:r>
            <w:r w:rsidRPr="00237DFA">
              <w:rPr>
                <w:rFonts w:ascii="Times New Roman" w:eastAsia="Times New Roman" w:hAnsi="Times New Roman"/>
                <w:sz w:val="20"/>
                <w:szCs w:val="20"/>
                <w:vertAlign w:val="superscript"/>
              </w:rPr>
              <w:t>-1</w:t>
            </w:r>
            <w:r w:rsidRPr="00237DFA">
              <w:rPr>
                <w:rFonts w:ascii="Times New Roman" w:eastAsia="Times New Roman" w:hAnsi="Times New Roman"/>
                <w:sz w:val="20"/>
                <w:szCs w:val="20"/>
              </w:rPr>
              <w:t>)……</w:t>
            </w:r>
          </w:p>
        </w:tc>
      </w:tr>
      <w:tr w:rsidR="00237DFA" w:rsidRPr="00237DFA" w:rsidTr="00F717B4">
        <w:trPr>
          <w:trHeight w:val="260"/>
        </w:trPr>
        <w:tc>
          <w:tcPr>
            <w:tcW w:w="1994"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rPr>
                <w:rFonts w:ascii="Times New Roman" w:eastAsia="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30D</w:t>
            </w:r>
          </w:p>
        </w:tc>
        <w:tc>
          <w:tcPr>
            <w:tcW w:w="1892"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60D</w:t>
            </w:r>
          </w:p>
        </w:tc>
        <w:tc>
          <w:tcPr>
            <w:tcW w:w="1891"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90D</w:t>
            </w:r>
          </w:p>
        </w:tc>
        <w:tc>
          <w:tcPr>
            <w:tcW w:w="1798"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120D</w:t>
            </w:r>
          </w:p>
        </w:tc>
      </w:tr>
      <w:tr w:rsidR="00237DFA" w:rsidRPr="00237DFA" w:rsidTr="00F717B4">
        <w:trPr>
          <w:trHeight w:val="242"/>
        </w:trPr>
        <w:tc>
          <w:tcPr>
            <w:tcW w:w="9555"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rPr>
            </w:pPr>
            <w:r w:rsidRPr="00237DFA">
              <w:rPr>
                <w:rFonts w:ascii="Times New Roman" w:eastAsia="Times New Roman" w:hAnsi="Times New Roman"/>
                <w:sz w:val="20"/>
                <w:szCs w:val="20"/>
              </w:rPr>
              <w:t>The dry season decomposition rate of mean value and std dev. Respectively</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 macrostachyus</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.0172</w:t>
            </w:r>
            <w:r w:rsidRPr="00237DFA">
              <w:rPr>
                <w:rFonts w:ascii="Times New Roman" w:eastAsia="Times New Roman" w:hAnsi="Times New Roman"/>
                <w:sz w:val="20"/>
                <w:szCs w:val="20"/>
                <w:vertAlign w:val="superscript"/>
              </w:rPr>
              <w:t xml:space="preserve">a  </w:t>
            </w:r>
            <w:r w:rsidRPr="00237DFA">
              <w:rPr>
                <w:rFonts w:ascii="Times New Roman" w:eastAsia="Times New Roman" w:hAnsi="Times New Roman"/>
                <w:sz w:val="20"/>
                <w:szCs w:val="20"/>
              </w:rPr>
              <w:t xml:space="preserve">± </w:t>
            </w:r>
            <w:r w:rsidRPr="00237DFA">
              <w:rPr>
                <w:rFonts w:ascii="Times New Roman" w:eastAsia="Times New Roman" w:hAnsi="Times New Roman"/>
                <w:color w:val="010205"/>
                <w:sz w:val="20"/>
                <w:szCs w:val="20"/>
              </w:rPr>
              <w:t>.00575</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.0369</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.00352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.0403</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.00161</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.0392</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.00139</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 africana</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.0064</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.00250</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.0128</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.00162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.0169</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.00238</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.0200</w:t>
            </w:r>
            <w:r w:rsidRPr="00237DFA">
              <w:rPr>
                <w:rFonts w:ascii="Times New Roman" w:eastAsia="Times New Roman" w:hAnsi="Times New Roman"/>
                <w:sz w:val="20"/>
                <w:szCs w:val="20"/>
                <w:vertAlign w:val="superscript"/>
              </w:rPr>
              <w:t xml:space="preserve">b </w:t>
            </w:r>
            <w:r w:rsidRPr="00237DFA">
              <w:rPr>
                <w:rFonts w:ascii="Times New Roman" w:eastAsia="Times New Roman" w:hAnsi="Times New Roman"/>
                <w:sz w:val="20"/>
                <w:szCs w:val="20"/>
              </w:rPr>
              <w:t xml:space="preserve">± </w:t>
            </w:r>
            <w:r w:rsidRPr="00237DFA">
              <w:rPr>
                <w:rFonts w:ascii="Times New Roman" w:eastAsia="Times New Roman" w:hAnsi="Times New Roman"/>
                <w:color w:val="010205"/>
                <w:sz w:val="20"/>
                <w:szCs w:val="20"/>
              </w:rPr>
              <w:t>.00334</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0.95788</w:t>
            </w:r>
            <w:r w:rsidRPr="00237DFA">
              <w:rPr>
                <w:rFonts w:ascii="Times New Roman" w:eastAsia="Times New Roman" w:hAnsi="Times New Roman"/>
                <w:color w:val="000000"/>
                <w:sz w:val="20"/>
                <w:szCs w:val="20"/>
              </w:rPr>
              <w:tab/>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0.9954</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0.991917</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0.989874</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19.48312</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5.887841</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6.477498</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5.786078</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0.041*</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0.000**</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0.000**</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0.001**</w:t>
            </w:r>
          </w:p>
        </w:tc>
      </w:tr>
      <w:tr w:rsidR="00237DFA" w:rsidRPr="00237DFA" w:rsidTr="00F717B4">
        <w:tc>
          <w:tcPr>
            <w:tcW w:w="9555"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The Wet season decomposition rate of mean value and std dev. Respectively</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 macrostachyus</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.1272</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.00150</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.0716</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.00042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.0554</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.00005</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.0416 ± .000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Cordia africana</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.0916</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00208</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.0669</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.00092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.0542</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w:t>
            </w:r>
            <w:r w:rsidRPr="00237DFA">
              <w:rPr>
                <w:rFonts w:ascii="Times New Roman" w:eastAsia="Times New Roman" w:hAnsi="Times New Roman"/>
                <w:sz w:val="20"/>
                <w:szCs w:val="20"/>
                <w:vertAlign w:val="superscript"/>
              </w:rPr>
              <w:t xml:space="preserve"> </w:t>
            </w:r>
            <w:r w:rsidRPr="00237DFA">
              <w:rPr>
                <w:rFonts w:ascii="Times New Roman" w:eastAsia="Times New Roman" w:hAnsi="Times New Roman"/>
                <w:color w:val="010205"/>
                <w:sz w:val="20"/>
                <w:szCs w:val="20"/>
              </w:rPr>
              <w:t>.00017</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.0416 ± .000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0.994045</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 xml:space="preserve">0.948773      </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0.986737</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 xml:space="preserve">2.178605      </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 xml:space="preserve">1.360911      </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0.208824</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0.0084*</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0.0033**</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0.0004**</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Ns</w:t>
            </w:r>
          </w:p>
        </w:tc>
      </w:tr>
    </w:tbl>
    <w:p w:rsidR="00237DFA" w:rsidRPr="00237DFA" w:rsidRDefault="00237DFA" w:rsidP="00237DFA">
      <w:pPr>
        <w:spacing w:after="0" w:line="360" w:lineRule="auto"/>
        <w:rPr>
          <w:rFonts w:ascii="Times New Roman" w:eastAsia="Calibri" w:hAnsi="Times New Roman" w:cs="Times New Roman"/>
          <w:sz w:val="24"/>
          <w:szCs w:val="24"/>
        </w:rPr>
      </w:pPr>
      <w:r w:rsidRPr="00237DFA">
        <w:rPr>
          <w:rFonts w:ascii="Times New Roman" w:eastAsia="Calibri" w:hAnsi="Times New Roman" w:cs="Times New Roman"/>
          <w:sz w:val="24"/>
          <w:szCs w:val="24"/>
        </w:rPr>
        <w:t xml:space="preserve">Levels of significance: p&lt;0.05(*),  p&lt; 0.001 (**) and  NS is not significant </w:t>
      </w:r>
    </w:p>
    <w:p w:rsidR="00237DFA" w:rsidRPr="00237DFA" w:rsidRDefault="00237DFA" w:rsidP="00237DFA">
      <w:pPr>
        <w:spacing w:line="360" w:lineRule="auto"/>
        <w:rPr>
          <w:rFonts w:ascii="Times New Roman" w:eastAsia="Calibri" w:hAnsi="Times New Roman" w:cs="Times New Roman"/>
          <w:sz w:val="24"/>
          <w:szCs w:val="24"/>
        </w:rPr>
      </w:pPr>
      <w:r w:rsidRPr="00237DFA">
        <w:rPr>
          <w:rFonts w:ascii="Times New Roman" w:eastAsia="Calibri" w:hAnsi="Times New Roman" w:cs="Times New Roman"/>
          <w:color w:val="000000"/>
          <w:sz w:val="24"/>
          <w:szCs w:val="24"/>
        </w:rPr>
        <w:t>Whereas: D is the interval dates, and CV is the coefficient of variation</w:t>
      </w:r>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t xml:space="preserve">The mean daily decomposition rate constant of these two species in the dry season leaf litter ranged from 0.0064 to 0.0200 g/day, corresponding to 0.0172 to 0.0392 g/day of the present finding for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In addition, the wet season litterfall decomposition ranged from 0.0916 to 0.0416 g/day for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and 0.1272 to 0.0416 g/day </w:t>
      </w:r>
      <w:r w:rsidRPr="00237DFA">
        <w:rPr>
          <w:rFonts w:ascii="Times New Roman" w:eastAsia="Calibri" w:hAnsi="Times New Roman" w:cs="Times New Roman"/>
          <w:i/>
          <w:color w:val="000000"/>
          <w:sz w:val="24"/>
          <w:szCs w:val="24"/>
        </w:rPr>
        <w:t>for Croton macrostachyus</w:t>
      </w:r>
      <w:r w:rsidRPr="00237DFA">
        <w:rPr>
          <w:rFonts w:ascii="Times New Roman" w:eastAsia="Calibri" w:hAnsi="Times New Roman" w:cs="Times New Roman"/>
          <w:color w:val="000000"/>
          <w:sz w:val="24"/>
          <w:szCs w:val="24"/>
        </w:rPr>
        <w:t>, respectively</w:t>
      </w:r>
      <w:r w:rsidRPr="00237DFA">
        <w:rPr>
          <w:rFonts w:ascii="Times New Roman" w:eastAsia="Calibri" w:hAnsi="Times New Roman" w:cs="Times New Roman"/>
          <w:iCs/>
          <w:color w:val="000000"/>
          <w:sz w:val="24"/>
          <w:szCs w:val="24"/>
        </w:rPr>
        <w:t xml:space="preserve">. </w:t>
      </w:r>
      <w:r w:rsidRPr="00237DFA">
        <w:rPr>
          <w:rFonts w:ascii="Times New Roman" w:eastAsia="Calibri" w:hAnsi="Times New Roman" w:cs="Times New Roman"/>
          <w:color w:val="000000"/>
          <w:sz w:val="24"/>
          <w:szCs w:val="24"/>
        </w:rPr>
        <w:t xml:space="preserve">Given that the experiment was conducted at three sites under the same climatic conditions, the difference that was found in the rate of </w:t>
      </w:r>
      <w:r w:rsidRPr="00237DFA">
        <w:rPr>
          <w:rFonts w:ascii="Times New Roman" w:eastAsia="Calibri" w:hAnsi="Times New Roman" w:cs="Times New Roman"/>
          <w:color w:val="000000"/>
          <w:sz w:val="24"/>
          <w:szCs w:val="24"/>
        </w:rPr>
        <w:lastRenderedPageBreak/>
        <w:t xml:space="preserve">decomposition values between the species can be a result of the different qualities of their litter. The result is supported by studies conducted in the tropics by many authors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{"citationItems":[{"id":"ITEM-1","itemData":{"abstract":"The objective of this study was to investigate the nutrient content of abscised leaves of Cordia africana Lam. and Croton macrostachyus Del. tree species and the extent to which they decompose to release these nutrients. Abscised leaves were collected from trees of these species and were evaluated by litter-bag technique for a period of 3 months. Nutrient return from each selected species showed that leaf of C. macrostachyus had significantly higher (P &lt; 0.05) P but lower C compared with the leaf of C. africana. N concentration in the leaf of the study species did not show significant variation. Leaves of C. africana had significantly (P &lt; 0.05) higher concentration of lignin and significantly higher lignin:N and C:N than C. macrostachyus. C. macrostachyus showed more rapid mass loss and nutrient release than C. africana. 50% of the biomass applied was lost during the first 6-7 weeks in C. macrostachyus and 9-10 weeks in C. africana. The half lives of N and P were 6-7 and 8-9 weeks, respectively, in C. macrostachyus. In C. africana, however, the half-lives were 13-14 and about 19 weeks for N and P, respectively. Generally, leaves with higher initial lignin, lignin:N and C:N ratios had lower decomposition and mineralization rates. 1. INTRODUCTION Transfer of nutrients and energy from living biological components to the soil is closely related to litterfall and is the starting point for nutrient cycling. Litterfall constitutes a major portion of nutrient cycling between plants and soils, thus reflecting constraints on internal fluxes of C, N and P at ecosystem scale (Mc Groddy et al., 2004; Berg and Laskowski, 2006). Decomposition of litterfall which produces organic matter is an important factor for soil formation as well as nutrient cycling processes (Onyekwelu et al., 2006; Pandey et al., 2007). Decomposition is primarily influenced by the environmental conditions in which decay takes place, the chemical quality of leaf litter, and the nature and abundance of decomposing organisms present (Polyakova and Billor, 2007). Many studies have shown that there exist considerable variations in leaf litter decomposition rates among species (Koukoura et al., 2003). The process of litter decomposition plays a vital role in regulating ecosystem carbon storage and nutrient cycling (Wardle, 2002; Santiago, 2007). The nutrient dynamics of litter related to the decomposition rates directly determine the nutrient status of an ecosystem, thereby exerting crucial control …","author":[{"dropping-particle":"","family":"Abraham Mahari","given":"","non-dropping-particle":"","parse-names":false,"suffix":""}],"container-title":"Journal of Environment and Earth Science","id":"ITEM-1","issue":"15","issued":{"date-parts":[["2014"]]},"page":"1-8","title":"Leaf litter decomposition and nutrient release from Cordia africana Lam . and Croton macrostachyus Del . tree Species","type":"article-journal","volume":"4"},"uris":["http://www.mendeley.com/documents/?uuid=010f4077-fe29-4c03-9166-02e80da0732c"]}],"mendeley":{"formattedCitation":"(Abraham Mahari, 2014)","manualFormatting":"(Abraham Mahari, 2014","plainTextFormattedCitation":"(Abraham Mahari, 2014)","previouslyFormattedCitation":"(Abraham Mahari, 2014)"},"properties":{"noteIndex":0},"schema":"https://github.com/citation-style-language/schema/raw/master/csl-citation.json"}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(Abraham Mahari, 2014</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2022)","manualFormatting":"Nivethadevi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Nivethadevi et al., 2022)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There were highly significant (P &lt; 0.05) variations between the species in the mass loss from the leaves of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(Table 3. 2). According to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{"citationItems":[{"id":"ITEM-1","itemData":{"abstract":"The objective of this study was to investigate the nutrient content of abscised leaves of Cordia africana Lam. and Croton macrostachyus Del. tree species and the extent to which they decompose to release these nutrients. Abscised leaves were collected from trees of these species and were evaluated by litter-bag technique for a period of 3 months. Nutrient return from each selected species showed that leaf of C. macrostachyus had significantly higher (P &lt; 0.05) P but lower C compared with the leaf of C. africana. N concentration in the leaf of the study species did not show significant variation. Leaves of C. africana had significantly (P &lt; 0.05) higher concentration of lignin and significantly higher lignin:N and C:N than C. macrostachyus. C. macrostachyus showed more rapid mass loss and nutrient release than C. africana. 50% of the biomass applied was lost during the first 6-7 weeks in C. macrostachyus and 9-10 weeks in C. africana. The half lives of N and P were 6-7 and 8-9 weeks, respectively, in C. macrostachyus. In C. africana, however, the half-lives were 13-14 and about 19 weeks for N and P, respectively. Generally, leaves with higher initial lignin, lignin:N and C:N ratios had lower decomposition and mineralization rates. 1. INTRODUCTION Transfer of nutrients and energy from living biological components to the soil is closely related to litterfall and is the starting point for nutrient cycling. Litterfall constitutes a major portion of nutrient cycling between plants and soils, thus reflecting constraints on internal fluxes of C, N and P at ecosystem scale (Mc Groddy et al., 2004; Berg and Laskowski, 2006). Decomposition of litterfall which produces organic matter is an important factor for soil formation as well as nutrient cycling processes (Onyekwelu et al., 2006; Pandey et al., 2007). Decomposition is primarily influenced by the environmental conditions in which decay takes place, the chemical quality of leaf litter, and the nature and abundance of decomposing organisms present (Polyakova and Billor, 2007). Many studies have shown that there exist considerable variations in leaf litter decomposition rates among species (Koukoura et al., 2003). The process of litter decomposition plays a vital role in regulating ecosystem carbon storage and nutrient cycling (Wardle, 2002; Santiago, 2007). The nutrient dynamics of litter related to the decomposition rates directly determine the nutrient status of an ecosystem, thereby exerting crucial control …","author":[{"dropping-particle":"","family":"Abraham Mahari","given":"","non-dropping-particle":"","parse-names":false,"suffix":""}],"container-title":"Journal of Environment and Earth Science","id":"ITEM-1","issue":"15","issued":{"date-parts":[["2014"]]},"page":"1-8","title":"Leaf litter decomposition and nutrient release from Cordia africana Lam . and Croton macrostachyus Del . tree Species","type":"article-journal","volume":"4"},"uris":["http://www.mendeley.com/documents/?uuid=010f4077-fe29-4c03-9166-02e80da0732c"]}],"mendeley":{"formattedCitation":"(Abraham Mahari, 2014)","manualFormatting":"Abraham Mahari, (2014)","plainTextFormattedCitation":"(Abraham Mahari, 2014)","previouslyFormattedCitation":"(Abraham Mahari, 2014)"},"properties":{"noteIndex":0},"schema":"https://github.com/citation-style-language/schema/raw/master/csl-citation.json"}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sz w:val="24"/>
          <w:szCs w:val="24"/>
        </w:rPr>
        <w:t>Abraham Mahari, (2014</w:t>
      </w:r>
      <w:r w:rsidRPr="00237DFA">
        <w:rPr>
          <w:rFonts w:ascii="Times New Roman" w:eastAsia="Calibri" w:hAnsi="Times New Roman" w:cs="Times New Roman"/>
          <w:noProof/>
          <w:color w:val="000000"/>
          <w:sz w:val="24"/>
          <w:szCs w:val="24"/>
        </w:rPr>
        <w:t>)</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 mass loss in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was greater than that of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Decomposition processes in ecosystems presumably contribute to the enhancement of soil fertility and the sustainability of agricultural productivity. In leaf litter decomposition, there is a loss of carbon as the litter decomposes. The increase in CO</w:t>
      </w:r>
      <w:r w:rsidRPr="00237DFA">
        <w:rPr>
          <w:rFonts w:ascii="Times New Roman" w:eastAsia="Calibri" w:hAnsi="Times New Roman" w:cs="Times New Roman"/>
          <w:color w:val="000000"/>
          <w:sz w:val="24"/>
          <w:szCs w:val="24"/>
          <w:vertAlign w:val="subscript"/>
        </w:rPr>
        <w:t>2</w:t>
      </w:r>
      <w:r w:rsidRPr="00237DFA">
        <w:rPr>
          <w:rFonts w:ascii="Times New Roman" w:eastAsia="Calibri" w:hAnsi="Times New Roman" w:cs="Times New Roman"/>
          <w:color w:val="000000"/>
          <w:sz w:val="24"/>
          <w:szCs w:val="24"/>
        </w:rPr>
        <w:t xml:space="preserve"> resulted from the activity of soil microorganisms and fauna. CO</w:t>
      </w:r>
      <w:r w:rsidRPr="00237DFA">
        <w:rPr>
          <w:rFonts w:ascii="Times New Roman" w:eastAsia="Calibri" w:hAnsi="Times New Roman" w:cs="Times New Roman"/>
          <w:color w:val="000000"/>
          <w:sz w:val="24"/>
          <w:szCs w:val="24"/>
          <w:vertAlign w:val="subscript"/>
        </w:rPr>
        <w:t>2</w:t>
      </w:r>
      <w:r w:rsidRPr="00237DFA">
        <w:rPr>
          <w:rFonts w:ascii="Times New Roman" w:eastAsia="Calibri" w:hAnsi="Times New Roman" w:cs="Times New Roman"/>
          <w:color w:val="000000"/>
          <w:sz w:val="24"/>
          <w:szCs w:val="24"/>
        </w:rPr>
        <w:t xml:space="preserve">, produced by the decomposition of organic matter, is affected by temperature changes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(Darmawan et al., 2021)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According to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2012)","manualFormatting":"Ambachew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Ambachew Demessie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 decomposition rate of conifer species such as </w:t>
      </w:r>
      <w:r w:rsidRPr="00237DFA">
        <w:rPr>
          <w:rFonts w:ascii="Times New Roman" w:eastAsia="Calibri" w:hAnsi="Times New Roman" w:cs="Times New Roman"/>
          <w:i/>
          <w:color w:val="000000"/>
          <w:sz w:val="24"/>
          <w:szCs w:val="24"/>
        </w:rPr>
        <w:t>Pinus patula</w:t>
      </w:r>
      <w:r w:rsidRPr="00237DFA">
        <w:rPr>
          <w:rFonts w:ascii="Times New Roman" w:eastAsia="Calibri" w:hAnsi="Times New Roman" w:cs="Times New Roman"/>
          <w:color w:val="000000"/>
          <w:sz w:val="24"/>
          <w:szCs w:val="24"/>
        </w:rPr>
        <w:t xml:space="preserve"> exhibited a relatively lower value compared to that of broadleaved ones. Conversely, the production of litter under broad-leaved </w:t>
      </w:r>
      <w:r w:rsidRPr="00237DFA">
        <w:rPr>
          <w:rFonts w:ascii="Times New Roman" w:eastAsia="Calibri" w:hAnsi="Times New Roman" w:cs="Times New Roman"/>
          <w:i/>
          <w:color w:val="000000"/>
          <w:sz w:val="24"/>
          <w:szCs w:val="24"/>
        </w:rPr>
        <w:t>Eucalyptus</w:t>
      </w:r>
      <w:r w:rsidRPr="00237DFA">
        <w:rPr>
          <w:rFonts w:ascii="Times New Roman" w:eastAsia="Calibri" w:hAnsi="Times New Roman" w:cs="Times New Roman"/>
          <w:color w:val="000000"/>
          <w:sz w:val="24"/>
          <w:szCs w:val="24"/>
        </w:rPr>
        <w:t xml:space="preserve"> was notably higher in comparison to coniferous species. In general, the process of litter decomposition was observed to be rapid across all species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(Ambachew Demessie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w:t>
      </w:r>
    </w:p>
    <w:p w:rsidR="00237DFA" w:rsidRPr="00237DFA" w:rsidRDefault="00237DFA" w:rsidP="00237DFA">
      <w:pPr>
        <w:pStyle w:val="Heading1"/>
        <w:spacing w:after="240" w:line="360" w:lineRule="auto"/>
        <w:jc w:val="center"/>
        <w:rPr>
          <w:rFonts w:ascii="Times New Roman" w:eastAsia="Times New Roman" w:hAnsi="Times New Roman" w:cs="Times New Roman"/>
          <w:color w:val="auto"/>
        </w:rPr>
      </w:pPr>
      <w:bookmarkStart w:id="10" w:name="_Toc171282919"/>
      <w:r w:rsidRPr="00237DFA">
        <w:rPr>
          <w:rFonts w:ascii="Times New Roman" w:eastAsia="Times New Roman" w:hAnsi="Times New Roman" w:cs="Times New Roman"/>
          <w:color w:val="auto"/>
        </w:rPr>
        <w:t>CONCLUSION</w:t>
      </w:r>
      <w:bookmarkEnd w:id="10"/>
    </w:p>
    <w:p w:rsidR="00237DFA" w:rsidRPr="00237DFA" w:rsidRDefault="00237DFA" w:rsidP="00237DFA">
      <w:pPr>
        <w:spacing w:line="360" w:lineRule="auto"/>
        <w:jc w:val="both"/>
        <w:rPr>
          <w:rFonts w:ascii="Times New Roman" w:eastAsia="MS Gothic" w:hAnsi="Times New Roman" w:cs="Times New Roman"/>
          <w:b/>
          <w:bCs/>
          <w:sz w:val="24"/>
          <w:szCs w:val="24"/>
        </w:rPr>
      </w:pPr>
      <w:r w:rsidRPr="00237DFA">
        <w:rPr>
          <w:rFonts w:ascii="Times New Roman" w:eastAsia="Calibri" w:hAnsi="Times New Roman" w:cs="Times New Roman"/>
          <w:color w:val="000000"/>
          <w:sz w:val="24"/>
          <w:szCs w:val="24"/>
        </w:rPr>
        <w:t xml:space="preserve">The study showed that the amount of litterfall and rate of decomposition were varies significantly between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w:t>
      </w:r>
      <w:r w:rsidRPr="00237DFA">
        <w:rPr>
          <w:rFonts w:ascii="Times New Roman" w:eastAsia="Calibri" w:hAnsi="Times New Roman" w:cs="Times New Roman"/>
          <w:sz w:val="24"/>
          <w:szCs w:val="24"/>
        </w:rPr>
        <w:t xml:space="preserve"> The total amount of litterfall was greater for </w:t>
      </w:r>
      <w:r w:rsidRPr="00237DFA">
        <w:rPr>
          <w:rFonts w:ascii="Times New Roman" w:eastAsia="Calibri" w:hAnsi="Times New Roman" w:cs="Times New Roman"/>
          <w:i/>
          <w:sz w:val="24"/>
          <w:szCs w:val="24"/>
        </w:rPr>
        <w:t>Croton macrostachyus</w:t>
      </w:r>
      <w:r w:rsidRPr="00237DFA">
        <w:rPr>
          <w:rFonts w:ascii="Times New Roman" w:eastAsia="Calibri" w:hAnsi="Times New Roman" w:cs="Times New Roman"/>
          <w:sz w:val="24"/>
          <w:szCs w:val="24"/>
        </w:rPr>
        <w:t xml:space="preserve"> than for </w:t>
      </w:r>
      <w:r w:rsidRPr="00237DFA">
        <w:rPr>
          <w:rFonts w:ascii="Times New Roman" w:eastAsia="Calibri" w:hAnsi="Times New Roman" w:cs="Times New Roman"/>
          <w:i/>
          <w:sz w:val="24"/>
          <w:szCs w:val="24"/>
        </w:rPr>
        <w:t xml:space="preserve">Cordia africana. </w:t>
      </w:r>
      <w:r w:rsidRPr="00237DFA">
        <w:rPr>
          <w:rFonts w:ascii="Times New Roman" w:eastAsia="Calibri" w:hAnsi="Times New Roman" w:cs="Times New Roman"/>
          <w:sz w:val="24"/>
          <w:szCs w:val="24"/>
        </w:rPr>
        <w:t>Besides</w:t>
      </w:r>
      <w:r w:rsidRPr="00237DFA">
        <w:rPr>
          <w:rFonts w:ascii="Times New Roman" w:eastAsia="Calibri" w:hAnsi="Times New Roman" w:cs="Times New Roman"/>
          <w:i/>
          <w:sz w:val="24"/>
          <w:szCs w:val="24"/>
        </w:rPr>
        <w:t xml:space="preserve">,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was found to have a more rapid decomposition rate of litterfall than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This is due to the addition of nutrients through litterfall, root turnover, and microbial activities. In addition to social and economic benefits,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based homegarden agroforestry contribute to improving soil fertility thereby enhancing productivity. Farmers maintained </w:t>
      </w:r>
      <w:r w:rsidRPr="00237DFA">
        <w:rPr>
          <w:rFonts w:ascii="Times New Roman" w:eastAsia="Calibri" w:hAnsi="Times New Roman" w:cs="Times New Roman"/>
          <w:i/>
          <w:color w:val="000000"/>
          <w:sz w:val="24"/>
          <w:szCs w:val="24"/>
        </w:rPr>
        <w:t xml:space="preserve">Cordia africana </w:t>
      </w:r>
      <w:r w:rsidRPr="00237DFA">
        <w:rPr>
          <w:rFonts w:ascii="Times New Roman" w:eastAsia="Calibri" w:hAnsi="Times New Roman" w:cs="Times New Roman"/>
          <w:color w:val="000000"/>
          <w:sz w:val="24"/>
          <w:szCs w:val="24"/>
        </w:rPr>
        <w:t>and</w:t>
      </w:r>
      <w:r w:rsidRPr="00237DFA">
        <w:rPr>
          <w:rFonts w:ascii="Times New Roman" w:eastAsia="Calibri" w:hAnsi="Times New Roman" w:cs="Times New Roman"/>
          <w:i/>
          <w:color w:val="000000"/>
          <w:sz w:val="24"/>
          <w:szCs w:val="24"/>
        </w:rPr>
        <w:t xml:space="preserve"> Croton macrostachyus </w:t>
      </w:r>
      <w:r w:rsidRPr="00237DFA">
        <w:rPr>
          <w:rFonts w:ascii="Times New Roman" w:eastAsia="Calibri" w:hAnsi="Times New Roman" w:cs="Times New Roman"/>
          <w:color w:val="000000"/>
          <w:sz w:val="24"/>
          <w:szCs w:val="24"/>
        </w:rPr>
        <w:t xml:space="preserve">as agroforestry trees because of their economic, ecologic, and social importance.  The recommendation are </w:t>
      </w:r>
      <w:r w:rsidRPr="00237DFA">
        <w:rPr>
          <w:rFonts w:ascii="Times New Roman" w:eastAsia="Calibri" w:hAnsi="Times New Roman" w:cs="Times New Roman"/>
          <w:i/>
          <w:color w:val="000000"/>
          <w:sz w:val="24"/>
          <w:szCs w:val="24"/>
        </w:rPr>
        <w:t>Croton macrostachyus</w:t>
      </w:r>
      <w:r w:rsidRPr="00237DFA">
        <w:rPr>
          <w:rFonts w:ascii="Times New Roman" w:eastAsia="Calibri" w:hAnsi="Times New Roman" w:cs="Times New Roman"/>
          <w:color w:val="000000"/>
          <w:sz w:val="24"/>
          <w:szCs w:val="24"/>
        </w:rPr>
        <w:t xml:space="preserve"> is a fast-decomposing litterfall that is useful for compost preparation to supplement soil fertilizers than </w:t>
      </w:r>
      <w:r w:rsidRPr="00237DFA">
        <w:rPr>
          <w:rFonts w:ascii="Times New Roman" w:eastAsia="Calibri" w:hAnsi="Times New Roman" w:cs="Times New Roman"/>
          <w:i/>
          <w:color w:val="000000"/>
          <w:sz w:val="24"/>
          <w:szCs w:val="24"/>
        </w:rPr>
        <w:t>Cordia africana</w:t>
      </w:r>
      <w:r w:rsidRPr="00237DFA">
        <w:rPr>
          <w:rFonts w:ascii="Times New Roman" w:eastAsia="Calibri" w:hAnsi="Times New Roman" w:cs="Times New Roman"/>
          <w:color w:val="000000"/>
          <w:sz w:val="24"/>
          <w:szCs w:val="24"/>
        </w:rPr>
        <w:t xml:space="preserve">, therefore good decomposition and soil nutrient content and further research are required on the nutrient release aspect of other indigenous species. </w:t>
      </w:r>
      <w:r w:rsidRPr="00237DFA">
        <w:rPr>
          <w:rFonts w:ascii="Times New Roman" w:eastAsia="Times New Roman" w:hAnsi="Times New Roman" w:cs="Times New Roman"/>
          <w:i/>
          <w:sz w:val="24"/>
          <w:szCs w:val="24"/>
        </w:rPr>
        <w:t>Cordia africana</w:t>
      </w:r>
      <w:r w:rsidRPr="00237DFA">
        <w:rPr>
          <w:rFonts w:ascii="Times New Roman" w:eastAsia="Times New Roman" w:hAnsi="Times New Roman" w:cs="Times New Roman"/>
          <w:sz w:val="24"/>
          <w:szCs w:val="24"/>
        </w:rPr>
        <w:t xml:space="preserve"> and </w:t>
      </w:r>
      <w:r w:rsidRPr="00237DFA">
        <w:rPr>
          <w:rFonts w:ascii="Times New Roman" w:eastAsia="Times New Roman" w:hAnsi="Times New Roman" w:cs="Times New Roman"/>
          <w:i/>
          <w:sz w:val="24"/>
          <w:szCs w:val="24"/>
        </w:rPr>
        <w:t>Croton macrostachyus</w:t>
      </w:r>
      <w:r w:rsidRPr="00237DFA">
        <w:rPr>
          <w:rFonts w:ascii="Times New Roman" w:eastAsia="Times New Roman" w:hAnsi="Times New Roman" w:cs="Times New Roman"/>
          <w:sz w:val="24"/>
          <w:szCs w:val="24"/>
        </w:rPr>
        <w:t xml:space="preserve"> are important agroforestry tree species that contribute to enhanced </w:t>
      </w:r>
      <w:r w:rsidRPr="00237DFA">
        <w:rPr>
          <w:rFonts w:ascii="Times New Roman" w:eastAsia="Times New Roman" w:hAnsi="Times New Roman" w:cs="Times New Roman"/>
          <w:sz w:val="24"/>
          <w:szCs w:val="24"/>
        </w:rPr>
        <w:lastRenderedPageBreak/>
        <w:t xml:space="preserve">decomposition rates and improved soil nutrient content and hence should be promoted for further development. </w:t>
      </w:r>
    </w:p>
    <w:p w:rsidR="00237DFA" w:rsidRPr="00237DFA" w:rsidRDefault="00237DFA" w:rsidP="00237DFA">
      <w:pPr>
        <w:pStyle w:val="Heading1"/>
        <w:spacing w:after="240" w:line="360" w:lineRule="auto"/>
        <w:jc w:val="center"/>
        <w:rPr>
          <w:rFonts w:ascii="Times New Roman" w:eastAsia="Times New Roman" w:hAnsi="Times New Roman" w:cs="Times New Roman"/>
          <w:color w:val="auto"/>
        </w:rPr>
      </w:pPr>
      <w:r w:rsidRPr="00237DFA">
        <w:rPr>
          <w:rFonts w:ascii="Times New Roman" w:eastAsia="Times New Roman" w:hAnsi="Times New Roman" w:cs="Times New Roman"/>
          <w:color w:val="auto"/>
        </w:rPr>
        <w:t>ACKNOWLEDGMENTS</w:t>
      </w:r>
    </w:p>
    <w:p w:rsidR="00237DFA" w:rsidRPr="00237DFA" w:rsidRDefault="00237DFA" w:rsidP="00237DFA">
      <w:pPr>
        <w:spacing w:after="0" w:line="360" w:lineRule="auto"/>
        <w:jc w:val="both"/>
        <w:rPr>
          <w:rFonts w:ascii="Times New Roman" w:eastAsia="Times New Roman" w:hAnsi="Times New Roman" w:cs="Times New Roman"/>
          <w:sz w:val="24"/>
          <w:szCs w:val="20"/>
        </w:rPr>
      </w:pPr>
      <w:r w:rsidRPr="00237DFA">
        <w:rPr>
          <w:rFonts w:ascii="Times New Roman" w:eastAsia="Times New Roman" w:hAnsi="Times New Roman" w:cs="Times New Roman"/>
          <w:sz w:val="24"/>
          <w:szCs w:val="20"/>
        </w:rPr>
        <w:t>Most of all, I thank Almighty God who guided, and supported me all my life and given me diligence, patience, and caution for the successful completion of this master thesis. I thank his Mother, the Blessed Virgin Mary, for lightening all my burdens and doubling all my strength throughout my life. Assosa University, has to be addressed my deepest thanks for granting me the opportunity this research supporting me financially, materially, and morally in my entire study. I would also like to express my profound gratitude to the College of Agriculture and Environmental Sciences at Bahir Dar University for their assistance with teaching and the provision of different services. I really would like to express my sincere thanks to the Department of Natural Resource Management staff for their kind attention throughout my studies. Moreover, I would like to express my sincere gratitude to Abebe Melese and Mamaru Shitaw for their invaluable assistance during the data collection period in the field and subsequent analysis in the BDU for CAES of the soil and plant laboratory</w:t>
      </w:r>
    </w:p>
    <w:p w:rsidR="00237DFA" w:rsidRPr="00237DFA" w:rsidRDefault="00237DFA" w:rsidP="00237DFA">
      <w:pPr>
        <w:pStyle w:val="Heading1"/>
        <w:spacing w:after="240" w:line="360" w:lineRule="auto"/>
        <w:jc w:val="center"/>
        <w:rPr>
          <w:rFonts w:ascii="Times New Roman" w:eastAsia="Times New Roman" w:hAnsi="Times New Roman" w:cs="Times New Roman"/>
          <w:sz w:val="24"/>
          <w:szCs w:val="24"/>
        </w:rPr>
      </w:pPr>
      <w:bookmarkStart w:id="11" w:name="_Toc171282921"/>
      <w:r w:rsidRPr="00237DFA">
        <w:rPr>
          <w:rFonts w:ascii="Times New Roman" w:eastAsia="Times New Roman" w:hAnsi="Times New Roman" w:cs="Times New Roman"/>
          <w:color w:val="auto"/>
        </w:rPr>
        <w:t>REFERENCE</w:t>
      </w:r>
      <w:bookmarkEnd w:id="11"/>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 xml:space="preserve">ADDIN Mendeley Bibliography CSL_BIBLIOGRAPHY </w:instrText>
      </w:r>
      <w:r w:rsidRPr="00237DFA">
        <w:rPr>
          <w:rFonts w:ascii="Times New Roman" w:eastAsia="Calibri" w:hAnsi="Times New Roman" w:cs="Times New Roman"/>
          <w:sz w:val="24"/>
          <w:szCs w:val="24"/>
        </w:rPr>
        <w:fldChar w:fldCharType="separate"/>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Abraham Mahari. (2014). Leaf litter decomposition and nutrient release from Cordia africana Lam . and Croton macrostachyus Del . tree Species. </w:t>
      </w:r>
      <w:r w:rsidRPr="00237DFA">
        <w:rPr>
          <w:rFonts w:ascii="Times New Roman" w:eastAsia="Calibri" w:hAnsi="Times New Roman" w:cs="Times New Roman"/>
          <w:i/>
          <w:iCs/>
          <w:noProof/>
          <w:sz w:val="24"/>
          <w:szCs w:val="24"/>
        </w:rPr>
        <w:t>Journal of Environment and Earth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4</w:t>
      </w:r>
      <w:r w:rsidRPr="00237DFA">
        <w:rPr>
          <w:rFonts w:ascii="Times New Roman" w:eastAsia="Calibri" w:hAnsi="Times New Roman" w:cs="Times New Roman"/>
          <w:noProof/>
          <w:sz w:val="24"/>
          <w:szCs w:val="24"/>
        </w:rPr>
        <w:t>(15), 1–8.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Ambachew Demessie, Singh, B. R., Lal, R., &amp; Strand, L. T. (2012). Leaf litterfall and litter decomposition under Eucalyptus and coniferous plantations in Gambo District, southern Ethiopia. </w:t>
      </w:r>
      <w:r w:rsidRPr="00237DFA">
        <w:rPr>
          <w:rFonts w:ascii="Times New Roman" w:eastAsia="Calibri" w:hAnsi="Times New Roman" w:cs="Times New Roman"/>
          <w:i/>
          <w:iCs/>
          <w:noProof/>
          <w:sz w:val="24"/>
          <w:szCs w:val="24"/>
        </w:rPr>
        <w:t>Acta Agriculturae Scandinavica Section B: Soil and Plant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62</w:t>
      </w:r>
      <w:r w:rsidRPr="00237DFA">
        <w:rPr>
          <w:rFonts w:ascii="Times New Roman" w:eastAsia="Calibri" w:hAnsi="Times New Roman" w:cs="Times New Roman"/>
          <w:noProof/>
          <w:sz w:val="24"/>
          <w:szCs w:val="24"/>
        </w:rPr>
        <w:t>(5), 467–476. https://doi.org/10.1080/09064710.2011.645497</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Chave, J., Navarrete, D., Almeida, S., Álvarez, E., Aragão, L. E. O. C., Bonal, D., Châtelet, P., Silva-Espejo, J. E., Goret, J. Y., Von Hildebrand, P., Jiménez, E., Patiño, S., Peñuela, M. C., Phillips, O. L., Stevenson, P., &amp; Malhi, Y. (2010). Regional and seasonal patterns of litterfall in tropical South America. </w:t>
      </w:r>
      <w:r w:rsidRPr="00237DFA">
        <w:rPr>
          <w:rFonts w:ascii="Times New Roman" w:eastAsia="Calibri" w:hAnsi="Times New Roman" w:cs="Times New Roman"/>
          <w:i/>
          <w:iCs/>
          <w:noProof/>
          <w:sz w:val="24"/>
          <w:szCs w:val="24"/>
        </w:rPr>
        <w:t>Biogeosciences</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7</w:t>
      </w:r>
      <w:r w:rsidRPr="00237DFA">
        <w:rPr>
          <w:rFonts w:ascii="Times New Roman" w:eastAsia="Calibri" w:hAnsi="Times New Roman" w:cs="Times New Roman"/>
          <w:noProof/>
          <w:sz w:val="24"/>
          <w:szCs w:val="24"/>
        </w:rPr>
        <w:t>(1), 43–55. https://doi. org/10.5194/bg-7-43-2010</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Darmawan, A. A., Ariyanto, D. P., Basuki, T. M., &amp; Syamsiyah, J. (2021). Measuring of leaf litter decomposition rate and flux of carbon dioxide in various land cover in Gunung Bromo Education Forest, Karanganyar. </w:t>
      </w:r>
      <w:r w:rsidRPr="00237DFA">
        <w:rPr>
          <w:rFonts w:ascii="Times New Roman" w:eastAsia="Calibri" w:hAnsi="Times New Roman" w:cs="Times New Roman"/>
          <w:i/>
          <w:iCs/>
          <w:noProof/>
          <w:sz w:val="24"/>
          <w:szCs w:val="24"/>
        </w:rPr>
        <w:t>IOP Conference Series: Earth and Environmental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lastRenderedPageBreak/>
        <w:t>824</w:t>
      </w:r>
      <w:r w:rsidRPr="00237DFA">
        <w:rPr>
          <w:rFonts w:ascii="Times New Roman" w:eastAsia="Calibri" w:hAnsi="Times New Roman" w:cs="Times New Roman"/>
          <w:noProof/>
          <w:sz w:val="24"/>
          <w:szCs w:val="24"/>
        </w:rPr>
        <w:t>(1), 1–9. https://doi.org/10.1088/1755-1315/824/1/012055</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Getachew, K., Itanna, F., &amp; Mahari, A. (2015). Evaluation of locally available fertilizer tree/shrub species in Gozamin Woreda, North Central Ethiopia. </w:t>
      </w:r>
      <w:r w:rsidRPr="00237DFA">
        <w:rPr>
          <w:rFonts w:ascii="Times New Roman" w:eastAsia="Calibri" w:hAnsi="Times New Roman" w:cs="Times New Roman"/>
          <w:i/>
          <w:iCs/>
          <w:noProof/>
          <w:sz w:val="24"/>
          <w:szCs w:val="24"/>
        </w:rPr>
        <w:t>Agriculture and Environmental Management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4</w:t>
      </w:r>
      <w:r w:rsidRPr="00237DFA">
        <w:rPr>
          <w:rFonts w:ascii="Times New Roman" w:eastAsia="Calibri" w:hAnsi="Times New Roman" w:cs="Times New Roman"/>
          <w:noProof/>
          <w:sz w:val="24"/>
          <w:szCs w:val="24"/>
        </w:rPr>
        <w:t>(3), 164–168.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Hailie Shiferaw Wolle, Barberi, P., &amp; Carlesi, S. (2021). Effect Of Homegarden And Parkland Agroforestry Practices In Ethiopia On Selected Soil Properties. </w:t>
      </w:r>
      <w:r w:rsidRPr="00237DFA">
        <w:rPr>
          <w:rFonts w:ascii="Times New Roman" w:eastAsia="Calibri" w:hAnsi="Times New Roman" w:cs="Times New Roman"/>
          <w:i/>
          <w:iCs/>
          <w:noProof/>
          <w:sz w:val="24"/>
          <w:szCs w:val="24"/>
        </w:rPr>
        <w:t>African Journal of Food, Agriculture, Nutrition and Development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21</w:t>
      </w:r>
      <w:r w:rsidRPr="00237DFA">
        <w:rPr>
          <w:rFonts w:ascii="Times New Roman" w:eastAsia="Calibri" w:hAnsi="Times New Roman" w:cs="Times New Roman"/>
          <w:noProof/>
          <w:sz w:val="24"/>
          <w:szCs w:val="24"/>
        </w:rPr>
        <w:t>(5), 18115–18130. https://doi.org/ 10.18697/ajfand.100.19220</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Kahi, C. H., Ngugi, R. K., Mureithi, S. M., &amp; Ng’ethe, J. C. (2009). The Canopy Effects Of Prosopis Juliflora (Dc.) and Acacia Tortilis (Hayne) Trees On Herbaceous Plants Species And Soil Physico-Chemical Properties in Njemps Flats, Kenya [Efec to Del Dosel De Prosopis Juliflora (Dc.) Acacia Torticolis (Hayne) Sobre Lash. </w:t>
      </w:r>
      <w:r w:rsidRPr="00237DFA">
        <w:rPr>
          <w:rFonts w:ascii="Times New Roman" w:eastAsia="Calibri" w:hAnsi="Times New Roman" w:cs="Times New Roman"/>
          <w:i/>
          <w:iCs/>
          <w:noProof/>
          <w:sz w:val="24"/>
          <w:szCs w:val="24"/>
        </w:rPr>
        <w:t>Tropical and Subtropical Agroecosystems</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10</w:t>
      </w:r>
      <w:r w:rsidRPr="00237DFA">
        <w:rPr>
          <w:rFonts w:ascii="Times New Roman" w:eastAsia="Calibri" w:hAnsi="Times New Roman" w:cs="Times New Roman"/>
          <w:noProof/>
          <w:sz w:val="24"/>
          <w:szCs w:val="24"/>
        </w:rPr>
        <w:t>, 441–449.</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Leakey, R. R. B. (2017). Definition of Agroforestry Revisited. </w:t>
      </w:r>
      <w:r w:rsidRPr="00237DFA">
        <w:rPr>
          <w:rFonts w:ascii="Times New Roman" w:eastAsia="Calibri" w:hAnsi="Times New Roman" w:cs="Times New Roman"/>
          <w:i/>
          <w:iCs/>
          <w:noProof/>
          <w:sz w:val="24"/>
          <w:szCs w:val="24"/>
        </w:rPr>
        <w:t>Multifunctional Agriculture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February</w:t>
      </w:r>
      <w:r w:rsidRPr="00237DFA">
        <w:rPr>
          <w:rFonts w:ascii="Times New Roman" w:eastAsia="Calibri" w:hAnsi="Times New Roman" w:cs="Times New Roman"/>
          <w:noProof/>
          <w:sz w:val="24"/>
          <w:szCs w:val="24"/>
        </w:rPr>
        <w:t>, 5–6. https://doi.org/10.1016/b978-0-12-805356-0.00001-5</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Lisanework, N., &amp; Michelsen, A. (1994). Litterfall and nutrient release by decomposition in three plantations compared with a natural forest in the Ethiopian highland. </w:t>
      </w:r>
      <w:r w:rsidRPr="00237DFA">
        <w:rPr>
          <w:rFonts w:ascii="Times New Roman" w:eastAsia="Calibri" w:hAnsi="Times New Roman" w:cs="Times New Roman"/>
          <w:i/>
          <w:iCs/>
          <w:noProof/>
          <w:sz w:val="24"/>
          <w:szCs w:val="24"/>
        </w:rPr>
        <w:t>Forest Ecology and Management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65</w:t>
      </w:r>
      <w:r w:rsidRPr="00237DFA">
        <w:rPr>
          <w:rFonts w:ascii="Times New Roman" w:eastAsia="Calibri" w:hAnsi="Times New Roman" w:cs="Times New Roman"/>
          <w:noProof/>
          <w:sz w:val="24"/>
          <w:szCs w:val="24"/>
        </w:rPr>
        <w:t>(2–3), 149–164. https://doi.org/10.1016/0378-1127(94)9 0166-X</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Liu, C., Westman, C. J., Berg, B., Kutsch, W., Wang, G. Z., Man, R., &amp; Ilvesniemi, H. (2004). Variation in litterfall‐climate relationships between coniferous and broadleaf forests in Eurasia. </w:t>
      </w:r>
      <w:r w:rsidRPr="00237DFA">
        <w:rPr>
          <w:rFonts w:ascii="Times New Roman" w:eastAsia="Calibri" w:hAnsi="Times New Roman" w:cs="Times New Roman"/>
          <w:i/>
          <w:iCs/>
          <w:noProof/>
          <w:sz w:val="24"/>
          <w:szCs w:val="24"/>
        </w:rPr>
        <w:t>Global Ecology and Biogeography</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13</w:t>
      </w:r>
      <w:r w:rsidRPr="00237DFA">
        <w:rPr>
          <w:rFonts w:ascii="Times New Roman" w:eastAsia="Calibri" w:hAnsi="Times New Roman" w:cs="Times New Roman"/>
          <w:noProof/>
          <w:sz w:val="24"/>
          <w:szCs w:val="24"/>
        </w:rPr>
        <w:t>(2), 105–114.</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Nivethadevi, P., Swaminathan, C., Sangeetha, K., Kannan, P., &amp; Sivasankari, B. (2022). Evaluating Litter Decomposition Rate of Five Tropical Trees using Litter Bag Technique. </w:t>
      </w:r>
      <w:r w:rsidRPr="00237DFA">
        <w:rPr>
          <w:rFonts w:ascii="Times New Roman" w:eastAsia="Calibri" w:hAnsi="Times New Roman" w:cs="Times New Roman"/>
          <w:i/>
          <w:iCs/>
          <w:noProof/>
          <w:sz w:val="24"/>
          <w:szCs w:val="24"/>
        </w:rPr>
        <w:t>Ecology, Environment and Conservation</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28</w:t>
      </w:r>
      <w:r w:rsidRPr="00237DFA">
        <w:rPr>
          <w:rFonts w:ascii="Times New Roman" w:eastAsia="Calibri" w:hAnsi="Times New Roman" w:cs="Times New Roman"/>
          <w:noProof/>
          <w:sz w:val="24"/>
          <w:szCs w:val="24"/>
        </w:rPr>
        <w:t>, 191–197. https://doi.org/ 10.53550/eec.2022.v28i03s.028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Petit-aldana, J., Rahman, M. M., Parraguirre-lezama, C., Infante-cruz, A., &amp; Romero-arenas, O. (2019). Litter Decomposition Process in Coffee Agroforestry Systems. </w:t>
      </w:r>
      <w:r w:rsidRPr="00237DFA">
        <w:rPr>
          <w:rFonts w:ascii="Times New Roman" w:eastAsia="Calibri" w:hAnsi="Times New Roman" w:cs="Times New Roman"/>
          <w:i/>
          <w:iCs/>
          <w:noProof/>
          <w:sz w:val="24"/>
          <w:szCs w:val="24"/>
        </w:rPr>
        <w:t>Forest and Environmental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35</w:t>
      </w:r>
      <w:r w:rsidRPr="00237DFA">
        <w:rPr>
          <w:rFonts w:ascii="Times New Roman" w:eastAsia="Calibri" w:hAnsi="Times New Roman" w:cs="Times New Roman"/>
          <w:noProof/>
          <w:sz w:val="24"/>
          <w:szCs w:val="24"/>
        </w:rPr>
        <w:t>(2), 121–139. https://doi.org/https://doi.org/10.7747/ JFES.2019.35.2.121</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Staelens, J., Nachtergale, L., De Schrijver, A., Vanhellemont, M., Wuyts, K., &amp; Verheyen, K. (2011). Spatio-temporal litterfall dynamics in a 60-year-old mixed deciduous forest. </w:t>
      </w:r>
      <w:r w:rsidRPr="00237DFA">
        <w:rPr>
          <w:rFonts w:ascii="Times New Roman" w:eastAsia="Calibri" w:hAnsi="Times New Roman" w:cs="Times New Roman"/>
          <w:i/>
          <w:iCs/>
          <w:noProof/>
          <w:sz w:val="24"/>
          <w:szCs w:val="24"/>
        </w:rPr>
        <w:t>Annals of Forest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68</w:t>
      </w:r>
      <w:r w:rsidRPr="00237DFA">
        <w:rPr>
          <w:rFonts w:ascii="Times New Roman" w:eastAsia="Calibri" w:hAnsi="Times New Roman" w:cs="Times New Roman"/>
          <w:noProof/>
          <w:sz w:val="24"/>
          <w:szCs w:val="24"/>
        </w:rPr>
        <w:t>(1), 89–98. https://doi.org/10.1007/s13595-011-0010-5</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Talemos Seta, Demissew, S., &amp; Woldu, Z. (2018). Litterfall dynamics in Boter-Becho Forest: Moist evergreen montane forest of Southwestern Ethiopia. </w:t>
      </w:r>
      <w:r w:rsidRPr="00237DFA">
        <w:rPr>
          <w:rFonts w:ascii="Times New Roman" w:eastAsia="Calibri" w:hAnsi="Times New Roman" w:cs="Times New Roman"/>
          <w:i/>
          <w:iCs/>
          <w:noProof/>
          <w:sz w:val="24"/>
          <w:szCs w:val="24"/>
        </w:rPr>
        <w:t>Journal of Ecology and The Natural Environment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10</w:t>
      </w:r>
      <w:r w:rsidRPr="00237DFA">
        <w:rPr>
          <w:rFonts w:ascii="Times New Roman" w:eastAsia="Calibri" w:hAnsi="Times New Roman" w:cs="Times New Roman"/>
          <w:noProof/>
          <w:sz w:val="24"/>
          <w:szCs w:val="24"/>
        </w:rPr>
        <w:t>(1), 13–21. https://doi.org/10.5897/jene2017.0648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Tripathi, O. P., Pandey, H. N., &amp; Tripathi, R. S. (2009). Litter production, decomposition, and physico-chemical properties of soil in 3 developed agroforestry systems of Meghalaya, Northeast India. </w:t>
      </w:r>
      <w:r w:rsidRPr="00237DFA">
        <w:rPr>
          <w:rFonts w:ascii="Times New Roman" w:eastAsia="Calibri" w:hAnsi="Times New Roman" w:cs="Times New Roman"/>
          <w:i/>
          <w:iCs/>
          <w:noProof/>
          <w:sz w:val="24"/>
          <w:szCs w:val="24"/>
        </w:rPr>
        <w:t>African Journal of Plant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3</w:t>
      </w:r>
      <w:r w:rsidRPr="00237DFA">
        <w:rPr>
          <w:rFonts w:ascii="Times New Roman" w:eastAsia="Calibri" w:hAnsi="Times New Roman" w:cs="Times New Roman"/>
          <w:noProof/>
          <w:sz w:val="24"/>
          <w:szCs w:val="24"/>
        </w:rPr>
        <w:t xml:space="preserve">(8), 160–167. http:// </w:t>
      </w:r>
      <w:r w:rsidRPr="00237DFA">
        <w:rPr>
          <w:rFonts w:ascii="Times New Roman" w:eastAsia="Calibri" w:hAnsi="Times New Roman" w:cs="Times New Roman"/>
          <w:noProof/>
          <w:sz w:val="24"/>
          <w:szCs w:val="24"/>
        </w:rPr>
        <w:lastRenderedPageBreak/>
        <w:t>www.academicjournals.org/AJPS</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Vitoussek, P. M., &amp; Sanford, R. L. (1986). Nutrient cycling in moist tropical forest. </w:t>
      </w:r>
      <w:r w:rsidRPr="00237DFA">
        <w:rPr>
          <w:rFonts w:ascii="Times New Roman" w:eastAsia="Calibri" w:hAnsi="Times New Roman" w:cs="Times New Roman"/>
          <w:i/>
          <w:iCs/>
          <w:noProof/>
          <w:sz w:val="24"/>
          <w:szCs w:val="24"/>
        </w:rPr>
        <w:t xml:space="preserve">Annual Review of Ecology and </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Zenebe Argado, Ambachew Wele, T. A. (2024). Litter Production and Decomposition in Agro-ecosystems of Aleta Chuko District of Sidama Region, Ethiopia. </w:t>
      </w:r>
      <w:r w:rsidRPr="00237DFA">
        <w:rPr>
          <w:rFonts w:ascii="Times New Roman" w:eastAsia="Calibri" w:hAnsi="Times New Roman" w:cs="Times New Roman"/>
          <w:i/>
          <w:iCs/>
          <w:noProof/>
          <w:sz w:val="24"/>
          <w:szCs w:val="24"/>
        </w:rPr>
        <w:t>Research Square</w:t>
      </w:r>
      <w:r w:rsidRPr="00237DFA">
        <w:rPr>
          <w:rFonts w:ascii="Times New Roman" w:eastAsia="Calibri" w:hAnsi="Times New Roman" w:cs="Times New Roman"/>
          <w:noProof/>
          <w:sz w:val="24"/>
          <w:szCs w:val="24"/>
        </w:rPr>
        <w:t>, 1–15. https://doi.org/https://doi.org/10.21203/rs.3.rs-3715100/v1 License:</w:t>
      </w:r>
    </w:p>
    <w:p w:rsidR="00237DFA" w:rsidRPr="00237DFA" w:rsidRDefault="00237DFA" w:rsidP="00237DFA">
      <w:pPr>
        <w:rPr>
          <w:sz w:val="24"/>
          <w:szCs w:val="24"/>
        </w:rPr>
      </w:pPr>
      <w:r w:rsidRPr="00237DFA">
        <w:rPr>
          <w:rFonts w:ascii="Times New Roman" w:eastAsia="Calibri" w:hAnsi="Times New Roman" w:cs="Times New Roman"/>
          <w:noProof/>
          <w:sz w:val="24"/>
          <w:szCs w:val="24"/>
        </w:rPr>
        <w:t xml:space="preserve">Zhou, G., Guan, Æ. L., Wei, Æ. X., Zhang, Æ. D., &amp; Zhang, Æ. Q. (2007). Litterfall production along successional and altitudinal gradients of subtropical monsoon evergreen broadleaved forests in Guangdong, China. </w:t>
      </w:r>
      <w:r w:rsidRPr="00237DFA">
        <w:rPr>
          <w:rFonts w:ascii="Times New Roman" w:eastAsia="Calibri" w:hAnsi="Times New Roman" w:cs="Times New Roman"/>
          <w:i/>
          <w:iCs/>
          <w:noProof/>
          <w:sz w:val="24"/>
          <w:szCs w:val="24"/>
        </w:rPr>
        <w:t>Plant Ecol</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188</w:t>
      </w:r>
      <w:r w:rsidRPr="00237DFA">
        <w:rPr>
          <w:rFonts w:ascii="Times New Roman" w:eastAsia="Calibri" w:hAnsi="Times New Roman" w:cs="Times New Roman"/>
          <w:noProof/>
          <w:sz w:val="24"/>
          <w:szCs w:val="24"/>
        </w:rPr>
        <w:t>, 77–89. https://doi.org/10.1007/s11258-006-9149-9</w:t>
      </w:r>
      <w:r w:rsidRPr="00237DFA">
        <w:rPr>
          <w:rFonts w:ascii="Times New Roman" w:eastAsia="Calibri" w:hAnsi="Times New Roman" w:cs="Times New Roman"/>
          <w:sz w:val="24"/>
          <w:szCs w:val="24"/>
        </w:rPr>
        <w:fldChar w:fldCharType="end"/>
      </w:r>
    </w:p>
    <w:p w:rsidR="00237DFA" w:rsidRPr="00237DFA" w:rsidRDefault="00237DFA">
      <w:pPr>
        <w:rPr>
          <w:sz w:val="24"/>
          <w:szCs w:val="24"/>
        </w:rPr>
      </w:pPr>
    </w:p>
    <w:sectPr w:rsidR="00237DFA" w:rsidRPr="00237D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EC" w:rsidRDefault="004F4FEC" w:rsidP="00060D03">
      <w:pPr>
        <w:spacing w:after="0" w:line="240" w:lineRule="auto"/>
      </w:pPr>
      <w:r>
        <w:separator/>
      </w:r>
    </w:p>
  </w:endnote>
  <w:endnote w:type="continuationSeparator" w:id="0">
    <w:p w:rsidR="004F4FEC" w:rsidRDefault="004F4FEC" w:rsidP="0006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302946"/>
      <w:docPartObj>
        <w:docPartGallery w:val="Page Numbers (Bottom of Page)"/>
        <w:docPartUnique/>
      </w:docPartObj>
    </w:sdtPr>
    <w:sdtEndPr>
      <w:rPr>
        <w:noProof/>
      </w:rPr>
    </w:sdtEndPr>
    <w:sdtContent>
      <w:p w:rsidR="00060D03" w:rsidRDefault="00060D03">
        <w:pPr>
          <w:pStyle w:val="Footer"/>
          <w:jc w:val="center"/>
        </w:pPr>
        <w:r>
          <w:fldChar w:fldCharType="begin"/>
        </w:r>
        <w:r>
          <w:instrText xml:space="preserve"> PAGE   \* MERGEFORMAT </w:instrText>
        </w:r>
        <w:r>
          <w:fldChar w:fldCharType="separate"/>
        </w:r>
        <w:r w:rsidR="00F364F2">
          <w:rPr>
            <w:noProof/>
          </w:rPr>
          <w:t>1</w:t>
        </w:r>
        <w:r>
          <w:rPr>
            <w:noProof/>
          </w:rPr>
          <w:fldChar w:fldCharType="end"/>
        </w:r>
      </w:p>
    </w:sdtContent>
  </w:sdt>
  <w:p w:rsidR="00060D03" w:rsidRDefault="0006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EC" w:rsidRDefault="004F4FEC" w:rsidP="00060D03">
      <w:pPr>
        <w:spacing w:after="0" w:line="240" w:lineRule="auto"/>
      </w:pPr>
      <w:r>
        <w:separator/>
      </w:r>
    </w:p>
  </w:footnote>
  <w:footnote w:type="continuationSeparator" w:id="0">
    <w:p w:rsidR="004F4FEC" w:rsidRDefault="004F4FEC" w:rsidP="00060D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FA"/>
    <w:rsid w:val="00060D03"/>
    <w:rsid w:val="00193234"/>
    <w:rsid w:val="00237DFA"/>
    <w:rsid w:val="002654EA"/>
    <w:rsid w:val="002F0E72"/>
    <w:rsid w:val="004F4FEC"/>
    <w:rsid w:val="00977453"/>
    <w:rsid w:val="00F364F2"/>
    <w:rsid w:val="00F8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A"/>
    <w:rPr>
      <w:rFonts w:asciiTheme="majorHAnsi" w:eastAsiaTheme="majorEastAsia" w:hAnsiTheme="majorHAnsi" w:cstheme="majorBidi"/>
      <w:b/>
      <w:bCs/>
      <w:color w:val="365F91" w:themeColor="accent1" w:themeShade="BF"/>
      <w:sz w:val="28"/>
      <w:szCs w:val="28"/>
    </w:rPr>
  </w:style>
  <w:style w:type="table" w:customStyle="1" w:styleId="TableGrid6">
    <w:name w:val="Table Grid6"/>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7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FA"/>
    <w:rPr>
      <w:rFonts w:ascii="Tahoma" w:hAnsi="Tahoma" w:cs="Tahoma"/>
      <w:sz w:val="16"/>
      <w:szCs w:val="16"/>
    </w:rPr>
  </w:style>
  <w:style w:type="paragraph" w:styleId="Header">
    <w:name w:val="header"/>
    <w:basedOn w:val="Normal"/>
    <w:link w:val="HeaderChar"/>
    <w:uiPriority w:val="99"/>
    <w:unhideWhenUsed/>
    <w:rsid w:val="0006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03"/>
  </w:style>
  <w:style w:type="paragraph" w:styleId="Footer">
    <w:name w:val="footer"/>
    <w:basedOn w:val="Normal"/>
    <w:link w:val="FooterChar"/>
    <w:uiPriority w:val="99"/>
    <w:unhideWhenUsed/>
    <w:rsid w:val="0006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A"/>
    <w:rPr>
      <w:rFonts w:asciiTheme="majorHAnsi" w:eastAsiaTheme="majorEastAsia" w:hAnsiTheme="majorHAnsi" w:cstheme="majorBidi"/>
      <w:b/>
      <w:bCs/>
      <w:color w:val="365F91" w:themeColor="accent1" w:themeShade="BF"/>
      <w:sz w:val="28"/>
      <w:szCs w:val="28"/>
    </w:rPr>
  </w:style>
  <w:style w:type="table" w:customStyle="1" w:styleId="TableGrid6">
    <w:name w:val="Table Grid6"/>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7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FA"/>
    <w:rPr>
      <w:rFonts w:ascii="Tahoma" w:hAnsi="Tahoma" w:cs="Tahoma"/>
      <w:sz w:val="16"/>
      <w:szCs w:val="16"/>
    </w:rPr>
  </w:style>
  <w:style w:type="paragraph" w:styleId="Header">
    <w:name w:val="header"/>
    <w:basedOn w:val="Normal"/>
    <w:link w:val="HeaderChar"/>
    <w:uiPriority w:val="99"/>
    <w:unhideWhenUsed/>
    <w:rsid w:val="0006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03"/>
  </w:style>
  <w:style w:type="paragraph" w:styleId="Footer">
    <w:name w:val="footer"/>
    <w:basedOn w:val="Normal"/>
    <w:link w:val="FooterChar"/>
    <w:uiPriority w:val="99"/>
    <w:unhideWhenUsed/>
    <w:rsid w:val="0006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i="1">
                <a:latin typeface="Times New Roman" panose="02020603050405020304" pitchFamily="18" charset="0"/>
                <a:cs typeface="Times New Roman" panose="02020603050405020304" pitchFamily="18" charset="0"/>
              </a:rPr>
              <a:t>Croton macrostachyus</a:t>
            </a:r>
          </a:p>
        </c:rich>
      </c:tx>
      <c:layout>
        <c:manualLayout>
          <c:xMode val="edge"/>
          <c:yMode val="edge"/>
          <c:x val="0.22543044619422573"/>
          <c:y val="4.6296296296296294E-2"/>
        </c:manualLayout>
      </c:layout>
      <c:overlay val="1"/>
    </c:title>
    <c:autoTitleDeleted val="0"/>
    <c:plotArea>
      <c:layout/>
      <c:barChart>
        <c:barDir val="col"/>
        <c:grouping val="clustered"/>
        <c:varyColors val="0"/>
        <c:ser>
          <c:idx val="0"/>
          <c:order val="0"/>
          <c:tx>
            <c:strRef>
              <c:f>'[Chart in Microsoft Word]Sheet2'!$C$16</c:f>
              <c:strCache>
                <c:ptCount val="1"/>
                <c:pt idx="0">
                  <c:v>plot1</c:v>
                </c:pt>
              </c:strCache>
            </c:strRef>
          </c:tx>
          <c:invertIfNegative val="0"/>
          <c:dLbls>
            <c:delete val="1"/>
          </c:dLbls>
          <c:errBars>
            <c:errBarType val="both"/>
            <c:errValType val="percentage"/>
            <c:noEndCap val="0"/>
            <c:val val="5"/>
          </c:errBars>
          <c:cat>
            <c:strRef>
              <c:f>'[Chart in Microsoft Word]Sheet2'!$D$15,'[Chart in Microsoft Word]Sheet2'!$E$15,'[Chart in Microsoft Word]Sheet2'!$F$15,'[Chart in Microsoft Word]Sheet2'!$G$15,'[Chart in Microsoft Word]Sheet2'!$H$15</c:f>
              <c:strCache>
                <c:ptCount val="5"/>
                <c:pt idx="0">
                  <c:v>February</c:v>
                </c:pt>
                <c:pt idx="1">
                  <c:v>March</c:v>
                </c:pt>
                <c:pt idx="2">
                  <c:v>April</c:v>
                </c:pt>
                <c:pt idx="3">
                  <c:v>May </c:v>
                </c:pt>
                <c:pt idx="4">
                  <c:v>February - May</c:v>
                </c:pt>
              </c:strCache>
            </c:strRef>
          </c:cat>
          <c:val>
            <c:numRef>
              <c:f>'[Chart in Microsoft Word]Sheet2'!$D$16:$H$16</c:f>
              <c:numCache>
                <c:formatCode>General</c:formatCode>
                <c:ptCount val="5"/>
                <c:pt idx="0">
                  <c:v>0.41</c:v>
                </c:pt>
                <c:pt idx="1">
                  <c:v>0.62</c:v>
                </c:pt>
                <c:pt idx="2">
                  <c:v>0.62</c:v>
                </c:pt>
                <c:pt idx="3">
                  <c:v>0.11</c:v>
                </c:pt>
                <c:pt idx="4">
                  <c:v>1.76</c:v>
                </c:pt>
              </c:numCache>
            </c:numRef>
          </c:val>
        </c:ser>
        <c:ser>
          <c:idx val="1"/>
          <c:order val="1"/>
          <c:tx>
            <c:strRef>
              <c:f>'[Chart in Microsoft Word]Sheet2'!$C$17</c:f>
              <c:strCache>
                <c:ptCount val="1"/>
                <c:pt idx="0">
                  <c:v>plot2</c:v>
                </c:pt>
              </c:strCache>
            </c:strRef>
          </c:tx>
          <c:invertIfNegative val="0"/>
          <c:dLbls>
            <c:delete val="1"/>
          </c:dLbls>
          <c:errBars>
            <c:errBarType val="both"/>
            <c:errValType val="percentage"/>
            <c:noEndCap val="0"/>
            <c:val val="5"/>
          </c:errBars>
          <c:cat>
            <c:strRef>
              <c:f>'[Chart in Microsoft Word]Sheet2'!$D$15,'[Chart in Microsoft Word]Sheet2'!$E$15,'[Chart in Microsoft Word]Sheet2'!$F$15,'[Chart in Microsoft Word]Sheet2'!$G$15,'[Chart in Microsoft Word]Sheet2'!$H$15</c:f>
              <c:strCache>
                <c:ptCount val="5"/>
                <c:pt idx="0">
                  <c:v>February</c:v>
                </c:pt>
                <c:pt idx="1">
                  <c:v>March</c:v>
                </c:pt>
                <c:pt idx="2">
                  <c:v>April</c:v>
                </c:pt>
                <c:pt idx="3">
                  <c:v>May </c:v>
                </c:pt>
                <c:pt idx="4">
                  <c:v>February - May</c:v>
                </c:pt>
              </c:strCache>
            </c:strRef>
          </c:cat>
          <c:val>
            <c:numRef>
              <c:f>'[Chart in Microsoft Word]Sheet2'!$D$17,'[Chart in Microsoft Word]Sheet2'!$E$17,'[Chart in Microsoft Word]Sheet2'!$F$17,'[Chart in Microsoft Word]Sheet2'!$G$17,'[Chart in Microsoft Word]Sheet2'!$H$17</c:f>
              <c:numCache>
                <c:formatCode>General</c:formatCode>
                <c:ptCount val="5"/>
                <c:pt idx="0">
                  <c:v>0.21</c:v>
                </c:pt>
                <c:pt idx="1">
                  <c:v>0.39</c:v>
                </c:pt>
                <c:pt idx="2">
                  <c:v>1.07</c:v>
                </c:pt>
                <c:pt idx="3">
                  <c:v>0.16</c:v>
                </c:pt>
                <c:pt idx="4">
                  <c:v>1.8299999999999998</c:v>
                </c:pt>
              </c:numCache>
            </c:numRef>
          </c:val>
        </c:ser>
        <c:ser>
          <c:idx val="2"/>
          <c:order val="2"/>
          <c:tx>
            <c:strRef>
              <c:f>'[Chart in Microsoft Word]Sheet2'!$C$18</c:f>
              <c:strCache>
                <c:ptCount val="1"/>
                <c:pt idx="0">
                  <c:v>plot3</c:v>
                </c:pt>
              </c:strCache>
            </c:strRef>
          </c:tx>
          <c:invertIfNegative val="0"/>
          <c:dLbls>
            <c:delete val="1"/>
          </c:dLbls>
          <c:errBars>
            <c:errBarType val="both"/>
            <c:errValType val="percentage"/>
            <c:noEndCap val="0"/>
            <c:val val="5"/>
          </c:errBars>
          <c:cat>
            <c:strRef>
              <c:f>'[Chart in Microsoft Word]Sheet2'!$D$15,'[Chart in Microsoft Word]Sheet2'!$E$15,'[Chart in Microsoft Word]Sheet2'!$F$15,'[Chart in Microsoft Word]Sheet2'!$G$15,'[Chart in Microsoft Word]Sheet2'!$H$15</c:f>
              <c:strCache>
                <c:ptCount val="5"/>
                <c:pt idx="0">
                  <c:v>February</c:v>
                </c:pt>
                <c:pt idx="1">
                  <c:v>March</c:v>
                </c:pt>
                <c:pt idx="2">
                  <c:v>April</c:v>
                </c:pt>
                <c:pt idx="3">
                  <c:v>May </c:v>
                </c:pt>
                <c:pt idx="4">
                  <c:v>February - May</c:v>
                </c:pt>
              </c:strCache>
            </c:strRef>
          </c:cat>
          <c:val>
            <c:numRef>
              <c:f>'[Chart in Microsoft Word]Sheet2'!$D$18,'[Chart in Microsoft Word]Sheet2'!$E$18,'[Chart in Microsoft Word]Sheet2'!$F$18,'[Chart in Microsoft Word]Sheet2'!$G$18,'[Chart in Microsoft Word]Sheet2'!$H$18</c:f>
              <c:numCache>
                <c:formatCode>General</c:formatCode>
                <c:ptCount val="5"/>
                <c:pt idx="0">
                  <c:v>0.27</c:v>
                </c:pt>
                <c:pt idx="1">
                  <c:v>0.34</c:v>
                </c:pt>
                <c:pt idx="2">
                  <c:v>0.84</c:v>
                </c:pt>
                <c:pt idx="3">
                  <c:v>0.15</c:v>
                </c:pt>
                <c:pt idx="4">
                  <c:v>1.6</c:v>
                </c:pt>
              </c:numCache>
            </c:numRef>
          </c:val>
        </c:ser>
        <c:dLbls>
          <c:dLblPos val="outEnd"/>
          <c:showLegendKey val="0"/>
          <c:showVal val="1"/>
          <c:showCatName val="0"/>
          <c:showSerName val="0"/>
          <c:showPercent val="0"/>
          <c:showBubbleSize val="0"/>
        </c:dLbls>
        <c:gapWidth val="150"/>
        <c:axId val="237823488"/>
        <c:axId val="164042368"/>
      </c:barChart>
      <c:catAx>
        <c:axId val="237823488"/>
        <c:scaling>
          <c:orientation val="minMax"/>
        </c:scaling>
        <c:delete val="0"/>
        <c:axPos val="b"/>
        <c:title>
          <c:tx>
            <c:rich>
              <a:bodyPr/>
              <a:lstStyle/>
              <a:p>
                <a:pPr>
                  <a:defRPr/>
                </a:pPr>
                <a:r>
                  <a:rPr lang="en-US"/>
                  <a:t>Months </a:t>
                </a:r>
              </a:p>
            </c:rich>
          </c:tx>
          <c:overlay val="0"/>
        </c:title>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64042368"/>
        <c:crosses val="autoZero"/>
        <c:auto val="1"/>
        <c:lblAlgn val="ctr"/>
        <c:lblOffset val="100"/>
        <c:noMultiLvlLbl val="0"/>
      </c:catAx>
      <c:valAx>
        <c:axId val="164042368"/>
        <c:scaling>
          <c:orientation val="minMax"/>
        </c:scaling>
        <c:delete val="0"/>
        <c:axPos val="l"/>
        <c:title>
          <c:tx>
            <c:rich>
              <a:bodyPr rot="-540000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The amount of litterfall (t/ha)</a:t>
                </a:r>
              </a:p>
            </c:rich>
          </c:tx>
          <c:layout>
            <c:manualLayout>
              <c:xMode val="edge"/>
              <c:yMode val="edge"/>
              <c:x val="3.0555555555555555E-2"/>
              <c:y val="0.12084499854184894"/>
            </c:manualLayout>
          </c:layout>
          <c:overlay val="0"/>
        </c:title>
        <c:numFmt formatCode="General" sourceLinked="1"/>
        <c:majorTickMark val="out"/>
        <c:minorTickMark val="none"/>
        <c:tickLblPos val="nextTo"/>
        <c:crossAx val="237823488"/>
        <c:crosses val="autoZero"/>
        <c:crossBetween val="between"/>
        <c:majorUnit val="0.5"/>
      </c:valAx>
    </c:plotArea>
    <c:legend>
      <c:legendPos val="r"/>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00" i="1">
                <a:latin typeface="Times New Roman" panose="02020603050405020304" pitchFamily="18" charset="0"/>
                <a:cs typeface="Times New Roman" panose="02020603050405020304" pitchFamily="18" charset="0"/>
              </a:defRPr>
            </a:pPr>
            <a:r>
              <a:rPr lang="en-US" sz="1000" i="1">
                <a:latin typeface="Times New Roman" panose="02020603050405020304" pitchFamily="18" charset="0"/>
                <a:cs typeface="Times New Roman" panose="02020603050405020304" pitchFamily="18" charset="0"/>
              </a:rPr>
              <a:t>Cordia africana</a:t>
            </a:r>
          </a:p>
        </c:rich>
      </c:tx>
      <c:layout>
        <c:manualLayout>
          <c:xMode val="edge"/>
          <c:yMode val="edge"/>
          <c:x val="0.32081255468066494"/>
          <c:y val="6.9444444444444448E-2"/>
        </c:manualLayout>
      </c:layout>
      <c:overlay val="1"/>
    </c:title>
    <c:autoTitleDeleted val="0"/>
    <c:plotArea>
      <c:layout/>
      <c:barChart>
        <c:barDir val="col"/>
        <c:grouping val="clustered"/>
        <c:varyColors val="0"/>
        <c:ser>
          <c:idx val="0"/>
          <c:order val="0"/>
          <c:tx>
            <c:strRef>
              <c:f>Sheet2!$C$34</c:f>
              <c:strCache>
                <c:ptCount val="1"/>
                <c:pt idx="0">
                  <c:v>plot1</c:v>
                </c:pt>
              </c:strCache>
            </c:strRef>
          </c:tx>
          <c:invertIfNegative val="0"/>
          <c:dLbls>
            <c:delete val="1"/>
          </c:dLbls>
          <c:errBars>
            <c:errBarType val="both"/>
            <c:errValType val="percentage"/>
            <c:noEndCap val="0"/>
            <c:val val="5"/>
          </c:errBars>
          <c:cat>
            <c:strRef>
              <c:f>(Sheet2!$D$33,Sheet2!$E$33,Sheet2!$F$33,Sheet2!$G$33,Sheet2!$H$33)</c:f>
              <c:strCache>
                <c:ptCount val="5"/>
                <c:pt idx="0">
                  <c:v>February</c:v>
                </c:pt>
                <c:pt idx="1">
                  <c:v>March</c:v>
                </c:pt>
                <c:pt idx="2">
                  <c:v>April</c:v>
                </c:pt>
                <c:pt idx="3">
                  <c:v>May </c:v>
                </c:pt>
                <c:pt idx="4">
                  <c:v>February - May</c:v>
                </c:pt>
              </c:strCache>
            </c:strRef>
          </c:cat>
          <c:val>
            <c:numRef>
              <c:f>(Sheet2!$D$34,Sheet2!$E$34,Sheet2!$F$34,Sheet2!$G$34,Sheet2!$H$34)</c:f>
              <c:numCache>
                <c:formatCode>General</c:formatCode>
                <c:ptCount val="5"/>
                <c:pt idx="0">
                  <c:v>0.48</c:v>
                </c:pt>
                <c:pt idx="1">
                  <c:v>0.77</c:v>
                </c:pt>
                <c:pt idx="2">
                  <c:v>0.81</c:v>
                </c:pt>
                <c:pt idx="3">
                  <c:v>0.15</c:v>
                </c:pt>
                <c:pt idx="4">
                  <c:v>2.21</c:v>
                </c:pt>
              </c:numCache>
            </c:numRef>
          </c:val>
        </c:ser>
        <c:ser>
          <c:idx val="1"/>
          <c:order val="1"/>
          <c:tx>
            <c:strRef>
              <c:f>Sheet2!$C$35</c:f>
              <c:strCache>
                <c:ptCount val="1"/>
                <c:pt idx="0">
                  <c:v>plot2</c:v>
                </c:pt>
              </c:strCache>
            </c:strRef>
          </c:tx>
          <c:invertIfNegative val="0"/>
          <c:dLbls>
            <c:delete val="1"/>
          </c:dLbls>
          <c:errBars>
            <c:errBarType val="both"/>
            <c:errValType val="percentage"/>
            <c:noEndCap val="0"/>
            <c:val val="5"/>
          </c:errBars>
          <c:cat>
            <c:strRef>
              <c:f>(Sheet2!$D$33,Sheet2!$E$33,Sheet2!$F$33,Sheet2!$G$33,Sheet2!$H$33)</c:f>
              <c:strCache>
                <c:ptCount val="5"/>
                <c:pt idx="0">
                  <c:v>February</c:v>
                </c:pt>
                <c:pt idx="1">
                  <c:v>March</c:v>
                </c:pt>
                <c:pt idx="2">
                  <c:v>April</c:v>
                </c:pt>
                <c:pt idx="3">
                  <c:v>May </c:v>
                </c:pt>
                <c:pt idx="4">
                  <c:v>February - May</c:v>
                </c:pt>
              </c:strCache>
            </c:strRef>
          </c:cat>
          <c:val>
            <c:numRef>
              <c:f>(Sheet2!$D$35,Sheet2!$E$35,Sheet2!$F$35,Sheet2!$G$35,Sheet2!$H$35)</c:f>
              <c:numCache>
                <c:formatCode>General</c:formatCode>
                <c:ptCount val="5"/>
                <c:pt idx="0">
                  <c:v>0.26</c:v>
                </c:pt>
                <c:pt idx="1">
                  <c:v>0.62</c:v>
                </c:pt>
                <c:pt idx="2">
                  <c:v>1.1000000000000001</c:v>
                </c:pt>
                <c:pt idx="3">
                  <c:v>0.24</c:v>
                </c:pt>
                <c:pt idx="4">
                  <c:v>2.2199999999999998</c:v>
                </c:pt>
              </c:numCache>
            </c:numRef>
          </c:val>
        </c:ser>
        <c:ser>
          <c:idx val="2"/>
          <c:order val="2"/>
          <c:tx>
            <c:strRef>
              <c:f>Sheet2!$C$36</c:f>
              <c:strCache>
                <c:ptCount val="1"/>
                <c:pt idx="0">
                  <c:v>plot3</c:v>
                </c:pt>
              </c:strCache>
            </c:strRef>
          </c:tx>
          <c:invertIfNegative val="0"/>
          <c:dLbls>
            <c:delete val="1"/>
          </c:dLbls>
          <c:errBars>
            <c:errBarType val="both"/>
            <c:errValType val="percentage"/>
            <c:noEndCap val="0"/>
            <c:val val="5"/>
          </c:errBars>
          <c:cat>
            <c:strRef>
              <c:f>(Sheet2!$D$33,Sheet2!$E$33,Sheet2!$F$33,Sheet2!$G$33,Sheet2!$H$33)</c:f>
              <c:strCache>
                <c:ptCount val="5"/>
                <c:pt idx="0">
                  <c:v>February</c:v>
                </c:pt>
                <c:pt idx="1">
                  <c:v>March</c:v>
                </c:pt>
                <c:pt idx="2">
                  <c:v>April</c:v>
                </c:pt>
                <c:pt idx="3">
                  <c:v>May </c:v>
                </c:pt>
                <c:pt idx="4">
                  <c:v>February - May</c:v>
                </c:pt>
              </c:strCache>
            </c:strRef>
          </c:cat>
          <c:val>
            <c:numRef>
              <c:f>(Sheet2!$D$36,Sheet2!$E$36,Sheet2!$F$36,Sheet2!$G$36,Sheet2!$H$36)</c:f>
              <c:numCache>
                <c:formatCode>General</c:formatCode>
                <c:ptCount val="5"/>
                <c:pt idx="0">
                  <c:v>0.23</c:v>
                </c:pt>
                <c:pt idx="1">
                  <c:v>0.45</c:v>
                </c:pt>
                <c:pt idx="2">
                  <c:v>0.68</c:v>
                </c:pt>
                <c:pt idx="3">
                  <c:v>0.1</c:v>
                </c:pt>
                <c:pt idx="4">
                  <c:v>1.4600000000000002</c:v>
                </c:pt>
              </c:numCache>
            </c:numRef>
          </c:val>
        </c:ser>
        <c:dLbls>
          <c:dLblPos val="outEnd"/>
          <c:showLegendKey val="0"/>
          <c:showVal val="1"/>
          <c:showCatName val="0"/>
          <c:showSerName val="0"/>
          <c:showPercent val="0"/>
          <c:showBubbleSize val="0"/>
        </c:dLbls>
        <c:gapWidth val="150"/>
        <c:axId val="191791104"/>
        <c:axId val="164044096"/>
      </c:barChart>
      <c:catAx>
        <c:axId val="191791104"/>
        <c:scaling>
          <c:orientation val="minMax"/>
        </c:scaling>
        <c:delete val="0"/>
        <c:axPos val="b"/>
        <c:title>
          <c:tx>
            <c:rich>
              <a:bodyPr/>
              <a:lstStyle/>
              <a:p>
                <a:pPr>
                  <a:defRPr/>
                </a:pPr>
                <a:r>
                  <a:rPr lang="en-US"/>
                  <a:t>Months </a:t>
                </a:r>
              </a:p>
            </c:rich>
          </c:tx>
          <c:overlay val="0"/>
        </c:title>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64044096"/>
        <c:crosses val="autoZero"/>
        <c:auto val="1"/>
        <c:lblAlgn val="ctr"/>
        <c:lblOffset val="100"/>
        <c:noMultiLvlLbl val="0"/>
      </c:catAx>
      <c:valAx>
        <c:axId val="164044096"/>
        <c:scaling>
          <c:orientation val="minMax"/>
        </c:scaling>
        <c:delete val="0"/>
        <c:axPos val="l"/>
        <c:title>
          <c:tx>
            <c:rich>
              <a:bodyPr rot="-540000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The amount of litterfall (t/ha)</a:t>
                </a:r>
              </a:p>
            </c:rich>
          </c:tx>
          <c:overlay val="0"/>
        </c:title>
        <c:numFmt formatCode="General" sourceLinked="1"/>
        <c:majorTickMark val="out"/>
        <c:minorTickMark val="none"/>
        <c:tickLblPos val="nextTo"/>
        <c:crossAx val="191791104"/>
        <c:crosses val="autoZero"/>
        <c:crossBetween val="between"/>
      </c:valAx>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000" b="1" i="0" baseline="0">
                <a:effectLst/>
                <a:latin typeface="Times New Roman" panose="02020603050405020304" pitchFamily="18" charset="0"/>
                <a:cs typeface="Times New Roman" panose="02020603050405020304" pitchFamily="18" charset="0"/>
              </a:rPr>
              <a:t>Both species comparsion </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23634711286089233"/>
          <c:y val="2.7777777777777776E-2"/>
        </c:manualLayout>
      </c:layout>
      <c:overlay val="1"/>
    </c:title>
    <c:autoTitleDeleted val="0"/>
    <c:plotArea>
      <c:layout>
        <c:manualLayout>
          <c:layoutTarget val="inner"/>
          <c:xMode val="edge"/>
          <c:yMode val="edge"/>
          <c:x val="0.11580152671755725"/>
          <c:y val="5.3912219305920092E-2"/>
          <c:w val="0.56279818076175592"/>
          <c:h val="0.53328120443277915"/>
        </c:manualLayout>
      </c:layout>
      <c:lineChart>
        <c:grouping val="standard"/>
        <c:varyColors val="0"/>
        <c:ser>
          <c:idx val="0"/>
          <c:order val="0"/>
          <c:tx>
            <c:strRef>
              <c:f>Sheet2!$B$49</c:f>
              <c:strCache>
                <c:ptCount val="1"/>
                <c:pt idx="0">
                  <c:v>C. macrostachyus</c:v>
                </c:pt>
              </c:strCache>
            </c:strRef>
          </c:tx>
          <c:errBars>
            <c:errDir val="y"/>
            <c:errBarType val="both"/>
            <c:errValType val="percentage"/>
            <c:noEndCap val="0"/>
            <c:val val="5"/>
          </c:errBars>
          <c:cat>
            <c:strRef>
              <c:f>Sheet2!$C$48:$G$48</c:f>
              <c:strCache>
                <c:ptCount val="5"/>
                <c:pt idx="0">
                  <c:v>February</c:v>
                </c:pt>
                <c:pt idx="1">
                  <c:v>March</c:v>
                </c:pt>
                <c:pt idx="2">
                  <c:v>April</c:v>
                </c:pt>
                <c:pt idx="3">
                  <c:v>May </c:v>
                </c:pt>
                <c:pt idx="4">
                  <c:v>February - May</c:v>
                </c:pt>
              </c:strCache>
            </c:strRef>
          </c:cat>
          <c:val>
            <c:numRef>
              <c:f>(Sheet2!$C$49,Sheet2!$D$49,Sheet2!$E$49,Sheet2!$F$49,Sheet2!$G$49)</c:f>
              <c:numCache>
                <c:formatCode>General</c:formatCode>
                <c:ptCount val="5"/>
                <c:pt idx="0">
                  <c:v>0.89</c:v>
                </c:pt>
                <c:pt idx="1">
                  <c:v>1.35</c:v>
                </c:pt>
                <c:pt idx="2">
                  <c:v>2.5299999999999998</c:v>
                </c:pt>
                <c:pt idx="3">
                  <c:v>0.42000000000000004</c:v>
                </c:pt>
                <c:pt idx="4">
                  <c:v>5.1899999999999995</c:v>
                </c:pt>
              </c:numCache>
            </c:numRef>
          </c:val>
          <c:smooth val="0"/>
        </c:ser>
        <c:ser>
          <c:idx val="1"/>
          <c:order val="1"/>
          <c:tx>
            <c:strRef>
              <c:f>Sheet2!$B$50</c:f>
              <c:strCache>
                <c:ptCount val="1"/>
                <c:pt idx="0">
                  <c:v>C. africana</c:v>
                </c:pt>
              </c:strCache>
            </c:strRef>
          </c:tx>
          <c:errBars>
            <c:errDir val="y"/>
            <c:errBarType val="both"/>
            <c:errValType val="percentage"/>
            <c:noEndCap val="0"/>
            <c:val val="5"/>
          </c:errBars>
          <c:cat>
            <c:strRef>
              <c:f>Sheet2!$C$48:$G$48</c:f>
              <c:strCache>
                <c:ptCount val="5"/>
                <c:pt idx="0">
                  <c:v>February</c:v>
                </c:pt>
                <c:pt idx="1">
                  <c:v>March</c:v>
                </c:pt>
                <c:pt idx="2">
                  <c:v>April</c:v>
                </c:pt>
                <c:pt idx="3">
                  <c:v>May </c:v>
                </c:pt>
                <c:pt idx="4">
                  <c:v>February - May</c:v>
                </c:pt>
              </c:strCache>
            </c:strRef>
          </c:cat>
          <c:val>
            <c:numRef>
              <c:f>(Sheet2!$C$50,Sheet2!$D$50,Sheet2!$E$50,Sheet2!$F$50,Sheet2!$G$50)</c:f>
              <c:numCache>
                <c:formatCode>General</c:formatCode>
                <c:ptCount val="5"/>
                <c:pt idx="0">
                  <c:v>0.97</c:v>
                </c:pt>
                <c:pt idx="1">
                  <c:v>1.84</c:v>
                </c:pt>
                <c:pt idx="2">
                  <c:v>2.5900000000000003</c:v>
                </c:pt>
                <c:pt idx="3">
                  <c:v>0.49</c:v>
                </c:pt>
                <c:pt idx="4">
                  <c:v>5.89</c:v>
                </c:pt>
              </c:numCache>
            </c:numRef>
          </c:val>
          <c:smooth val="0"/>
        </c:ser>
        <c:dLbls>
          <c:showLegendKey val="0"/>
          <c:showVal val="0"/>
          <c:showCatName val="0"/>
          <c:showSerName val="0"/>
          <c:showPercent val="0"/>
          <c:showBubbleSize val="0"/>
        </c:dLbls>
        <c:dropLines/>
        <c:marker val="1"/>
        <c:smooth val="0"/>
        <c:axId val="216153600"/>
        <c:axId val="164043520"/>
      </c:lineChart>
      <c:catAx>
        <c:axId val="216153600"/>
        <c:scaling>
          <c:orientation val="minMax"/>
        </c:scaling>
        <c:delete val="0"/>
        <c:axPos val="b"/>
        <c:title>
          <c:tx>
            <c:rich>
              <a:bodyPr/>
              <a:lstStyle/>
              <a:p>
                <a:pPr>
                  <a:defRPr sz="1000"/>
                </a:pPr>
                <a:r>
                  <a:rPr lang="en-US" sz="1000">
                    <a:latin typeface="Times New Roman" panose="02020603050405020304" pitchFamily="18" charset="0"/>
                    <a:cs typeface="Times New Roman" panose="02020603050405020304" pitchFamily="18" charset="0"/>
                  </a:rPr>
                  <a:t>Months</a:t>
                </a:r>
                <a:r>
                  <a:rPr lang="en-US" sz="1000"/>
                  <a:t> </a:t>
                </a:r>
              </a:p>
            </c:rich>
          </c:tx>
          <c:overlay val="0"/>
        </c:title>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64043520"/>
        <c:crosses val="autoZero"/>
        <c:auto val="1"/>
        <c:lblAlgn val="ctr"/>
        <c:lblOffset val="100"/>
        <c:noMultiLvlLbl val="0"/>
      </c:catAx>
      <c:valAx>
        <c:axId val="164043520"/>
        <c:scaling>
          <c:orientation val="minMax"/>
        </c:scaling>
        <c:delete val="0"/>
        <c:axPos val="l"/>
        <c:title>
          <c:tx>
            <c:rich>
              <a:bodyPr rot="-5400000" vert="horz"/>
              <a:lstStyle/>
              <a:p>
                <a:pPr>
                  <a:defRPr sz="1000"/>
                </a:pPr>
                <a:r>
                  <a:rPr lang="en-US" sz="1000" b="1" i="0" baseline="0">
                    <a:effectLst/>
                    <a:latin typeface="Times New Roman" panose="02020603050405020304" pitchFamily="18" charset="0"/>
                    <a:cs typeface="Times New Roman" panose="02020603050405020304" pitchFamily="18" charset="0"/>
                  </a:rPr>
                  <a:t>The amount of litterfall (t/ha)</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1.7811704834605598E-2"/>
              <c:y val="5.3912219305920085E-2"/>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16153600"/>
        <c:crosses val="autoZero"/>
        <c:crossBetween val="between"/>
      </c:valAx>
    </c:plotArea>
    <c:legend>
      <c:legendPos val="r"/>
      <c:legendEntry>
        <c:idx val="0"/>
        <c:txPr>
          <a:bodyPr/>
          <a:lstStyle/>
          <a:p>
            <a:pPr>
              <a:defRPr sz="1000" i="1">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00" i="1">
                <a:latin typeface="Times New Roman" panose="02020603050405020304" pitchFamily="18" charset="0"/>
                <a:cs typeface="Times New Roman" panose="02020603050405020304" pitchFamily="18" charset="0"/>
              </a:defRPr>
            </a:pPr>
            <a:endParaRPr lang="en-US"/>
          </a:p>
        </c:txPr>
      </c:legendEntry>
      <c:layout>
        <c:manualLayout>
          <c:xMode val="edge"/>
          <c:yMode val="edge"/>
          <c:x val="0.65747134733158352"/>
          <c:y val="0.25853200641586471"/>
          <c:w val="0.32030643044619422"/>
          <c:h val="0.17738043161271508"/>
        </c:manualLayout>
      </c:layout>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0.90209</cdr:x>
      <cdr:y>0</cdr:y>
    </cdr:from>
    <cdr:to>
      <cdr:x>1</cdr:x>
      <cdr:y>0.14931</cdr:y>
    </cdr:to>
    <cdr:sp macro="" textlink="">
      <cdr:nvSpPr>
        <cdr:cNvPr id="2" name="TextBox 1"/>
        <cdr:cNvSpPr txBox="1"/>
      </cdr:nvSpPr>
      <cdr:spPr>
        <a:xfrm xmlns:a="http://schemas.openxmlformats.org/drawingml/2006/main">
          <a:off x="4124340" y="0"/>
          <a:ext cx="447660" cy="4095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(A</a:t>
          </a:r>
          <a:r>
            <a:rPr lang="en-US" sz="1200" b="1">
              <a:latin typeface="Times New Roman" panose="02020603050405020304" pitchFamily="18" charset="0"/>
              <a:cs typeface="Times New Roman" panose="02020603050405020304"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0.90625</cdr:x>
      <cdr:y>0</cdr:y>
    </cdr:from>
    <cdr:to>
      <cdr:x>1</cdr:x>
      <cdr:y>0.10417</cdr:y>
    </cdr:to>
    <cdr:sp macro="" textlink="">
      <cdr:nvSpPr>
        <cdr:cNvPr id="2" name="TextBox 1"/>
        <cdr:cNvSpPr txBox="1"/>
      </cdr:nvSpPr>
      <cdr:spPr>
        <a:xfrm xmlns:a="http://schemas.openxmlformats.org/drawingml/2006/main">
          <a:off x="4143375" y="0"/>
          <a:ext cx="428625"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0.92567</cdr:x>
      <cdr:y>0</cdr:y>
    </cdr:from>
    <cdr:to>
      <cdr:x>1</cdr:x>
      <cdr:y>0.11806</cdr:y>
    </cdr:to>
    <cdr:sp macro="" textlink="">
      <cdr:nvSpPr>
        <cdr:cNvPr id="2" name="TextBox 1"/>
        <cdr:cNvSpPr txBox="1"/>
      </cdr:nvSpPr>
      <cdr:spPr>
        <a:xfrm xmlns:a="http://schemas.openxmlformats.org/drawingml/2006/main">
          <a:off x="4620101" y="0"/>
          <a:ext cx="370999" cy="3238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t>
          </a:r>
          <a:r>
            <a:rPr lang="en-US" sz="1000" b="1">
              <a:latin typeface="Times New Roman" panose="02020603050405020304" pitchFamily="18" charset="0"/>
              <a:cs typeface="Times New Roman" panose="02020603050405020304" pitchFamily="18" charset="0"/>
            </a:rPr>
            <a:t>C</a:t>
          </a:r>
          <a:r>
            <a:rPr lang="en-US" sz="1200" b="1">
              <a:latin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15</Pages>
  <Words>15953</Words>
  <Characters>90934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qwert</cp:lastModifiedBy>
  <cp:revision>5</cp:revision>
  <cp:lastPrinted>2026-05-11T07:31:00Z</cp:lastPrinted>
  <dcterms:created xsi:type="dcterms:W3CDTF">2026-05-11T07:00:00Z</dcterms:created>
  <dcterms:modified xsi:type="dcterms:W3CDTF">2026-05-12T07:39:00Z</dcterms:modified>
</cp:coreProperties>
</file>