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2D94B" w14:textId="72DE479E" w:rsidR="008E6150" w:rsidRDefault="008E6150" w:rsidP="00596328">
      <w:pPr>
        <w:tabs>
          <w:tab w:val="left" w:pos="90"/>
        </w:tabs>
        <w:spacing w:after="0" w:line="240" w:lineRule="auto"/>
        <w:rPr>
          <w:rFonts w:eastAsia="Calibri" w:cs="Times New Roman"/>
          <w:b/>
          <w:sz w:val="28"/>
          <w:szCs w:val="28"/>
        </w:rPr>
      </w:pPr>
      <w:r w:rsidRPr="008B4611">
        <w:rPr>
          <w:rFonts w:eastAsia="Calibri" w:cs="Times New Roman"/>
          <w:b/>
          <w:sz w:val="28"/>
          <w:szCs w:val="28"/>
        </w:rPr>
        <w:t xml:space="preserve">MONEY SUPPLY </w:t>
      </w:r>
      <w:r>
        <w:rPr>
          <w:rFonts w:eastAsia="Calibri" w:cs="Times New Roman"/>
          <w:b/>
          <w:sz w:val="28"/>
          <w:szCs w:val="28"/>
        </w:rPr>
        <w:t>A</w:t>
      </w:r>
      <w:r w:rsidRPr="008B4611">
        <w:rPr>
          <w:rFonts w:eastAsia="Calibri" w:cs="Times New Roman"/>
          <w:b/>
          <w:sz w:val="28"/>
          <w:szCs w:val="28"/>
        </w:rPr>
        <w:t>N</w:t>
      </w:r>
      <w:r>
        <w:rPr>
          <w:rFonts w:eastAsia="Calibri" w:cs="Times New Roman"/>
          <w:b/>
          <w:sz w:val="28"/>
          <w:szCs w:val="28"/>
        </w:rPr>
        <w:t>D</w:t>
      </w:r>
      <w:r w:rsidRPr="008B4611">
        <w:rPr>
          <w:rFonts w:eastAsia="Calibri" w:cs="Times New Roman"/>
          <w:b/>
          <w:sz w:val="28"/>
          <w:szCs w:val="28"/>
        </w:rPr>
        <w:t xml:space="preserve"> INFLATION</w:t>
      </w:r>
      <w:r>
        <w:rPr>
          <w:rFonts w:eastAsia="Calibri" w:cs="Times New Roman"/>
          <w:b/>
          <w:sz w:val="28"/>
          <w:szCs w:val="28"/>
        </w:rPr>
        <w:t xml:space="preserve"> </w:t>
      </w:r>
      <w:r w:rsidRPr="008B4611">
        <w:rPr>
          <w:rFonts w:eastAsia="Calibri" w:cs="Times New Roman"/>
          <w:b/>
          <w:sz w:val="28"/>
          <w:szCs w:val="28"/>
        </w:rPr>
        <w:t xml:space="preserve">RATE </w:t>
      </w:r>
      <w:r w:rsidRPr="009719CD">
        <w:rPr>
          <w:rFonts w:eastAsia="Calibri" w:cs="Times New Roman"/>
          <w:b/>
          <w:sz w:val="28"/>
          <w:szCs w:val="28"/>
        </w:rPr>
        <w:t xml:space="preserve">DYNAMICS </w:t>
      </w:r>
      <w:r w:rsidRPr="008B4611">
        <w:rPr>
          <w:rFonts w:eastAsia="Calibri" w:cs="Times New Roman"/>
          <w:b/>
          <w:sz w:val="28"/>
          <w:szCs w:val="28"/>
        </w:rPr>
        <w:t>IN NIGERIA</w:t>
      </w:r>
    </w:p>
    <w:p w14:paraId="0B2A6C9E" w14:textId="77777777" w:rsidR="008E6150" w:rsidRDefault="008E6150" w:rsidP="00596328">
      <w:pPr>
        <w:tabs>
          <w:tab w:val="left" w:pos="90"/>
        </w:tabs>
        <w:spacing w:after="0" w:line="240" w:lineRule="auto"/>
        <w:jc w:val="center"/>
        <w:rPr>
          <w:rFonts w:eastAsia="Calibri" w:cs="Times New Roman"/>
          <w:b/>
          <w:sz w:val="28"/>
          <w:szCs w:val="28"/>
        </w:rPr>
      </w:pPr>
    </w:p>
    <w:p w14:paraId="793DE53D" w14:textId="569055E3" w:rsidR="008E6150" w:rsidRPr="00E646A7" w:rsidRDefault="008E6150" w:rsidP="00596328">
      <w:pPr>
        <w:tabs>
          <w:tab w:val="left" w:pos="90"/>
        </w:tabs>
        <w:spacing w:after="0" w:line="240" w:lineRule="auto"/>
        <w:jc w:val="center"/>
        <w:rPr>
          <w:rFonts w:eastAsia="Calibri" w:cs="Times New Roman"/>
          <w:bCs/>
        </w:rPr>
      </w:pPr>
      <w:bookmarkStart w:id="0" w:name="_GoBack"/>
      <w:bookmarkEnd w:id="0"/>
    </w:p>
    <w:p w14:paraId="738C0CBD" w14:textId="77777777" w:rsidR="002F4B55" w:rsidRDefault="002F4B55" w:rsidP="00596328">
      <w:pPr>
        <w:tabs>
          <w:tab w:val="left" w:pos="90"/>
        </w:tabs>
        <w:spacing w:after="0" w:line="240" w:lineRule="auto"/>
        <w:jc w:val="center"/>
        <w:rPr>
          <w:rFonts w:eastAsia="Calibri" w:cs="Times New Roman"/>
          <w:bCs/>
        </w:rPr>
      </w:pPr>
    </w:p>
    <w:p w14:paraId="3F5346D5" w14:textId="77777777" w:rsidR="00A30DAE" w:rsidRPr="001326BD" w:rsidRDefault="00A30DAE" w:rsidP="00596328">
      <w:pPr>
        <w:pStyle w:val="Heading1"/>
        <w:spacing w:line="240" w:lineRule="auto"/>
      </w:pPr>
      <w:bookmarkStart w:id="1" w:name="_Toc227924504"/>
      <w:r w:rsidRPr="001326BD">
        <w:rPr>
          <w:rStyle w:val="Strong"/>
          <w:b/>
          <w:bCs/>
        </w:rPr>
        <w:t>ABSTRACT</w:t>
      </w:r>
      <w:bookmarkEnd w:id="1"/>
    </w:p>
    <w:p w14:paraId="78D13696" w14:textId="0E8B653F" w:rsidR="00A30DAE" w:rsidRPr="00F364B5" w:rsidRDefault="00A30DAE" w:rsidP="00596328">
      <w:pPr>
        <w:pStyle w:val="NoSpacing"/>
        <w:jc w:val="both"/>
        <w:rPr>
          <w:rFonts w:ascii="Times New Roman" w:hAnsi="Times New Roman" w:cs="Times New Roman"/>
        </w:rPr>
      </w:pPr>
      <w:r w:rsidRPr="00F364B5">
        <w:rPr>
          <w:rFonts w:ascii="Times New Roman" w:hAnsi="Times New Roman" w:cs="Times New Roman"/>
        </w:rPr>
        <w:t>This study examined money supply and inflation rate dynamics in Nigeria over the period 2010M1 to 202</w:t>
      </w:r>
      <w:r w:rsidR="00D47BA1">
        <w:rPr>
          <w:rFonts w:ascii="Times New Roman" w:hAnsi="Times New Roman" w:cs="Times New Roman"/>
        </w:rPr>
        <w:t>5</w:t>
      </w:r>
      <w:r w:rsidRPr="00F364B5">
        <w:rPr>
          <w:rFonts w:ascii="Times New Roman" w:hAnsi="Times New Roman" w:cs="Times New Roman"/>
        </w:rPr>
        <w:t>M</w:t>
      </w:r>
      <w:r w:rsidR="00D47BA1">
        <w:rPr>
          <w:rFonts w:ascii="Times New Roman" w:hAnsi="Times New Roman" w:cs="Times New Roman"/>
        </w:rPr>
        <w:t>1</w:t>
      </w:r>
      <w:r w:rsidR="00312FB8">
        <w:rPr>
          <w:rFonts w:ascii="Times New Roman" w:hAnsi="Times New Roman" w:cs="Times New Roman"/>
        </w:rPr>
        <w:t>2</w:t>
      </w:r>
      <w:r w:rsidRPr="00F364B5">
        <w:rPr>
          <w:rFonts w:ascii="Times New Roman" w:hAnsi="Times New Roman" w:cs="Times New Roman"/>
        </w:rPr>
        <w:t xml:space="preserve">, with a view to identifying the monetary transmission mechanisms through which variations in monetary and fiscal policy instruments influence domestic price stability. The study employed the </w:t>
      </w:r>
      <w:r w:rsidR="0030770C">
        <w:rPr>
          <w:rFonts w:ascii="Times New Roman" w:hAnsi="Times New Roman" w:cs="Times New Roman"/>
        </w:rPr>
        <w:t>a</w:t>
      </w:r>
      <w:r w:rsidR="000B34C8">
        <w:rPr>
          <w:rFonts w:ascii="Times New Roman" w:hAnsi="Times New Roman" w:cs="Times New Roman"/>
        </w:rPr>
        <w:t>utoregressive</w:t>
      </w:r>
      <w:r w:rsidR="0030770C">
        <w:rPr>
          <w:rFonts w:ascii="Times New Roman" w:hAnsi="Times New Roman" w:cs="Times New Roman"/>
        </w:rPr>
        <w:t xml:space="preserve"> distributed lag</w:t>
      </w:r>
      <w:r w:rsidRPr="00F364B5">
        <w:rPr>
          <w:rFonts w:ascii="Times New Roman" w:hAnsi="Times New Roman" w:cs="Times New Roman"/>
        </w:rPr>
        <w:t xml:space="preserve"> </w:t>
      </w:r>
      <w:r w:rsidR="00837966">
        <w:rPr>
          <w:rFonts w:ascii="Times New Roman" w:hAnsi="Times New Roman" w:cs="Times New Roman"/>
        </w:rPr>
        <w:t xml:space="preserve">(ARDL) </w:t>
      </w:r>
      <w:r w:rsidRPr="00F364B5">
        <w:rPr>
          <w:rFonts w:ascii="Times New Roman" w:hAnsi="Times New Roman" w:cs="Times New Roman"/>
        </w:rPr>
        <w:t xml:space="preserve">to establish both the long-run and short-run relationships between </w:t>
      </w:r>
      <w:r w:rsidR="00351DB0">
        <w:rPr>
          <w:rFonts w:ascii="Times New Roman" w:hAnsi="Times New Roman" w:cs="Times New Roman"/>
        </w:rPr>
        <w:t>C</w:t>
      </w:r>
      <w:r w:rsidR="00014534">
        <w:rPr>
          <w:rFonts w:ascii="Times New Roman" w:hAnsi="Times New Roman" w:cs="Times New Roman"/>
        </w:rPr>
        <w:t xml:space="preserve">onsumer </w:t>
      </w:r>
      <w:r w:rsidR="00351DB0">
        <w:rPr>
          <w:rFonts w:ascii="Times New Roman" w:hAnsi="Times New Roman" w:cs="Times New Roman"/>
        </w:rPr>
        <w:t>P</w:t>
      </w:r>
      <w:r w:rsidR="00014534">
        <w:rPr>
          <w:rFonts w:ascii="Times New Roman" w:hAnsi="Times New Roman" w:cs="Times New Roman"/>
        </w:rPr>
        <w:t xml:space="preserve">rice </w:t>
      </w:r>
      <w:r w:rsidR="00351DB0">
        <w:rPr>
          <w:rFonts w:ascii="Times New Roman" w:hAnsi="Times New Roman" w:cs="Times New Roman"/>
        </w:rPr>
        <w:t>I</w:t>
      </w:r>
      <w:r w:rsidR="00014534">
        <w:rPr>
          <w:rFonts w:ascii="Times New Roman" w:hAnsi="Times New Roman" w:cs="Times New Roman"/>
        </w:rPr>
        <w:t>ndex</w:t>
      </w:r>
      <w:r w:rsidRPr="00F364B5">
        <w:rPr>
          <w:rFonts w:ascii="Times New Roman" w:hAnsi="Times New Roman" w:cs="Times New Roman"/>
        </w:rPr>
        <w:t xml:space="preserve"> and Narrow Money (M1), </w:t>
      </w:r>
      <w:r w:rsidR="00081763">
        <w:rPr>
          <w:rFonts w:ascii="Times New Roman" w:hAnsi="Times New Roman" w:cs="Times New Roman"/>
        </w:rPr>
        <w:t xml:space="preserve">Inter-Bank Rates (INB), </w:t>
      </w:r>
      <w:r w:rsidR="00081763" w:rsidRPr="00081763">
        <w:rPr>
          <w:rFonts w:ascii="Times New Roman" w:hAnsi="Times New Roman" w:cs="Times New Roman"/>
        </w:rPr>
        <w:t>Treasury Certificates (TC)</w:t>
      </w:r>
      <w:r w:rsidR="00081763">
        <w:rPr>
          <w:rFonts w:ascii="Times New Roman" w:hAnsi="Times New Roman" w:cs="Times New Roman"/>
        </w:rPr>
        <w:t xml:space="preserve">, </w:t>
      </w:r>
      <w:r w:rsidR="003136B8" w:rsidRPr="003136B8">
        <w:rPr>
          <w:rFonts w:ascii="Times New Roman" w:hAnsi="Times New Roman" w:cs="Times New Roman"/>
        </w:rPr>
        <w:t xml:space="preserve">Nigerian Treasury Bills (NTBs), </w:t>
      </w:r>
      <w:r w:rsidRPr="00F364B5">
        <w:rPr>
          <w:rFonts w:ascii="Times New Roman" w:hAnsi="Times New Roman" w:cs="Times New Roman"/>
        </w:rPr>
        <w:t>Ways and Means Advances (WAMA)</w:t>
      </w:r>
      <w:r w:rsidR="003136B8">
        <w:rPr>
          <w:rFonts w:ascii="Times New Roman" w:hAnsi="Times New Roman" w:cs="Times New Roman"/>
        </w:rPr>
        <w:t xml:space="preserve"> and </w:t>
      </w:r>
      <w:r w:rsidRPr="00F364B5">
        <w:rPr>
          <w:rFonts w:ascii="Times New Roman" w:hAnsi="Times New Roman" w:cs="Times New Roman"/>
        </w:rPr>
        <w:t xml:space="preserve">Bureau de Change Average Exchange Rate (AEXR). The findings from the </w:t>
      </w:r>
      <w:r w:rsidR="004F63FA">
        <w:rPr>
          <w:rFonts w:ascii="Times New Roman" w:hAnsi="Times New Roman" w:cs="Times New Roman"/>
        </w:rPr>
        <w:t>ARDL long run and bound test</w:t>
      </w:r>
      <w:r w:rsidRPr="00F364B5">
        <w:rPr>
          <w:rFonts w:ascii="Times New Roman" w:hAnsi="Times New Roman" w:cs="Times New Roman"/>
        </w:rPr>
        <w:t xml:space="preserve"> revealed that M1</w:t>
      </w:r>
      <w:r w:rsidR="004F63FA">
        <w:rPr>
          <w:rFonts w:ascii="Times New Roman" w:hAnsi="Times New Roman" w:cs="Times New Roman"/>
        </w:rPr>
        <w:t xml:space="preserve"> and </w:t>
      </w:r>
      <w:r w:rsidR="00545898">
        <w:rPr>
          <w:rFonts w:ascii="Times New Roman" w:hAnsi="Times New Roman" w:cs="Times New Roman"/>
        </w:rPr>
        <w:t xml:space="preserve">AEXR </w:t>
      </w:r>
      <w:r w:rsidRPr="00F364B5">
        <w:rPr>
          <w:rFonts w:ascii="Times New Roman" w:hAnsi="Times New Roman" w:cs="Times New Roman"/>
        </w:rPr>
        <w:t xml:space="preserve">exert significant positive long-run effects on inflation during the study period. The second-step ECM results further confirmed a valid error correction mechanism, indicating that about </w:t>
      </w:r>
      <w:r w:rsidR="00F63A72">
        <w:rPr>
          <w:rFonts w:ascii="Times New Roman" w:hAnsi="Times New Roman" w:cs="Times New Roman"/>
        </w:rPr>
        <w:t>3.8</w:t>
      </w:r>
      <w:r w:rsidRPr="00F364B5">
        <w:rPr>
          <w:rFonts w:ascii="Times New Roman" w:hAnsi="Times New Roman" w:cs="Times New Roman"/>
        </w:rPr>
        <w:t>% of short-run disequilibrium is corrected within one period, thereby establishing the existence of a stable long-run relationship between inflation and its determinants. These results underscore the complex interaction of monetary aggregates and exchange rate dynamics in driving Nigeria’s inflationary process. The study concluded that inflation in Nigeria is structurally influenced by both demand-pull and cost-push factors, reflecting excessive monetary expansion and exchange rate volatility. Recommendations drawn from the findings suggest the need for a coordinated monetary-fiscal policy mix, effective management of money supply, and credible exchange rate stabilization measures. Furthermore, reforms aimed at deepening the financial market and enhancing the effectiveness of open market operations are necessary to strengthen the inflation-targeting framework in Nigeria.</w:t>
      </w:r>
    </w:p>
    <w:p w14:paraId="5BDE8A68" w14:textId="21B9151C" w:rsidR="00A30DAE" w:rsidRPr="00EF7C4F" w:rsidRDefault="00E646A7" w:rsidP="00596328">
      <w:pPr>
        <w:tabs>
          <w:tab w:val="left" w:pos="90"/>
        </w:tabs>
        <w:spacing w:after="0" w:line="240" w:lineRule="auto"/>
        <w:rPr>
          <w:rFonts w:eastAsia="Calibri" w:cs="Times New Roman"/>
          <w:bCs/>
        </w:rPr>
      </w:pPr>
      <w:r w:rsidRPr="00EF7C4F">
        <w:rPr>
          <w:rFonts w:eastAsia="Calibri" w:cs="Times New Roman"/>
          <w:b/>
        </w:rPr>
        <w:t xml:space="preserve">Key words: </w:t>
      </w:r>
      <w:r w:rsidRPr="00EF7C4F">
        <w:rPr>
          <w:rFonts w:eastAsia="Calibri" w:cs="Times New Roman"/>
          <w:bCs/>
        </w:rPr>
        <w:t>Money Supply, Inflation Rates, Nigeria</w:t>
      </w:r>
    </w:p>
    <w:p w14:paraId="410A8382" w14:textId="27E2CA78" w:rsidR="00A30DAE" w:rsidRDefault="00A30DAE" w:rsidP="00596328">
      <w:pPr>
        <w:tabs>
          <w:tab w:val="left" w:pos="90"/>
        </w:tabs>
        <w:spacing w:after="0" w:line="240" w:lineRule="auto"/>
        <w:jc w:val="center"/>
        <w:rPr>
          <w:rFonts w:eastAsia="Calibri" w:cs="Times New Roman"/>
          <w:b/>
          <w:sz w:val="28"/>
          <w:szCs w:val="28"/>
        </w:rPr>
      </w:pPr>
    </w:p>
    <w:p w14:paraId="427E38DB" w14:textId="7F580C89" w:rsidR="009C3EF3" w:rsidRDefault="009C3EF3" w:rsidP="00596328">
      <w:pPr>
        <w:tabs>
          <w:tab w:val="left" w:pos="90"/>
        </w:tabs>
        <w:spacing w:after="0" w:line="240" w:lineRule="auto"/>
        <w:jc w:val="center"/>
        <w:rPr>
          <w:rFonts w:eastAsia="Calibri" w:cs="Times New Roman"/>
          <w:b/>
          <w:sz w:val="28"/>
          <w:szCs w:val="28"/>
        </w:rPr>
      </w:pPr>
    </w:p>
    <w:p w14:paraId="0070D668" w14:textId="77777777" w:rsidR="00C94C15" w:rsidRDefault="00C94C15" w:rsidP="00596328">
      <w:pPr>
        <w:tabs>
          <w:tab w:val="left" w:pos="90"/>
        </w:tabs>
        <w:spacing w:after="0" w:line="240" w:lineRule="auto"/>
        <w:rPr>
          <w:rFonts w:eastAsia="Calibri" w:cs="Times New Roman"/>
          <w:b/>
          <w:sz w:val="28"/>
          <w:szCs w:val="28"/>
        </w:rPr>
        <w:sectPr w:rsidR="00C94C15" w:rsidSect="00C94C15">
          <w:footerReference w:type="default" r:id="rId10"/>
          <w:pgSz w:w="11906" w:h="16838"/>
          <w:pgMar w:top="1440" w:right="1440" w:bottom="1440" w:left="1440" w:header="708" w:footer="708" w:gutter="0"/>
          <w:pgNumType w:fmt="lowerRoman" w:start="1"/>
          <w:cols w:space="708"/>
          <w:docGrid w:linePitch="360"/>
        </w:sectPr>
      </w:pPr>
    </w:p>
    <w:p w14:paraId="6E2DDFE6" w14:textId="6A64CCF1" w:rsidR="00BE7536" w:rsidRPr="001740DC" w:rsidRDefault="006C5021" w:rsidP="00596328">
      <w:pPr>
        <w:pStyle w:val="Heading2"/>
        <w:spacing w:line="240" w:lineRule="auto"/>
        <w:rPr>
          <w:rFonts w:eastAsia="Calibri"/>
        </w:rPr>
      </w:pPr>
      <w:bookmarkStart w:id="2" w:name="_Toc227924510"/>
      <w:r>
        <w:rPr>
          <w:rFonts w:eastAsia="Calibri"/>
        </w:rPr>
        <w:lastRenderedPageBreak/>
        <w:t>1</w:t>
      </w:r>
      <w:r w:rsidR="0027665D">
        <w:rPr>
          <w:rFonts w:eastAsia="Calibri"/>
        </w:rPr>
        <w:t>.</w:t>
      </w:r>
      <w:r>
        <w:rPr>
          <w:rFonts w:eastAsia="Calibri"/>
        </w:rPr>
        <w:t xml:space="preserve"> </w:t>
      </w:r>
      <w:bookmarkEnd w:id="2"/>
      <w:r w:rsidR="0027665D">
        <w:rPr>
          <w:rFonts w:eastAsia="Calibri"/>
        </w:rPr>
        <w:t>Introduction</w:t>
      </w:r>
    </w:p>
    <w:p w14:paraId="2F3B3FE7" w14:textId="77777777" w:rsidR="00596328" w:rsidRDefault="00991359" w:rsidP="00596328">
      <w:pPr>
        <w:tabs>
          <w:tab w:val="left" w:pos="90"/>
        </w:tabs>
        <w:spacing w:after="0" w:line="240" w:lineRule="auto"/>
        <w:rPr>
          <w:rFonts w:eastAsia="Calibri" w:cs="Times New Roman"/>
          <w:bCs/>
        </w:rPr>
      </w:pPr>
      <w:r w:rsidRPr="00753520">
        <w:rPr>
          <w:rFonts w:eastAsia="Calibri" w:cs="Times New Roman"/>
          <w:bCs/>
        </w:rPr>
        <w:t xml:space="preserve">Due to the </w:t>
      </w:r>
      <w:r w:rsidR="00A11A17">
        <w:rPr>
          <w:rFonts w:eastAsia="Calibri" w:cs="Times New Roman"/>
          <w:bCs/>
        </w:rPr>
        <w:t>persistent</w:t>
      </w:r>
      <w:r w:rsidR="000851F4" w:rsidRPr="00753520">
        <w:rPr>
          <w:rFonts w:eastAsia="Calibri" w:cs="Times New Roman"/>
          <w:bCs/>
        </w:rPr>
        <w:t xml:space="preserve"> increases in</w:t>
      </w:r>
      <w:r w:rsidRPr="00753520">
        <w:rPr>
          <w:rFonts w:eastAsia="Calibri" w:cs="Times New Roman"/>
          <w:bCs/>
        </w:rPr>
        <w:t xml:space="preserve"> price</w:t>
      </w:r>
      <w:r w:rsidR="00727599">
        <w:rPr>
          <w:rFonts w:eastAsia="Calibri" w:cs="Times New Roman"/>
          <w:bCs/>
        </w:rPr>
        <w:t>s</w:t>
      </w:r>
      <w:r w:rsidRPr="00753520">
        <w:rPr>
          <w:rFonts w:eastAsia="Calibri" w:cs="Times New Roman"/>
          <w:bCs/>
        </w:rPr>
        <w:t xml:space="preserve"> </w:t>
      </w:r>
      <w:r w:rsidR="00932128" w:rsidRPr="00753520">
        <w:rPr>
          <w:rFonts w:eastAsia="Calibri" w:cs="Times New Roman"/>
          <w:bCs/>
        </w:rPr>
        <w:t xml:space="preserve">of goods and services </w:t>
      </w:r>
      <w:r w:rsidRPr="00753520">
        <w:rPr>
          <w:rFonts w:eastAsia="Calibri" w:cs="Times New Roman"/>
          <w:bCs/>
        </w:rPr>
        <w:t xml:space="preserve">in the Nigerian economy, inflation has become a </w:t>
      </w:r>
      <w:r w:rsidR="00932128" w:rsidRPr="00753520">
        <w:rPr>
          <w:rFonts w:eastAsia="Calibri" w:cs="Times New Roman"/>
          <w:bCs/>
        </w:rPr>
        <w:t xml:space="preserve">major </w:t>
      </w:r>
      <w:r w:rsidRPr="00753520">
        <w:rPr>
          <w:rFonts w:eastAsia="Calibri" w:cs="Times New Roman"/>
          <w:bCs/>
        </w:rPr>
        <w:t>topic of discussion among households and the media, as its consequences become increasingly inescapable in the country's daily life</w:t>
      </w:r>
      <w:r w:rsidR="000572A2">
        <w:rPr>
          <w:rFonts w:eastAsia="Calibri" w:cs="Times New Roman"/>
          <w:bCs/>
        </w:rPr>
        <w:t xml:space="preserve">. </w:t>
      </w:r>
      <w:r w:rsidRPr="00753520">
        <w:rPr>
          <w:rFonts w:eastAsia="Calibri" w:cs="Times New Roman"/>
          <w:bCs/>
        </w:rPr>
        <w:t xml:space="preserve">The price increase, in turn, leads to a decline in </w:t>
      </w:r>
      <w:r w:rsidR="00086D93" w:rsidRPr="00753520">
        <w:rPr>
          <w:rFonts w:eastAsia="Calibri" w:cs="Times New Roman"/>
          <w:bCs/>
        </w:rPr>
        <w:t>aggregate demand of</w:t>
      </w:r>
      <w:r w:rsidRPr="00753520">
        <w:rPr>
          <w:rFonts w:eastAsia="Calibri" w:cs="Times New Roman"/>
          <w:bCs/>
        </w:rPr>
        <w:t xml:space="preserve"> citizens</w:t>
      </w:r>
      <w:r w:rsidR="003E6EA1" w:rsidRPr="00753520">
        <w:rPr>
          <w:rFonts w:eastAsia="Calibri" w:cs="Times New Roman"/>
          <w:bCs/>
        </w:rPr>
        <w:t>. These basic needs of the populace</w:t>
      </w:r>
      <w:r w:rsidRPr="00753520">
        <w:rPr>
          <w:rFonts w:eastAsia="Calibri" w:cs="Times New Roman"/>
          <w:bCs/>
        </w:rPr>
        <w:t xml:space="preserve"> </w:t>
      </w:r>
      <w:r w:rsidR="003E6EA1" w:rsidRPr="00753520">
        <w:rPr>
          <w:rFonts w:eastAsia="Calibri" w:cs="Times New Roman"/>
          <w:bCs/>
        </w:rPr>
        <w:t>include</w:t>
      </w:r>
      <w:r w:rsidRPr="00753520">
        <w:rPr>
          <w:rFonts w:eastAsia="Calibri" w:cs="Times New Roman"/>
          <w:bCs/>
        </w:rPr>
        <w:t xml:space="preserve"> food, </w:t>
      </w:r>
      <w:r w:rsidR="007B7A58" w:rsidRPr="00753520">
        <w:rPr>
          <w:rFonts w:eastAsia="Calibri" w:cs="Times New Roman"/>
          <w:bCs/>
        </w:rPr>
        <w:t>shelter,</w:t>
      </w:r>
      <w:r w:rsidRPr="00753520">
        <w:rPr>
          <w:rFonts w:eastAsia="Calibri" w:cs="Times New Roman"/>
          <w:bCs/>
        </w:rPr>
        <w:t xml:space="preserve"> and the infrastructural development of the country at large (Charles</w:t>
      </w:r>
      <w:r w:rsidR="00A561C2">
        <w:rPr>
          <w:rFonts w:eastAsia="Calibri" w:cs="Times New Roman"/>
          <w:bCs/>
        </w:rPr>
        <w:t xml:space="preserve"> et al., </w:t>
      </w:r>
      <w:r w:rsidRPr="00753520">
        <w:rPr>
          <w:rFonts w:eastAsia="Calibri" w:cs="Times New Roman"/>
          <w:bCs/>
        </w:rPr>
        <w:t xml:space="preserve">2022). The Nigerian economy has experienced </w:t>
      </w:r>
      <w:r w:rsidR="00F772E5">
        <w:rPr>
          <w:rFonts w:eastAsia="Calibri" w:cs="Times New Roman"/>
          <w:bCs/>
        </w:rPr>
        <w:t xml:space="preserve">several </w:t>
      </w:r>
      <w:r w:rsidRPr="00753520">
        <w:rPr>
          <w:rFonts w:eastAsia="Calibri" w:cs="Times New Roman"/>
          <w:bCs/>
        </w:rPr>
        <w:t xml:space="preserve">economic </w:t>
      </w:r>
      <w:r w:rsidR="003D540F">
        <w:rPr>
          <w:rFonts w:eastAsia="Calibri" w:cs="Times New Roman"/>
          <w:bCs/>
        </w:rPr>
        <w:t>recessions</w:t>
      </w:r>
      <w:r w:rsidR="00F772E5">
        <w:rPr>
          <w:rFonts w:eastAsia="Calibri" w:cs="Times New Roman"/>
          <w:bCs/>
        </w:rPr>
        <w:t xml:space="preserve"> since independence. The first was in 1967, followed by 1975 and 1978, then 1981 to 1983, and the global economic meltdown of </w:t>
      </w:r>
      <w:r w:rsidR="00F772E5" w:rsidRPr="00F772E5">
        <w:rPr>
          <w:rFonts w:eastAsia="Calibri" w:cs="Times New Roman"/>
          <w:bCs/>
        </w:rPr>
        <w:t>2008</w:t>
      </w:r>
      <w:r w:rsidR="00F772E5">
        <w:rPr>
          <w:rFonts w:eastAsia="Calibri" w:cs="Times New Roman"/>
          <w:bCs/>
        </w:rPr>
        <w:t>/</w:t>
      </w:r>
      <w:r w:rsidR="00F772E5" w:rsidRPr="00F772E5">
        <w:rPr>
          <w:rFonts w:eastAsia="Calibri" w:cs="Times New Roman"/>
          <w:bCs/>
        </w:rPr>
        <w:t>2009</w:t>
      </w:r>
      <w:r w:rsidR="00F772E5">
        <w:rPr>
          <w:rFonts w:eastAsia="Calibri" w:cs="Times New Roman"/>
          <w:bCs/>
        </w:rPr>
        <w:t xml:space="preserve">. The recent economic recession </w:t>
      </w:r>
      <w:r w:rsidR="002251A5">
        <w:rPr>
          <w:rFonts w:eastAsia="Calibri" w:cs="Times New Roman"/>
          <w:bCs/>
        </w:rPr>
        <w:t>was</w:t>
      </w:r>
      <w:r w:rsidR="00F772E5">
        <w:rPr>
          <w:rFonts w:eastAsia="Calibri" w:cs="Times New Roman"/>
          <w:bCs/>
        </w:rPr>
        <w:t xml:space="preserve"> in 2016/2017</w:t>
      </w:r>
      <w:r w:rsidR="00665E64">
        <w:rPr>
          <w:rFonts w:eastAsia="Calibri" w:cs="Times New Roman"/>
          <w:bCs/>
        </w:rPr>
        <w:t xml:space="preserve"> and during covid-19 pandemic of </w:t>
      </w:r>
      <w:r w:rsidR="00F772E5">
        <w:rPr>
          <w:rFonts w:eastAsia="Calibri" w:cs="Times New Roman"/>
          <w:bCs/>
        </w:rPr>
        <w:t>2020</w:t>
      </w:r>
      <w:r w:rsidR="00665E64">
        <w:rPr>
          <w:rFonts w:eastAsia="Calibri" w:cs="Times New Roman"/>
          <w:bCs/>
        </w:rPr>
        <w:t>. The</w:t>
      </w:r>
      <w:r w:rsidRPr="00753520">
        <w:rPr>
          <w:rFonts w:eastAsia="Calibri" w:cs="Times New Roman"/>
          <w:bCs/>
        </w:rPr>
        <w:t xml:space="preserve"> </w:t>
      </w:r>
      <w:r w:rsidR="00665E64">
        <w:rPr>
          <w:rFonts w:eastAsia="Calibri" w:cs="Times New Roman"/>
          <w:bCs/>
        </w:rPr>
        <w:t>b</w:t>
      </w:r>
      <w:r w:rsidRPr="00753520">
        <w:rPr>
          <w:rFonts w:eastAsia="Calibri" w:cs="Times New Roman"/>
          <w:bCs/>
        </w:rPr>
        <w:t>oko</w:t>
      </w:r>
      <w:r w:rsidR="00665E64">
        <w:rPr>
          <w:rFonts w:eastAsia="Calibri" w:cs="Times New Roman"/>
          <w:bCs/>
        </w:rPr>
        <w:t>-</w:t>
      </w:r>
      <w:r w:rsidRPr="00753520">
        <w:rPr>
          <w:rFonts w:eastAsia="Calibri" w:cs="Times New Roman"/>
          <w:bCs/>
        </w:rPr>
        <w:t xml:space="preserve">haram insurgency, farmers-herders </w:t>
      </w:r>
      <w:r w:rsidR="00DA3A2E" w:rsidRPr="00753520">
        <w:rPr>
          <w:rFonts w:eastAsia="Calibri" w:cs="Times New Roman"/>
          <w:bCs/>
        </w:rPr>
        <w:t>conflict</w:t>
      </w:r>
      <w:r w:rsidRPr="00753520">
        <w:rPr>
          <w:rFonts w:eastAsia="Calibri" w:cs="Times New Roman"/>
          <w:bCs/>
        </w:rPr>
        <w:t xml:space="preserve">, and 2023 deregulation of the downstream oil sector as well as the floating of the domestic currency in less than two decades. In one way or the other, this has slowed down economic activities in the </w:t>
      </w:r>
      <w:r w:rsidR="00713954" w:rsidRPr="00753520">
        <w:rPr>
          <w:rFonts w:eastAsia="Calibri" w:cs="Times New Roman"/>
          <w:bCs/>
        </w:rPr>
        <w:t>country,</w:t>
      </w:r>
      <w:r w:rsidRPr="00753520">
        <w:rPr>
          <w:rFonts w:eastAsia="Calibri" w:cs="Times New Roman"/>
          <w:bCs/>
        </w:rPr>
        <w:t xml:space="preserve"> and it has led to output gap</w:t>
      </w:r>
      <w:r w:rsidR="000851F4" w:rsidRPr="00753520">
        <w:rPr>
          <w:rFonts w:eastAsia="Calibri" w:cs="Times New Roman"/>
          <w:bCs/>
        </w:rPr>
        <w:t>.</w:t>
      </w:r>
      <w:r w:rsidR="00FC1C3A" w:rsidRPr="00753520">
        <w:rPr>
          <w:rFonts w:eastAsia="Calibri" w:cs="Times New Roman"/>
          <w:bCs/>
        </w:rPr>
        <w:t xml:space="preserve"> </w:t>
      </w:r>
      <w:r w:rsidR="0007053C" w:rsidRPr="00753520">
        <w:rPr>
          <w:rFonts w:eastAsia="Calibri" w:cs="Times New Roman"/>
          <w:bCs/>
        </w:rPr>
        <w:t xml:space="preserve">However, </w:t>
      </w:r>
      <w:r w:rsidR="00BD28FB">
        <w:rPr>
          <w:rFonts w:eastAsia="Calibri" w:cs="Times New Roman"/>
          <w:bCs/>
        </w:rPr>
        <w:t xml:space="preserve">despite </w:t>
      </w:r>
      <w:r w:rsidR="009479DB" w:rsidRPr="00753520">
        <w:rPr>
          <w:rFonts w:eastAsia="Calibri" w:cs="Times New Roman"/>
          <w:bCs/>
        </w:rPr>
        <w:t>Central Bank of Nigeria</w:t>
      </w:r>
      <w:r w:rsidR="001B5BAC" w:rsidRPr="00753520">
        <w:rPr>
          <w:rFonts w:eastAsia="Calibri" w:cs="Times New Roman"/>
          <w:bCs/>
        </w:rPr>
        <w:t xml:space="preserve"> intervention in the critical </w:t>
      </w:r>
      <w:r w:rsidR="00DF74F2" w:rsidRPr="00753520">
        <w:rPr>
          <w:rFonts w:eastAsia="Calibri" w:cs="Times New Roman"/>
          <w:bCs/>
        </w:rPr>
        <w:t>sectors of the economy</w:t>
      </w:r>
      <w:r w:rsidR="00BD28FB">
        <w:rPr>
          <w:rFonts w:eastAsia="Calibri" w:cs="Times New Roman"/>
          <w:bCs/>
        </w:rPr>
        <w:t>, inflation</w:t>
      </w:r>
      <w:r w:rsidR="00F27A03" w:rsidRPr="00753520">
        <w:rPr>
          <w:rFonts w:eastAsia="Calibri" w:cs="Times New Roman"/>
          <w:bCs/>
        </w:rPr>
        <w:t xml:space="preserve"> has</w:t>
      </w:r>
      <w:r w:rsidR="00BD28FB">
        <w:rPr>
          <w:rFonts w:eastAsia="Calibri" w:cs="Times New Roman"/>
          <w:bCs/>
        </w:rPr>
        <w:t xml:space="preserve"> continued to</w:t>
      </w:r>
      <w:r w:rsidR="00F27A03" w:rsidRPr="00753520">
        <w:rPr>
          <w:rFonts w:eastAsia="Calibri" w:cs="Times New Roman"/>
          <w:bCs/>
        </w:rPr>
        <w:t xml:space="preserve"> increase</w:t>
      </w:r>
      <w:r w:rsidR="00BD28FB">
        <w:rPr>
          <w:rFonts w:eastAsia="Calibri" w:cs="Times New Roman"/>
          <w:bCs/>
        </w:rPr>
        <w:t xml:space="preserve"> (</w:t>
      </w:r>
      <w:r w:rsidR="00BD28FB" w:rsidRPr="00BD28FB">
        <w:rPr>
          <w:rFonts w:eastAsia="Calibri" w:cs="Times New Roman"/>
          <w:bCs/>
        </w:rPr>
        <w:t>K</w:t>
      </w:r>
      <w:r w:rsidR="00BD28FB">
        <w:rPr>
          <w:rFonts w:eastAsia="Calibri" w:cs="Times New Roman"/>
          <w:bCs/>
        </w:rPr>
        <w:t>wode, 2024)</w:t>
      </w:r>
      <w:r w:rsidR="00281AD0" w:rsidRPr="00753520">
        <w:rPr>
          <w:rFonts w:eastAsia="Calibri" w:cs="Times New Roman"/>
          <w:bCs/>
        </w:rPr>
        <w:t>.</w:t>
      </w:r>
      <w:r w:rsidR="00377BAB" w:rsidRPr="00753520">
        <w:rPr>
          <w:rFonts w:eastAsia="Calibri" w:cs="Times New Roman"/>
          <w:bCs/>
        </w:rPr>
        <w:t xml:space="preserve"> </w:t>
      </w:r>
    </w:p>
    <w:p w14:paraId="2C086AE2" w14:textId="24ECE5DE" w:rsidR="00991359" w:rsidRPr="00753520" w:rsidRDefault="004A483E" w:rsidP="00596328">
      <w:pPr>
        <w:tabs>
          <w:tab w:val="left" w:pos="90"/>
        </w:tabs>
        <w:spacing w:after="0" w:line="240" w:lineRule="auto"/>
        <w:rPr>
          <w:rFonts w:eastAsia="Calibri" w:cs="Times New Roman"/>
          <w:bCs/>
        </w:rPr>
      </w:pPr>
      <w:r w:rsidRPr="00753520">
        <w:rPr>
          <w:rFonts w:eastAsia="Calibri" w:cs="Times New Roman"/>
          <w:bCs/>
        </w:rPr>
        <w:t>Inflation</w:t>
      </w:r>
      <w:r w:rsidR="00FC1C3A" w:rsidRPr="00753520">
        <w:rPr>
          <w:rFonts w:eastAsia="Calibri" w:cs="Times New Roman"/>
          <w:bCs/>
        </w:rPr>
        <w:t xml:space="preserve"> continues to become a subject of debate and counter debate among economists and researchers due to its role in stabilizing macroeconomic variables. Stable Inflation is also necessary for monetary and price stability, as well as economic growth (Agu &amp; Oshim, 2024).</w:t>
      </w:r>
    </w:p>
    <w:p w14:paraId="4A7546DE" w14:textId="77777777" w:rsidR="00596328" w:rsidRDefault="00590911" w:rsidP="00596328">
      <w:pPr>
        <w:tabs>
          <w:tab w:val="left" w:pos="90"/>
        </w:tabs>
        <w:spacing w:after="0" w:line="240" w:lineRule="auto"/>
        <w:rPr>
          <w:rFonts w:eastAsia="Calibri" w:cs="Times New Roman"/>
          <w:bCs/>
        </w:rPr>
      </w:pPr>
      <w:r w:rsidRPr="00590911">
        <w:rPr>
          <w:rFonts w:eastAsia="Calibri" w:cs="Times New Roman"/>
          <w:bCs/>
        </w:rPr>
        <w:t>The phenomenon of inflation constitutes a major economic challenge that must be addressed with strong and decisive measures</w:t>
      </w:r>
      <w:r w:rsidR="00BE7536" w:rsidRPr="003F3C8B">
        <w:rPr>
          <w:rFonts w:eastAsia="Calibri" w:cs="Times New Roman"/>
          <w:bCs/>
        </w:rPr>
        <w:t xml:space="preserve">. It has an undesirable unique characteristic, that is, money as the medium of exchange loses its real value. </w:t>
      </w:r>
      <w:r w:rsidR="007C0356">
        <w:rPr>
          <w:rFonts w:eastAsia="Calibri" w:cs="Times New Roman"/>
          <w:bCs/>
        </w:rPr>
        <w:t xml:space="preserve"> </w:t>
      </w:r>
      <w:r w:rsidR="00E42B1D">
        <w:rPr>
          <w:rFonts w:eastAsia="Calibri" w:cs="Times New Roman"/>
          <w:bCs/>
        </w:rPr>
        <w:t>Researchers</w:t>
      </w:r>
      <w:r w:rsidR="00BE7536" w:rsidRPr="003F3C8B">
        <w:rPr>
          <w:rFonts w:eastAsia="Calibri" w:cs="Times New Roman"/>
          <w:bCs/>
        </w:rPr>
        <w:t xml:space="preserve"> have </w:t>
      </w:r>
      <w:r w:rsidR="00EE14F0">
        <w:rPr>
          <w:rFonts w:eastAsia="Calibri" w:cs="Times New Roman"/>
          <w:bCs/>
        </w:rPr>
        <w:t>divergent empirical</w:t>
      </w:r>
      <w:r w:rsidR="00BE7536" w:rsidRPr="003F3C8B">
        <w:rPr>
          <w:rFonts w:eastAsia="Calibri" w:cs="Times New Roman"/>
          <w:bCs/>
        </w:rPr>
        <w:t xml:space="preserve"> research</w:t>
      </w:r>
      <w:r w:rsidR="00EE14F0">
        <w:rPr>
          <w:rFonts w:eastAsia="Calibri" w:cs="Times New Roman"/>
          <w:bCs/>
        </w:rPr>
        <w:t xml:space="preserve"> result</w:t>
      </w:r>
      <w:r w:rsidR="00BE7536" w:rsidRPr="003F3C8B">
        <w:rPr>
          <w:rFonts w:eastAsia="Calibri" w:cs="Times New Roman"/>
          <w:bCs/>
        </w:rPr>
        <w:t xml:space="preserve"> on the determinants of inflation in Nigeria</w:t>
      </w:r>
      <w:r w:rsidR="005A50FC" w:rsidRPr="003F3C8B">
        <w:rPr>
          <w:rFonts w:eastAsia="Calibri" w:cs="Times New Roman"/>
          <w:bCs/>
        </w:rPr>
        <w:t xml:space="preserve">, </w:t>
      </w:r>
      <w:r w:rsidR="008845E5">
        <w:rPr>
          <w:rFonts w:eastAsia="Calibri" w:cs="Times New Roman"/>
          <w:bCs/>
        </w:rPr>
        <w:t>some validated</w:t>
      </w:r>
      <w:r w:rsidR="00C201EC" w:rsidRPr="003F3C8B">
        <w:rPr>
          <w:rFonts w:eastAsia="Calibri" w:cs="Times New Roman"/>
          <w:bCs/>
        </w:rPr>
        <w:t xml:space="preserve"> monetarist view </w:t>
      </w:r>
      <w:r w:rsidR="008845E5">
        <w:rPr>
          <w:rFonts w:eastAsia="Calibri" w:cs="Times New Roman"/>
          <w:bCs/>
        </w:rPr>
        <w:t>while others validated Keynesian school of thought</w:t>
      </w:r>
      <w:r w:rsidR="00C201EC" w:rsidRPr="003F3C8B">
        <w:rPr>
          <w:rFonts w:eastAsia="Calibri" w:cs="Times New Roman"/>
          <w:bCs/>
        </w:rPr>
        <w:t>.</w:t>
      </w:r>
      <w:r w:rsidR="008845E5">
        <w:rPr>
          <w:rFonts w:eastAsia="Calibri" w:cs="Times New Roman"/>
          <w:bCs/>
        </w:rPr>
        <w:t xml:space="preserve"> </w:t>
      </w:r>
      <w:r w:rsidR="0022506E" w:rsidRPr="0022506E">
        <w:rPr>
          <w:rFonts w:eastAsia="Calibri" w:cs="Times New Roman"/>
          <w:bCs/>
        </w:rPr>
        <w:t>Some selected studies that agree with the monetarist view include Agu and Oshim (2024), who found that ways and means advances have a positive and significant effect on the inflation rate in Nigeria.</w:t>
      </w:r>
      <w:r w:rsidR="0022506E">
        <w:rPr>
          <w:rFonts w:eastAsia="Calibri" w:cs="Times New Roman"/>
          <w:bCs/>
        </w:rPr>
        <w:t xml:space="preserve"> </w:t>
      </w:r>
      <w:r w:rsidR="00BE7536" w:rsidRPr="003F3C8B">
        <w:rPr>
          <w:rFonts w:eastAsia="Calibri" w:cs="Times New Roman"/>
          <w:bCs/>
        </w:rPr>
        <w:t>Babatunde and Doguwa (2012) stated that the high inflation events in the country since the 1970s w</w:t>
      </w:r>
      <w:r w:rsidR="0090526B" w:rsidRPr="003F3C8B">
        <w:rPr>
          <w:rFonts w:eastAsia="Calibri" w:cs="Times New Roman"/>
          <w:bCs/>
        </w:rPr>
        <w:t>as</w:t>
      </w:r>
      <w:r w:rsidR="00BE7536" w:rsidRPr="003F3C8B">
        <w:rPr>
          <w:rFonts w:eastAsia="Calibri" w:cs="Times New Roman"/>
          <w:bCs/>
        </w:rPr>
        <w:t xml:space="preserve"> </w:t>
      </w:r>
      <w:r w:rsidR="006E6390" w:rsidRPr="003F3C8B">
        <w:rPr>
          <w:rFonts w:eastAsia="Calibri" w:cs="Times New Roman"/>
          <w:bCs/>
        </w:rPr>
        <w:t>driven</w:t>
      </w:r>
      <w:r w:rsidR="00BE7536" w:rsidRPr="003F3C8B">
        <w:rPr>
          <w:rFonts w:eastAsia="Calibri" w:cs="Times New Roman"/>
          <w:bCs/>
        </w:rPr>
        <w:t xml:space="preserve"> by the growth of money supply in the economy. Okotori (2019) found that money supply has a significant and effective impact on the inflation rate in Nigeria for the period under review. Sola and Peter (2013) indicated that there is a positive relationship between money supply and inflation in Nigeria. Bawa</w:t>
      </w:r>
      <w:r w:rsidR="00B5068C">
        <w:rPr>
          <w:rFonts w:eastAsia="Calibri" w:cs="Times New Roman"/>
          <w:bCs/>
        </w:rPr>
        <w:t xml:space="preserve"> et al. </w:t>
      </w:r>
      <w:r w:rsidR="00BE7536" w:rsidRPr="003F3C8B">
        <w:rPr>
          <w:rFonts w:eastAsia="Calibri" w:cs="Times New Roman"/>
          <w:bCs/>
        </w:rPr>
        <w:t xml:space="preserve">(2016) showed </w:t>
      </w:r>
      <w:r w:rsidR="006E6390" w:rsidRPr="003F3C8B">
        <w:rPr>
          <w:rFonts w:eastAsia="Calibri" w:cs="Times New Roman"/>
          <w:bCs/>
        </w:rPr>
        <w:t>compelling evidence</w:t>
      </w:r>
      <w:r w:rsidR="00BE7536" w:rsidRPr="003F3C8B">
        <w:rPr>
          <w:rFonts w:eastAsia="Calibri" w:cs="Times New Roman"/>
          <w:bCs/>
        </w:rPr>
        <w:t xml:space="preserve"> of money supply, lending credence to the dominance of the monetarist proposition on inflation dynamics in Nigeria.</w:t>
      </w:r>
    </w:p>
    <w:p w14:paraId="10F3BB95" w14:textId="5B2235C2" w:rsidR="00BE7536" w:rsidRPr="003F3C8B" w:rsidRDefault="00BE7536" w:rsidP="00596328">
      <w:pPr>
        <w:tabs>
          <w:tab w:val="left" w:pos="90"/>
        </w:tabs>
        <w:spacing w:after="0" w:line="240" w:lineRule="auto"/>
        <w:rPr>
          <w:rFonts w:eastAsia="Calibri" w:cs="Times New Roman"/>
          <w:bCs/>
        </w:rPr>
      </w:pPr>
      <w:r w:rsidRPr="003F3C8B">
        <w:rPr>
          <w:rFonts w:eastAsia="Calibri" w:cs="Times New Roman"/>
          <w:bCs/>
        </w:rPr>
        <w:t>Other</w:t>
      </w:r>
      <w:r w:rsidR="00E42B1D">
        <w:rPr>
          <w:rFonts w:eastAsia="Calibri" w:cs="Times New Roman"/>
          <w:bCs/>
        </w:rPr>
        <w:t xml:space="preserve"> studies that</w:t>
      </w:r>
      <w:r w:rsidRPr="003F3C8B">
        <w:rPr>
          <w:rFonts w:eastAsia="Calibri" w:cs="Times New Roman"/>
          <w:bCs/>
        </w:rPr>
        <w:t xml:space="preserve"> validated Keynesian theory</w:t>
      </w:r>
      <w:r w:rsidR="00E42B1D">
        <w:rPr>
          <w:rFonts w:eastAsia="Calibri" w:cs="Times New Roman"/>
          <w:bCs/>
        </w:rPr>
        <w:t xml:space="preserve"> </w:t>
      </w:r>
      <w:r w:rsidR="004039AC">
        <w:rPr>
          <w:rFonts w:eastAsia="Calibri" w:cs="Times New Roman"/>
          <w:bCs/>
        </w:rPr>
        <w:t>are</w:t>
      </w:r>
      <w:r w:rsidR="00075399">
        <w:rPr>
          <w:rFonts w:eastAsia="Calibri" w:cs="Times New Roman"/>
          <w:bCs/>
        </w:rPr>
        <w:t>,</w:t>
      </w:r>
      <w:r w:rsidR="00044354" w:rsidRPr="003F3C8B">
        <w:rPr>
          <w:sz w:val="22"/>
          <w:szCs w:val="22"/>
        </w:rPr>
        <w:t xml:space="preserve"> </w:t>
      </w:r>
      <w:r w:rsidR="004E7913">
        <w:rPr>
          <w:rFonts w:eastAsia="Calibri" w:cs="Times New Roman"/>
          <w:bCs/>
        </w:rPr>
        <w:t>Charles</w:t>
      </w:r>
      <w:r w:rsidR="00B5068C">
        <w:rPr>
          <w:rFonts w:eastAsia="Calibri" w:cs="Times New Roman"/>
          <w:bCs/>
        </w:rPr>
        <w:t xml:space="preserve"> et al. </w:t>
      </w:r>
      <w:r w:rsidR="00044354" w:rsidRPr="003F3C8B">
        <w:rPr>
          <w:sz w:val="22"/>
          <w:szCs w:val="22"/>
        </w:rPr>
        <w:t xml:space="preserve">(2022) </w:t>
      </w:r>
      <w:r w:rsidR="00044354" w:rsidRPr="003F3C8B">
        <w:rPr>
          <w:rFonts w:eastAsia="Calibri" w:cs="Times New Roman"/>
          <w:bCs/>
        </w:rPr>
        <w:t xml:space="preserve">empirically proved that demand–pull and cost–push factors are responsible for inflation in Nigeria. </w:t>
      </w:r>
      <w:r w:rsidR="004E7913">
        <w:rPr>
          <w:rFonts w:eastAsia="Calibri" w:cs="Times New Roman"/>
          <w:bCs/>
        </w:rPr>
        <w:t>Inim</w:t>
      </w:r>
      <w:r w:rsidR="00B5068C">
        <w:rPr>
          <w:rFonts w:eastAsia="Calibri" w:cs="Times New Roman"/>
          <w:bCs/>
        </w:rPr>
        <w:t xml:space="preserve"> et al. </w:t>
      </w:r>
      <w:r w:rsidR="00044354" w:rsidRPr="003F3C8B">
        <w:rPr>
          <w:rFonts w:eastAsia="Calibri" w:cs="Times New Roman"/>
          <w:bCs/>
        </w:rPr>
        <w:t>(2020) showed that poor infrastructural development, exchange rate, political instability</w:t>
      </w:r>
      <w:r w:rsidR="00044354" w:rsidRPr="003F3C8B">
        <w:rPr>
          <w:rFonts w:eastAsia="Calibri" w:cs="Times New Roman"/>
          <w:bCs/>
          <w:sz w:val="20"/>
          <w:szCs w:val="20"/>
        </w:rPr>
        <w:t xml:space="preserve">, </w:t>
      </w:r>
      <w:r w:rsidR="00044354" w:rsidRPr="003F3C8B">
        <w:rPr>
          <w:rFonts w:eastAsia="Calibri" w:cs="Times New Roman"/>
          <w:bCs/>
        </w:rPr>
        <w:t>corruption, and double taxation significantly stimulate inflation rather than just money supply.</w:t>
      </w:r>
      <w:r w:rsidRPr="003F3C8B">
        <w:rPr>
          <w:rFonts w:eastAsia="Calibri" w:cs="Times New Roman"/>
          <w:bCs/>
        </w:rPr>
        <w:t xml:space="preserve"> Akinbobola (2012) confirmed that Nigerian inflation is due to hiccups in the supply chain of goods (output). Odusanya and Atanda (2010) found that GDP (output) have significant effect on current inflation rate in Nigeria in the short run. Udo</w:t>
      </w:r>
      <w:r w:rsidR="00B5068C">
        <w:rPr>
          <w:rFonts w:eastAsia="Calibri" w:cs="Times New Roman"/>
          <w:bCs/>
        </w:rPr>
        <w:t xml:space="preserve"> et al.</w:t>
      </w:r>
      <w:r w:rsidRPr="003F3C8B">
        <w:rPr>
          <w:rFonts w:eastAsia="Calibri" w:cs="Times New Roman"/>
          <w:bCs/>
        </w:rPr>
        <w:t xml:space="preserve"> (2019) opined that inflation is caused by political instability, corruption, poor basic infrastructure among others</w:t>
      </w:r>
      <w:r w:rsidR="00160603" w:rsidRPr="003F3C8B">
        <w:rPr>
          <w:rFonts w:eastAsia="Calibri" w:cs="Times New Roman"/>
          <w:bCs/>
        </w:rPr>
        <w:t xml:space="preserve"> rather than money supply</w:t>
      </w:r>
      <w:r w:rsidR="0083247B" w:rsidRPr="003F3C8B">
        <w:rPr>
          <w:rFonts w:eastAsia="Calibri" w:cs="Times New Roman"/>
          <w:bCs/>
        </w:rPr>
        <w:t>.</w:t>
      </w:r>
      <w:r w:rsidR="00D361B8">
        <w:rPr>
          <w:rFonts w:eastAsia="Calibri" w:cs="Times New Roman"/>
          <w:bCs/>
        </w:rPr>
        <w:t xml:space="preserve"> </w:t>
      </w:r>
      <w:r w:rsidRPr="003F3C8B">
        <w:rPr>
          <w:rFonts w:eastAsia="Calibri" w:cs="Times New Roman"/>
          <w:bCs/>
        </w:rPr>
        <w:t xml:space="preserve">Furthermore, </w:t>
      </w:r>
      <w:r w:rsidR="00CC3C08" w:rsidRPr="003F3C8B">
        <w:rPr>
          <w:rFonts w:eastAsia="Calibri" w:cs="Times New Roman"/>
          <w:bCs/>
        </w:rPr>
        <w:t>other</w:t>
      </w:r>
      <w:r w:rsidRPr="003F3C8B">
        <w:rPr>
          <w:rFonts w:eastAsia="Calibri" w:cs="Times New Roman"/>
          <w:bCs/>
        </w:rPr>
        <w:t xml:space="preserve"> scholars attributed fiscal rascality to the cause of inflation in Nigeria. Anayochukwu (2012) observed that there is a positive relationship between fiscal deficit and inflation in Nigeria, confirming fiscal deficit causes inflation. Obviously, inflation in Nigeria is fiscal and monetary policy influence (Alexander</w:t>
      </w:r>
      <w:r w:rsidR="00B5068C">
        <w:rPr>
          <w:rFonts w:eastAsia="Calibri" w:cs="Times New Roman"/>
          <w:bCs/>
        </w:rPr>
        <w:t xml:space="preserve"> et al.</w:t>
      </w:r>
      <w:r w:rsidRPr="003F3C8B">
        <w:rPr>
          <w:rFonts w:eastAsia="Calibri" w:cs="Times New Roman"/>
          <w:bCs/>
        </w:rPr>
        <w:t>, 2015).</w:t>
      </w:r>
    </w:p>
    <w:p w14:paraId="51609A04" w14:textId="2FC7DBBF" w:rsidR="00D44A88" w:rsidRDefault="00AE433A" w:rsidP="00596328">
      <w:pPr>
        <w:tabs>
          <w:tab w:val="left" w:pos="90"/>
        </w:tabs>
        <w:spacing w:after="0" w:line="240" w:lineRule="auto"/>
        <w:rPr>
          <w:rFonts w:eastAsia="Calibri" w:cs="Times New Roman"/>
          <w:bCs/>
        </w:rPr>
      </w:pPr>
      <w:r>
        <w:rPr>
          <w:rFonts w:eastAsia="Calibri" w:cs="Times New Roman"/>
          <w:bCs/>
        </w:rPr>
        <w:t xml:space="preserve">There is no consensus among researchers as which theory is </w:t>
      </w:r>
      <w:r w:rsidR="007F774C">
        <w:rPr>
          <w:rFonts w:eastAsia="Calibri" w:cs="Times New Roman"/>
          <w:bCs/>
        </w:rPr>
        <w:t>majorly</w:t>
      </w:r>
      <w:r>
        <w:rPr>
          <w:rFonts w:eastAsia="Calibri" w:cs="Times New Roman"/>
          <w:bCs/>
        </w:rPr>
        <w:t xml:space="preserve"> responsible for inflation in the Nigerian economy</w:t>
      </w:r>
      <w:r w:rsidR="006F7A66">
        <w:rPr>
          <w:rFonts w:eastAsia="Calibri" w:cs="Times New Roman"/>
          <w:bCs/>
        </w:rPr>
        <w:t>.</w:t>
      </w:r>
      <w:r w:rsidR="00497A19">
        <w:rPr>
          <w:rFonts w:eastAsia="Calibri" w:cs="Times New Roman"/>
          <w:bCs/>
        </w:rPr>
        <w:t xml:space="preserve"> Therefore, t</w:t>
      </w:r>
      <w:r w:rsidR="00497A19" w:rsidRPr="00497A19">
        <w:rPr>
          <w:rFonts w:eastAsia="Calibri" w:cs="Times New Roman"/>
          <w:bCs/>
        </w:rPr>
        <w:t>h</w:t>
      </w:r>
      <w:r w:rsidR="00082CC5">
        <w:rPr>
          <w:rFonts w:eastAsia="Calibri" w:cs="Times New Roman"/>
          <w:bCs/>
        </w:rPr>
        <w:t>is</w:t>
      </w:r>
      <w:r w:rsidR="00497A19" w:rsidRPr="00497A19">
        <w:rPr>
          <w:rFonts w:eastAsia="Calibri" w:cs="Times New Roman"/>
          <w:bCs/>
        </w:rPr>
        <w:t xml:space="preserve"> study wants to empirically examine whether inflation in Nigeria is largely influenced by monetary factors or combination of the monetary, </w:t>
      </w:r>
      <w:r w:rsidR="00082CC5" w:rsidRPr="00497A19">
        <w:rPr>
          <w:rFonts w:eastAsia="Calibri" w:cs="Times New Roman"/>
          <w:bCs/>
        </w:rPr>
        <w:lastRenderedPageBreak/>
        <w:t>fiscal,</w:t>
      </w:r>
      <w:r w:rsidR="00497A19" w:rsidRPr="00497A19">
        <w:rPr>
          <w:rFonts w:eastAsia="Calibri" w:cs="Times New Roman"/>
          <w:bCs/>
        </w:rPr>
        <w:t xml:space="preserve"> and external factors</w:t>
      </w:r>
      <w:r w:rsidR="00497A19">
        <w:rPr>
          <w:rFonts w:eastAsia="Calibri" w:cs="Times New Roman"/>
          <w:bCs/>
        </w:rPr>
        <w:t>.</w:t>
      </w:r>
      <w:r w:rsidR="00D361B8">
        <w:rPr>
          <w:rFonts w:eastAsia="Calibri" w:cs="Times New Roman"/>
          <w:bCs/>
        </w:rPr>
        <w:t xml:space="preserve"> </w:t>
      </w:r>
      <w:r w:rsidR="00A20DFA" w:rsidRPr="003F3C8B">
        <w:rPr>
          <w:rFonts w:eastAsia="Calibri" w:cs="Times New Roman"/>
          <w:bCs/>
        </w:rPr>
        <w:t>Finally, inflation in Nigeria is like an uncured disease that require constant and continuous research.</w:t>
      </w:r>
    </w:p>
    <w:p w14:paraId="7DBAC443" w14:textId="21569F80" w:rsidR="00193D19" w:rsidRPr="003D3A17" w:rsidRDefault="00193D19" w:rsidP="00596328">
      <w:pPr>
        <w:spacing w:after="0" w:line="240" w:lineRule="auto"/>
        <w:rPr>
          <w:rFonts w:eastAsia="Calibri" w:cs="Times New Roman"/>
          <w:bCs/>
        </w:rPr>
      </w:pPr>
      <w:r w:rsidRPr="003D3A17">
        <w:rPr>
          <w:rFonts w:eastAsia="Calibri" w:cs="Times New Roman"/>
          <w:bCs/>
        </w:rPr>
        <w:t xml:space="preserve">The major objective of this study is to establish relationship between money supply and inflation in Nigeria. </w:t>
      </w:r>
    </w:p>
    <w:p w14:paraId="4225BAB4" w14:textId="2781BE83" w:rsidR="00E03350" w:rsidRPr="00172C14" w:rsidRDefault="0027665D" w:rsidP="00596328">
      <w:pPr>
        <w:pStyle w:val="Heading2"/>
        <w:spacing w:line="240" w:lineRule="auto"/>
        <w:rPr>
          <w:rFonts w:eastAsia="Calibri"/>
          <w:sz w:val="28"/>
          <w:szCs w:val="28"/>
        </w:rPr>
      </w:pPr>
      <w:r w:rsidRPr="00172C14">
        <w:rPr>
          <w:rFonts w:eastAsia="Calibri"/>
          <w:sz w:val="28"/>
          <w:szCs w:val="28"/>
        </w:rPr>
        <w:t>2. Literature Review</w:t>
      </w:r>
    </w:p>
    <w:p w14:paraId="604A2519" w14:textId="0C1589FF" w:rsidR="006A5DE0" w:rsidRPr="001740DC" w:rsidRDefault="006A5DE0" w:rsidP="00596328">
      <w:pPr>
        <w:pStyle w:val="Heading2"/>
        <w:spacing w:line="240" w:lineRule="auto"/>
        <w:rPr>
          <w:rFonts w:eastAsia="Calibri"/>
          <w:b w:val="0"/>
        </w:rPr>
      </w:pPr>
      <w:bookmarkStart w:id="3" w:name="_Toc227924520"/>
      <w:r w:rsidRPr="006A5DE0">
        <w:rPr>
          <w:rFonts w:eastAsia="Calibri"/>
          <w:sz w:val="28"/>
          <w:szCs w:val="28"/>
        </w:rPr>
        <w:t>2.1</w:t>
      </w:r>
      <w:bookmarkStart w:id="4" w:name="_Toc227924521"/>
      <w:bookmarkEnd w:id="3"/>
      <w:r w:rsidR="0027665D">
        <w:rPr>
          <w:rFonts w:eastAsia="Calibri"/>
          <w:sz w:val="28"/>
          <w:szCs w:val="28"/>
        </w:rPr>
        <w:t xml:space="preserve"> Concept of </w:t>
      </w:r>
      <w:r w:rsidRPr="001740DC">
        <w:rPr>
          <w:rFonts w:eastAsia="Calibri"/>
        </w:rPr>
        <w:t>Inflation</w:t>
      </w:r>
      <w:bookmarkEnd w:id="4"/>
    </w:p>
    <w:p w14:paraId="70AD954F" w14:textId="5E03BC41" w:rsidR="001D3F62" w:rsidRDefault="0037352B" w:rsidP="00596328">
      <w:pPr>
        <w:spacing w:after="0" w:line="240" w:lineRule="auto"/>
        <w:rPr>
          <w:rFonts w:eastAsia="Calibri" w:cs="Times New Roman"/>
          <w:bCs/>
        </w:rPr>
      </w:pPr>
      <w:r w:rsidRPr="0037352B">
        <w:rPr>
          <w:rFonts w:eastAsia="Calibri" w:cs="Times New Roman"/>
          <w:bCs/>
        </w:rPr>
        <w:t>In the field of economics, there is no universally accepted definition of inflation, and interpretations often vary among scholars from different geopolitical contexts. Historically, inflation has been understood from three perspectives. Initially, in the mid-18th century, it referred to a rise in the money supply, particularly currency in circulation that was not backed by metallic money. Over time, this definition evolved to describe an increase in the money supply not offset by a corresponding increase in the demand for money, resulting in a general rise in prices.</w:t>
      </w:r>
    </w:p>
    <w:p w14:paraId="2DE48731" w14:textId="0EAF4A04" w:rsidR="0037352B" w:rsidRDefault="0037352B" w:rsidP="00596328">
      <w:pPr>
        <w:spacing w:after="0" w:line="240" w:lineRule="auto"/>
        <w:rPr>
          <w:rFonts w:eastAsia="Calibri" w:cs="Times New Roman"/>
          <w:bCs/>
        </w:rPr>
      </w:pPr>
      <w:r w:rsidRPr="0037352B">
        <w:rPr>
          <w:rFonts w:eastAsia="Calibri" w:cs="Times New Roman"/>
          <w:bCs/>
        </w:rPr>
        <w:t xml:space="preserve">By 1997, Bryan defined inflation as a rise in the overall price level (Hansen &amp; Newman, 2022). Austrian economists and monetarists, including Friedman (1963, 1968), have consistently emphasized that inflation is primarily a monetary phenomenon, asserting that only changes in the money supply can lead to a general increase in prices. Mises (1953, p. 240) defined inflation as an increase in the money supply not matched by a rise in money demand, thereby reducing the purchasing power of money. Rothbard (2009, p. 990) similarly defined inflation as an increase in fiduciary media, explicitly excluding increases in the stock of </w:t>
      </w:r>
      <w:r w:rsidR="00056457" w:rsidRPr="0037352B">
        <w:rPr>
          <w:rFonts w:eastAsia="Calibri" w:cs="Times New Roman"/>
          <w:bCs/>
        </w:rPr>
        <w:t>species</w:t>
      </w:r>
      <w:r w:rsidRPr="0037352B">
        <w:rPr>
          <w:rFonts w:eastAsia="Calibri" w:cs="Times New Roman"/>
          <w:bCs/>
        </w:rPr>
        <w:t>. Furthermore, Hülsmann (2008) demonstrated that the effects of money creation vary depending on the conditions under which money is produced.</w:t>
      </w:r>
    </w:p>
    <w:p w14:paraId="6CF58FD1" w14:textId="1C251D56" w:rsidR="006A5DE0" w:rsidRPr="000A53CA" w:rsidRDefault="00A54CC9" w:rsidP="00596328">
      <w:pPr>
        <w:spacing w:after="0" w:line="240" w:lineRule="auto"/>
        <w:rPr>
          <w:rFonts w:eastAsia="Calibri" w:cs="Times New Roman"/>
          <w:bCs/>
        </w:rPr>
      </w:pPr>
      <w:r w:rsidRPr="00A54CC9">
        <w:rPr>
          <w:rFonts w:eastAsia="Calibri" w:cs="Times New Roman"/>
          <w:bCs/>
        </w:rPr>
        <w:t>In contemporary terms, inflation is understood as a general, continuous, and persistent rise in the price level of goods and services in an economy, representing a central concern for all economic stakeholders (Bawa et al., 2016).</w:t>
      </w:r>
      <w:r w:rsidR="0091045B">
        <w:rPr>
          <w:rFonts w:eastAsia="Calibri" w:cs="Times New Roman"/>
          <w:bCs/>
        </w:rPr>
        <w:t xml:space="preserve"> </w:t>
      </w:r>
      <w:r w:rsidR="006A5DE0" w:rsidRPr="000A53CA">
        <w:rPr>
          <w:rFonts w:eastAsia="Calibri" w:cs="Times New Roman"/>
          <w:bCs/>
        </w:rPr>
        <w:t xml:space="preserve">Nigeria has experienced four major events of inflationary pressures more than 30 per cent since 1970. In 1975, 1984, 1988/89 and 1992-1995 with inflationary pressures of 33.7, 41.2, 50.0 and 70.0 </w:t>
      </w:r>
      <w:r w:rsidR="006A5DE0" w:rsidRPr="000A53CA">
        <w:rPr>
          <w:rFonts w:eastAsia="Calibri" w:cs="Times New Roman"/>
          <w:bCs/>
          <w:sz w:val="28"/>
          <w:szCs w:val="28"/>
        </w:rPr>
        <w:t>per</w:t>
      </w:r>
      <w:r w:rsidR="006A5DE0" w:rsidRPr="000A53CA">
        <w:rPr>
          <w:rFonts w:eastAsia="Calibri" w:cs="Times New Roman"/>
          <w:bCs/>
          <w:sz w:val="32"/>
          <w:szCs w:val="32"/>
        </w:rPr>
        <w:t xml:space="preserve"> </w:t>
      </w:r>
      <w:r w:rsidR="006A5DE0" w:rsidRPr="000A53CA">
        <w:rPr>
          <w:rFonts w:eastAsia="Calibri" w:cs="Times New Roman"/>
          <w:bCs/>
        </w:rPr>
        <w:t>cent, respectively (Omotoso &amp; Doguwa, 2012). These inflationary pressures were due to drought in northern Nigeria, excess monetization of foreign inflows from oil sales, failure of Federal Government to pay ways and means credit facility from CBN among others.</w:t>
      </w:r>
    </w:p>
    <w:p w14:paraId="1E11513D" w14:textId="56FCA8EB" w:rsidR="00D44DA1" w:rsidRPr="000A53CA" w:rsidRDefault="006A5DE0" w:rsidP="00596328">
      <w:pPr>
        <w:spacing w:after="0" w:line="240" w:lineRule="auto"/>
        <w:rPr>
          <w:rFonts w:eastAsia="Calibri" w:cs="Times New Roman"/>
          <w:bCs/>
        </w:rPr>
      </w:pPr>
      <w:r w:rsidRPr="000A53CA">
        <w:rPr>
          <w:rFonts w:eastAsia="Calibri" w:cs="Times New Roman"/>
          <w:bCs/>
        </w:rPr>
        <w:t xml:space="preserve">Decade wise analysis of average inflation showed that 1980-1989, 1990-1999, 2000-2009 and 2010-2020 posted 30.57, 30.97, 12.41 and 11.94 per cent, respectively. From the data, it shows </w:t>
      </w:r>
      <w:r w:rsidR="00056457" w:rsidRPr="00DF3C79">
        <w:rPr>
          <w:rFonts w:eastAsia="Calibri" w:cs="Times New Roman"/>
          <w:bCs/>
        </w:rPr>
        <w:t>that in the</w:t>
      </w:r>
      <w:r w:rsidRPr="00DF3C79">
        <w:rPr>
          <w:rFonts w:eastAsia="Calibri" w:cs="Times New Roman"/>
          <w:bCs/>
        </w:rPr>
        <w:t xml:space="preserve"> larger part of 1980-1999, inflation rate was more than thirty per cent while from 2000 to 2020, inflation rate was less than twenty per cent. </w:t>
      </w:r>
      <w:r w:rsidR="00056457" w:rsidRPr="00DF3C79">
        <w:rPr>
          <w:rFonts w:eastAsia="Calibri" w:cs="Times New Roman"/>
          <w:bCs/>
        </w:rPr>
        <w:t>Before</w:t>
      </w:r>
      <w:r w:rsidRPr="00DF3C79">
        <w:rPr>
          <w:rFonts w:eastAsia="Calibri" w:cs="Times New Roman"/>
          <w:bCs/>
        </w:rPr>
        <w:t xml:space="preserve"> 1999, the economy was managed</w:t>
      </w:r>
      <w:r w:rsidRPr="003107F8">
        <w:rPr>
          <w:rFonts w:eastAsia="Calibri" w:cs="Times New Roman"/>
          <w:bCs/>
          <w:color w:val="FF0000"/>
        </w:rPr>
        <w:t xml:space="preserve"> </w:t>
      </w:r>
      <w:r w:rsidRPr="000A53CA">
        <w:rPr>
          <w:rFonts w:eastAsia="Calibri" w:cs="Times New Roman"/>
          <w:bCs/>
        </w:rPr>
        <w:t xml:space="preserve">under military rule while from 2000-2020, the economy is under civilian rule. </w:t>
      </w:r>
      <w:r w:rsidR="00817ED3" w:rsidRPr="000A53CA">
        <w:rPr>
          <w:rFonts w:eastAsia="Calibri" w:cs="Times New Roman"/>
          <w:bCs/>
        </w:rPr>
        <w:t>Based on this evidence, i</w:t>
      </w:r>
      <w:r w:rsidRPr="000A53CA">
        <w:rPr>
          <w:rFonts w:eastAsia="Calibri" w:cs="Times New Roman"/>
          <w:bCs/>
        </w:rPr>
        <w:t xml:space="preserve">t is </w:t>
      </w:r>
      <w:r w:rsidR="00817ED3" w:rsidRPr="000A53CA">
        <w:rPr>
          <w:rFonts w:eastAsia="Calibri" w:cs="Times New Roman"/>
          <w:bCs/>
        </w:rPr>
        <w:t>coherent to say</w:t>
      </w:r>
      <w:r w:rsidRPr="000A53CA">
        <w:rPr>
          <w:rFonts w:eastAsia="Calibri" w:cs="Times New Roman"/>
          <w:bCs/>
        </w:rPr>
        <w:t xml:space="preserve"> that Nigerian economy is better Managed under democratic dispensation.</w:t>
      </w:r>
      <w:r w:rsidR="00C8758F" w:rsidRPr="000A53CA">
        <w:rPr>
          <w:rFonts w:eastAsia="Calibri" w:cs="Times New Roman"/>
          <w:bCs/>
        </w:rPr>
        <w:t xml:space="preserve"> </w:t>
      </w:r>
      <w:r w:rsidR="00D44DA1" w:rsidRPr="000A53CA">
        <w:rPr>
          <w:rFonts w:eastAsia="Calibri" w:cs="Times New Roman"/>
          <w:bCs/>
        </w:rPr>
        <w:t>From experience and analysis, one could deduce that periods of high inflation in Nigeria were associated with periods of specific government policy changes, shocks to food prices and lack of coordination between monetary and fiscal policies (Omotoso &amp; Doguwa, 2012).</w:t>
      </w:r>
    </w:p>
    <w:p w14:paraId="7AC05D0F" w14:textId="668336A1" w:rsidR="008F0869" w:rsidRDefault="00DA1F41" w:rsidP="00596328">
      <w:pPr>
        <w:spacing w:after="0" w:line="240" w:lineRule="auto"/>
        <w:rPr>
          <w:rFonts w:eastAsia="Calibri" w:cs="Times New Roman"/>
          <w:bCs/>
        </w:rPr>
      </w:pPr>
      <w:r w:rsidRPr="00DA1F41">
        <w:rPr>
          <w:rFonts w:eastAsia="Calibri" w:cs="Times New Roman"/>
          <w:bCs/>
        </w:rPr>
        <w:t>The consequences of persistent increases in the general price level include the discouragement of long-term planning, a reduction in savings and capital accumulation, a decline in investment, and distortions in the distribution of real income, which often result in the misallocation of resources, among other effects (Kiganda, 2014).</w:t>
      </w:r>
      <w:r w:rsidR="0091045B">
        <w:rPr>
          <w:rFonts w:eastAsia="Calibri" w:cs="Times New Roman"/>
          <w:bCs/>
        </w:rPr>
        <w:t xml:space="preserve"> </w:t>
      </w:r>
      <w:r w:rsidR="008F0869" w:rsidRPr="008F0869">
        <w:rPr>
          <w:rFonts w:eastAsia="Calibri" w:cs="Times New Roman"/>
          <w:bCs/>
        </w:rPr>
        <w:t xml:space="preserve">The earliest known discussions on measuring changes in the prices of a basket of goods and services using a single index date back to the eighteenth century (O’Neill, Ralph, &amp; Smith, 2017). Several price indices are used to measure price movements, including the producer price index, import and export price indices, purchasing power parity, and the house price index, among </w:t>
      </w:r>
      <w:r w:rsidR="008F0869" w:rsidRPr="008F0869">
        <w:rPr>
          <w:rFonts w:eastAsia="Calibri" w:cs="Times New Roman"/>
          <w:bCs/>
        </w:rPr>
        <w:lastRenderedPageBreak/>
        <w:t>others. However, the consumer price index (CPI) remains the most widely accepted and commonly used measure of inflation by statistical agencies and scholars worldwide.</w:t>
      </w:r>
    </w:p>
    <w:p w14:paraId="41641ED5" w14:textId="633E7843" w:rsidR="00C44383" w:rsidRDefault="00C44383" w:rsidP="00596328">
      <w:pPr>
        <w:spacing w:after="0" w:line="240" w:lineRule="auto"/>
        <w:rPr>
          <w:rFonts w:eastAsia="Calibri" w:cs="Times New Roman"/>
          <w:bCs/>
        </w:rPr>
      </w:pPr>
      <w:r w:rsidRPr="00C44383">
        <w:rPr>
          <w:rFonts w:eastAsia="Calibri" w:cs="Times New Roman"/>
          <w:bCs/>
        </w:rPr>
        <w:t xml:space="preserve">There are three principal methods for calculating the Consumer Price Index (CPI), namely the Laspeyres, Paasche, and Drobisch indices. In Nigeria, the National Bureau of Statistics (NBS) adopts the Laspeyres method in the computation of the CPI. The CPI is a statistical measure based on the prices of a representative basket of consumer goods and services, which are collected periodically and computed for a given period, usually monthly. It measures changes in the price level of a weighted average market basket of goods and services purchased by households. </w:t>
      </w:r>
    </w:p>
    <w:p w14:paraId="2E2B2B83" w14:textId="4B671811" w:rsidR="00EE17A0" w:rsidRDefault="00C60F7D" w:rsidP="00596328">
      <w:pPr>
        <w:spacing w:after="0" w:line="240" w:lineRule="auto"/>
        <w:rPr>
          <w:rFonts w:eastAsia="Calibri" w:cs="Times New Roman"/>
          <w:bCs/>
        </w:rPr>
      </w:pPr>
      <w:r w:rsidRPr="00C60F7D">
        <w:rPr>
          <w:rFonts w:eastAsia="Calibri" w:cs="Times New Roman"/>
          <w:bCs/>
        </w:rPr>
        <w:t xml:space="preserve">CPI numbers were moderate from January 2010 to </w:t>
      </w:r>
      <w:r w:rsidR="0021388A">
        <w:rPr>
          <w:rFonts w:eastAsia="Calibri" w:cs="Times New Roman"/>
          <w:bCs/>
        </w:rPr>
        <w:t>June</w:t>
      </w:r>
      <w:r w:rsidRPr="00C60F7D">
        <w:rPr>
          <w:rFonts w:eastAsia="Calibri" w:cs="Times New Roman"/>
          <w:bCs/>
        </w:rPr>
        <w:t xml:space="preserve"> 20</w:t>
      </w:r>
      <w:r w:rsidR="0021388A">
        <w:rPr>
          <w:rFonts w:eastAsia="Calibri" w:cs="Times New Roman"/>
          <w:bCs/>
        </w:rPr>
        <w:t>24</w:t>
      </w:r>
      <w:r w:rsidRPr="00C60F7D">
        <w:rPr>
          <w:rFonts w:eastAsia="Calibri" w:cs="Times New Roman"/>
          <w:bCs/>
        </w:rPr>
        <w:t xml:space="preserve"> at 13.</w:t>
      </w:r>
      <w:r w:rsidR="00902069">
        <w:rPr>
          <w:rFonts w:eastAsia="Calibri" w:cs="Times New Roman"/>
          <w:bCs/>
        </w:rPr>
        <w:t>88</w:t>
      </w:r>
      <w:r w:rsidRPr="00C60F7D">
        <w:rPr>
          <w:rFonts w:eastAsia="Calibri" w:cs="Times New Roman"/>
          <w:bCs/>
        </w:rPr>
        <w:t xml:space="preserve"> per cent to 98.</w:t>
      </w:r>
      <w:r w:rsidR="00314002">
        <w:rPr>
          <w:rFonts w:eastAsia="Calibri" w:cs="Times New Roman"/>
          <w:bCs/>
        </w:rPr>
        <w:t>49</w:t>
      </w:r>
      <w:r w:rsidRPr="00C60F7D">
        <w:rPr>
          <w:rFonts w:eastAsia="Calibri" w:cs="Times New Roman"/>
          <w:bCs/>
        </w:rPr>
        <w:t xml:space="preserve"> per cent. </w:t>
      </w:r>
      <w:r w:rsidR="004A09BD">
        <w:rPr>
          <w:rFonts w:eastAsia="Calibri" w:cs="Times New Roman"/>
          <w:bCs/>
        </w:rPr>
        <w:t>Due to policy shift</w:t>
      </w:r>
      <w:r w:rsidR="003537BF">
        <w:rPr>
          <w:rFonts w:eastAsia="Calibri" w:cs="Times New Roman"/>
          <w:bCs/>
        </w:rPr>
        <w:t xml:space="preserve"> in</w:t>
      </w:r>
      <w:r w:rsidR="002B2D11">
        <w:rPr>
          <w:rFonts w:eastAsia="Calibri" w:cs="Times New Roman"/>
          <w:bCs/>
        </w:rPr>
        <w:t xml:space="preserve"> 2023</w:t>
      </w:r>
      <w:r w:rsidR="003537BF">
        <w:rPr>
          <w:rFonts w:eastAsia="Calibri" w:cs="Times New Roman"/>
          <w:bCs/>
        </w:rPr>
        <w:t>:</w:t>
      </w:r>
      <w:r w:rsidR="002B2D11">
        <w:rPr>
          <w:rFonts w:eastAsia="Calibri" w:cs="Times New Roman"/>
          <w:bCs/>
        </w:rPr>
        <w:t xml:space="preserve"> deregulation of the </w:t>
      </w:r>
      <w:r w:rsidR="007A24AD">
        <w:rPr>
          <w:rFonts w:eastAsia="Calibri" w:cs="Times New Roman"/>
          <w:bCs/>
        </w:rPr>
        <w:t xml:space="preserve">downstream oil sector and </w:t>
      </w:r>
      <w:r w:rsidR="00324E94">
        <w:rPr>
          <w:rFonts w:eastAsia="Calibri" w:cs="Times New Roman"/>
          <w:bCs/>
        </w:rPr>
        <w:t>liberalization of the local currency</w:t>
      </w:r>
      <w:r w:rsidRPr="00C60F7D">
        <w:rPr>
          <w:rFonts w:eastAsia="Calibri" w:cs="Times New Roman"/>
          <w:bCs/>
        </w:rPr>
        <w:t>, CPI</w:t>
      </w:r>
      <w:r w:rsidR="00B80430">
        <w:rPr>
          <w:rFonts w:eastAsia="Calibri" w:cs="Times New Roman"/>
          <w:bCs/>
        </w:rPr>
        <w:t xml:space="preserve"> increased</w:t>
      </w:r>
      <w:r w:rsidRPr="00C60F7D">
        <w:rPr>
          <w:rFonts w:eastAsia="Calibri" w:cs="Times New Roman"/>
          <w:bCs/>
        </w:rPr>
        <w:t xml:space="preserve"> to 1</w:t>
      </w:r>
      <w:r w:rsidR="00C17EDD">
        <w:rPr>
          <w:rFonts w:eastAsia="Calibri" w:cs="Times New Roman"/>
          <w:bCs/>
        </w:rPr>
        <w:t>31</w:t>
      </w:r>
      <w:r w:rsidRPr="00C60F7D">
        <w:rPr>
          <w:rFonts w:eastAsia="Calibri" w:cs="Times New Roman"/>
          <w:bCs/>
        </w:rPr>
        <w:t>.</w:t>
      </w:r>
      <w:r w:rsidR="00C17EDD">
        <w:rPr>
          <w:rFonts w:eastAsia="Calibri" w:cs="Times New Roman"/>
          <w:bCs/>
        </w:rPr>
        <w:t>17</w:t>
      </w:r>
      <w:r w:rsidRPr="00C60F7D">
        <w:rPr>
          <w:rFonts w:eastAsia="Calibri" w:cs="Times New Roman"/>
          <w:bCs/>
        </w:rPr>
        <w:t xml:space="preserve"> per cent</w:t>
      </w:r>
      <w:r w:rsidR="004855A7">
        <w:rPr>
          <w:rFonts w:eastAsia="Calibri" w:cs="Times New Roman"/>
          <w:bCs/>
        </w:rPr>
        <w:t xml:space="preserve"> in December 2025.</w:t>
      </w:r>
      <w:r w:rsidRPr="00C60F7D">
        <w:rPr>
          <w:rFonts w:eastAsia="Calibri" w:cs="Times New Roman"/>
          <w:bCs/>
        </w:rPr>
        <w:t xml:space="preserve"> Prices of goods and services in the basket continue to increase through the years 20</w:t>
      </w:r>
      <w:r w:rsidR="00F77BCC">
        <w:rPr>
          <w:rFonts w:eastAsia="Calibri" w:cs="Times New Roman"/>
          <w:bCs/>
        </w:rPr>
        <w:t>23 to 2025</w:t>
      </w:r>
      <w:r w:rsidR="002B18F4">
        <w:rPr>
          <w:rFonts w:eastAsia="Calibri" w:cs="Times New Roman"/>
          <w:bCs/>
        </w:rPr>
        <w:t xml:space="preserve"> </w:t>
      </w:r>
      <w:r w:rsidRPr="00C60F7D">
        <w:rPr>
          <w:rFonts w:eastAsia="Calibri" w:cs="Times New Roman"/>
          <w:bCs/>
        </w:rPr>
        <w:t>(NBS</w:t>
      </w:r>
      <w:r w:rsidR="00062D49">
        <w:rPr>
          <w:rFonts w:eastAsia="Calibri" w:cs="Times New Roman"/>
          <w:bCs/>
        </w:rPr>
        <w:t xml:space="preserve"> </w:t>
      </w:r>
      <w:r w:rsidR="00062D49" w:rsidRPr="00062D49">
        <w:rPr>
          <w:rFonts w:eastAsia="Calibri" w:cs="Times New Roman"/>
          <w:bCs/>
        </w:rPr>
        <w:t xml:space="preserve">website). </w:t>
      </w:r>
      <w:r w:rsidR="007B1078" w:rsidRPr="007B1078">
        <w:rPr>
          <w:rFonts w:eastAsia="Calibri" w:cs="Times New Roman"/>
          <w:bCs/>
        </w:rPr>
        <w:t>CPI is used to proxy inflation because it is the most often used economic indicator for identifying periods of inflation (or deflation); changes in CPI reflect changes in the cost of living and are commonly used as a measure of inflation rate, among other things (Omotosho and Doguwa, 2012).</w:t>
      </w:r>
    </w:p>
    <w:p w14:paraId="35B3D314" w14:textId="025F65F1" w:rsidR="004478CD" w:rsidRPr="00DA355B" w:rsidRDefault="004478CD" w:rsidP="00596328">
      <w:pPr>
        <w:pStyle w:val="Heading2"/>
        <w:spacing w:line="240" w:lineRule="auto"/>
        <w:rPr>
          <w:rFonts w:eastAsia="Times New Roman"/>
        </w:rPr>
      </w:pPr>
      <w:bookmarkStart w:id="5" w:name="_Toc227924528"/>
      <w:r w:rsidRPr="00DA355B">
        <w:rPr>
          <w:rFonts w:eastAsia="Times New Roman"/>
        </w:rPr>
        <w:t>2.</w:t>
      </w:r>
      <w:r w:rsidR="00BD102D">
        <w:rPr>
          <w:rFonts w:eastAsia="Times New Roman"/>
        </w:rPr>
        <w:t xml:space="preserve">2 </w:t>
      </w:r>
      <w:r w:rsidRPr="00DA355B">
        <w:rPr>
          <w:rFonts w:eastAsia="Times New Roman"/>
        </w:rPr>
        <w:t>Contextual Review of Money Supply and Inflation Trends in Nigeria</w:t>
      </w:r>
      <w:bookmarkEnd w:id="5"/>
    </w:p>
    <w:p w14:paraId="22EC69E6" w14:textId="24004503" w:rsidR="004478CD" w:rsidRPr="00DA355B" w:rsidRDefault="004478CD" w:rsidP="00596328">
      <w:pPr>
        <w:spacing w:after="0" w:line="240" w:lineRule="auto"/>
      </w:pPr>
      <w:r w:rsidRPr="00376118">
        <w:t>Nigeria’s money supply has exhibited rapid growth in recent years, reflecting both domestic</w:t>
      </w:r>
      <w:r w:rsidRPr="00E4660C">
        <w:rPr>
          <w:color w:val="FF0000"/>
        </w:rPr>
        <w:t xml:space="preserve"> </w:t>
      </w:r>
      <w:r w:rsidRPr="00DA355B">
        <w:t xml:space="preserve">and external factors. Broad money (M3), which captures currency in circulation, demand deposits, savings, and quasi-money, has expanded significantly. For instance, the Central Bank of Nigeria (CBN) reported that money supply rose from ₦53.14 trillion in January 2023 to ₦93.72 trillion in January 2024, representing a year-on-year increase of approximately 76 percent (Centre for the Study of the Economies of Africa [CSEA], 2024). By March 2025, broad money had reached ₦114.22 trillion, an increase of about 24 percent relative to March 2024 </w:t>
      </w:r>
      <w:r w:rsidR="00494DAD" w:rsidRPr="00494DAD">
        <w:rPr>
          <w:bCs/>
        </w:rPr>
        <w:t>(Punch newspaper, September 11, 2024).</w:t>
      </w:r>
    </w:p>
    <w:p w14:paraId="62A75B91" w14:textId="3514515A" w:rsidR="004478CD" w:rsidRPr="00DA355B" w:rsidRDefault="004478CD" w:rsidP="00596328">
      <w:pPr>
        <w:spacing w:after="0" w:line="240" w:lineRule="auto"/>
      </w:pPr>
      <w:r w:rsidRPr="00DA355B">
        <w:t xml:space="preserve">The drivers of this monetary expansion are primarily linked to increases in net domestic assets (NDA), including rising credit to government </w:t>
      </w:r>
      <w:r w:rsidR="009476A6" w:rsidRPr="00DA355B">
        <w:t>because of</w:t>
      </w:r>
      <w:r w:rsidRPr="00DA355B">
        <w:t xml:space="preserve"> persistent fiscal deficits, and changes in net foreign assets (NFA) arising from exchange rate valuation effects, </w:t>
      </w:r>
      <w:r w:rsidR="005C009E">
        <w:t>(</w:t>
      </w:r>
      <w:r w:rsidRPr="00DA355B">
        <w:t>CSEA, 2024). Fiscal dominance has been a recurring theme, as the CBN has often accommodated deficit financing through ways and means advances and other quasi-fiscal operations.</w:t>
      </w:r>
    </w:p>
    <w:p w14:paraId="4970C0A9" w14:textId="56FD4AE8" w:rsidR="004478CD" w:rsidRPr="00DA355B" w:rsidRDefault="004478CD" w:rsidP="00596328">
      <w:pPr>
        <w:spacing w:after="0" w:line="240" w:lineRule="auto"/>
      </w:pPr>
      <w:r w:rsidRPr="00DA355B">
        <w:t>Despite the implementation of contractionary monetary measures such as increases in the Monetary Policy Rate (MPR)—which rose from 18.75 percent in early 2024 to 27.5 percent in 2025—and stringent cash reserve requirements (CRR), excess liquidity continues to characterize the Nigerian financial system (Punch</w:t>
      </w:r>
      <w:r w:rsidR="005C009E">
        <w:t xml:space="preserve"> newspapers</w:t>
      </w:r>
      <w:r w:rsidRPr="00DA355B">
        <w:t>, 2025). Although some moderation has been observed, with a slight month-on-month decline in money supply in February 2025 (ACIOE, 2025), the overall year-on-year growth trajectory remains historically high.</w:t>
      </w:r>
    </w:p>
    <w:p w14:paraId="4C784AFB" w14:textId="59176AEB" w:rsidR="004478CD" w:rsidRPr="00DA355B" w:rsidRDefault="004478CD" w:rsidP="00596328">
      <w:pPr>
        <w:spacing w:before="100" w:beforeAutospacing="1" w:after="0" w:line="240" w:lineRule="auto"/>
        <w:rPr>
          <w:rFonts w:eastAsia="Times New Roman" w:cs="Times New Roman"/>
        </w:rPr>
      </w:pPr>
      <w:r w:rsidRPr="00DA355B">
        <w:rPr>
          <w:rFonts w:eastAsia="Times New Roman" w:cs="Times New Roman"/>
        </w:rPr>
        <w:t>Inflation in Nigeria has mirrored the dynamics of money supply but is also strongly influenced by structural and external shocks. Headline inflation reached 3</w:t>
      </w:r>
      <w:r w:rsidR="00D62F50">
        <w:rPr>
          <w:rFonts w:eastAsia="Times New Roman" w:cs="Times New Roman"/>
        </w:rPr>
        <w:t>4</w:t>
      </w:r>
      <w:r w:rsidRPr="00DA355B">
        <w:rPr>
          <w:rFonts w:eastAsia="Times New Roman" w:cs="Times New Roman"/>
        </w:rPr>
        <w:t>.</w:t>
      </w:r>
      <w:r w:rsidR="00D62F50">
        <w:rPr>
          <w:rFonts w:eastAsia="Times New Roman" w:cs="Times New Roman"/>
        </w:rPr>
        <w:t>60</w:t>
      </w:r>
      <w:r w:rsidRPr="00DA355B">
        <w:rPr>
          <w:rFonts w:eastAsia="Times New Roman" w:cs="Times New Roman"/>
        </w:rPr>
        <w:t xml:space="preserve"> percent a</w:t>
      </w:r>
      <w:r w:rsidR="009F1972">
        <w:rPr>
          <w:rFonts w:eastAsia="Times New Roman" w:cs="Times New Roman"/>
        </w:rPr>
        <w:t xml:space="preserve">s at November </w:t>
      </w:r>
      <w:r w:rsidRPr="00DA355B">
        <w:rPr>
          <w:rFonts w:eastAsia="Times New Roman" w:cs="Times New Roman"/>
        </w:rPr>
        <w:t xml:space="preserve">2024, one of the highest rates recorded in decades (YCharts, 2024). Food inflation, transportation costs, and energy prices have been the main drivers, reflecting the removal of fuel subsidies, currency devaluation, and persistent supply chain disruptions </w:t>
      </w:r>
      <w:r w:rsidR="00C969D5" w:rsidRPr="00C969D5">
        <w:rPr>
          <w:rFonts w:eastAsia="Times New Roman" w:cs="Times New Roman"/>
        </w:rPr>
        <w:t>(Ayenigba, 2025)</w:t>
      </w:r>
      <w:r w:rsidR="00C969D5">
        <w:rPr>
          <w:rFonts w:eastAsia="Times New Roman" w:cs="Times New Roman"/>
        </w:rPr>
        <w:t>.</w:t>
      </w:r>
    </w:p>
    <w:p w14:paraId="3DE16C0E" w14:textId="77777777" w:rsidR="004478CD" w:rsidRPr="00DA355B" w:rsidRDefault="004478CD" w:rsidP="00596328">
      <w:pPr>
        <w:spacing w:before="100" w:beforeAutospacing="1" w:after="0" w:line="240" w:lineRule="auto"/>
        <w:rPr>
          <w:rFonts w:eastAsia="Times New Roman" w:cs="Times New Roman"/>
        </w:rPr>
      </w:pPr>
      <w:r w:rsidRPr="00DA355B">
        <w:rPr>
          <w:rFonts w:eastAsia="Times New Roman" w:cs="Times New Roman"/>
        </w:rPr>
        <w:t xml:space="preserve">Although monetary expansion contributes to demand-pull inflation, Nigeria’s inflationary episodes are also driven by exchange rate pass-through effects, particularly given the economy’s high dependence on imports of food, fuel, and intermediate goods (Budget Office </w:t>
      </w:r>
      <w:r w:rsidRPr="00DA355B">
        <w:rPr>
          <w:rFonts w:eastAsia="Times New Roman" w:cs="Times New Roman"/>
        </w:rPr>
        <w:lastRenderedPageBreak/>
        <w:t>of Kano State, 2024). In addition, insecurity and poor infrastructure have constrained food supply and production, thereby amplifying cost-push inflationary pressures.</w:t>
      </w:r>
    </w:p>
    <w:p w14:paraId="2C96FEC5" w14:textId="289665AF" w:rsidR="004478CD" w:rsidRPr="00D947E7" w:rsidRDefault="004478CD" w:rsidP="00596328">
      <w:pPr>
        <w:spacing w:before="100" w:beforeAutospacing="1" w:after="0" w:line="240" w:lineRule="auto"/>
        <w:rPr>
          <w:rFonts w:eastAsia="Times New Roman" w:cs="Times New Roman"/>
        </w:rPr>
      </w:pPr>
      <w:r w:rsidRPr="00DA355B">
        <w:rPr>
          <w:rFonts w:eastAsia="Times New Roman" w:cs="Times New Roman"/>
        </w:rPr>
        <w:t>While inflationary pressures intensified throughout 2023 and early 2024, some moderation has been observed in 2025. For example, headline inflation declined to 20.12 percent in August 2025, following months of elevated rates, partly due to tighter monetary policy, exchange rate stabilization, and statistical base effects (Reuters, 2025). Nevertheless, inflation expectations remain elevated, creating the risk of a wage-price spiral and complicating macroeconomic stabilization.</w:t>
      </w:r>
    </w:p>
    <w:p w14:paraId="06CA3C39" w14:textId="0417E718" w:rsidR="004478CD" w:rsidRPr="00DA355B" w:rsidRDefault="004478CD" w:rsidP="00596328">
      <w:pPr>
        <w:spacing w:before="100" w:beforeAutospacing="1" w:after="0" w:line="240" w:lineRule="auto"/>
        <w:rPr>
          <w:rFonts w:eastAsia="Times New Roman" w:cs="Times New Roman"/>
        </w:rPr>
      </w:pPr>
      <w:r w:rsidRPr="00DA355B">
        <w:rPr>
          <w:rFonts w:eastAsia="Times New Roman" w:cs="Times New Roman"/>
        </w:rPr>
        <w:t>The interaction between money supply and inflation in Nigeria reveals a pattern of positive long-run correlation. Rapid monetary expansion, particularly through fiscal accommodation, tends to translate into persistent inflationary pressures (Okeke, 2023; Olaoye &amp; Anyanwu, 202</w:t>
      </w:r>
      <w:r w:rsidR="00D947E7">
        <w:rPr>
          <w:rFonts w:eastAsia="Times New Roman" w:cs="Times New Roman"/>
        </w:rPr>
        <w:t>4</w:t>
      </w:r>
      <w:r w:rsidRPr="00DA355B">
        <w:rPr>
          <w:rFonts w:eastAsia="Times New Roman" w:cs="Times New Roman"/>
        </w:rPr>
        <w:t>). However, in the short run, the relationship is less straightforward, as external shocks, exchange rate fluctuations, and structural rigidities often overshadow the immediate effect of monetary growth (Ibrahim et al., 2017).</w:t>
      </w:r>
    </w:p>
    <w:p w14:paraId="760174A5" w14:textId="3F8518AD" w:rsidR="005D046C" w:rsidRPr="004478CD" w:rsidRDefault="004478CD" w:rsidP="00596328">
      <w:pPr>
        <w:spacing w:before="100" w:beforeAutospacing="1" w:after="0" w:line="240" w:lineRule="auto"/>
        <w:rPr>
          <w:rFonts w:eastAsia="Times New Roman" w:cs="Times New Roman"/>
        </w:rPr>
      </w:pPr>
      <w:r w:rsidRPr="00DA355B">
        <w:rPr>
          <w:rFonts w:eastAsia="Times New Roman" w:cs="Times New Roman"/>
        </w:rPr>
        <w:t xml:space="preserve">Recent evidence underscores that the effectiveness of monetary tightening has been constrained by fiscal dominance and supply-side shocks. For instance, while </w:t>
      </w:r>
      <w:r w:rsidR="00056457" w:rsidRPr="00DA355B">
        <w:rPr>
          <w:rFonts w:eastAsia="Times New Roman" w:cs="Times New Roman"/>
        </w:rPr>
        <w:t>CBN</w:t>
      </w:r>
      <w:r w:rsidRPr="00DA355B">
        <w:rPr>
          <w:rFonts w:eastAsia="Times New Roman" w:cs="Times New Roman"/>
        </w:rPr>
        <w:t xml:space="preserve"> raised policy rates aggressively and increased reserve requirements, inflation remained high because subsidy removal and naira depreciation created powerful cost-push pressures </w:t>
      </w:r>
      <w:r w:rsidR="006F4611" w:rsidRPr="006F4611">
        <w:rPr>
          <w:rFonts w:eastAsia="Times New Roman" w:cs="Times New Roman"/>
        </w:rPr>
        <w:t>(Ayenigba, 2025)</w:t>
      </w:r>
      <w:r w:rsidRPr="00DA355B">
        <w:rPr>
          <w:rFonts w:eastAsia="Times New Roman" w:cs="Times New Roman"/>
        </w:rPr>
        <w:t>. Consequently, the inflationary process in Nigeria cannot be explained solely by changes in money supply but rather by a combination of monetary, fiscal, and structural factors.</w:t>
      </w:r>
    </w:p>
    <w:p w14:paraId="6AE6BF57" w14:textId="556E64B2" w:rsidR="00C36C76" w:rsidRPr="00A32FAD" w:rsidRDefault="00C36C76" w:rsidP="00596328">
      <w:pPr>
        <w:pStyle w:val="Heading2"/>
        <w:spacing w:line="240" w:lineRule="auto"/>
        <w:rPr>
          <w:rFonts w:eastAsia="Calibri"/>
        </w:rPr>
      </w:pPr>
      <w:bookmarkStart w:id="6" w:name="_Toc227924532"/>
      <w:r w:rsidRPr="00A32FAD">
        <w:rPr>
          <w:rFonts w:eastAsia="Calibri"/>
        </w:rPr>
        <w:t>2.</w:t>
      </w:r>
      <w:r w:rsidR="00BD102D">
        <w:rPr>
          <w:rFonts w:eastAsia="Calibri"/>
        </w:rPr>
        <w:t>3</w:t>
      </w:r>
      <w:r w:rsidRPr="00A32FAD">
        <w:rPr>
          <w:rFonts w:eastAsia="Calibri"/>
        </w:rPr>
        <w:t xml:space="preserve"> Theoretical Review</w:t>
      </w:r>
      <w:bookmarkEnd w:id="6"/>
    </w:p>
    <w:p w14:paraId="747A0E48" w14:textId="04A9E682" w:rsidR="00C36C76" w:rsidRPr="00A32FAD" w:rsidRDefault="00C36C76" w:rsidP="00596328">
      <w:pPr>
        <w:pStyle w:val="Heading3"/>
        <w:spacing w:line="240" w:lineRule="auto"/>
        <w:rPr>
          <w:rFonts w:eastAsia="Calibri"/>
        </w:rPr>
      </w:pPr>
      <w:bookmarkStart w:id="7" w:name="_Toc227924533"/>
      <w:r w:rsidRPr="00A32FAD">
        <w:rPr>
          <w:rFonts w:eastAsia="Calibri"/>
        </w:rPr>
        <w:t>2.</w:t>
      </w:r>
      <w:r w:rsidR="00BD102D">
        <w:rPr>
          <w:rFonts w:eastAsia="Calibri"/>
        </w:rPr>
        <w:t>3</w:t>
      </w:r>
      <w:r w:rsidRPr="00A32FAD">
        <w:rPr>
          <w:rFonts w:eastAsia="Calibri"/>
        </w:rPr>
        <w:t>.1. Monetarist Theory</w:t>
      </w:r>
      <w:bookmarkEnd w:id="7"/>
    </w:p>
    <w:p w14:paraId="48546CAB" w14:textId="54C8D650" w:rsidR="004D450C" w:rsidRDefault="004D450C" w:rsidP="00596328">
      <w:pPr>
        <w:spacing w:after="0" w:line="240" w:lineRule="auto"/>
        <w:rPr>
          <w:rFonts w:eastAsia="Calibri" w:cs="Times New Roman"/>
          <w:bCs/>
        </w:rPr>
      </w:pPr>
      <w:r w:rsidRPr="004D450C">
        <w:rPr>
          <w:rFonts w:eastAsia="Calibri" w:cs="Times New Roman"/>
          <w:bCs/>
        </w:rPr>
        <w:t xml:space="preserve">The monetarist theory is largely attributed to Milton Friedman (1963), an American economist and recipient of the Nobel Prize in Economic Sciences in 1976. In his seminal work, A Monetary History of the United States, 1867–1960, Friedman demonstrated the central role of monetary policy in the emergence and, arguably, the deepening of the Great Depression. Drawing insights from Keynesian economics, Friedman developed the monetarist framework, which emphasizes the importance of monetary policy and asserts that changes in the money supply exert both short-run and long-run effects on the economy. </w:t>
      </w:r>
      <w:r w:rsidR="00392152" w:rsidRPr="004D450C">
        <w:rPr>
          <w:rFonts w:eastAsia="Calibri" w:cs="Times New Roman"/>
          <w:bCs/>
        </w:rPr>
        <w:t>Variations</w:t>
      </w:r>
      <w:r w:rsidRPr="004D450C">
        <w:rPr>
          <w:rFonts w:eastAsia="Calibri" w:cs="Times New Roman"/>
          <w:bCs/>
        </w:rPr>
        <w:t xml:space="preserve"> in the money supply are argued to influence the general price level.</w:t>
      </w:r>
    </w:p>
    <w:p w14:paraId="393374C5" w14:textId="4BA94B3C" w:rsidR="001F0DF2" w:rsidRDefault="001F0DF2" w:rsidP="00596328">
      <w:pPr>
        <w:spacing w:after="0" w:line="240" w:lineRule="auto"/>
        <w:rPr>
          <w:rFonts w:eastAsia="Calibri" w:cs="Times New Roman"/>
          <w:bCs/>
        </w:rPr>
      </w:pPr>
      <w:r w:rsidRPr="001F0DF2">
        <w:rPr>
          <w:rFonts w:eastAsia="Calibri" w:cs="Times New Roman"/>
          <w:bCs/>
        </w:rPr>
        <w:t>More broadly, monetarists contend that inflation arises when the monetary authority supplies money more than its demand, thereby increasing the availability of credit and stimulating aggregate demand beyond the productive capacity of the economy. In fulfilling its mandate, the monetary authority can expand or contract the money supply through policy instruments, including the manipulation of interest rates</w:t>
      </w:r>
      <w:r w:rsidR="005F3D1B">
        <w:rPr>
          <w:rFonts w:eastAsia="Calibri" w:cs="Times New Roman"/>
          <w:bCs/>
        </w:rPr>
        <w:t>.</w:t>
      </w:r>
    </w:p>
    <w:p w14:paraId="7080935A" w14:textId="718879D2" w:rsidR="000E28B7" w:rsidRDefault="00D956EE" w:rsidP="00596328">
      <w:pPr>
        <w:spacing w:after="0" w:line="240" w:lineRule="auto"/>
        <w:rPr>
          <w:rFonts w:eastAsia="Calibri" w:cs="Times New Roman"/>
          <w:bCs/>
        </w:rPr>
      </w:pPr>
      <w:r w:rsidRPr="00D956EE">
        <w:rPr>
          <w:rFonts w:eastAsia="Calibri" w:cs="Times New Roman"/>
          <w:bCs/>
        </w:rPr>
        <w:t xml:space="preserve">The central bank of a country can </w:t>
      </w:r>
      <w:r w:rsidR="00056457" w:rsidRPr="00D956EE">
        <w:rPr>
          <w:rFonts w:eastAsia="Calibri" w:cs="Times New Roman"/>
          <w:bCs/>
        </w:rPr>
        <w:t>influence</w:t>
      </w:r>
      <w:r w:rsidRPr="00D956EE">
        <w:rPr>
          <w:rFonts w:eastAsia="Calibri" w:cs="Times New Roman"/>
          <w:bCs/>
        </w:rPr>
        <w:t xml:space="preserve"> interest rates by adjusting the Monetary Policy Rate (MPR), either upward under a contractionary stance or downward under an expansionary stance. The MPR serves as the anchor policy rate through which monetary authorities regulate liquidity conditions, control money supply, and influence inflation. Changes in the MPR transmit to other interest rates in the economy, such that an increase in the MPR generally leads to higher market interest rates. This, in turn, reduces the volume of credit available to businesses and households, dampens aggregate demand, and ultimately moderates inflationary pressures. Conversely, a reduction in the MPR lowers interest rates, encourages borrowing and investment by consumers and firms, boosts aggregate demand, and supports economic growth. As emphasized by Friedman (1963</w:t>
      </w:r>
      <w:r w:rsidR="00056457" w:rsidRPr="00D956EE">
        <w:rPr>
          <w:rFonts w:eastAsia="Calibri" w:cs="Times New Roman"/>
          <w:bCs/>
        </w:rPr>
        <w:t>),</w:t>
      </w:r>
      <w:r w:rsidR="00056457">
        <w:rPr>
          <w:rFonts w:eastAsia="Calibri" w:cs="Times New Roman"/>
          <w:bCs/>
        </w:rPr>
        <w:t xml:space="preserve"> </w:t>
      </w:r>
      <w:r w:rsidRPr="00D956EE">
        <w:rPr>
          <w:rFonts w:eastAsia="Calibri" w:cs="Times New Roman"/>
          <w:bCs/>
        </w:rPr>
        <w:t xml:space="preserve">inflation is always and </w:t>
      </w:r>
      <w:r w:rsidRPr="00D956EE">
        <w:rPr>
          <w:rFonts w:eastAsia="Calibri" w:cs="Times New Roman"/>
          <w:bCs/>
        </w:rPr>
        <w:lastRenderedPageBreak/>
        <w:t xml:space="preserve">everywhere a monetary phenomenon in the sense that it is and can be produced only by a more rapid increase in the quantity of money than </w:t>
      </w:r>
      <w:r w:rsidR="00056457" w:rsidRPr="00D956EE">
        <w:rPr>
          <w:rFonts w:eastAsia="Calibri" w:cs="Times New Roman"/>
          <w:bCs/>
        </w:rPr>
        <w:t>output</w:t>
      </w:r>
      <w:r w:rsidR="00056457">
        <w:rPr>
          <w:rFonts w:eastAsia="Calibri" w:cs="Times New Roman"/>
          <w:bCs/>
        </w:rPr>
        <w:t>.</w:t>
      </w:r>
    </w:p>
    <w:p w14:paraId="7B60C675" w14:textId="2DFFBFCF" w:rsidR="00673D6D" w:rsidRPr="00AC3993" w:rsidRDefault="00673D6D" w:rsidP="00596328">
      <w:pPr>
        <w:pStyle w:val="Heading2"/>
        <w:spacing w:line="240" w:lineRule="auto"/>
        <w:rPr>
          <w:rFonts w:eastAsia="Calibri"/>
        </w:rPr>
      </w:pPr>
      <w:bookmarkStart w:id="8" w:name="_Toc227924539"/>
      <w:r w:rsidRPr="00AC3993">
        <w:rPr>
          <w:rFonts w:eastAsia="Calibri"/>
        </w:rPr>
        <w:t>2.</w:t>
      </w:r>
      <w:r w:rsidR="00BD102D">
        <w:rPr>
          <w:rFonts w:eastAsia="Calibri"/>
        </w:rPr>
        <w:t>4</w:t>
      </w:r>
      <w:r w:rsidRPr="00AC3993">
        <w:rPr>
          <w:rFonts w:eastAsia="Calibri"/>
        </w:rPr>
        <w:t xml:space="preserve"> Empirical Review</w:t>
      </w:r>
      <w:bookmarkEnd w:id="8"/>
    </w:p>
    <w:p w14:paraId="421C6E1F" w14:textId="77777777" w:rsidR="00103FA3" w:rsidRDefault="00673D6D" w:rsidP="00596328">
      <w:pPr>
        <w:spacing w:after="0" w:line="240" w:lineRule="auto"/>
        <w:rPr>
          <w:rFonts w:eastAsia="Calibri" w:cs="Times New Roman"/>
          <w:bCs/>
        </w:rPr>
      </w:pPr>
      <w:r w:rsidRPr="00A92011">
        <w:rPr>
          <w:rFonts w:eastAsia="Calibri" w:cs="Times New Roman"/>
          <w:bCs/>
        </w:rPr>
        <w:t xml:space="preserve">Inflation has been a major economic variable that researchers have kept close eyes on and continue to explore due to its direct or indirect effect on socio-economic factors in mostly developing countries like Nigeria. Several studies have been carried out </w:t>
      </w:r>
      <w:r w:rsidR="001A4E3A">
        <w:rPr>
          <w:rFonts w:eastAsia="Calibri" w:cs="Times New Roman"/>
          <w:bCs/>
        </w:rPr>
        <w:t>on inflation in Nigeria. Some of these studies validated</w:t>
      </w:r>
      <w:r w:rsidRPr="00A92011">
        <w:rPr>
          <w:rFonts w:eastAsia="Calibri" w:cs="Times New Roman"/>
          <w:bCs/>
        </w:rPr>
        <w:t xml:space="preserve"> monetarist view while others validate</w:t>
      </w:r>
      <w:r w:rsidR="001A4E3A">
        <w:rPr>
          <w:rFonts w:eastAsia="Calibri" w:cs="Times New Roman"/>
          <w:bCs/>
        </w:rPr>
        <w:t>d</w:t>
      </w:r>
      <w:r w:rsidRPr="00A92011">
        <w:rPr>
          <w:rFonts w:eastAsia="Calibri" w:cs="Times New Roman"/>
          <w:bCs/>
        </w:rPr>
        <w:t xml:space="preserve"> Keynesian theory. </w:t>
      </w:r>
    </w:p>
    <w:p w14:paraId="6365D705" w14:textId="57B9758D" w:rsidR="00EE64C3" w:rsidRPr="00EE64C3" w:rsidRDefault="00EE64C3" w:rsidP="00596328">
      <w:pPr>
        <w:spacing w:after="0" w:line="240" w:lineRule="auto"/>
        <w:rPr>
          <w:rFonts w:eastAsia="Calibri" w:cs="Times New Roman"/>
          <w:bCs/>
        </w:rPr>
      </w:pPr>
      <w:r w:rsidRPr="00EE64C3">
        <w:rPr>
          <w:rFonts w:eastAsia="Calibri" w:cs="Times New Roman"/>
          <w:bCs/>
        </w:rPr>
        <w:t xml:space="preserve">Ayenigba (2025) empirically examined </w:t>
      </w:r>
      <w:r w:rsidR="004F478F">
        <w:rPr>
          <w:rFonts w:eastAsia="Calibri" w:cs="Times New Roman"/>
          <w:bCs/>
        </w:rPr>
        <w:t>‘a</w:t>
      </w:r>
      <w:r w:rsidR="004F478F" w:rsidRPr="004F478F">
        <w:rPr>
          <w:rFonts w:eastAsia="Calibri" w:cs="Times New Roman"/>
          <w:bCs/>
        </w:rPr>
        <w:t xml:space="preserve"> </w:t>
      </w:r>
      <w:r w:rsidR="004F478F">
        <w:rPr>
          <w:rFonts w:eastAsia="Calibri" w:cs="Times New Roman"/>
          <w:bCs/>
        </w:rPr>
        <w:t>d</w:t>
      </w:r>
      <w:r w:rsidR="004F478F" w:rsidRPr="004F478F">
        <w:rPr>
          <w:rFonts w:eastAsia="Calibri" w:cs="Times New Roman"/>
          <w:bCs/>
        </w:rPr>
        <w:t xml:space="preserve">ecade of </w:t>
      </w:r>
      <w:r w:rsidR="004F478F">
        <w:rPr>
          <w:rFonts w:eastAsia="Calibri" w:cs="Times New Roman"/>
          <w:bCs/>
        </w:rPr>
        <w:t>f</w:t>
      </w:r>
      <w:r w:rsidR="004F478F" w:rsidRPr="004F478F">
        <w:rPr>
          <w:rFonts w:eastAsia="Calibri" w:cs="Times New Roman"/>
          <w:bCs/>
        </w:rPr>
        <w:t xml:space="preserve">uel </w:t>
      </w:r>
      <w:r w:rsidR="004F478F">
        <w:rPr>
          <w:rFonts w:eastAsia="Calibri" w:cs="Times New Roman"/>
          <w:bCs/>
        </w:rPr>
        <w:t>p</w:t>
      </w:r>
      <w:r w:rsidR="004F478F" w:rsidRPr="004F478F">
        <w:rPr>
          <w:rFonts w:eastAsia="Calibri" w:cs="Times New Roman"/>
          <w:bCs/>
        </w:rPr>
        <w:t xml:space="preserve">rice </w:t>
      </w:r>
      <w:r w:rsidR="004F478F">
        <w:rPr>
          <w:rFonts w:eastAsia="Calibri" w:cs="Times New Roman"/>
          <w:bCs/>
        </w:rPr>
        <w:t>f</w:t>
      </w:r>
      <w:r w:rsidR="004F478F" w:rsidRPr="004F478F">
        <w:rPr>
          <w:rFonts w:eastAsia="Calibri" w:cs="Times New Roman"/>
          <w:bCs/>
        </w:rPr>
        <w:t xml:space="preserve">luctuations: </w:t>
      </w:r>
      <w:r w:rsidR="004F478F">
        <w:rPr>
          <w:rFonts w:eastAsia="Calibri" w:cs="Times New Roman"/>
          <w:bCs/>
        </w:rPr>
        <w:t>t</w:t>
      </w:r>
      <w:r w:rsidR="004F478F" w:rsidRPr="004F478F">
        <w:rPr>
          <w:rFonts w:eastAsia="Calibri" w:cs="Times New Roman"/>
          <w:bCs/>
        </w:rPr>
        <w:t xml:space="preserve">he </w:t>
      </w:r>
      <w:r w:rsidR="004F478F">
        <w:rPr>
          <w:rFonts w:eastAsia="Calibri" w:cs="Times New Roman"/>
          <w:bCs/>
        </w:rPr>
        <w:t>t</w:t>
      </w:r>
      <w:r w:rsidR="004F478F" w:rsidRPr="004F478F">
        <w:rPr>
          <w:rFonts w:eastAsia="Calibri" w:cs="Times New Roman"/>
          <w:bCs/>
        </w:rPr>
        <w:t xml:space="preserve">rend and </w:t>
      </w:r>
      <w:r w:rsidR="004F478F">
        <w:rPr>
          <w:rFonts w:eastAsia="Calibri" w:cs="Times New Roman"/>
          <w:bCs/>
        </w:rPr>
        <w:t>t</w:t>
      </w:r>
      <w:r w:rsidR="004F478F" w:rsidRPr="004F478F">
        <w:rPr>
          <w:rFonts w:eastAsia="Calibri" w:cs="Times New Roman"/>
          <w:bCs/>
        </w:rPr>
        <w:t xml:space="preserve">heir </w:t>
      </w:r>
      <w:r w:rsidR="004F478F">
        <w:rPr>
          <w:rFonts w:eastAsia="Calibri" w:cs="Times New Roman"/>
          <w:bCs/>
        </w:rPr>
        <w:t>i</w:t>
      </w:r>
      <w:r w:rsidR="004F478F" w:rsidRPr="004F478F">
        <w:rPr>
          <w:rFonts w:eastAsia="Calibri" w:cs="Times New Roman"/>
          <w:bCs/>
        </w:rPr>
        <w:t xml:space="preserve">nflationary </w:t>
      </w:r>
      <w:r w:rsidR="004F478F">
        <w:rPr>
          <w:rFonts w:eastAsia="Calibri" w:cs="Times New Roman"/>
          <w:bCs/>
        </w:rPr>
        <w:t>e</w:t>
      </w:r>
      <w:r w:rsidR="004F478F" w:rsidRPr="004F478F">
        <w:rPr>
          <w:rFonts w:eastAsia="Calibri" w:cs="Times New Roman"/>
          <w:bCs/>
        </w:rPr>
        <w:t>ffects in Nigeria (2014-2024)</w:t>
      </w:r>
      <w:r w:rsidR="004F478F">
        <w:rPr>
          <w:rFonts w:eastAsia="Calibri" w:cs="Times New Roman"/>
          <w:bCs/>
        </w:rPr>
        <w:t>’</w:t>
      </w:r>
      <w:r w:rsidRPr="00EE64C3">
        <w:rPr>
          <w:rFonts w:eastAsia="Calibri" w:cs="Times New Roman"/>
          <w:bCs/>
        </w:rPr>
        <w:t xml:space="preserve"> using annual data and a simple linear regression model, finding a very strong positive correlation (r = 0.93) and high explanatory power (R² = 0.871), with each ₦1 increase in fuel price raising inflation by 0.0245%; the study attributes the 2023–2024 inflation surge largely to subsidy removal and recommends phased reforms and energy diversification. While this provides valuable insight into cost-push inflation, its bivariate design and omission of monetary and exchange-rate variables </w:t>
      </w:r>
      <w:r w:rsidR="00103FA3">
        <w:rPr>
          <w:rFonts w:eastAsia="Calibri" w:cs="Times New Roman"/>
          <w:bCs/>
        </w:rPr>
        <w:t>form</w:t>
      </w:r>
      <w:r>
        <w:rPr>
          <w:rFonts w:eastAsia="Calibri" w:cs="Times New Roman"/>
          <w:bCs/>
        </w:rPr>
        <w:t xml:space="preserve"> part of its limitation.</w:t>
      </w:r>
      <w:r w:rsidRPr="00EE64C3">
        <w:rPr>
          <w:rFonts w:eastAsia="Calibri" w:cs="Times New Roman"/>
          <w:bCs/>
        </w:rPr>
        <w:t xml:space="preserve"> Ayenigba’s model risks omitted-variable bias, spurious correlation due to trending data, and underestimation of monetary policy and exchange-rate channels, suggesting that fuel-price shocks, though significant, operate within a broader macro-financial context where money supply and </w:t>
      </w:r>
      <w:r>
        <w:rPr>
          <w:rFonts w:eastAsia="Calibri" w:cs="Times New Roman"/>
          <w:bCs/>
        </w:rPr>
        <w:t>forex</w:t>
      </w:r>
      <w:r w:rsidRPr="00EE64C3">
        <w:rPr>
          <w:rFonts w:eastAsia="Calibri" w:cs="Times New Roman"/>
          <w:bCs/>
        </w:rPr>
        <w:t xml:space="preserve"> pressures often amplify or even overshadow energy-cost effects</w:t>
      </w:r>
      <w:r>
        <w:rPr>
          <w:rFonts w:eastAsia="Calibri" w:cs="Times New Roman"/>
          <w:bCs/>
        </w:rPr>
        <w:t>.</w:t>
      </w:r>
    </w:p>
    <w:p w14:paraId="4080B653" w14:textId="77777777" w:rsidR="00103FA3" w:rsidRDefault="00103FA3" w:rsidP="00596328">
      <w:pPr>
        <w:spacing w:after="0" w:line="240" w:lineRule="auto"/>
        <w:rPr>
          <w:rFonts w:eastAsia="Calibri" w:cs="Times New Roman"/>
          <w:bCs/>
        </w:rPr>
      </w:pPr>
    </w:p>
    <w:p w14:paraId="6BD37285" w14:textId="17F22BA2" w:rsidR="0054497D" w:rsidRDefault="0054497D" w:rsidP="00596328">
      <w:pPr>
        <w:spacing w:after="0" w:line="240" w:lineRule="auto"/>
        <w:rPr>
          <w:rFonts w:eastAsia="Calibri" w:cs="Times New Roman"/>
          <w:bCs/>
        </w:rPr>
      </w:pPr>
      <w:r w:rsidRPr="0054497D">
        <w:rPr>
          <w:rFonts w:eastAsia="Calibri" w:cs="Times New Roman"/>
          <w:bCs/>
        </w:rPr>
        <w:t>Azubike</w:t>
      </w:r>
      <w:r>
        <w:rPr>
          <w:rFonts w:eastAsia="Calibri" w:cs="Times New Roman"/>
          <w:bCs/>
        </w:rPr>
        <w:t xml:space="preserve"> and </w:t>
      </w:r>
      <w:r w:rsidRPr="0054497D">
        <w:rPr>
          <w:rFonts w:eastAsia="Calibri" w:cs="Times New Roman"/>
          <w:bCs/>
        </w:rPr>
        <w:t>Roland</w:t>
      </w:r>
      <w:r>
        <w:rPr>
          <w:rFonts w:eastAsia="Calibri" w:cs="Times New Roman"/>
          <w:bCs/>
        </w:rPr>
        <w:t xml:space="preserve"> (2025) </w:t>
      </w:r>
      <w:r w:rsidRPr="0054497D">
        <w:rPr>
          <w:rFonts w:eastAsia="Calibri" w:cs="Times New Roman"/>
          <w:bCs/>
        </w:rPr>
        <w:t>explore</w:t>
      </w:r>
      <w:r>
        <w:rPr>
          <w:rFonts w:eastAsia="Calibri" w:cs="Times New Roman"/>
          <w:bCs/>
        </w:rPr>
        <w:t>d</w:t>
      </w:r>
      <w:r w:rsidRPr="0054497D">
        <w:rPr>
          <w:rFonts w:eastAsia="Calibri" w:cs="Times New Roman"/>
          <w:bCs/>
        </w:rPr>
        <w:t xml:space="preserve"> the </w:t>
      </w:r>
      <w:r>
        <w:rPr>
          <w:rFonts w:eastAsia="Calibri" w:cs="Times New Roman"/>
          <w:bCs/>
        </w:rPr>
        <w:t>‘</w:t>
      </w:r>
      <w:r w:rsidRPr="0054497D">
        <w:rPr>
          <w:rFonts w:eastAsia="Calibri" w:cs="Times New Roman"/>
          <w:bCs/>
        </w:rPr>
        <w:t>effects of monetary policy on inflation in Nigeria</w:t>
      </w:r>
      <w:r>
        <w:rPr>
          <w:rFonts w:eastAsia="Calibri" w:cs="Times New Roman"/>
          <w:bCs/>
        </w:rPr>
        <w:t xml:space="preserve">’, </w:t>
      </w:r>
      <w:r w:rsidRPr="0054497D">
        <w:rPr>
          <w:rFonts w:eastAsia="Calibri" w:cs="Times New Roman"/>
          <w:bCs/>
        </w:rPr>
        <w:t>using data covering the period 1986 to 2023</w:t>
      </w:r>
      <w:r>
        <w:rPr>
          <w:rFonts w:eastAsia="Calibri" w:cs="Times New Roman"/>
          <w:bCs/>
        </w:rPr>
        <w:t>. The study</w:t>
      </w:r>
      <w:r w:rsidRPr="0054497D">
        <w:rPr>
          <w:rFonts w:eastAsia="Calibri" w:cs="Times New Roman"/>
          <w:bCs/>
        </w:rPr>
        <w:t xml:space="preserve"> employed the Vector Auto regression (VAR) model</w:t>
      </w:r>
      <w:r>
        <w:rPr>
          <w:rFonts w:eastAsia="Calibri" w:cs="Times New Roman"/>
          <w:bCs/>
        </w:rPr>
        <w:t>. The</w:t>
      </w:r>
      <w:r w:rsidRPr="0054497D">
        <w:rPr>
          <w:rFonts w:eastAsia="Calibri" w:cs="Times New Roman"/>
          <w:bCs/>
        </w:rPr>
        <w:t xml:space="preserve"> </w:t>
      </w:r>
      <w:r>
        <w:rPr>
          <w:rFonts w:eastAsia="Calibri" w:cs="Times New Roman"/>
          <w:bCs/>
        </w:rPr>
        <w:t xml:space="preserve">empirical </w:t>
      </w:r>
      <w:r w:rsidRPr="0054497D">
        <w:rPr>
          <w:rFonts w:eastAsia="Calibri" w:cs="Times New Roman"/>
          <w:bCs/>
        </w:rPr>
        <w:t>result show</w:t>
      </w:r>
      <w:r>
        <w:rPr>
          <w:rFonts w:eastAsia="Calibri" w:cs="Times New Roman"/>
          <w:bCs/>
        </w:rPr>
        <w:t>ed</w:t>
      </w:r>
      <w:r w:rsidRPr="0054497D">
        <w:rPr>
          <w:rFonts w:eastAsia="Calibri" w:cs="Times New Roman"/>
          <w:bCs/>
        </w:rPr>
        <w:t xml:space="preserve"> that monetary policy rate and money supply have positive effects on inflation whereas, interest rate and liquidity ratio exert negative effect on inflation in Nigeria with liquidity ratio being statistically significant.</w:t>
      </w:r>
      <w:r>
        <w:rPr>
          <w:rFonts w:eastAsia="Calibri" w:cs="Times New Roman"/>
          <w:bCs/>
        </w:rPr>
        <w:t xml:space="preserve"> The authors</w:t>
      </w:r>
      <w:r w:rsidRPr="0054497D">
        <w:rPr>
          <w:rFonts w:eastAsia="Calibri" w:cs="Times New Roman"/>
          <w:bCs/>
        </w:rPr>
        <w:t xml:space="preserve"> </w:t>
      </w:r>
      <w:r>
        <w:rPr>
          <w:rFonts w:eastAsia="Calibri" w:cs="Times New Roman"/>
          <w:bCs/>
        </w:rPr>
        <w:t>recommended</w:t>
      </w:r>
      <w:r w:rsidRPr="0054497D">
        <w:rPr>
          <w:rFonts w:eastAsia="Calibri" w:cs="Times New Roman"/>
          <w:bCs/>
        </w:rPr>
        <w:t xml:space="preserve"> </w:t>
      </w:r>
      <w:r w:rsidR="00D53B32">
        <w:rPr>
          <w:rFonts w:eastAsia="Calibri" w:cs="Times New Roman"/>
          <w:bCs/>
        </w:rPr>
        <w:t>that</w:t>
      </w:r>
      <w:r w:rsidR="00D53B32" w:rsidRPr="0054497D">
        <w:rPr>
          <w:rFonts w:eastAsia="Calibri" w:cs="Times New Roman"/>
          <w:bCs/>
        </w:rPr>
        <w:t xml:space="preserve"> Central</w:t>
      </w:r>
      <w:r>
        <w:rPr>
          <w:rFonts w:eastAsia="Calibri" w:cs="Times New Roman"/>
          <w:bCs/>
        </w:rPr>
        <w:t xml:space="preserve"> Bank of Nigeria</w:t>
      </w:r>
      <w:r w:rsidRPr="0054497D">
        <w:rPr>
          <w:rFonts w:eastAsia="Calibri" w:cs="Times New Roman"/>
          <w:bCs/>
        </w:rPr>
        <w:t xml:space="preserve"> </w:t>
      </w:r>
      <w:r>
        <w:rPr>
          <w:rFonts w:eastAsia="Calibri" w:cs="Times New Roman"/>
          <w:bCs/>
        </w:rPr>
        <w:t>should</w:t>
      </w:r>
      <w:r w:rsidRPr="0054497D">
        <w:rPr>
          <w:rFonts w:eastAsia="Calibri" w:cs="Times New Roman"/>
          <w:bCs/>
        </w:rPr>
        <w:t xml:space="preserve"> </w:t>
      </w:r>
      <w:r>
        <w:rPr>
          <w:rFonts w:eastAsia="Calibri" w:cs="Times New Roman"/>
          <w:bCs/>
        </w:rPr>
        <w:t xml:space="preserve">maintain </w:t>
      </w:r>
      <w:r w:rsidR="00D53B32">
        <w:rPr>
          <w:rFonts w:eastAsia="Calibri" w:cs="Times New Roman"/>
          <w:bCs/>
        </w:rPr>
        <w:t>st</w:t>
      </w:r>
      <w:r w:rsidR="00D53B32" w:rsidRPr="0054497D">
        <w:rPr>
          <w:rFonts w:eastAsia="Calibri" w:cs="Times New Roman"/>
          <w:bCs/>
        </w:rPr>
        <w:t>able monetary policy</w:t>
      </w:r>
      <w:r w:rsidRPr="0054497D">
        <w:rPr>
          <w:rFonts w:eastAsia="Calibri" w:cs="Times New Roman"/>
          <w:bCs/>
        </w:rPr>
        <w:t xml:space="preserve"> </w:t>
      </w:r>
      <w:r w:rsidR="00D53B32" w:rsidRPr="0054497D">
        <w:rPr>
          <w:rFonts w:eastAsia="Calibri" w:cs="Times New Roman"/>
          <w:bCs/>
        </w:rPr>
        <w:t>rate that</w:t>
      </w:r>
      <w:r w:rsidRPr="0054497D">
        <w:rPr>
          <w:rFonts w:eastAsia="Calibri" w:cs="Times New Roman"/>
          <w:bCs/>
        </w:rPr>
        <w:t xml:space="preserve"> would encourage </w:t>
      </w:r>
      <w:r w:rsidR="00D53B32">
        <w:rPr>
          <w:rFonts w:eastAsia="Calibri" w:cs="Times New Roman"/>
          <w:bCs/>
        </w:rPr>
        <w:t>the real</w:t>
      </w:r>
      <w:r>
        <w:rPr>
          <w:rFonts w:eastAsia="Calibri" w:cs="Times New Roman"/>
          <w:bCs/>
        </w:rPr>
        <w:t xml:space="preserve"> sector to </w:t>
      </w:r>
      <w:r w:rsidRPr="0054497D">
        <w:rPr>
          <w:rFonts w:eastAsia="Calibri" w:cs="Times New Roman"/>
          <w:bCs/>
        </w:rPr>
        <w:t xml:space="preserve">borrow from financial institutions </w:t>
      </w:r>
      <w:r w:rsidR="00D53B32" w:rsidRPr="0054497D">
        <w:rPr>
          <w:rFonts w:eastAsia="Calibri" w:cs="Times New Roman"/>
          <w:bCs/>
        </w:rPr>
        <w:t>to</w:t>
      </w:r>
      <w:r w:rsidRPr="0054497D">
        <w:rPr>
          <w:rFonts w:eastAsia="Calibri" w:cs="Times New Roman"/>
          <w:bCs/>
        </w:rPr>
        <w:t xml:space="preserve"> keep money supply at moderate state to discourage</w:t>
      </w:r>
      <w:r>
        <w:rPr>
          <w:rFonts w:eastAsia="Calibri" w:cs="Times New Roman"/>
          <w:bCs/>
        </w:rPr>
        <w:t xml:space="preserve"> </w:t>
      </w:r>
      <w:r w:rsidRPr="0054497D">
        <w:rPr>
          <w:rFonts w:eastAsia="Calibri" w:cs="Times New Roman"/>
          <w:bCs/>
        </w:rPr>
        <w:t>inflation.</w:t>
      </w:r>
      <w:r w:rsidR="00D53B32">
        <w:rPr>
          <w:rFonts w:eastAsia="Calibri" w:cs="Times New Roman"/>
          <w:bCs/>
        </w:rPr>
        <w:t xml:space="preserve"> </w:t>
      </w:r>
      <w:r w:rsidR="00D53B32" w:rsidRPr="00D53B32">
        <w:rPr>
          <w:rFonts w:eastAsia="Calibri" w:cs="Times New Roman"/>
          <w:bCs/>
        </w:rPr>
        <w:t xml:space="preserve">The limitation of this study is </w:t>
      </w:r>
      <w:r w:rsidR="00D53B32">
        <w:rPr>
          <w:rFonts w:eastAsia="Calibri" w:cs="Times New Roman"/>
          <w:bCs/>
        </w:rPr>
        <w:t xml:space="preserve">the use of annual data while the variables used are available on monthly and quarterly period. This may not capture the monetary policy transmission mechanism accurately. For further studies, it is important to </w:t>
      </w:r>
      <w:r w:rsidR="00766DEC">
        <w:rPr>
          <w:rFonts w:eastAsia="Calibri" w:cs="Times New Roman"/>
          <w:bCs/>
        </w:rPr>
        <w:t xml:space="preserve">take </w:t>
      </w:r>
      <w:r w:rsidR="00D53B32">
        <w:rPr>
          <w:rFonts w:eastAsia="Calibri" w:cs="Times New Roman"/>
          <w:bCs/>
        </w:rPr>
        <w:t>into cognizance the frequency of the variables that are used in the model.</w:t>
      </w:r>
      <w:r w:rsidR="00D53B32" w:rsidRPr="00D53B32">
        <w:rPr>
          <w:rFonts w:eastAsia="Calibri" w:cs="Times New Roman"/>
          <w:bCs/>
        </w:rPr>
        <w:t xml:space="preserve"> </w:t>
      </w:r>
    </w:p>
    <w:p w14:paraId="2BD743B3" w14:textId="77777777" w:rsidR="00103FA3" w:rsidRDefault="00103FA3" w:rsidP="00596328">
      <w:pPr>
        <w:spacing w:after="0" w:line="240" w:lineRule="auto"/>
        <w:rPr>
          <w:rFonts w:eastAsia="Calibri" w:cs="Times New Roman"/>
          <w:bCs/>
        </w:rPr>
      </w:pPr>
    </w:p>
    <w:p w14:paraId="7AEC6372" w14:textId="24DF76A4" w:rsidR="008B4D68" w:rsidRDefault="008B4D68" w:rsidP="00596328">
      <w:pPr>
        <w:spacing w:after="0" w:line="240" w:lineRule="auto"/>
        <w:rPr>
          <w:rFonts w:eastAsia="Calibri" w:cs="Times New Roman"/>
          <w:bCs/>
        </w:rPr>
      </w:pPr>
      <w:r w:rsidRPr="008B4D68">
        <w:rPr>
          <w:rFonts w:eastAsia="Calibri" w:cs="Times New Roman"/>
          <w:bCs/>
        </w:rPr>
        <w:t>Ekpo</w:t>
      </w:r>
      <w:r>
        <w:rPr>
          <w:rFonts w:eastAsia="Calibri" w:cs="Times New Roman"/>
          <w:bCs/>
        </w:rPr>
        <w:t xml:space="preserve"> and </w:t>
      </w:r>
      <w:r w:rsidRPr="008B4D68">
        <w:rPr>
          <w:rFonts w:eastAsia="Calibri" w:cs="Times New Roman"/>
          <w:bCs/>
        </w:rPr>
        <w:t>Udobia</w:t>
      </w:r>
      <w:r>
        <w:rPr>
          <w:rFonts w:eastAsia="Calibri" w:cs="Times New Roman"/>
          <w:bCs/>
        </w:rPr>
        <w:t xml:space="preserve"> (2025) studied t</w:t>
      </w:r>
      <w:r w:rsidRPr="008B4D68">
        <w:rPr>
          <w:rFonts w:eastAsia="Calibri" w:cs="Times New Roman"/>
          <w:bCs/>
        </w:rPr>
        <w:t xml:space="preserve">he </w:t>
      </w:r>
      <w:r>
        <w:rPr>
          <w:rFonts w:eastAsia="Calibri" w:cs="Times New Roman"/>
          <w:bCs/>
        </w:rPr>
        <w:t>‘d</w:t>
      </w:r>
      <w:r w:rsidRPr="008B4D68">
        <w:rPr>
          <w:rFonts w:eastAsia="Calibri" w:cs="Times New Roman"/>
          <w:bCs/>
        </w:rPr>
        <w:t xml:space="preserve">ynamic </w:t>
      </w:r>
      <w:r>
        <w:rPr>
          <w:rFonts w:eastAsia="Calibri" w:cs="Times New Roman"/>
          <w:bCs/>
        </w:rPr>
        <w:t>i</w:t>
      </w:r>
      <w:r w:rsidRPr="008B4D68">
        <w:rPr>
          <w:rFonts w:eastAsia="Calibri" w:cs="Times New Roman"/>
          <w:bCs/>
        </w:rPr>
        <w:t xml:space="preserve">nteraction </w:t>
      </w:r>
      <w:r>
        <w:rPr>
          <w:rFonts w:eastAsia="Calibri" w:cs="Times New Roman"/>
          <w:bCs/>
        </w:rPr>
        <w:t>b</w:t>
      </w:r>
      <w:r w:rsidRPr="008B4D68">
        <w:rPr>
          <w:rFonts w:eastAsia="Calibri" w:cs="Times New Roman"/>
          <w:bCs/>
        </w:rPr>
        <w:t xml:space="preserve">etween </w:t>
      </w:r>
      <w:r>
        <w:rPr>
          <w:rFonts w:eastAsia="Calibri" w:cs="Times New Roman"/>
          <w:bCs/>
        </w:rPr>
        <w:t>f</w:t>
      </w:r>
      <w:r w:rsidRPr="008B4D68">
        <w:rPr>
          <w:rFonts w:eastAsia="Calibri" w:cs="Times New Roman"/>
          <w:bCs/>
        </w:rPr>
        <w:t xml:space="preserve">iscal </w:t>
      </w:r>
      <w:r>
        <w:rPr>
          <w:rFonts w:eastAsia="Calibri" w:cs="Times New Roman"/>
          <w:bCs/>
        </w:rPr>
        <w:t>d</w:t>
      </w:r>
      <w:r w:rsidRPr="008B4D68">
        <w:rPr>
          <w:rFonts w:eastAsia="Calibri" w:cs="Times New Roman"/>
          <w:bCs/>
        </w:rPr>
        <w:t xml:space="preserve">eficit and </w:t>
      </w:r>
      <w:r>
        <w:rPr>
          <w:rFonts w:eastAsia="Calibri" w:cs="Times New Roman"/>
          <w:bCs/>
        </w:rPr>
        <w:t>i</w:t>
      </w:r>
      <w:r w:rsidRPr="008B4D68">
        <w:rPr>
          <w:rFonts w:eastAsia="Calibri" w:cs="Times New Roman"/>
          <w:bCs/>
        </w:rPr>
        <w:t xml:space="preserve">nflation in Nigeria: </w:t>
      </w:r>
      <w:r>
        <w:rPr>
          <w:rFonts w:eastAsia="Calibri" w:cs="Times New Roman"/>
          <w:bCs/>
        </w:rPr>
        <w:t>e</w:t>
      </w:r>
      <w:r w:rsidRPr="008B4D68">
        <w:rPr>
          <w:rFonts w:eastAsia="Calibri" w:cs="Times New Roman"/>
          <w:bCs/>
        </w:rPr>
        <w:t>vidence from ARDL</w:t>
      </w:r>
      <w:r>
        <w:rPr>
          <w:rFonts w:eastAsia="Calibri" w:cs="Times New Roman"/>
          <w:bCs/>
        </w:rPr>
        <w:t xml:space="preserve"> b</w:t>
      </w:r>
      <w:r w:rsidRPr="008B4D68">
        <w:rPr>
          <w:rFonts w:eastAsia="Calibri" w:cs="Times New Roman"/>
          <w:bCs/>
        </w:rPr>
        <w:t xml:space="preserve">ounds </w:t>
      </w:r>
      <w:r>
        <w:rPr>
          <w:rFonts w:eastAsia="Calibri" w:cs="Times New Roman"/>
          <w:bCs/>
        </w:rPr>
        <w:t>t</w:t>
      </w:r>
      <w:r w:rsidRPr="008B4D68">
        <w:rPr>
          <w:rFonts w:eastAsia="Calibri" w:cs="Times New Roman"/>
          <w:bCs/>
        </w:rPr>
        <w:t>est</w:t>
      </w:r>
      <w:r>
        <w:rPr>
          <w:rFonts w:eastAsia="Calibri" w:cs="Times New Roman"/>
          <w:bCs/>
        </w:rPr>
        <w:t xml:space="preserve">’, </w:t>
      </w:r>
      <w:r w:rsidR="009A6FE7" w:rsidRPr="009A6FE7">
        <w:rPr>
          <w:rFonts w:eastAsia="Calibri" w:cs="Times New Roman"/>
          <w:bCs/>
        </w:rPr>
        <w:t>from 1981 to 2024</w:t>
      </w:r>
      <w:r w:rsidR="009A6FE7">
        <w:rPr>
          <w:rFonts w:eastAsia="Calibri" w:cs="Times New Roman"/>
          <w:bCs/>
        </w:rPr>
        <w:t xml:space="preserve">. The authors </w:t>
      </w:r>
      <w:r w:rsidR="00EC416B">
        <w:rPr>
          <w:rFonts w:eastAsia="Calibri" w:cs="Times New Roman"/>
          <w:bCs/>
        </w:rPr>
        <w:t>used GDP</w:t>
      </w:r>
      <w:r w:rsidR="009A6FE7">
        <w:rPr>
          <w:rFonts w:eastAsia="Calibri" w:cs="Times New Roman"/>
          <w:bCs/>
        </w:rPr>
        <w:t xml:space="preserve"> </w:t>
      </w:r>
      <w:r w:rsidR="009A6FE7" w:rsidRPr="009A6FE7">
        <w:rPr>
          <w:rFonts w:eastAsia="Calibri" w:cs="Times New Roman"/>
          <w:bCs/>
        </w:rPr>
        <w:t xml:space="preserve">growth, CPI inflation, fiscal deficit as a ratio of GDP, and exchange rate </w:t>
      </w:r>
      <w:r w:rsidR="009C275C">
        <w:rPr>
          <w:rFonts w:eastAsia="Calibri" w:cs="Times New Roman"/>
          <w:bCs/>
        </w:rPr>
        <w:t>in the model</w:t>
      </w:r>
      <w:r w:rsidR="009A6FE7" w:rsidRPr="009A6FE7">
        <w:rPr>
          <w:rFonts w:eastAsia="Calibri" w:cs="Times New Roman"/>
          <w:bCs/>
        </w:rPr>
        <w:t>.</w:t>
      </w:r>
      <w:r w:rsidR="00EC416B">
        <w:rPr>
          <w:rFonts w:eastAsia="Calibri" w:cs="Times New Roman"/>
          <w:bCs/>
        </w:rPr>
        <w:t xml:space="preserve"> </w:t>
      </w:r>
      <w:r w:rsidR="00EC416B" w:rsidRPr="00EC416B">
        <w:rPr>
          <w:rFonts w:eastAsia="Calibri" w:cs="Times New Roman"/>
          <w:bCs/>
        </w:rPr>
        <w:t>ARDL bounds test was applied to investigate the short-run and long-run relationships between the variables of interest.</w:t>
      </w:r>
      <w:r w:rsidR="001D752C">
        <w:rPr>
          <w:rFonts w:eastAsia="Calibri" w:cs="Times New Roman"/>
          <w:bCs/>
        </w:rPr>
        <w:t xml:space="preserve"> </w:t>
      </w:r>
      <w:r w:rsidR="001D752C" w:rsidRPr="001D752C">
        <w:rPr>
          <w:rFonts w:eastAsia="Calibri" w:cs="Times New Roman"/>
          <w:bCs/>
        </w:rPr>
        <w:t xml:space="preserve">The </w:t>
      </w:r>
      <w:r w:rsidR="001D752C">
        <w:rPr>
          <w:rFonts w:eastAsia="Calibri" w:cs="Times New Roman"/>
          <w:bCs/>
        </w:rPr>
        <w:t>result revealed t</w:t>
      </w:r>
      <w:r w:rsidR="001D752C" w:rsidRPr="001D752C">
        <w:rPr>
          <w:rFonts w:eastAsia="Calibri" w:cs="Times New Roman"/>
          <w:bCs/>
        </w:rPr>
        <w:t>hat, in the long run, there was a positive but statistically insignificant relationship between fiscal deficit and inflation in Nigeria.</w:t>
      </w:r>
      <w:r w:rsidR="006361D4">
        <w:rPr>
          <w:rFonts w:eastAsia="Calibri" w:cs="Times New Roman"/>
          <w:bCs/>
        </w:rPr>
        <w:t xml:space="preserve"> </w:t>
      </w:r>
      <w:r w:rsidR="00DF2819">
        <w:rPr>
          <w:rFonts w:eastAsia="Calibri" w:cs="Times New Roman"/>
          <w:bCs/>
        </w:rPr>
        <w:t xml:space="preserve">The authors </w:t>
      </w:r>
      <w:r w:rsidR="00DF2819" w:rsidRPr="006361D4">
        <w:rPr>
          <w:rFonts w:eastAsia="Calibri" w:cs="Times New Roman"/>
          <w:bCs/>
        </w:rPr>
        <w:t>suggested</w:t>
      </w:r>
      <w:r w:rsidR="006361D4" w:rsidRPr="006361D4">
        <w:rPr>
          <w:rFonts w:eastAsia="Calibri" w:cs="Times New Roman"/>
          <w:bCs/>
        </w:rPr>
        <w:t xml:space="preserve"> </w:t>
      </w:r>
      <w:r w:rsidR="00DF2819">
        <w:rPr>
          <w:rFonts w:eastAsia="Calibri" w:cs="Times New Roman"/>
          <w:bCs/>
        </w:rPr>
        <w:t>for a genuine synergy between the fiscal and</w:t>
      </w:r>
      <w:r w:rsidR="006361D4" w:rsidRPr="006361D4">
        <w:rPr>
          <w:rFonts w:eastAsia="Calibri" w:cs="Times New Roman"/>
          <w:bCs/>
        </w:rPr>
        <w:t xml:space="preserve"> monetary</w:t>
      </w:r>
      <w:r w:rsidR="00DF2819">
        <w:rPr>
          <w:rFonts w:eastAsia="Calibri" w:cs="Times New Roman"/>
          <w:bCs/>
        </w:rPr>
        <w:t xml:space="preserve"> policy to ensure</w:t>
      </w:r>
      <w:r w:rsidR="006361D4" w:rsidRPr="006361D4">
        <w:rPr>
          <w:rFonts w:eastAsia="Calibri" w:cs="Times New Roman"/>
          <w:bCs/>
        </w:rPr>
        <w:t xml:space="preserve"> discipline and moderate deficit financing to avoid persistent inflationary pressures that could negatively affect the purchasing power of Nigerians</w:t>
      </w:r>
      <w:r w:rsidR="00DF2819">
        <w:rPr>
          <w:rFonts w:eastAsia="Calibri" w:cs="Times New Roman"/>
          <w:bCs/>
        </w:rPr>
        <w:t xml:space="preserve">. To use ARDL, stationarity of the variables should be a mixture of </w:t>
      </w:r>
      <w:r w:rsidR="00B8451A">
        <w:rPr>
          <w:rFonts w:eastAsia="Calibri" w:cs="Times New Roman"/>
          <w:bCs/>
        </w:rPr>
        <w:t>‘</w:t>
      </w:r>
      <w:r w:rsidR="00DF2819">
        <w:rPr>
          <w:rFonts w:eastAsia="Calibri" w:cs="Times New Roman"/>
          <w:bCs/>
        </w:rPr>
        <w:t>at levels and order one</w:t>
      </w:r>
      <w:r w:rsidR="00B8451A">
        <w:rPr>
          <w:rFonts w:eastAsia="Calibri" w:cs="Times New Roman"/>
          <w:bCs/>
        </w:rPr>
        <w:t xml:space="preserve">’. However, the authors went ahead to use ARDL </w:t>
      </w:r>
      <w:r w:rsidR="00DF2819">
        <w:rPr>
          <w:rFonts w:eastAsia="Calibri" w:cs="Times New Roman"/>
          <w:bCs/>
        </w:rPr>
        <w:t>even though the stationarity test of the variables were of order one.</w:t>
      </w:r>
      <w:r w:rsidR="00B8451A">
        <w:rPr>
          <w:rFonts w:eastAsia="Calibri" w:cs="Times New Roman"/>
          <w:bCs/>
        </w:rPr>
        <w:t xml:space="preserve"> It is advisable to use other methodologies like Engle and Granger whenever the stationarity of the time series data </w:t>
      </w:r>
      <w:r w:rsidR="001D1243">
        <w:rPr>
          <w:rFonts w:eastAsia="Calibri" w:cs="Times New Roman"/>
          <w:bCs/>
        </w:rPr>
        <w:t>is</w:t>
      </w:r>
      <w:r w:rsidR="00B8451A">
        <w:rPr>
          <w:rFonts w:eastAsia="Calibri" w:cs="Times New Roman"/>
          <w:bCs/>
        </w:rPr>
        <w:t xml:space="preserve"> of order one.</w:t>
      </w:r>
    </w:p>
    <w:p w14:paraId="320D2826" w14:textId="77777777" w:rsidR="00103FA3" w:rsidRDefault="00103FA3" w:rsidP="00596328">
      <w:pPr>
        <w:spacing w:after="0" w:line="240" w:lineRule="auto"/>
        <w:rPr>
          <w:rFonts w:eastAsia="Calibri" w:cs="Times New Roman"/>
          <w:bCs/>
        </w:rPr>
      </w:pPr>
    </w:p>
    <w:p w14:paraId="34836A09" w14:textId="7C4D06DC" w:rsidR="00D8664E" w:rsidRDefault="00D159E2" w:rsidP="00596328">
      <w:pPr>
        <w:spacing w:after="0" w:line="240" w:lineRule="auto"/>
        <w:rPr>
          <w:rFonts w:eastAsia="Calibri" w:cs="Times New Roman"/>
          <w:bCs/>
        </w:rPr>
      </w:pPr>
      <w:r w:rsidRPr="00A92011">
        <w:rPr>
          <w:rFonts w:eastAsia="Calibri" w:cs="Times New Roman"/>
          <w:bCs/>
        </w:rPr>
        <w:t xml:space="preserve">Agu and Oshim (2024) examined the ‘effect of deficit budget financing sources on inflation rate in Nigeria’ using annual data from 2011 to 2020. The Authors used external debt, ways and means advances, and treasury bills as independent variables of the study, while inflation </w:t>
      </w:r>
      <w:r w:rsidRPr="00A92011">
        <w:rPr>
          <w:rFonts w:eastAsia="Calibri" w:cs="Times New Roman"/>
          <w:bCs/>
        </w:rPr>
        <w:lastRenderedPageBreak/>
        <w:t>rate was the dependent variable. Ordinary Least Square multiple regression technique was used to empirically test whether deficit financing is responsible for inflation in Nigeria.</w:t>
      </w:r>
      <w:r w:rsidR="00B44BAD" w:rsidRPr="00A92011">
        <w:rPr>
          <w:rFonts w:eastAsia="Calibri" w:cs="Times New Roman"/>
          <w:bCs/>
        </w:rPr>
        <w:t xml:space="preserve"> The result of the study revealed that ways and means advances is the major determinant of inflation rate in Nigeria.</w:t>
      </w:r>
      <w:r w:rsidR="00D4383D" w:rsidRPr="00A92011">
        <w:rPr>
          <w:rFonts w:eastAsia="Calibri" w:cs="Times New Roman"/>
          <w:bCs/>
        </w:rPr>
        <w:t xml:space="preserve"> The Authors recommended that government should respect the limit set by 2007 CBN ACT in respect of ways and means advances.</w:t>
      </w:r>
      <w:r w:rsidR="00A07752">
        <w:rPr>
          <w:rFonts w:eastAsia="Calibri" w:cs="Times New Roman"/>
          <w:bCs/>
        </w:rPr>
        <w:t xml:space="preserve"> </w:t>
      </w:r>
      <w:r w:rsidR="002200CA">
        <w:rPr>
          <w:rFonts w:eastAsia="Calibri" w:cs="Times New Roman"/>
          <w:bCs/>
        </w:rPr>
        <w:t>The limitation of this study is the use</w:t>
      </w:r>
      <w:r w:rsidR="00A07752" w:rsidRPr="00A07752">
        <w:rPr>
          <w:rFonts w:eastAsia="Calibri" w:cs="Times New Roman"/>
          <w:bCs/>
        </w:rPr>
        <w:t xml:space="preserve"> of annual data over a relatively short time frame (10 years)</w:t>
      </w:r>
      <w:r w:rsidR="002200CA">
        <w:rPr>
          <w:rFonts w:eastAsia="Calibri" w:cs="Times New Roman"/>
          <w:bCs/>
        </w:rPr>
        <w:t>, this</w:t>
      </w:r>
      <w:r w:rsidR="00A07752" w:rsidRPr="00A07752">
        <w:rPr>
          <w:rFonts w:eastAsia="Calibri" w:cs="Times New Roman"/>
          <w:bCs/>
        </w:rPr>
        <w:t xml:space="preserve"> may not be sufficient to capture the full dynamics of inflation, especially considering that inflation is affected by both short-term shocks and long-term trends.</w:t>
      </w:r>
      <w:r w:rsidR="002200CA">
        <w:rPr>
          <w:rFonts w:eastAsia="Calibri" w:cs="Times New Roman"/>
          <w:bCs/>
        </w:rPr>
        <w:t xml:space="preserve"> Again, t</w:t>
      </w:r>
      <w:r w:rsidR="00A07752" w:rsidRPr="00A07752">
        <w:rPr>
          <w:rFonts w:eastAsia="Calibri" w:cs="Times New Roman"/>
          <w:bCs/>
        </w:rPr>
        <w:t>he authors did not include other significant macroeconomic variables that could also affect inflation, such as narrow money supply and exchange rates. By omitting these variables, the study may suffer from omitted variable bias, which could distort the results.</w:t>
      </w:r>
      <w:r w:rsidR="00D8664E">
        <w:rPr>
          <w:rFonts w:eastAsia="Calibri" w:cs="Times New Roman"/>
          <w:bCs/>
        </w:rPr>
        <w:t xml:space="preserve"> </w:t>
      </w:r>
      <w:r w:rsidR="002200CA" w:rsidRPr="002200CA">
        <w:rPr>
          <w:rFonts w:eastAsia="Calibri" w:cs="Times New Roman"/>
          <w:bCs/>
        </w:rPr>
        <w:t>Furthermore</w:t>
      </w:r>
      <w:r w:rsidR="002200CA">
        <w:rPr>
          <w:rFonts w:eastAsia="Calibri" w:cs="Times New Roman"/>
          <w:bCs/>
        </w:rPr>
        <w:t>, ordinary least squares technique was used for the analysis, and it</w:t>
      </w:r>
      <w:r w:rsidR="00D8664E" w:rsidRPr="00D8664E">
        <w:rPr>
          <w:rFonts w:eastAsia="Calibri" w:cs="Times New Roman"/>
          <w:bCs/>
        </w:rPr>
        <w:t xml:space="preserve"> has limitations, particularly when dealing with time-series data</w:t>
      </w:r>
      <w:r w:rsidR="002200CA">
        <w:rPr>
          <w:rFonts w:eastAsia="Calibri" w:cs="Times New Roman"/>
          <w:bCs/>
        </w:rPr>
        <w:t>. This study will be improved upon in this thesis by using a more frequency data</w:t>
      </w:r>
      <w:r w:rsidR="002200CA" w:rsidRPr="002200CA">
        <w:rPr>
          <w:rFonts w:eastAsia="Calibri" w:cs="Times New Roman"/>
          <w:bCs/>
        </w:rPr>
        <w:t xml:space="preserve"> </w:t>
      </w:r>
      <w:r w:rsidR="002200CA">
        <w:rPr>
          <w:rFonts w:eastAsia="Calibri" w:cs="Times New Roman"/>
          <w:bCs/>
        </w:rPr>
        <w:t>(</w:t>
      </w:r>
      <w:r w:rsidR="002200CA" w:rsidRPr="002200CA">
        <w:rPr>
          <w:rFonts w:eastAsia="Calibri" w:cs="Times New Roman"/>
          <w:bCs/>
        </w:rPr>
        <w:t>monthly</w:t>
      </w:r>
      <w:r w:rsidR="002200CA">
        <w:rPr>
          <w:rFonts w:eastAsia="Calibri" w:cs="Times New Roman"/>
          <w:bCs/>
        </w:rPr>
        <w:t xml:space="preserve">), monetary variables like narrow money and exchange rates will be included in the model and </w:t>
      </w:r>
      <w:r w:rsidR="00D8664E" w:rsidRPr="00D8664E">
        <w:rPr>
          <w:rFonts w:eastAsia="Calibri" w:cs="Times New Roman"/>
          <w:bCs/>
        </w:rPr>
        <w:t xml:space="preserve">more advanced time-series techniques like </w:t>
      </w:r>
      <w:r w:rsidR="002200CA">
        <w:rPr>
          <w:rFonts w:eastAsia="Calibri" w:cs="Times New Roman"/>
          <w:bCs/>
        </w:rPr>
        <w:t>a</w:t>
      </w:r>
      <w:r w:rsidR="00D8664E" w:rsidRPr="00D8664E">
        <w:rPr>
          <w:rFonts w:eastAsia="Calibri" w:cs="Times New Roman"/>
          <w:bCs/>
        </w:rPr>
        <w:t xml:space="preserve">utoregressive </w:t>
      </w:r>
      <w:r w:rsidR="002200CA">
        <w:rPr>
          <w:rFonts w:eastAsia="Calibri" w:cs="Times New Roman"/>
          <w:bCs/>
        </w:rPr>
        <w:t>d</w:t>
      </w:r>
      <w:r w:rsidR="00D8664E" w:rsidRPr="00D8664E">
        <w:rPr>
          <w:rFonts w:eastAsia="Calibri" w:cs="Times New Roman"/>
          <w:bCs/>
        </w:rPr>
        <w:t xml:space="preserve">istributed </w:t>
      </w:r>
      <w:r w:rsidR="002200CA">
        <w:rPr>
          <w:rFonts w:eastAsia="Calibri" w:cs="Times New Roman"/>
          <w:bCs/>
        </w:rPr>
        <w:t>l</w:t>
      </w:r>
      <w:r w:rsidR="00D8664E" w:rsidRPr="00D8664E">
        <w:rPr>
          <w:rFonts w:eastAsia="Calibri" w:cs="Times New Roman"/>
          <w:bCs/>
        </w:rPr>
        <w:t>ag (ARDL) models which are better suited for non-stationary and short-term dynamics</w:t>
      </w:r>
      <w:r w:rsidR="002200CA">
        <w:rPr>
          <w:rFonts w:eastAsia="Calibri" w:cs="Times New Roman"/>
          <w:bCs/>
        </w:rPr>
        <w:t xml:space="preserve"> will be used for the analysis.</w:t>
      </w:r>
      <w:r w:rsidR="008B246C">
        <w:rPr>
          <w:rFonts w:eastAsia="Calibri" w:cs="Times New Roman"/>
          <w:bCs/>
        </w:rPr>
        <w:t xml:space="preserve"> </w:t>
      </w:r>
    </w:p>
    <w:p w14:paraId="0AA006CB" w14:textId="77777777" w:rsidR="00103FA3" w:rsidRDefault="00103FA3" w:rsidP="00596328">
      <w:pPr>
        <w:spacing w:after="0" w:line="240" w:lineRule="auto"/>
        <w:rPr>
          <w:rFonts w:eastAsia="Calibri" w:cs="Times New Roman"/>
          <w:bCs/>
        </w:rPr>
      </w:pPr>
    </w:p>
    <w:p w14:paraId="5389915A" w14:textId="3DCA07F5" w:rsidR="00442BEE" w:rsidRPr="00A92011" w:rsidRDefault="00442BEE" w:rsidP="00596328">
      <w:pPr>
        <w:spacing w:after="0" w:line="240" w:lineRule="auto"/>
        <w:rPr>
          <w:rFonts w:eastAsia="Calibri" w:cs="Times New Roman"/>
          <w:bCs/>
        </w:rPr>
      </w:pPr>
      <w:r w:rsidRPr="00442BEE">
        <w:rPr>
          <w:rFonts w:eastAsia="Calibri" w:cs="Times New Roman"/>
          <w:bCs/>
        </w:rPr>
        <w:t>K</w:t>
      </w:r>
      <w:r>
        <w:rPr>
          <w:rFonts w:eastAsia="Calibri" w:cs="Times New Roman"/>
          <w:bCs/>
        </w:rPr>
        <w:t xml:space="preserve">wode (2024) </w:t>
      </w:r>
      <w:r w:rsidR="00ED6C4E">
        <w:rPr>
          <w:rFonts w:eastAsia="Calibri" w:cs="Times New Roman"/>
          <w:bCs/>
        </w:rPr>
        <w:t>studied ‘C</w:t>
      </w:r>
      <w:r w:rsidR="00ED6C4E" w:rsidRPr="00ED6C4E">
        <w:rPr>
          <w:rFonts w:eastAsia="Calibri" w:cs="Times New Roman"/>
          <w:bCs/>
        </w:rPr>
        <w:t xml:space="preserve">entral </w:t>
      </w:r>
      <w:r w:rsidR="00ED6C4E">
        <w:rPr>
          <w:rFonts w:eastAsia="Calibri" w:cs="Times New Roman"/>
          <w:bCs/>
        </w:rPr>
        <w:t>B</w:t>
      </w:r>
      <w:r w:rsidR="00ED6C4E" w:rsidRPr="00ED6C4E">
        <w:rPr>
          <w:rFonts w:eastAsia="Calibri" w:cs="Times New Roman"/>
          <w:bCs/>
        </w:rPr>
        <w:t xml:space="preserve">ank intervention schemes and inclusive growth in </w:t>
      </w:r>
      <w:r w:rsidR="005A49EB" w:rsidRPr="00ED6C4E">
        <w:rPr>
          <w:rFonts w:eastAsia="Calibri" w:cs="Times New Roman"/>
          <w:bCs/>
        </w:rPr>
        <w:t>sub-Saharan</w:t>
      </w:r>
      <w:r w:rsidR="00ED6C4E" w:rsidRPr="00ED6C4E">
        <w:rPr>
          <w:rFonts w:eastAsia="Calibri" w:cs="Times New Roman"/>
          <w:bCs/>
        </w:rPr>
        <w:t xml:space="preserve"> </w:t>
      </w:r>
      <w:r w:rsidR="00ED6C4E">
        <w:rPr>
          <w:rFonts w:eastAsia="Calibri" w:cs="Times New Roman"/>
          <w:bCs/>
        </w:rPr>
        <w:t>A</w:t>
      </w:r>
      <w:r w:rsidR="00ED6C4E" w:rsidRPr="00ED6C4E">
        <w:rPr>
          <w:rFonts w:eastAsia="Calibri" w:cs="Times New Roman"/>
          <w:bCs/>
        </w:rPr>
        <w:t xml:space="preserve">frica: empirical evidence from </w:t>
      </w:r>
      <w:r w:rsidR="00ED6C4E">
        <w:rPr>
          <w:rFonts w:eastAsia="Calibri" w:cs="Times New Roman"/>
          <w:bCs/>
        </w:rPr>
        <w:t>N</w:t>
      </w:r>
      <w:r w:rsidR="00ED6C4E" w:rsidRPr="00ED6C4E">
        <w:rPr>
          <w:rFonts w:eastAsia="Calibri" w:cs="Times New Roman"/>
          <w:bCs/>
        </w:rPr>
        <w:t>igeria</w:t>
      </w:r>
      <w:r w:rsidR="00ED6C4E">
        <w:rPr>
          <w:rFonts w:eastAsia="Calibri" w:cs="Times New Roman"/>
          <w:bCs/>
        </w:rPr>
        <w:t xml:space="preserve">’, </w:t>
      </w:r>
      <w:r w:rsidR="005A49EB">
        <w:rPr>
          <w:rFonts w:eastAsia="Calibri" w:cs="Times New Roman"/>
          <w:bCs/>
        </w:rPr>
        <w:t>annual secondary data spanning from 2008 to 2018 as well as primary data.</w:t>
      </w:r>
      <w:r w:rsidR="006B7971">
        <w:rPr>
          <w:rFonts w:eastAsia="Calibri" w:cs="Times New Roman"/>
          <w:bCs/>
        </w:rPr>
        <w:t xml:space="preserve"> </w:t>
      </w:r>
      <w:r w:rsidR="006B7971" w:rsidRPr="006B7971">
        <w:rPr>
          <w:rFonts w:eastAsia="Calibri" w:cs="Times New Roman"/>
          <w:bCs/>
        </w:rPr>
        <w:t>The study investigates one of the largest intervention programs in the region- Central Bank of Nigeria’s intervention programs</w:t>
      </w:r>
      <w:r w:rsidR="006B7971">
        <w:rPr>
          <w:rFonts w:eastAsia="Calibri" w:cs="Times New Roman"/>
          <w:bCs/>
        </w:rPr>
        <w:t xml:space="preserve">, </w:t>
      </w:r>
      <w:r w:rsidR="006B7971" w:rsidRPr="006B7971">
        <w:rPr>
          <w:rFonts w:eastAsia="Calibri" w:cs="Times New Roman"/>
          <w:bCs/>
        </w:rPr>
        <w:t>its relationship with inclusive growth, achievements, impacts and challenge</w:t>
      </w:r>
      <w:r w:rsidR="006B7971">
        <w:rPr>
          <w:rFonts w:eastAsia="Calibri" w:cs="Times New Roman"/>
          <w:bCs/>
        </w:rPr>
        <w:t xml:space="preserve">. </w:t>
      </w:r>
      <w:r w:rsidR="006B7971" w:rsidRPr="006B7971">
        <w:rPr>
          <w:rFonts w:eastAsia="Calibri" w:cs="Times New Roman"/>
          <w:bCs/>
        </w:rPr>
        <w:t>A combination of primary and secondary data was analyzed using chi square and rank correlation coefficient.</w:t>
      </w:r>
      <w:r w:rsidR="006B7971">
        <w:rPr>
          <w:rFonts w:eastAsia="Calibri" w:cs="Times New Roman"/>
          <w:bCs/>
        </w:rPr>
        <w:t xml:space="preserve"> </w:t>
      </w:r>
      <w:r w:rsidR="006B7971" w:rsidRPr="006B7971">
        <w:rPr>
          <w:rFonts w:eastAsia="Calibri" w:cs="Times New Roman"/>
          <w:bCs/>
        </w:rPr>
        <w:t>The results revealed a positive relationship between central bank intervention and inclusive growth but showed insignificant impact on Nigeria’s economy.</w:t>
      </w:r>
      <w:r w:rsidR="006B7971">
        <w:rPr>
          <w:rFonts w:eastAsia="Calibri" w:cs="Times New Roman"/>
          <w:bCs/>
        </w:rPr>
        <w:t xml:space="preserve"> </w:t>
      </w:r>
      <w:r w:rsidR="006B7971" w:rsidRPr="006B7971">
        <w:rPr>
          <w:rFonts w:eastAsia="Calibri" w:cs="Times New Roman"/>
          <w:bCs/>
        </w:rPr>
        <w:t>The study recommends- enhanced monitoring, evaluation and strengthen the capacity of the Development Finance Institutions (DFIs).</w:t>
      </w:r>
      <w:r w:rsidR="00B374F5">
        <w:rPr>
          <w:rFonts w:eastAsia="Calibri" w:cs="Times New Roman"/>
          <w:bCs/>
        </w:rPr>
        <w:t xml:space="preserve"> Since data is available for the intervention programmed, there is no need for the primary data, for there may be biased responses and ultimately give spurious result. </w:t>
      </w:r>
    </w:p>
    <w:p w14:paraId="54F6A631" w14:textId="77777777" w:rsidR="00103FA3" w:rsidRDefault="00103FA3" w:rsidP="00596328">
      <w:pPr>
        <w:spacing w:after="0" w:line="240" w:lineRule="auto"/>
        <w:rPr>
          <w:rFonts w:eastAsia="Calibri" w:cs="Times New Roman"/>
          <w:bCs/>
        </w:rPr>
      </w:pPr>
    </w:p>
    <w:p w14:paraId="5BC4093B" w14:textId="3831437B" w:rsidR="00E870C5" w:rsidRDefault="00E74411" w:rsidP="00596328">
      <w:pPr>
        <w:spacing w:after="0" w:line="240" w:lineRule="auto"/>
        <w:rPr>
          <w:rFonts w:eastAsia="Calibri" w:cs="Times New Roman"/>
          <w:bCs/>
        </w:rPr>
      </w:pPr>
      <w:r w:rsidRPr="00A92011">
        <w:rPr>
          <w:rFonts w:eastAsia="Calibri" w:cs="Times New Roman"/>
          <w:bCs/>
        </w:rPr>
        <w:t>Soliman</w:t>
      </w:r>
      <w:r w:rsidR="00807C98">
        <w:rPr>
          <w:rFonts w:eastAsia="Calibri" w:cs="Times New Roman"/>
          <w:bCs/>
        </w:rPr>
        <w:t xml:space="preserve"> </w:t>
      </w:r>
      <w:r w:rsidR="00807C98" w:rsidRPr="00807C98">
        <w:rPr>
          <w:rFonts w:eastAsia="Calibri" w:cs="Times New Roman"/>
          <w:bCs/>
        </w:rPr>
        <w:t>et al</w:t>
      </w:r>
      <w:r w:rsidR="003A0146">
        <w:rPr>
          <w:rFonts w:eastAsia="Calibri" w:cs="Times New Roman"/>
          <w:bCs/>
        </w:rPr>
        <w:t>.</w:t>
      </w:r>
      <w:r w:rsidRPr="00A92011">
        <w:rPr>
          <w:rFonts w:eastAsia="Calibri" w:cs="Times New Roman"/>
          <w:bCs/>
        </w:rPr>
        <w:t xml:space="preserve"> (2023) studied the ‘asymmetric effects of energy inflation, </w:t>
      </w:r>
      <w:r w:rsidR="007427E7" w:rsidRPr="00A92011">
        <w:rPr>
          <w:rFonts w:eastAsia="Calibri" w:cs="Times New Roman"/>
          <w:bCs/>
        </w:rPr>
        <w:t>Agri</w:t>
      </w:r>
      <w:r w:rsidRPr="00A92011">
        <w:rPr>
          <w:rFonts w:eastAsia="Calibri" w:cs="Times New Roman"/>
          <w:bCs/>
        </w:rPr>
        <w:t xml:space="preserve">-inflation and </w:t>
      </w:r>
      <w:r w:rsidR="006A49CF" w:rsidRPr="00A92011">
        <w:rPr>
          <w:rFonts w:eastAsia="Calibri" w:cs="Times New Roman"/>
          <w:bCs/>
        </w:rPr>
        <w:t>CPI</w:t>
      </w:r>
      <w:r w:rsidRPr="00A92011">
        <w:rPr>
          <w:rFonts w:eastAsia="Calibri" w:cs="Times New Roman"/>
          <w:bCs/>
        </w:rPr>
        <w:t xml:space="preserve"> on agricultural output: evidence from NARDL and SVAR models for the UK’</w:t>
      </w:r>
      <w:r w:rsidR="00911CCA" w:rsidRPr="00A92011">
        <w:rPr>
          <w:rFonts w:eastAsia="Calibri" w:cs="Times New Roman"/>
          <w:bCs/>
        </w:rPr>
        <w:t xml:space="preserve">, </w:t>
      </w:r>
      <w:r w:rsidRPr="00A92011">
        <w:rPr>
          <w:rFonts w:eastAsia="Calibri" w:cs="Times New Roman"/>
          <w:bCs/>
        </w:rPr>
        <w:t>using monthly data between February 2015 and October 2022</w:t>
      </w:r>
      <w:r w:rsidR="00911CCA" w:rsidRPr="00A92011">
        <w:rPr>
          <w:rFonts w:eastAsia="Calibri" w:cs="Times New Roman"/>
          <w:bCs/>
        </w:rPr>
        <w:t xml:space="preserve">. The study revealed increase in energy inflation, agflation and </w:t>
      </w:r>
      <w:r w:rsidR="00911CCA" w:rsidRPr="00A92011">
        <w:rPr>
          <w:rFonts w:eastAsia="Calibri" w:cs="Times New Roman"/>
          <w:bCs/>
          <w:sz w:val="20"/>
          <w:szCs w:val="20"/>
        </w:rPr>
        <w:t xml:space="preserve">CPI, </w:t>
      </w:r>
      <w:r w:rsidR="00911CCA" w:rsidRPr="00A92011">
        <w:rPr>
          <w:rFonts w:eastAsia="Calibri" w:cs="Times New Roman"/>
          <w:bCs/>
        </w:rPr>
        <w:t>adversely affect agricultural output, while decreases in energy inflation, agflation and CPI positively affect agricultural output in the UK.</w:t>
      </w:r>
      <w:r w:rsidR="00661B3C" w:rsidRPr="00A92011">
        <w:rPr>
          <w:rFonts w:eastAsia="Calibri" w:cs="Times New Roman"/>
          <w:bCs/>
        </w:rPr>
        <w:t xml:space="preserve"> The Authors recommend</w:t>
      </w:r>
      <w:r w:rsidR="006A49CF" w:rsidRPr="00A92011">
        <w:rPr>
          <w:rFonts w:eastAsia="Calibri" w:cs="Times New Roman"/>
          <w:bCs/>
        </w:rPr>
        <w:t>ation</w:t>
      </w:r>
      <w:r w:rsidR="00661B3C" w:rsidRPr="00A92011">
        <w:rPr>
          <w:rFonts w:eastAsia="Calibri" w:cs="Times New Roman"/>
          <w:bCs/>
        </w:rPr>
        <w:t xml:space="preserve"> </w:t>
      </w:r>
      <w:r w:rsidR="006A49CF" w:rsidRPr="00A92011">
        <w:rPr>
          <w:rFonts w:eastAsia="Calibri" w:cs="Times New Roman"/>
          <w:bCs/>
        </w:rPr>
        <w:t>to</w:t>
      </w:r>
      <w:r w:rsidR="00661B3C" w:rsidRPr="00A92011">
        <w:rPr>
          <w:rFonts w:eastAsia="Calibri" w:cs="Times New Roman"/>
          <w:bCs/>
        </w:rPr>
        <w:t xml:space="preserve"> hedge fund managers, institutional investors and economic policymakers </w:t>
      </w:r>
      <w:r w:rsidR="006A49CF" w:rsidRPr="00A92011">
        <w:rPr>
          <w:rFonts w:eastAsia="Calibri" w:cs="Times New Roman"/>
          <w:bCs/>
        </w:rPr>
        <w:t>is to imbibe the culture of</w:t>
      </w:r>
      <w:r w:rsidR="00661B3C" w:rsidRPr="00A92011">
        <w:rPr>
          <w:rFonts w:eastAsia="Calibri" w:cs="Times New Roman"/>
          <w:bCs/>
        </w:rPr>
        <w:t xml:space="preserve"> hedging and portfolio risk diversification strategies.</w:t>
      </w:r>
      <w:r w:rsidR="00E870C5" w:rsidRPr="00E870C5">
        <w:rPr>
          <w:rFonts w:eastAsia="Calibri" w:cs="Times New Roman"/>
          <w:bCs/>
        </w:rPr>
        <w:t xml:space="preserve"> </w:t>
      </w:r>
      <w:r w:rsidR="00E870C5">
        <w:rPr>
          <w:rFonts w:eastAsia="Calibri" w:cs="Times New Roman"/>
          <w:bCs/>
        </w:rPr>
        <w:t>T</w:t>
      </w:r>
      <w:r w:rsidR="00E870C5" w:rsidRPr="00E870C5">
        <w:rPr>
          <w:rFonts w:eastAsia="Calibri" w:cs="Times New Roman"/>
          <w:bCs/>
        </w:rPr>
        <w:t xml:space="preserve">he omission of key macroeconomic variables </w:t>
      </w:r>
      <w:r w:rsidR="00D1261C">
        <w:rPr>
          <w:rFonts w:eastAsia="Calibri" w:cs="Times New Roman"/>
          <w:bCs/>
        </w:rPr>
        <w:t>like monetary policy</w:t>
      </w:r>
      <w:r w:rsidR="00E870C5" w:rsidRPr="00E870C5">
        <w:rPr>
          <w:rFonts w:eastAsia="Calibri" w:cs="Times New Roman"/>
          <w:bCs/>
        </w:rPr>
        <w:t xml:space="preserve"> rates</w:t>
      </w:r>
      <w:r w:rsidR="00D1261C">
        <w:rPr>
          <w:rFonts w:eastAsia="Calibri" w:cs="Times New Roman"/>
          <w:bCs/>
        </w:rPr>
        <w:t xml:space="preserve"> and narrow</w:t>
      </w:r>
      <w:r w:rsidR="00E870C5" w:rsidRPr="00E870C5">
        <w:rPr>
          <w:rFonts w:eastAsia="Calibri" w:cs="Times New Roman"/>
          <w:bCs/>
        </w:rPr>
        <w:t xml:space="preserve"> money supply</w:t>
      </w:r>
      <w:r w:rsidR="00D1261C">
        <w:rPr>
          <w:rFonts w:eastAsia="Calibri" w:cs="Times New Roman"/>
          <w:bCs/>
        </w:rPr>
        <w:t xml:space="preserve"> </w:t>
      </w:r>
      <w:r w:rsidR="00E870C5" w:rsidRPr="00E870C5">
        <w:rPr>
          <w:rFonts w:eastAsia="Calibri" w:cs="Times New Roman"/>
          <w:bCs/>
        </w:rPr>
        <w:t>in Soliman et al.’s study highlights a gap</w:t>
      </w:r>
      <w:r w:rsidR="00D1261C">
        <w:rPr>
          <w:rFonts w:eastAsia="Calibri" w:cs="Times New Roman"/>
          <w:bCs/>
        </w:rPr>
        <w:t xml:space="preserve"> that needed to be filled up. This gap will be bridged by including variables like monetary policy rate and narrow money in the model to advance what</w:t>
      </w:r>
      <w:r w:rsidR="00E870C5" w:rsidRPr="00E870C5">
        <w:rPr>
          <w:rFonts w:eastAsia="Calibri" w:cs="Times New Roman"/>
          <w:bCs/>
        </w:rPr>
        <w:t xml:space="preserve"> </w:t>
      </w:r>
      <w:r w:rsidR="00D1261C" w:rsidRPr="00D1261C">
        <w:rPr>
          <w:rFonts w:eastAsia="Calibri" w:cs="Times New Roman"/>
          <w:bCs/>
        </w:rPr>
        <w:t xml:space="preserve">Soliman et al </w:t>
      </w:r>
      <w:r w:rsidR="00D1261C">
        <w:rPr>
          <w:rFonts w:eastAsia="Calibri" w:cs="Times New Roman"/>
          <w:bCs/>
        </w:rPr>
        <w:t>did.</w:t>
      </w:r>
      <w:r w:rsidR="00E870C5" w:rsidRPr="00E870C5">
        <w:rPr>
          <w:rFonts w:eastAsia="Calibri" w:cs="Times New Roman"/>
          <w:bCs/>
        </w:rPr>
        <w:t xml:space="preserve"> </w:t>
      </w:r>
    </w:p>
    <w:p w14:paraId="5BD01EB9" w14:textId="74178A02" w:rsidR="00CE1FB5" w:rsidRPr="00A92011" w:rsidRDefault="00CE1FB5" w:rsidP="00596328">
      <w:pPr>
        <w:spacing w:after="0" w:line="240" w:lineRule="auto"/>
        <w:rPr>
          <w:rFonts w:eastAsia="Calibri" w:cs="Times New Roman"/>
          <w:bCs/>
        </w:rPr>
      </w:pPr>
      <w:r w:rsidRPr="00A92011">
        <w:rPr>
          <w:rFonts w:eastAsia="Calibri" w:cs="Times New Roman"/>
          <w:bCs/>
        </w:rPr>
        <w:t>Kuma and Gata (2023) empirically test the ‘factors affecting food price inflation in Ethiopia: An autoregressive distributed lag approach’ using time series annual data spanning from 1990 to 2021. The study showed that domestic food price, annual rainfall, interest rate and money supply affected food price inflation positively and significantly in the Ethiopian economy.</w:t>
      </w:r>
      <w:r w:rsidR="00F618E4" w:rsidRPr="00A92011">
        <w:rPr>
          <w:rFonts w:eastAsia="Calibri" w:cs="Times New Roman"/>
          <w:bCs/>
        </w:rPr>
        <w:t xml:space="preserve"> The </w:t>
      </w:r>
      <w:r w:rsidR="00746126" w:rsidRPr="00A92011">
        <w:rPr>
          <w:rFonts w:eastAsia="Calibri" w:cs="Times New Roman"/>
          <w:bCs/>
        </w:rPr>
        <w:t>studies suggestion</w:t>
      </w:r>
      <w:r w:rsidR="00F618E4" w:rsidRPr="00A92011">
        <w:rPr>
          <w:rFonts w:eastAsia="Calibri" w:cs="Times New Roman"/>
          <w:bCs/>
        </w:rPr>
        <w:t xml:space="preserve"> </w:t>
      </w:r>
      <w:r w:rsidR="00746126" w:rsidRPr="00A92011">
        <w:rPr>
          <w:rFonts w:eastAsia="Calibri" w:cs="Times New Roman"/>
          <w:bCs/>
        </w:rPr>
        <w:t>to</w:t>
      </w:r>
      <w:r w:rsidR="00F618E4" w:rsidRPr="00A92011">
        <w:rPr>
          <w:rFonts w:eastAsia="Calibri" w:cs="Times New Roman"/>
          <w:bCs/>
        </w:rPr>
        <w:t xml:space="preserve"> monetary authority </w:t>
      </w:r>
      <w:r w:rsidR="00746126" w:rsidRPr="00A92011">
        <w:rPr>
          <w:rFonts w:eastAsia="Calibri" w:cs="Times New Roman"/>
          <w:bCs/>
        </w:rPr>
        <w:t xml:space="preserve">is to </w:t>
      </w:r>
      <w:r w:rsidR="00F618E4" w:rsidRPr="00A92011">
        <w:rPr>
          <w:rFonts w:eastAsia="Calibri" w:cs="Times New Roman"/>
          <w:bCs/>
        </w:rPr>
        <w:t>tighten monetary policies, while</w:t>
      </w:r>
      <w:r w:rsidR="00746126" w:rsidRPr="00A92011">
        <w:rPr>
          <w:rFonts w:eastAsia="Calibri" w:cs="Times New Roman"/>
          <w:bCs/>
        </w:rPr>
        <w:t xml:space="preserve"> to</w:t>
      </w:r>
      <w:r w:rsidR="00F618E4" w:rsidRPr="00A92011">
        <w:rPr>
          <w:rFonts w:eastAsia="Calibri" w:cs="Times New Roman"/>
          <w:bCs/>
        </w:rPr>
        <w:t xml:space="preserve"> the fiscal authority </w:t>
      </w:r>
      <w:r w:rsidR="00746126" w:rsidRPr="00A92011">
        <w:rPr>
          <w:rFonts w:eastAsia="Calibri" w:cs="Times New Roman"/>
          <w:bCs/>
        </w:rPr>
        <w:t>is to</w:t>
      </w:r>
      <w:r w:rsidR="00F618E4" w:rsidRPr="00A92011">
        <w:rPr>
          <w:rFonts w:eastAsia="Calibri" w:cs="Times New Roman"/>
          <w:bCs/>
        </w:rPr>
        <w:t xml:space="preserve"> e</w:t>
      </w:r>
      <w:r w:rsidR="00746126" w:rsidRPr="00A92011">
        <w:rPr>
          <w:rFonts w:eastAsia="Calibri" w:cs="Times New Roman"/>
          <w:bCs/>
        </w:rPr>
        <w:t>quate</w:t>
      </w:r>
      <w:r w:rsidR="00F618E4" w:rsidRPr="00A92011">
        <w:rPr>
          <w:rFonts w:eastAsia="Calibri" w:cs="Times New Roman"/>
          <w:bCs/>
        </w:rPr>
        <w:t xml:space="preserve"> population growth with the overall </w:t>
      </w:r>
      <w:r w:rsidR="00285707" w:rsidRPr="00A92011">
        <w:rPr>
          <w:rFonts w:eastAsia="Calibri" w:cs="Times New Roman"/>
          <w:bCs/>
        </w:rPr>
        <w:t>economy and</w:t>
      </w:r>
      <w:r w:rsidR="00746126" w:rsidRPr="00A92011">
        <w:rPr>
          <w:rFonts w:eastAsia="Calibri" w:cs="Times New Roman"/>
          <w:bCs/>
        </w:rPr>
        <w:t xml:space="preserve"> finally,</w:t>
      </w:r>
      <w:r w:rsidR="00F618E4" w:rsidRPr="00A92011">
        <w:rPr>
          <w:rFonts w:eastAsia="Calibri" w:cs="Times New Roman"/>
          <w:bCs/>
        </w:rPr>
        <w:t xml:space="preserve"> increase the use of irrigation technologies in drought-prone areas to ensure abundant food </w:t>
      </w:r>
      <w:r w:rsidR="00746126" w:rsidRPr="00A92011">
        <w:rPr>
          <w:rFonts w:eastAsia="Calibri" w:cs="Times New Roman"/>
          <w:bCs/>
        </w:rPr>
        <w:t>supply</w:t>
      </w:r>
      <w:r w:rsidR="00F618E4" w:rsidRPr="00A92011">
        <w:rPr>
          <w:rFonts w:eastAsia="Calibri" w:cs="Times New Roman"/>
          <w:bCs/>
        </w:rPr>
        <w:t xml:space="preserve">. </w:t>
      </w:r>
      <w:r w:rsidR="000252A6">
        <w:rPr>
          <w:rFonts w:eastAsia="Calibri" w:cs="Times New Roman"/>
          <w:bCs/>
        </w:rPr>
        <w:t>The limitation of the study is t</w:t>
      </w:r>
      <w:r w:rsidR="000C5F20" w:rsidRPr="000C5F20">
        <w:rPr>
          <w:rFonts w:eastAsia="Calibri" w:cs="Times New Roman"/>
          <w:bCs/>
        </w:rPr>
        <w:t xml:space="preserve">he use of annual data </w:t>
      </w:r>
      <w:r w:rsidR="00900357">
        <w:rPr>
          <w:rFonts w:eastAsia="Calibri" w:cs="Times New Roman"/>
          <w:bCs/>
        </w:rPr>
        <w:t>by the authors</w:t>
      </w:r>
      <w:r w:rsidR="000252A6">
        <w:rPr>
          <w:rFonts w:eastAsia="Calibri" w:cs="Times New Roman"/>
          <w:bCs/>
        </w:rPr>
        <w:t xml:space="preserve"> which may result to in</w:t>
      </w:r>
      <w:r w:rsidR="000C5F20" w:rsidRPr="000C5F20">
        <w:rPr>
          <w:rFonts w:eastAsia="Calibri" w:cs="Times New Roman"/>
          <w:bCs/>
        </w:rPr>
        <w:t xml:space="preserve">ability to capture short-term fluctuations in inflationary pressures. Inflation is often influenced by rapid </w:t>
      </w:r>
      <w:r w:rsidR="000C5F20" w:rsidRPr="000C5F20">
        <w:rPr>
          <w:rFonts w:eastAsia="Calibri" w:cs="Times New Roman"/>
          <w:bCs/>
        </w:rPr>
        <w:lastRenderedPageBreak/>
        <w:t>and volatile movements in money supply</w:t>
      </w:r>
      <w:r w:rsidR="000C5F20">
        <w:rPr>
          <w:rFonts w:eastAsia="Calibri" w:cs="Times New Roman"/>
          <w:bCs/>
        </w:rPr>
        <w:t xml:space="preserve"> </w:t>
      </w:r>
      <w:r w:rsidR="000C5F20" w:rsidRPr="000C5F20">
        <w:rPr>
          <w:rFonts w:eastAsia="Calibri" w:cs="Times New Roman"/>
          <w:bCs/>
        </w:rPr>
        <w:t xml:space="preserve">and exchange rates, which can occur </w:t>
      </w:r>
      <w:r w:rsidR="00412EB4" w:rsidRPr="000C5F20">
        <w:rPr>
          <w:rFonts w:eastAsia="Calibri" w:cs="Times New Roman"/>
          <w:bCs/>
        </w:rPr>
        <w:t>monthly</w:t>
      </w:r>
      <w:r w:rsidR="00F67313">
        <w:rPr>
          <w:rFonts w:eastAsia="Calibri" w:cs="Times New Roman"/>
          <w:bCs/>
        </w:rPr>
        <w:t>, therefore, the limitations will be improved upon by expanding the scope of the d</w:t>
      </w:r>
      <w:r w:rsidR="000C5F20" w:rsidRPr="000C5F20">
        <w:rPr>
          <w:rFonts w:eastAsia="Calibri" w:cs="Times New Roman"/>
          <w:bCs/>
        </w:rPr>
        <w:t>ata from January 2010 to June 2024</w:t>
      </w:r>
      <w:r w:rsidR="00F67313">
        <w:rPr>
          <w:rFonts w:eastAsia="Calibri" w:cs="Times New Roman"/>
          <w:bCs/>
        </w:rPr>
        <w:t>. This will lead to</w:t>
      </w:r>
      <w:r w:rsidR="000C5F20" w:rsidRPr="000C5F20">
        <w:rPr>
          <w:rFonts w:eastAsia="Calibri" w:cs="Times New Roman"/>
          <w:bCs/>
        </w:rPr>
        <w:t xml:space="preserve"> a more granular analysis of how inflation reacts to changes in macroeconomic variables like </w:t>
      </w:r>
      <w:r w:rsidR="00F67313">
        <w:rPr>
          <w:rFonts w:eastAsia="Calibri" w:cs="Times New Roman"/>
          <w:bCs/>
        </w:rPr>
        <w:t>n</w:t>
      </w:r>
      <w:r w:rsidR="000C5F20" w:rsidRPr="000C5F20">
        <w:rPr>
          <w:rFonts w:eastAsia="Calibri" w:cs="Times New Roman"/>
          <w:bCs/>
        </w:rPr>
        <w:t xml:space="preserve">arrow </w:t>
      </w:r>
      <w:r w:rsidR="00F67313">
        <w:rPr>
          <w:rFonts w:eastAsia="Calibri" w:cs="Times New Roman"/>
          <w:bCs/>
        </w:rPr>
        <w:t>m</w:t>
      </w:r>
      <w:r w:rsidR="000C5F20" w:rsidRPr="000C5F20">
        <w:rPr>
          <w:rFonts w:eastAsia="Calibri" w:cs="Times New Roman"/>
          <w:bCs/>
        </w:rPr>
        <w:t xml:space="preserve">oney, </w:t>
      </w:r>
      <w:r w:rsidR="00F67313">
        <w:rPr>
          <w:rFonts w:eastAsia="Calibri" w:cs="Times New Roman"/>
          <w:bCs/>
        </w:rPr>
        <w:t>t</w:t>
      </w:r>
      <w:r w:rsidR="000C5F20" w:rsidRPr="000C5F20">
        <w:rPr>
          <w:rFonts w:eastAsia="Calibri" w:cs="Times New Roman"/>
          <w:bCs/>
        </w:rPr>
        <w:t xml:space="preserve">reasury </w:t>
      </w:r>
      <w:r w:rsidR="00F67313">
        <w:rPr>
          <w:rFonts w:eastAsia="Calibri" w:cs="Times New Roman"/>
          <w:bCs/>
        </w:rPr>
        <w:t>b</w:t>
      </w:r>
      <w:r w:rsidR="000C5F20" w:rsidRPr="000C5F20">
        <w:rPr>
          <w:rFonts w:eastAsia="Calibri" w:cs="Times New Roman"/>
          <w:bCs/>
        </w:rPr>
        <w:t xml:space="preserve">ills, and </w:t>
      </w:r>
      <w:r w:rsidR="00F67313">
        <w:rPr>
          <w:rFonts w:eastAsia="Calibri" w:cs="Times New Roman"/>
          <w:bCs/>
        </w:rPr>
        <w:t>bureau de change e</w:t>
      </w:r>
      <w:r w:rsidR="000C5F20" w:rsidRPr="000C5F20">
        <w:rPr>
          <w:rFonts w:eastAsia="Calibri" w:cs="Times New Roman"/>
          <w:bCs/>
        </w:rPr>
        <w:t xml:space="preserve">xchange </w:t>
      </w:r>
      <w:r w:rsidR="00F67313">
        <w:rPr>
          <w:rFonts w:eastAsia="Calibri" w:cs="Times New Roman"/>
          <w:bCs/>
        </w:rPr>
        <w:t>r</w:t>
      </w:r>
      <w:r w:rsidR="000C5F20" w:rsidRPr="000C5F20">
        <w:rPr>
          <w:rFonts w:eastAsia="Calibri" w:cs="Times New Roman"/>
          <w:bCs/>
        </w:rPr>
        <w:t>ate</w:t>
      </w:r>
      <w:r w:rsidR="00F67313">
        <w:rPr>
          <w:rFonts w:eastAsia="Calibri" w:cs="Times New Roman"/>
          <w:bCs/>
        </w:rPr>
        <w:t>s</w:t>
      </w:r>
      <w:r w:rsidR="000C5F20" w:rsidRPr="000C5F20">
        <w:rPr>
          <w:rFonts w:eastAsia="Calibri" w:cs="Times New Roman"/>
          <w:bCs/>
        </w:rPr>
        <w:t>.</w:t>
      </w:r>
    </w:p>
    <w:p w14:paraId="18B28B5B" w14:textId="77777777" w:rsidR="00103FA3" w:rsidRDefault="00103FA3" w:rsidP="00596328">
      <w:pPr>
        <w:spacing w:after="0" w:line="240" w:lineRule="auto"/>
        <w:rPr>
          <w:rFonts w:eastAsia="Calibri" w:cs="Times New Roman"/>
          <w:bCs/>
        </w:rPr>
      </w:pPr>
    </w:p>
    <w:p w14:paraId="445EF7E9" w14:textId="15527DD8" w:rsidR="00CF589D" w:rsidRPr="00A92011" w:rsidRDefault="00F80C0F" w:rsidP="00596328">
      <w:pPr>
        <w:spacing w:after="0" w:line="240" w:lineRule="auto"/>
        <w:rPr>
          <w:rFonts w:eastAsia="Calibri" w:cs="Times New Roman"/>
          <w:bCs/>
        </w:rPr>
      </w:pPr>
      <w:r w:rsidRPr="00A92011">
        <w:rPr>
          <w:rFonts w:eastAsia="Calibri" w:cs="Times New Roman"/>
          <w:bCs/>
        </w:rPr>
        <w:t xml:space="preserve">Charles </w:t>
      </w:r>
      <w:r w:rsidR="006D480B" w:rsidRPr="006D480B">
        <w:rPr>
          <w:rFonts w:eastAsia="Calibri" w:cs="Times New Roman"/>
          <w:bCs/>
        </w:rPr>
        <w:t xml:space="preserve">et al. </w:t>
      </w:r>
      <w:r w:rsidRPr="00A92011">
        <w:rPr>
          <w:rFonts w:eastAsia="Calibri" w:cs="Times New Roman"/>
          <w:bCs/>
        </w:rPr>
        <w:t>(2022</w:t>
      </w:r>
      <w:r w:rsidR="008E2077" w:rsidRPr="00A92011">
        <w:rPr>
          <w:rFonts w:eastAsia="Calibri" w:cs="Times New Roman"/>
          <w:bCs/>
        </w:rPr>
        <w:t>) used</w:t>
      </w:r>
      <w:r w:rsidRPr="00A92011">
        <w:rPr>
          <w:rFonts w:eastAsia="Calibri" w:cs="Times New Roman"/>
          <w:bCs/>
        </w:rPr>
        <w:t xml:space="preserve"> annual time series data covering the period of 1981 to 2017 to explore ‘the determinants of inflation in Nigeria’.</w:t>
      </w:r>
      <w:r w:rsidR="008E2077" w:rsidRPr="00A92011">
        <w:rPr>
          <w:rFonts w:eastAsia="Calibri" w:cs="Times New Roman"/>
          <w:bCs/>
        </w:rPr>
        <w:t xml:space="preserve"> The </w:t>
      </w:r>
      <w:r w:rsidR="00BA2191" w:rsidRPr="00A92011">
        <w:rPr>
          <w:rFonts w:eastAsia="Calibri" w:cs="Times New Roman"/>
          <w:bCs/>
        </w:rPr>
        <w:t xml:space="preserve">research makes use of </w:t>
      </w:r>
      <w:r w:rsidR="008E2077" w:rsidRPr="00A92011">
        <w:rPr>
          <w:rFonts w:eastAsia="Calibri" w:cs="Times New Roman"/>
          <w:bCs/>
        </w:rPr>
        <w:t>Auto–Regressive Distributed Lag (ARDL) methodology. The study discovered that demand–pull and cost–push factors are responsible for inflation in Nigeria.</w:t>
      </w:r>
      <w:r w:rsidR="00D924F3" w:rsidRPr="00A92011">
        <w:rPr>
          <w:rFonts w:eastAsia="Calibri" w:cs="Times New Roman"/>
          <w:bCs/>
        </w:rPr>
        <w:t xml:space="preserve"> The Authors</w:t>
      </w:r>
      <w:r w:rsidR="00B22D5B" w:rsidRPr="00A92011">
        <w:rPr>
          <w:rFonts w:eastAsia="Calibri" w:cs="Times New Roman"/>
          <w:bCs/>
        </w:rPr>
        <w:t xml:space="preserve"> recommended</w:t>
      </w:r>
      <w:r w:rsidR="00D924F3" w:rsidRPr="00A92011">
        <w:rPr>
          <w:rFonts w:eastAsia="Calibri" w:cs="Times New Roman"/>
          <w:bCs/>
        </w:rPr>
        <w:t xml:space="preserve"> that government should provide social infrastructure that would encourage private investment in Nigeria.</w:t>
      </w:r>
      <w:r w:rsidR="00900357">
        <w:rPr>
          <w:rFonts w:eastAsia="Calibri" w:cs="Times New Roman"/>
          <w:bCs/>
        </w:rPr>
        <w:t xml:space="preserve"> </w:t>
      </w:r>
      <w:r w:rsidR="00900357" w:rsidRPr="00900357">
        <w:rPr>
          <w:rFonts w:eastAsia="Calibri" w:cs="Times New Roman"/>
          <w:bCs/>
        </w:rPr>
        <w:t xml:space="preserve">The period covered by Charles, Gilbert and Emerenini </w:t>
      </w:r>
      <w:r w:rsidR="00900357">
        <w:rPr>
          <w:rFonts w:eastAsia="Calibri" w:cs="Times New Roman"/>
          <w:bCs/>
        </w:rPr>
        <w:t xml:space="preserve">in </w:t>
      </w:r>
      <w:r w:rsidR="00900357" w:rsidRPr="00900357">
        <w:rPr>
          <w:rFonts w:eastAsia="Calibri" w:cs="Times New Roman"/>
          <w:bCs/>
        </w:rPr>
        <w:t>the</w:t>
      </w:r>
      <w:r w:rsidR="00900357">
        <w:rPr>
          <w:rFonts w:eastAsia="Calibri" w:cs="Times New Roman"/>
          <w:bCs/>
        </w:rPr>
        <w:t>ir</w:t>
      </w:r>
      <w:r w:rsidR="00900357" w:rsidRPr="00900357">
        <w:rPr>
          <w:rFonts w:eastAsia="Calibri" w:cs="Times New Roman"/>
          <w:bCs/>
        </w:rPr>
        <w:t xml:space="preserve"> study does not include some critical recent economic events</w:t>
      </w:r>
      <w:r w:rsidR="00900357">
        <w:rPr>
          <w:rFonts w:eastAsia="Calibri" w:cs="Times New Roman"/>
          <w:bCs/>
        </w:rPr>
        <w:t xml:space="preserve"> in Nigeria</w:t>
      </w:r>
      <w:r w:rsidR="00900357" w:rsidRPr="00900357">
        <w:rPr>
          <w:rFonts w:eastAsia="Calibri" w:cs="Times New Roman"/>
          <w:bCs/>
        </w:rPr>
        <w:t>. Post-2017, Nigeria has experienced notable economic challenges, including significant exchange rate depreciation, increased government borrowing</w:t>
      </w:r>
      <w:r w:rsidR="00900357">
        <w:rPr>
          <w:rFonts w:eastAsia="Calibri" w:cs="Times New Roman"/>
          <w:bCs/>
        </w:rPr>
        <w:t xml:space="preserve"> through ways and means advances</w:t>
      </w:r>
      <w:r w:rsidR="00900357" w:rsidRPr="00900357">
        <w:rPr>
          <w:rFonts w:eastAsia="Calibri" w:cs="Times New Roman"/>
          <w:bCs/>
        </w:rPr>
        <w:t>, the COVID-19 pandemic</w:t>
      </w:r>
      <w:r w:rsidR="00900357">
        <w:rPr>
          <w:rFonts w:eastAsia="Calibri" w:cs="Times New Roman"/>
          <w:bCs/>
        </w:rPr>
        <w:t xml:space="preserve">, deregulation of the downstream sector and </w:t>
      </w:r>
      <w:r w:rsidR="00EC2B7C" w:rsidRPr="00EC2B7C">
        <w:rPr>
          <w:rFonts w:eastAsia="Calibri" w:cs="Times New Roman"/>
          <w:bCs/>
        </w:rPr>
        <w:t>liberalization</w:t>
      </w:r>
      <w:r w:rsidR="00900357">
        <w:rPr>
          <w:rFonts w:eastAsia="Calibri" w:cs="Times New Roman"/>
          <w:bCs/>
        </w:rPr>
        <w:t xml:space="preserve"> of the domestic currency</w:t>
      </w:r>
      <w:r w:rsidR="00900357" w:rsidRPr="00900357">
        <w:rPr>
          <w:rFonts w:eastAsia="Calibri" w:cs="Times New Roman"/>
          <w:bCs/>
        </w:rPr>
        <w:t>. These events have had significant inflationary effects, which the study by Charles et al. (2022) does not capture.</w:t>
      </w:r>
      <w:r w:rsidR="00900357">
        <w:rPr>
          <w:rFonts w:eastAsia="Calibri" w:cs="Times New Roman"/>
          <w:bCs/>
        </w:rPr>
        <w:t xml:space="preserve"> </w:t>
      </w:r>
      <w:r w:rsidR="00E47218">
        <w:rPr>
          <w:rFonts w:eastAsia="Calibri" w:cs="Times New Roman"/>
          <w:bCs/>
        </w:rPr>
        <w:t>For this reason, th</w:t>
      </w:r>
      <w:r w:rsidR="00C827ED">
        <w:rPr>
          <w:rFonts w:eastAsia="Calibri" w:cs="Times New Roman"/>
          <w:bCs/>
        </w:rPr>
        <w:t>e new</w:t>
      </w:r>
      <w:r w:rsidR="00900357" w:rsidRPr="00900357">
        <w:rPr>
          <w:rFonts w:eastAsia="Calibri" w:cs="Times New Roman"/>
          <w:bCs/>
        </w:rPr>
        <w:t xml:space="preserve"> study extend</w:t>
      </w:r>
      <w:r w:rsidR="00E47218">
        <w:rPr>
          <w:rFonts w:eastAsia="Calibri" w:cs="Times New Roman"/>
          <w:bCs/>
        </w:rPr>
        <w:t>s its data</w:t>
      </w:r>
      <w:r w:rsidR="00900357" w:rsidRPr="00900357">
        <w:rPr>
          <w:rFonts w:eastAsia="Calibri" w:cs="Times New Roman"/>
          <w:bCs/>
        </w:rPr>
        <w:t xml:space="preserve"> up to</w:t>
      </w:r>
      <w:r w:rsidR="00E47218">
        <w:rPr>
          <w:rFonts w:eastAsia="Calibri" w:cs="Times New Roman"/>
          <w:bCs/>
        </w:rPr>
        <w:t xml:space="preserve"> June </w:t>
      </w:r>
      <w:r w:rsidR="00900357" w:rsidRPr="00900357">
        <w:rPr>
          <w:rFonts w:eastAsia="Calibri" w:cs="Times New Roman"/>
          <w:bCs/>
        </w:rPr>
        <w:t>2024</w:t>
      </w:r>
      <w:r w:rsidR="00E47218">
        <w:rPr>
          <w:rFonts w:eastAsia="Calibri" w:cs="Times New Roman"/>
          <w:bCs/>
        </w:rPr>
        <w:t xml:space="preserve"> to</w:t>
      </w:r>
      <w:r w:rsidR="00900357" w:rsidRPr="00900357">
        <w:rPr>
          <w:rFonts w:eastAsia="Calibri" w:cs="Times New Roman"/>
          <w:bCs/>
        </w:rPr>
        <w:t xml:space="preserve"> incorporate these newer inflationary pressures, providing more up-to-date and relevant insights. For example, the rise in </w:t>
      </w:r>
      <w:r w:rsidR="00E47218">
        <w:rPr>
          <w:rFonts w:eastAsia="Calibri" w:cs="Times New Roman"/>
          <w:bCs/>
        </w:rPr>
        <w:t>w</w:t>
      </w:r>
      <w:r w:rsidR="00900357" w:rsidRPr="00900357">
        <w:rPr>
          <w:rFonts w:eastAsia="Calibri" w:cs="Times New Roman"/>
          <w:bCs/>
        </w:rPr>
        <w:t xml:space="preserve">ays and </w:t>
      </w:r>
      <w:r w:rsidR="00E47218">
        <w:rPr>
          <w:rFonts w:eastAsia="Calibri" w:cs="Times New Roman"/>
          <w:bCs/>
        </w:rPr>
        <w:t>m</w:t>
      </w:r>
      <w:r w:rsidR="00900357" w:rsidRPr="00900357">
        <w:rPr>
          <w:rFonts w:eastAsia="Calibri" w:cs="Times New Roman"/>
          <w:bCs/>
        </w:rPr>
        <w:t xml:space="preserve">eans </w:t>
      </w:r>
      <w:r w:rsidR="00E47218">
        <w:rPr>
          <w:rFonts w:eastAsia="Calibri" w:cs="Times New Roman"/>
          <w:bCs/>
        </w:rPr>
        <w:t>a</w:t>
      </w:r>
      <w:r w:rsidR="00900357" w:rsidRPr="00900357">
        <w:rPr>
          <w:rFonts w:eastAsia="Calibri" w:cs="Times New Roman"/>
          <w:bCs/>
        </w:rPr>
        <w:t xml:space="preserve">dvances in recent years and the volatility in </w:t>
      </w:r>
      <w:r w:rsidR="00C827ED">
        <w:rPr>
          <w:rFonts w:eastAsia="Calibri" w:cs="Times New Roman"/>
          <w:bCs/>
        </w:rPr>
        <w:t xml:space="preserve">bureau de change </w:t>
      </w:r>
      <w:r w:rsidR="00E47218">
        <w:rPr>
          <w:rFonts w:eastAsia="Calibri" w:cs="Times New Roman"/>
          <w:bCs/>
        </w:rPr>
        <w:t>e</w:t>
      </w:r>
      <w:r w:rsidR="00900357" w:rsidRPr="00900357">
        <w:rPr>
          <w:rFonts w:eastAsia="Calibri" w:cs="Times New Roman"/>
          <w:bCs/>
        </w:rPr>
        <w:t xml:space="preserve">xchange </w:t>
      </w:r>
      <w:r w:rsidR="00E47218">
        <w:rPr>
          <w:rFonts w:eastAsia="Calibri" w:cs="Times New Roman"/>
          <w:bCs/>
        </w:rPr>
        <w:t>r</w:t>
      </w:r>
      <w:r w:rsidR="00900357" w:rsidRPr="00900357">
        <w:rPr>
          <w:rFonts w:eastAsia="Calibri" w:cs="Times New Roman"/>
          <w:bCs/>
        </w:rPr>
        <w:t xml:space="preserve">ate </w:t>
      </w:r>
      <w:r w:rsidR="00E87639" w:rsidRPr="00900357">
        <w:rPr>
          <w:rFonts w:eastAsia="Calibri" w:cs="Times New Roman"/>
          <w:bCs/>
        </w:rPr>
        <w:t>is</w:t>
      </w:r>
      <w:r w:rsidR="00900357" w:rsidRPr="00900357">
        <w:rPr>
          <w:rFonts w:eastAsia="Calibri" w:cs="Times New Roman"/>
          <w:bCs/>
        </w:rPr>
        <w:t xml:space="preserve"> likely to have played a more prominent role in driving inflation in Nigeria since 2017.</w:t>
      </w:r>
    </w:p>
    <w:p w14:paraId="498654F0" w14:textId="77777777" w:rsidR="00103FA3" w:rsidRDefault="00103FA3" w:rsidP="00596328">
      <w:pPr>
        <w:spacing w:after="0" w:line="240" w:lineRule="auto"/>
        <w:rPr>
          <w:rFonts w:eastAsia="Calibri" w:cs="Times New Roman"/>
          <w:bCs/>
        </w:rPr>
      </w:pPr>
    </w:p>
    <w:p w14:paraId="4FA17869" w14:textId="1498EB44" w:rsidR="000572A2" w:rsidRPr="00A92011" w:rsidRDefault="00CF589D" w:rsidP="00596328">
      <w:pPr>
        <w:spacing w:after="0" w:line="240" w:lineRule="auto"/>
        <w:rPr>
          <w:rFonts w:eastAsia="Calibri" w:cs="Times New Roman"/>
          <w:bCs/>
        </w:rPr>
      </w:pPr>
      <w:r w:rsidRPr="00A92011">
        <w:rPr>
          <w:rFonts w:eastAsia="Calibri" w:cs="Times New Roman"/>
          <w:bCs/>
        </w:rPr>
        <w:t>Duodu</w:t>
      </w:r>
      <w:r w:rsidR="00FD3B5D">
        <w:rPr>
          <w:rFonts w:eastAsia="Calibri" w:cs="Times New Roman"/>
          <w:bCs/>
        </w:rPr>
        <w:t xml:space="preserve"> </w:t>
      </w:r>
      <w:r w:rsidR="00FD3B5D" w:rsidRPr="00FD3B5D">
        <w:rPr>
          <w:rFonts w:eastAsia="Calibri" w:cs="Times New Roman"/>
          <w:bCs/>
        </w:rPr>
        <w:t xml:space="preserve">et al. </w:t>
      </w:r>
      <w:r w:rsidRPr="00A92011">
        <w:rPr>
          <w:rFonts w:eastAsia="Calibri" w:cs="Times New Roman"/>
          <w:bCs/>
        </w:rPr>
        <w:t xml:space="preserve">(2022) examined ‘money supply, budget deficit and inflation dynamics in Ghana: </w:t>
      </w:r>
      <w:r w:rsidR="00C317A5" w:rsidRPr="00A92011">
        <w:rPr>
          <w:rFonts w:eastAsia="Calibri" w:cs="Times New Roman"/>
          <w:bCs/>
        </w:rPr>
        <w:t>a</w:t>
      </w:r>
      <w:r w:rsidRPr="00A92011">
        <w:rPr>
          <w:rFonts w:eastAsia="Calibri" w:cs="Times New Roman"/>
          <w:bCs/>
        </w:rPr>
        <w:t>n empirical investigation’. The Authors employed Granger causality test and the vector error correction model (VECM) on the quarterly time series data spanning from 1999Q1 to 2019Q4. The paper showed that inflation exerts a positive and negative effect on budget deficit and money supply, respectively.</w:t>
      </w:r>
      <w:r w:rsidR="00CC198C" w:rsidRPr="00A92011">
        <w:rPr>
          <w:rFonts w:eastAsia="Calibri" w:cs="Times New Roman"/>
          <w:bCs/>
        </w:rPr>
        <w:t xml:space="preserve"> The </w:t>
      </w:r>
      <w:r w:rsidR="009A6368" w:rsidRPr="00A92011">
        <w:rPr>
          <w:rFonts w:eastAsia="Calibri" w:cs="Times New Roman"/>
          <w:bCs/>
        </w:rPr>
        <w:t>Researchers</w:t>
      </w:r>
      <w:r w:rsidR="00CC198C" w:rsidRPr="00A92011">
        <w:rPr>
          <w:rFonts w:eastAsia="Calibri" w:cs="Times New Roman"/>
          <w:bCs/>
        </w:rPr>
        <w:t xml:space="preserve"> advised the government of Ghana to reduce its </w:t>
      </w:r>
      <w:r w:rsidR="003A28A6" w:rsidRPr="00A92011">
        <w:rPr>
          <w:rFonts w:eastAsia="Calibri" w:cs="Times New Roman"/>
          <w:bCs/>
        </w:rPr>
        <w:t>budget deficit significantly</w:t>
      </w:r>
      <w:r w:rsidR="00CC198C" w:rsidRPr="00A92011">
        <w:rPr>
          <w:rFonts w:eastAsia="Calibri" w:cs="Times New Roman"/>
          <w:bCs/>
        </w:rPr>
        <w:t xml:space="preserve"> and minimize bureaucratic tendencies in</w:t>
      </w:r>
      <w:r w:rsidR="003A28A6" w:rsidRPr="00A92011">
        <w:rPr>
          <w:rFonts w:eastAsia="Calibri" w:cs="Times New Roman"/>
          <w:bCs/>
        </w:rPr>
        <w:t xml:space="preserve"> </w:t>
      </w:r>
      <w:r w:rsidR="00226687">
        <w:rPr>
          <w:rFonts w:eastAsia="Calibri" w:cs="Times New Roman"/>
          <w:bCs/>
        </w:rPr>
        <w:t>ministries, departments, and agencies</w:t>
      </w:r>
      <w:r w:rsidR="003A28A6" w:rsidRPr="00A92011">
        <w:rPr>
          <w:rFonts w:eastAsia="Calibri" w:cs="Times New Roman"/>
          <w:bCs/>
        </w:rPr>
        <w:t>.</w:t>
      </w:r>
      <w:r w:rsidR="002C216B">
        <w:rPr>
          <w:rFonts w:eastAsia="Calibri" w:cs="Times New Roman"/>
          <w:bCs/>
        </w:rPr>
        <w:t xml:space="preserve"> The</w:t>
      </w:r>
      <w:r w:rsidR="002C216B" w:rsidRPr="002C216B">
        <w:rPr>
          <w:rFonts w:eastAsia="Calibri" w:cs="Times New Roman"/>
          <w:bCs/>
        </w:rPr>
        <w:t xml:space="preserve"> </w:t>
      </w:r>
      <w:r w:rsidR="00226687">
        <w:rPr>
          <w:rFonts w:eastAsia="Calibri" w:cs="Times New Roman"/>
          <w:bCs/>
        </w:rPr>
        <w:t xml:space="preserve">limitation of the study by </w:t>
      </w:r>
      <w:r w:rsidR="00226687" w:rsidRPr="002C216B">
        <w:rPr>
          <w:rFonts w:eastAsia="Calibri" w:cs="Times New Roman"/>
          <w:bCs/>
        </w:rPr>
        <w:t>Duodu</w:t>
      </w:r>
      <w:r w:rsidR="00F23719" w:rsidRPr="00F23719">
        <w:rPr>
          <w:rFonts w:eastAsia="Calibri" w:cs="Times New Roman"/>
          <w:bCs/>
        </w:rPr>
        <w:t>, Baidoo, Yusif and Frimpong</w:t>
      </w:r>
      <w:r w:rsidR="00226687">
        <w:rPr>
          <w:rFonts w:eastAsia="Calibri" w:cs="Times New Roman"/>
          <w:bCs/>
        </w:rPr>
        <w:t xml:space="preserve"> is failure to</w:t>
      </w:r>
      <w:r w:rsidR="002C216B" w:rsidRPr="002C216B">
        <w:rPr>
          <w:rFonts w:eastAsia="Calibri" w:cs="Times New Roman"/>
          <w:bCs/>
        </w:rPr>
        <w:t xml:space="preserve"> differentiate between different forms of money supply</w:t>
      </w:r>
      <w:r w:rsidR="00226687">
        <w:rPr>
          <w:rFonts w:eastAsia="Calibri" w:cs="Times New Roman"/>
          <w:bCs/>
        </w:rPr>
        <w:t>,</w:t>
      </w:r>
      <w:r w:rsidR="002C216B" w:rsidRPr="002C216B">
        <w:rPr>
          <w:rFonts w:eastAsia="Calibri" w:cs="Times New Roman"/>
          <w:bCs/>
        </w:rPr>
        <w:t xml:space="preserve"> </w:t>
      </w:r>
      <w:r w:rsidR="00226687">
        <w:rPr>
          <w:rFonts w:eastAsia="Calibri" w:cs="Times New Roman"/>
          <w:bCs/>
        </w:rPr>
        <w:t>n</w:t>
      </w:r>
      <w:r w:rsidR="002C216B" w:rsidRPr="002C216B">
        <w:rPr>
          <w:rFonts w:eastAsia="Calibri" w:cs="Times New Roman"/>
          <w:bCs/>
        </w:rPr>
        <w:t xml:space="preserve">arrow </w:t>
      </w:r>
      <w:r w:rsidR="00226687">
        <w:rPr>
          <w:rFonts w:eastAsia="Calibri" w:cs="Times New Roman"/>
          <w:bCs/>
        </w:rPr>
        <w:t>m</w:t>
      </w:r>
      <w:r w:rsidR="00226687" w:rsidRPr="002C216B">
        <w:rPr>
          <w:rFonts w:eastAsia="Calibri" w:cs="Times New Roman"/>
          <w:bCs/>
        </w:rPr>
        <w:t>oney,</w:t>
      </w:r>
      <w:r w:rsidR="002C216B" w:rsidRPr="002C216B">
        <w:rPr>
          <w:rFonts w:eastAsia="Calibri" w:cs="Times New Roman"/>
          <w:bCs/>
        </w:rPr>
        <w:t xml:space="preserve"> </w:t>
      </w:r>
      <w:r w:rsidR="00226687">
        <w:rPr>
          <w:rFonts w:eastAsia="Calibri" w:cs="Times New Roman"/>
          <w:bCs/>
        </w:rPr>
        <w:t>or</w:t>
      </w:r>
      <w:r w:rsidR="002C216B" w:rsidRPr="002C216B">
        <w:rPr>
          <w:rFonts w:eastAsia="Calibri" w:cs="Times New Roman"/>
          <w:bCs/>
        </w:rPr>
        <w:t xml:space="preserve"> </w:t>
      </w:r>
      <w:r w:rsidR="00226687">
        <w:rPr>
          <w:rFonts w:eastAsia="Calibri" w:cs="Times New Roman"/>
          <w:bCs/>
        </w:rPr>
        <w:t>b</w:t>
      </w:r>
      <w:r w:rsidR="002C216B" w:rsidRPr="002C216B">
        <w:rPr>
          <w:rFonts w:eastAsia="Calibri" w:cs="Times New Roman"/>
          <w:bCs/>
        </w:rPr>
        <w:t xml:space="preserve">road </w:t>
      </w:r>
      <w:r w:rsidR="00226687">
        <w:rPr>
          <w:rFonts w:eastAsia="Calibri" w:cs="Times New Roman"/>
          <w:bCs/>
        </w:rPr>
        <w:t>m</w:t>
      </w:r>
      <w:r w:rsidR="002C216B" w:rsidRPr="002C216B">
        <w:rPr>
          <w:rFonts w:eastAsia="Calibri" w:cs="Times New Roman"/>
          <w:bCs/>
        </w:rPr>
        <w:t>oney</w:t>
      </w:r>
      <w:r w:rsidR="00226687">
        <w:rPr>
          <w:rFonts w:eastAsia="Calibri" w:cs="Times New Roman"/>
          <w:bCs/>
        </w:rPr>
        <w:t>.</w:t>
      </w:r>
      <w:r w:rsidR="002C216B" w:rsidRPr="002C216B">
        <w:rPr>
          <w:rFonts w:eastAsia="Calibri" w:cs="Times New Roman"/>
          <w:bCs/>
        </w:rPr>
        <w:t xml:space="preserve"> In </w:t>
      </w:r>
      <w:r w:rsidR="00F23719">
        <w:rPr>
          <w:rFonts w:eastAsia="Calibri" w:cs="Times New Roman"/>
          <w:bCs/>
        </w:rPr>
        <w:t>th</w:t>
      </w:r>
      <w:r w:rsidR="00226687">
        <w:rPr>
          <w:rFonts w:eastAsia="Calibri" w:cs="Times New Roman"/>
          <w:bCs/>
        </w:rPr>
        <w:t xml:space="preserve">e study under review, more </w:t>
      </w:r>
      <w:r w:rsidR="00F23719">
        <w:rPr>
          <w:rFonts w:eastAsia="Calibri" w:cs="Times New Roman"/>
          <w:bCs/>
        </w:rPr>
        <w:t>focus</w:t>
      </w:r>
      <w:r w:rsidR="00226687">
        <w:rPr>
          <w:rFonts w:eastAsia="Calibri" w:cs="Times New Roman"/>
          <w:bCs/>
        </w:rPr>
        <w:t xml:space="preserve"> will be given to</w:t>
      </w:r>
      <w:r w:rsidR="002C216B" w:rsidRPr="002C216B">
        <w:rPr>
          <w:rFonts w:eastAsia="Calibri" w:cs="Times New Roman"/>
          <w:bCs/>
        </w:rPr>
        <w:t xml:space="preserve"> </w:t>
      </w:r>
      <w:r w:rsidR="00F23719">
        <w:rPr>
          <w:rFonts w:eastAsia="Calibri" w:cs="Times New Roman"/>
          <w:bCs/>
        </w:rPr>
        <w:t>n</w:t>
      </w:r>
      <w:r w:rsidR="002C216B" w:rsidRPr="002C216B">
        <w:rPr>
          <w:rFonts w:eastAsia="Calibri" w:cs="Times New Roman"/>
          <w:bCs/>
        </w:rPr>
        <w:t xml:space="preserve">arrow </w:t>
      </w:r>
      <w:r w:rsidR="00F23719">
        <w:rPr>
          <w:rFonts w:eastAsia="Calibri" w:cs="Times New Roman"/>
          <w:bCs/>
        </w:rPr>
        <w:t>m</w:t>
      </w:r>
      <w:r w:rsidR="002C216B" w:rsidRPr="002C216B">
        <w:rPr>
          <w:rFonts w:eastAsia="Calibri" w:cs="Times New Roman"/>
          <w:bCs/>
        </w:rPr>
        <w:t xml:space="preserve">oney </w:t>
      </w:r>
      <w:r w:rsidR="00F23719">
        <w:rPr>
          <w:rFonts w:eastAsia="Calibri" w:cs="Times New Roman"/>
          <w:bCs/>
        </w:rPr>
        <w:t>which</w:t>
      </w:r>
      <w:r w:rsidR="002C216B" w:rsidRPr="002C216B">
        <w:rPr>
          <w:rFonts w:eastAsia="Calibri" w:cs="Times New Roman"/>
          <w:bCs/>
        </w:rPr>
        <w:t xml:space="preserve"> provide</w:t>
      </w:r>
      <w:r w:rsidR="00F23719">
        <w:rPr>
          <w:rFonts w:eastAsia="Calibri" w:cs="Times New Roman"/>
          <w:bCs/>
        </w:rPr>
        <w:t>s</w:t>
      </w:r>
      <w:r w:rsidR="002C216B" w:rsidRPr="002C216B">
        <w:rPr>
          <w:rFonts w:eastAsia="Calibri" w:cs="Times New Roman"/>
          <w:bCs/>
        </w:rPr>
        <w:t xml:space="preserve"> a </w:t>
      </w:r>
      <w:r w:rsidR="00F23719">
        <w:rPr>
          <w:rFonts w:eastAsia="Calibri" w:cs="Times New Roman"/>
          <w:bCs/>
        </w:rPr>
        <w:t>better</w:t>
      </w:r>
      <w:r w:rsidR="002C216B" w:rsidRPr="002C216B">
        <w:rPr>
          <w:rFonts w:eastAsia="Calibri" w:cs="Times New Roman"/>
          <w:bCs/>
        </w:rPr>
        <w:t xml:space="preserve"> understanding of liquidity-driven inflation</w:t>
      </w:r>
      <w:r w:rsidR="00F23719">
        <w:rPr>
          <w:rFonts w:eastAsia="Calibri" w:cs="Times New Roman"/>
          <w:bCs/>
        </w:rPr>
        <w:t>.</w:t>
      </w:r>
    </w:p>
    <w:p w14:paraId="4C5A4A14" w14:textId="77777777" w:rsidR="00103FA3" w:rsidRDefault="00103FA3" w:rsidP="00596328">
      <w:pPr>
        <w:spacing w:after="0" w:line="240" w:lineRule="auto"/>
        <w:rPr>
          <w:rFonts w:eastAsia="Calibri" w:cs="Times New Roman"/>
          <w:bCs/>
        </w:rPr>
      </w:pPr>
    </w:p>
    <w:p w14:paraId="20F2D6D4" w14:textId="41754EBC" w:rsidR="00D159E2" w:rsidRPr="00A92011" w:rsidRDefault="00B36F15" w:rsidP="00596328">
      <w:pPr>
        <w:spacing w:after="0" w:line="240" w:lineRule="auto"/>
        <w:rPr>
          <w:rFonts w:eastAsia="Calibri" w:cs="Times New Roman"/>
          <w:bCs/>
        </w:rPr>
      </w:pPr>
      <w:r w:rsidRPr="00A92011">
        <w:rPr>
          <w:rFonts w:eastAsia="Calibri" w:cs="Times New Roman"/>
          <w:bCs/>
        </w:rPr>
        <w:t>Adaramola and Dada (2020) used annual time series data from 1980–2018 to find out the ‘impact of inflation on economic growth: evidence from Nigeria’. The Authors employed ARDL on real gross domestic product (GDP), inflation rate, interest rate, exchange rate, degree of economy`s openness, money supply, and government consumption expenditure. The findings revealed that interest rate and money supply depict a positive and significant impact on economic growth in Nigeria.</w:t>
      </w:r>
      <w:r w:rsidR="007945D6" w:rsidRPr="00A92011">
        <w:rPr>
          <w:rFonts w:eastAsia="Calibri" w:cs="Times New Roman"/>
          <w:bCs/>
        </w:rPr>
        <w:t xml:space="preserve"> The study recommended that a more pragmatic effort is needed by the monetary authorities to target inflation to prevent its adverse effect by ensuring a tolerable rate that would stimulate the economic growth of Nigeria.</w:t>
      </w:r>
      <w:r w:rsidR="009A3C13">
        <w:rPr>
          <w:rFonts w:eastAsia="Calibri" w:cs="Times New Roman"/>
          <w:bCs/>
        </w:rPr>
        <w:t xml:space="preserve"> </w:t>
      </w:r>
      <w:r w:rsidR="009A3C13" w:rsidRPr="009A3C13">
        <w:rPr>
          <w:rFonts w:eastAsia="Calibri" w:cs="Times New Roman"/>
          <w:bCs/>
        </w:rPr>
        <w:t>The</w:t>
      </w:r>
      <w:r w:rsidR="00B665C6">
        <w:rPr>
          <w:rFonts w:eastAsia="Calibri" w:cs="Times New Roman"/>
          <w:bCs/>
        </w:rPr>
        <w:t xml:space="preserve"> limitation of the</w:t>
      </w:r>
      <w:r w:rsidR="009A3C13" w:rsidRPr="009A3C13">
        <w:rPr>
          <w:rFonts w:eastAsia="Calibri" w:cs="Times New Roman"/>
          <w:bCs/>
        </w:rPr>
        <w:t xml:space="preserve"> study </w:t>
      </w:r>
      <w:r w:rsidR="00B665C6">
        <w:rPr>
          <w:rFonts w:eastAsia="Calibri" w:cs="Times New Roman"/>
          <w:bCs/>
        </w:rPr>
        <w:t>is the inclusion of</w:t>
      </w:r>
      <w:r w:rsidR="009A3C13" w:rsidRPr="009A3C13">
        <w:rPr>
          <w:rFonts w:eastAsia="Calibri" w:cs="Times New Roman"/>
          <w:bCs/>
        </w:rPr>
        <w:t xml:space="preserve"> broad money supply </w:t>
      </w:r>
      <w:r w:rsidR="009A3C13">
        <w:rPr>
          <w:rFonts w:eastAsia="Calibri" w:cs="Times New Roman"/>
          <w:bCs/>
        </w:rPr>
        <w:t xml:space="preserve">which </w:t>
      </w:r>
      <w:r w:rsidR="00B665C6">
        <w:rPr>
          <w:rFonts w:eastAsia="Calibri" w:cs="Times New Roman"/>
          <w:bCs/>
        </w:rPr>
        <w:t xml:space="preserve">has the elements </w:t>
      </w:r>
      <w:r w:rsidR="009A3C13">
        <w:rPr>
          <w:rFonts w:eastAsia="Calibri" w:cs="Times New Roman"/>
          <w:bCs/>
        </w:rPr>
        <w:t xml:space="preserve">of </w:t>
      </w:r>
      <w:r w:rsidR="00B665C6">
        <w:rPr>
          <w:rFonts w:eastAsia="Calibri" w:cs="Times New Roman"/>
          <w:bCs/>
        </w:rPr>
        <w:t xml:space="preserve">illiquid </w:t>
      </w:r>
      <w:r w:rsidR="009A3C13">
        <w:rPr>
          <w:rFonts w:eastAsia="Calibri" w:cs="Times New Roman"/>
          <w:bCs/>
        </w:rPr>
        <w:t>asset that is not easily convertible</w:t>
      </w:r>
      <w:r w:rsidR="00B665C6">
        <w:rPr>
          <w:rFonts w:eastAsia="Calibri" w:cs="Times New Roman"/>
          <w:bCs/>
        </w:rPr>
        <w:t xml:space="preserve">. For </w:t>
      </w:r>
      <w:r w:rsidR="00B665C6" w:rsidRPr="00B665C6">
        <w:rPr>
          <w:rFonts w:eastAsia="Calibri" w:cs="Times New Roman"/>
          <w:bCs/>
        </w:rPr>
        <w:t>better predictor of short-term inflationary pressures</w:t>
      </w:r>
      <w:r w:rsidR="00B665C6">
        <w:rPr>
          <w:rFonts w:eastAsia="Calibri" w:cs="Times New Roman"/>
          <w:bCs/>
        </w:rPr>
        <w:t>, n</w:t>
      </w:r>
      <w:r w:rsidR="00B665C6" w:rsidRPr="00B665C6">
        <w:rPr>
          <w:rFonts w:eastAsia="Calibri" w:cs="Times New Roman"/>
          <w:bCs/>
        </w:rPr>
        <w:t xml:space="preserve">arrow </w:t>
      </w:r>
      <w:r w:rsidR="00B665C6">
        <w:rPr>
          <w:rFonts w:eastAsia="Calibri" w:cs="Times New Roman"/>
          <w:bCs/>
        </w:rPr>
        <w:t>m</w:t>
      </w:r>
      <w:r w:rsidR="00B665C6" w:rsidRPr="00B665C6">
        <w:rPr>
          <w:rFonts w:eastAsia="Calibri" w:cs="Times New Roman"/>
          <w:bCs/>
        </w:rPr>
        <w:t>oney</w:t>
      </w:r>
      <w:r w:rsidR="00B665C6">
        <w:rPr>
          <w:rFonts w:eastAsia="Calibri" w:cs="Times New Roman"/>
          <w:bCs/>
        </w:rPr>
        <w:t xml:space="preserve"> will be included in the thesis </w:t>
      </w:r>
      <w:r w:rsidR="009A3C13" w:rsidRPr="009A3C13">
        <w:rPr>
          <w:rFonts w:eastAsia="Calibri" w:cs="Times New Roman"/>
          <w:bCs/>
        </w:rPr>
        <w:t xml:space="preserve">which represents the most liquid form of </w:t>
      </w:r>
      <w:r w:rsidR="009A3C13">
        <w:rPr>
          <w:rFonts w:eastAsia="Calibri" w:cs="Times New Roman"/>
          <w:bCs/>
        </w:rPr>
        <w:t>asset</w:t>
      </w:r>
      <w:r w:rsidR="00B665C6">
        <w:rPr>
          <w:rFonts w:eastAsia="Calibri" w:cs="Times New Roman"/>
          <w:bCs/>
        </w:rPr>
        <w:t>,</w:t>
      </w:r>
      <w:r w:rsidR="009A3C13" w:rsidRPr="009A3C13">
        <w:rPr>
          <w:rFonts w:eastAsia="Calibri" w:cs="Times New Roman"/>
          <w:bCs/>
        </w:rPr>
        <w:t xml:space="preserve"> </w:t>
      </w:r>
      <w:r w:rsidR="00B665C6">
        <w:rPr>
          <w:rFonts w:eastAsia="Calibri" w:cs="Times New Roman"/>
          <w:bCs/>
        </w:rPr>
        <w:t xml:space="preserve">that is </w:t>
      </w:r>
      <w:r w:rsidR="009A3C13" w:rsidRPr="009A3C13">
        <w:rPr>
          <w:rFonts w:eastAsia="Calibri" w:cs="Times New Roman"/>
          <w:bCs/>
        </w:rPr>
        <w:t>cash and demand deposits</w:t>
      </w:r>
      <w:r w:rsidR="00B665C6">
        <w:rPr>
          <w:rFonts w:eastAsia="Calibri" w:cs="Times New Roman"/>
          <w:bCs/>
        </w:rPr>
        <w:t>.</w:t>
      </w:r>
      <w:r w:rsidR="009A3C13" w:rsidRPr="009A3C13">
        <w:rPr>
          <w:rFonts w:eastAsia="Calibri" w:cs="Times New Roman"/>
          <w:bCs/>
        </w:rPr>
        <w:t xml:space="preserve"> </w:t>
      </w:r>
    </w:p>
    <w:p w14:paraId="1BA00BB5" w14:textId="77777777" w:rsidR="00103FA3" w:rsidRDefault="00103FA3" w:rsidP="00596328">
      <w:pPr>
        <w:spacing w:after="0" w:line="240" w:lineRule="auto"/>
        <w:rPr>
          <w:rFonts w:eastAsia="Calibri" w:cs="Times New Roman"/>
          <w:bCs/>
        </w:rPr>
      </w:pPr>
    </w:p>
    <w:p w14:paraId="5F5E2343" w14:textId="3ED8BB8E" w:rsidR="00AD6E54" w:rsidRPr="00A92011" w:rsidRDefault="00673D6D" w:rsidP="00596328">
      <w:pPr>
        <w:spacing w:after="0" w:line="240" w:lineRule="auto"/>
        <w:rPr>
          <w:rFonts w:eastAsia="Calibri" w:cs="Times New Roman"/>
          <w:bCs/>
        </w:rPr>
      </w:pPr>
      <w:r w:rsidRPr="00A92011">
        <w:rPr>
          <w:rFonts w:eastAsia="Calibri" w:cs="Times New Roman"/>
          <w:bCs/>
        </w:rPr>
        <w:t xml:space="preserve">Maitra and Hossain (2020) used annual data from 1981 to 2017 to explore 'causes and anti-inflationary policy perception' in India. The authors used CPI as </w:t>
      </w:r>
      <w:r w:rsidR="0082235E" w:rsidRPr="00A92011">
        <w:rPr>
          <w:rFonts w:eastAsia="Calibri" w:cs="Times New Roman"/>
          <w:bCs/>
        </w:rPr>
        <w:t xml:space="preserve">endogenous </w:t>
      </w:r>
      <w:r w:rsidRPr="00A92011">
        <w:rPr>
          <w:rFonts w:eastAsia="Calibri" w:cs="Times New Roman"/>
          <w:bCs/>
        </w:rPr>
        <w:t xml:space="preserve">variable while broad money, interest rate and exchange rate were the </w:t>
      </w:r>
      <w:r w:rsidR="0082235E" w:rsidRPr="00A92011">
        <w:rPr>
          <w:rFonts w:eastAsia="Calibri" w:cs="Times New Roman"/>
          <w:bCs/>
        </w:rPr>
        <w:t xml:space="preserve">exogenous </w:t>
      </w:r>
      <w:r w:rsidRPr="00A92011">
        <w:rPr>
          <w:rFonts w:eastAsia="Calibri" w:cs="Times New Roman"/>
          <w:bCs/>
        </w:rPr>
        <w:t xml:space="preserve">variable. They used VAR model to verify whether the three schools of thought of inflation (structuralist, globalist, and </w:t>
      </w:r>
      <w:r w:rsidRPr="00A92011">
        <w:rPr>
          <w:rFonts w:eastAsia="Calibri" w:cs="Times New Roman"/>
          <w:bCs/>
        </w:rPr>
        <w:lastRenderedPageBreak/>
        <w:t>monetarist) hold in India. The outcome of the research showed that structuralist and globalist views were rejected in India during the study period, however, monetarist views hold. The authors recommended that there should be a structural and political reform in India as well as economic coordination between monetary and fiscal authorities to curb inflation.</w:t>
      </w:r>
      <w:r w:rsidR="00680F8F">
        <w:rPr>
          <w:rFonts w:eastAsia="Calibri" w:cs="Times New Roman"/>
          <w:bCs/>
        </w:rPr>
        <w:t xml:space="preserve"> T</w:t>
      </w:r>
      <w:r w:rsidR="00680F8F" w:rsidRPr="00680F8F">
        <w:rPr>
          <w:rFonts w:eastAsia="Calibri" w:cs="Times New Roman"/>
          <w:bCs/>
        </w:rPr>
        <w:t xml:space="preserve">he focus on the official exchange rate in Maitra and Hossain's study overlooks the importance of parallel or informal exchange rates in countries like Nigeria, where the </w:t>
      </w:r>
      <w:r w:rsidR="00680F8F">
        <w:rPr>
          <w:rFonts w:eastAsia="Calibri" w:cs="Times New Roman"/>
          <w:bCs/>
        </w:rPr>
        <w:t>b</w:t>
      </w:r>
      <w:r w:rsidR="00680F8F" w:rsidRPr="00680F8F">
        <w:rPr>
          <w:rFonts w:eastAsia="Calibri" w:cs="Times New Roman"/>
          <w:bCs/>
        </w:rPr>
        <w:t xml:space="preserve">ureau de </w:t>
      </w:r>
      <w:r w:rsidR="00680F8F">
        <w:rPr>
          <w:rFonts w:eastAsia="Calibri" w:cs="Times New Roman"/>
          <w:bCs/>
        </w:rPr>
        <w:t>c</w:t>
      </w:r>
      <w:r w:rsidR="00680F8F" w:rsidRPr="00680F8F">
        <w:rPr>
          <w:rFonts w:eastAsia="Calibri" w:cs="Times New Roman"/>
          <w:bCs/>
        </w:rPr>
        <w:t xml:space="preserve">hange (BDC) </w:t>
      </w:r>
      <w:r w:rsidR="00680F8F">
        <w:rPr>
          <w:rFonts w:eastAsia="Calibri" w:cs="Times New Roman"/>
          <w:bCs/>
        </w:rPr>
        <w:t>e</w:t>
      </w:r>
      <w:r w:rsidR="00680F8F" w:rsidRPr="00680F8F">
        <w:rPr>
          <w:rFonts w:eastAsia="Calibri" w:cs="Times New Roman"/>
          <w:bCs/>
        </w:rPr>
        <w:t xml:space="preserve">xchange </w:t>
      </w:r>
      <w:r w:rsidR="00680F8F">
        <w:rPr>
          <w:rFonts w:eastAsia="Calibri" w:cs="Times New Roman"/>
          <w:bCs/>
        </w:rPr>
        <w:t>r</w:t>
      </w:r>
      <w:r w:rsidR="00680F8F" w:rsidRPr="00680F8F">
        <w:rPr>
          <w:rFonts w:eastAsia="Calibri" w:cs="Times New Roman"/>
          <w:bCs/>
        </w:rPr>
        <w:t>ate plays a significant role in price formation. The BDC rate often reflects real market conditions more accurately than the official exchange rate, particularly when there is a foreign exchange shortage. For Nigeria, where a large proportion of goods are imported, fluctuations in the BDC exchange rate can have an immediate impact on inflation, a crucial factor missing from their study.</w:t>
      </w:r>
      <w:r w:rsidR="00F13D1C">
        <w:rPr>
          <w:rFonts w:eastAsia="Calibri" w:cs="Times New Roman"/>
          <w:bCs/>
        </w:rPr>
        <w:t xml:space="preserve"> This important variable will be included in the thesis to improve the earlier studies.</w:t>
      </w:r>
    </w:p>
    <w:p w14:paraId="5E306A57" w14:textId="10250602" w:rsidR="005C4096" w:rsidRPr="00A92011" w:rsidRDefault="00372C09" w:rsidP="00596328">
      <w:pPr>
        <w:spacing w:after="0" w:line="240" w:lineRule="auto"/>
        <w:rPr>
          <w:rFonts w:eastAsia="Calibri" w:cs="Times New Roman"/>
          <w:bCs/>
        </w:rPr>
      </w:pPr>
      <w:r>
        <w:rPr>
          <w:rFonts w:eastAsia="Calibri" w:cs="Times New Roman"/>
          <w:bCs/>
        </w:rPr>
        <w:t>Inim</w:t>
      </w:r>
      <w:r w:rsidR="009E4E6B" w:rsidRPr="009E4E6B">
        <w:t xml:space="preserve"> </w:t>
      </w:r>
      <w:r w:rsidR="009E4E6B" w:rsidRPr="009E4E6B">
        <w:rPr>
          <w:rFonts w:eastAsia="Calibri" w:cs="Times New Roman"/>
          <w:bCs/>
        </w:rPr>
        <w:t>et al.</w:t>
      </w:r>
      <w:r w:rsidR="009E4E6B">
        <w:rPr>
          <w:rFonts w:eastAsia="Calibri" w:cs="Times New Roman"/>
          <w:bCs/>
        </w:rPr>
        <w:t xml:space="preserve"> </w:t>
      </w:r>
      <w:r w:rsidR="00AD6E54" w:rsidRPr="00A92011">
        <w:rPr>
          <w:rFonts w:eastAsia="Calibri" w:cs="Times New Roman"/>
          <w:bCs/>
        </w:rPr>
        <w:t xml:space="preserve">(2020) examined the ‘other determinants of inflation in Nigeria’. The Authors used autoregressive distributed lag (ARDL) method on quarterly data from January 1999- December 2018. Findings showed that structural imbalances and rigidity in the economy significantly stimulate inflation rather than just money supply. The study recommends that non-monetary factors of instigating inflation should be </w:t>
      </w:r>
      <w:r w:rsidR="005C4096" w:rsidRPr="00A92011">
        <w:rPr>
          <w:rFonts w:eastAsia="Calibri" w:cs="Times New Roman"/>
          <w:bCs/>
        </w:rPr>
        <w:t>controlled,</w:t>
      </w:r>
      <w:r w:rsidR="00AD6E54" w:rsidRPr="00A92011">
        <w:rPr>
          <w:rFonts w:eastAsia="Calibri" w:cs="Times New Roman"/>
          <w:bCs/>
        </w:rPr>
        <w:t xml:space="preserve"> and security expenditure should be review along with-related mechanisms to achieve low inflation at single digits at most and economic growth and development.</w:t>
      </w:r>
      <w:r w:rsidR="00927FD9">
        <w:rPr>
          <w:rFonts w:eastAsia="Calibri" w:cs="Times New Roman"/>
          <w:bCs/>
        </w:rPr>
        <w:t xml:space="preserve"> T</w:t>
      </w:r>
      <w:r w:rsidR="00927FD9" w:rsidRPr="00927FD9">
        <w:rPr>
          <w:rFonts w:eastAsia="Calibri" w:cs="Times New Roman"/>
          <w:bCs/>
        </w:rPr>
        <w:t xml:space="preserve">he absence of </w:t>
      </w:r>
      <w:r w:rsidR="00927FD9">
        <w:rPr>
          <w:rFonts w:eastAsia="Calibri" w:cs="Times New Roman"/>
          <w:bCs/>
        </w:rPr>
        <w:t>w</w:t>
      </w:r>
      <w:r w:rsidR="00927FD9" w:rsidRPr="00927FD9">
        <w:rPr>
          <w:rFonts w:eastAsia="Calibri" w:cs="Times New Roman"/>
          <w:bCs/>
        </w:rPr>
        <w:t xml:space="preserve">ays and </w:t>
      </w:r>
      <w:r w:rsidR="00927FD9">
        <w:rPr>
          <w:rFonts w:eastAsia="Calibri" w:cs="Times New Roman"/>
          <w:bCs/>
        </w:rPr>
        <w:t>m</w:t>
      </w:r>
      <w:r w:rsidR="00927FD9" w:rsidRPr="00927FD9">
        <w:rPr>
          <w:rFonts w:eastAsia="Calibri" w:cs="Times New Roman"/>
          <w:bCs/>
        </w:rPr>
        <w:t xml:space="preserve">eans </w:t>
      </w:r>
      <w:r w:rsidR="00927FD9">
        <w:rPr>
          <w:rFonts w:eastAsia="Calibri" w:cs="Times New Roman"/>
          <w:bCs/>
        </w:rPr>
        <w:t>a</w:t>
      </w:r>
      <w:r w:rsidR="00927FD9" w:rsidRPr="00927FD9">
        <w:rPr>
          <w:rFonts w:eastAsia="Calibri" w:cs="Times New Roman"/>
          <w:bCs/>
        </w:rPr>
        <w:t xml:space="preserve">dvances as a variable </w:t>
      </w:r>
      <w:r w:rsidR="00927FD9">
        <w:rPr>
          <w:rFonts w:eastAsia="Calibri" w:cs="Times New Roman"/>
          <w:bCs/>
        </w:rPr>
        <w:t xml:space="preserve">in their study has limited the outcome of the empirical findings considering </w:t>
      </w:r>
      <w:r w:rsidR="00927FD9" w:rsidRPr="00927FD9">
        <w:rPr>
          <w:rFonts w:eastAsia="Calibri" w:cs="Times New Roman"/>
          <w:bCs/>
        </w:rPr>
        <w:t xml:space="preserve">government borrowing from the Central Bank of Nigeria (CBN) through </w:t>
      </w:r>
      <w:r w:rsidR="00927FD9">
        <w:rPr>
          <w:rFonts w:eastAsia="Calibri" w:cs="Times New Roman"/>
          <w:bCs/>
        </w:rPr>
        <w:t>w</w:t>
      </w:r>
      <w:r w:rsidR="00927FD9" w:rsidRPr="00927FD9">
        <w:rPr>
          <w:rFonts w:eastAsia="Calibri" w:cs="Times New Roman"/>
          <w:bCs/>
        </w:rPr>
        <w:t xml:space="preserve">ays and </w:t>
      </w:r>
      <w:r w:rsidR="00927FD9">
        <w:rPr>
          <w:rFonts w:eastAsia="Calibri" w:cs="Times New Roman"/>
          <w:bCs/>
        </w:rPr>
        <w:t>m</w:t>
      </w:r>
      <w:r w:rsidR="00927FD9" w:rsidRPr="00927FD9">
        <w:rPr>
          <w:rFonts w:eastAsia="Calibri" w:cs="Times New Roman"/>
          <w:bCs/>
        </w:rPr>
        <w:t xml:space="preserve">eans </w:t>
      </w:r>
      <w:r w:rsidR="00927FD9">
        <w:rPr>
          <w:rFonts w:eastAsia="Calibri" w:cs="Times New Roman"/>
          <w:bCs/>
        </w:rPr>
        <w:t>a</w:t>
      </w:r>
      <w:r w:rsidR="00927FD9" w:rsidRPr="00927FD9">
        <w:rPr>
          <w:rFonts w:eastAsia="Calibri" w:cs="Times New Roman"/>
          <w:bCs/>
        </w:rPr>
        <w:t>dvances</w:t>
      </w:r>
      <w:r w:rsidR="00927FD9">
        <w:rPr>
          <w:rFonts w:eastAsia="Calibri" w:cs="Times New Roman"/>
          <w:bCs/>
        </w:rPr>
        <w:t xml:space="preserve"> in recent years. This</w:t>
      </w:r>
      <w:r w:rsidR="00927FD9" w:rsidRPr="00927FD9">
        <w:rPr>
          <w:rFonts w:eastAsia="Calibri" w:cs="Times New Roman"/>
          <w:bCs/>
        </w:rPr>
        <w:t xml:space="preserve"> has </w:t>
      </w:r>
      <w:r w:rsidR="00F13D1C" w:rsidRPr="00927FD9">
        <w:rPr>
          <w:rFonts w:eastAsia="Calibri" w:cs="Times New Roman"/>
          <w:bCs/>
        </w:rPr>
        <w:t>led</w:t>
      </w:r>
      <w:r w:rsidR="00927FD9" w:rsidRPr="00927FD9">
        <w:rPr>
          <w:rFonts w:eastAsia="Calibri" w:cs="Times New Roman"/>
          <w:bCs/>
        </w:rPr>
        <w:t xml:space="preserve"> to excessive money creation</w:t>
      </w:r>
      <w:r w:rsidR="00927FD9">
        <w:rPr>
          <w:rFonts w:eastAsia="Calibri" w:cs="Times New Roman"/>
          <w:bCs/>
        </w:rPr>
        <w:t xml:space="preserve"> and ultimately fuel </w:t>
      </w:r>
      <w:r w:rsidR="00F13D1C">
        <w:rPr>
          <w:rFonts w:eastAsia="Calibri" w:cs="Times New Roman"/>
          <w:bCs/>
        </w:rPr>
        <w:t>inflation</w:t>
      </w:r>
      <w:r w:rsidR="00927FD9">
        <w:rPr>
          <w:rFonts w:eastAsia="Calibri" w:cs="Times New Roman"/>
          <w:bCs/>
        </w:rPr>
        <w:t>.</w:t>
      </w:r>
      <w:r w:rsidR="00F13D1C">
        <w:rPr>
          <w:rFonts w:eastAsia="Calibri" w:cs="Times New Roman"/>
          <w:bCs/>
        </w:rPr>
        <w:t xml:space="preserve"> Ways and means advances will be included in the thesis to take care of the limitation </w:t>
      </w:r>
      <w:r w:rsidR="002B2CC5">
        <w:rPr>
          <w:rFonts w:eastAsia="Calibri" w:cs="Times New Roman"/>
          <w:bCs/>
        </w:rPr>
        <w:t xml:space="preserve">in </w:t>
      </w:r>
      <w:r w:rsidR="002B2CC5" w:rsidRPr="00927FD9">
        <w:rPr>
          <w:rFonts w:eastAsia="Calibri" w:cs="Times New Roman"/>
          <w:bCs/>
        </w:rPr>
        <w:t>Victor</w:t>
      </w:r>
      <w:r w:rsidR="002B2CC5">
        <w:rPr>
          <w:rFonts w:eastAsia="Calibri" w:cs="Times New Roman"/>
          <w:bCs/>
        </w:rPr>
        <w:t xml:space="preserve"> et al.</w:t>
      </w:r>
      <w:r w:rsidR="00F13D1C">
        <w:rPr>
          <w:rFonts w:eastAsia="Calibri" w:cs="Times New Roman"/>
          <w:bCs/>
        </w:rPr>
        <w:t xml:space="preserve"> studies.</w:t>
      </w:r>
    </w:p>
    <w:p w14:paraId="71A0DC57" w14:textId="77777777" w:rsidR="00103FA3" w:rsidRDefault="00103FA3" w:rsidP="00596328">
      <w:pPr>
        <w:spacing w:after="0" w:line="240" w:lineRule="auto"/>
        <w:rPr>
          <w:rFonts w:eastAsia="Calibri" w:cs="Times New Roman"/>
          <w:bCs/>
        </w:rPr>
      </w:pPr>
    </w:p>
    <w:p w14:paraId="5CAE6097" w14:textId="65EDDF6A" w:rsidR="00AD6E54" w:rsidRDefault="005C4096" w:rsidP="00596328">
      <w:pPr>
        <w:spacing w:after="0" w:line="240" w:lineRule="auto"/>
        <w:rPr>
          <w:rFonts w:eastAsia="Calibri" w:cs="Times New Roman"/>
          <w:bCs/>
        </w:rPr>
      </w:pPr>
      <w:r w:rsidRPr="00A92011">
        <w:rPr>
          <w:rFonts w:eastAsia="Calibri" w:cs="Times New Roman"/>
          <w:bCs/>
        </w:rPr>
        <w:t xml:space="preserve">Okotori (2019) explored ‘the dynamics of monetary policy and inflation in Nigeria’ using monthly data from 2009-2017. The Authors used Johansen </w:t>
      </w:r>
      <w:r w:rsidR="00C317A5" w:rsidRPr="00A92011">
        <w:rPr>
          <w:rFonts w:eastAsia="Calibri" w:cs="Times New Roman"/>
          <w:bCs/>
        </w:rPr>
        <w:t>c</w:t>
      </w:r>
      <w:r w:rsidRPr="00A92011">
        <w:rPr>
          <w:rFonts w:eastAsia="Calibri" w:cs="Times New Roman"/>
          <w:bCs/>
        </w:rPr>
        <w:t xml:space="preserve">ointegration test and the model revealed that money supply, exchange rate, monetary policy rate, treasury bills rate, reserve requirement and liquidity ratio have significant and effective impact on the inflation rate in the Nigerian economy. </w:t>
      </w:r>
      <w:r w:rsidR="007B7D74" w:rsidRPr="00A92011">
        <w:rPr>
          <w:rFonts w:eastAsia="Calibri" w:cs="Times New Roman"/>
          <w:bCs/>
        </w:rPr>
        <w:t>This research revealed</w:t>
      </w:r>
      <w:r w:rsidRPr="00A92011">
        <w:rPr>
          <w:rFonts w:eastAsia="Calibri" w:cs="Times New Roman"/>
          <w:bCs/>
        </w:rPr>
        <w:t xml:space="preserve"> that CBN </w:t>
      </w:r>
      <w:r w:rsidR="007B7D74" w:rsidRPr="00A92011">
        <w:rPr>
          <w:rFonts w:eastAsia="Calibri" w:cs="Times New Roman"/>
          <w:bCs/>
        </w:rPr>
        <w:t xml:space="preserve">should </w:t>
      </w:r>
      <w:r w:rsidRPr="00A92011">
        <w:rPr>
          <w:rFonts w:eastAsia="Calibri" w:cs="Times New Roman"/>
          <w:bCs/>
        </w:rPr>
        <w:t>stay focused on its current foreign exchange rate policy as well as making an unrestricted use of the monetary policy tools in its attempt to arrive and remain at a single digit inflation threshold for Nigeria.</w:t>
      </w:r>
      <w:r w:rsidR="008A665A">
        <w:rPr>
          <w:rFonts w:eastAsia="Calibri" w:cs="Times New Roman"/>
          <w:bCs/>
        </w:rPr>
        <w:t xml:space="preserve"> It is true </w:t>
      </w:r>
      <w:r w:rsidR="005C6FB4">
        <w:rPr>
          <w:rFonts w:eastAsia="Calibri" w:cs="Times New Roman"/>
          <w:bCs/>
        </w:rPr>
        <w:t xml:space="preserve">that </w:t>
      </w:r>
      <w:r w:rsidR="005C6FB4" w:rsidRPr="008A665A">
        <w:rPr>
          <w:rFonts w:eastAsia="Calibri" w:cs="Times New Roman"/>
          <w:bCs/>
        </w:rPr>
        <w:t>Okotori</w:t>
      </w:r>
      <w:r w:rsidR="008A665A" w:rsidRPr="008A665A">
        <w:rPr>
          <w:rFonts w:eastAsia="Calibri" w:cs="Times New Roman"/>
          <w:bCs/>
        </w:rPr>
        <w:t xml:space="preserve"> acknowledges the importance of the </w:t>
      </w:r>
      <w:r w:rsidR="008A665A">
        <w:rPr>
          <w:rFonts w:eastAsia="Calibri" w:cs="Times New Roman"/>
          <w:bCs/>
        </w:rPr>
        <w:t>m</w:t>
      </w:r>
      <w:r w:rsidR="008A665A" w:rsidRPr="008A665A">
        <w:rPr>
          <w:rFonts w:eastAsia="Calibri" w:cs="Times New Roman"/>
          <w:bCs/>
        </w:rPr>
        <w:t xml:space="preserve">onetary </w:t>
      </w:r>
      <w:r w:rsidR="008A665A">
        <w:rPr>
          <w:rFonts w:eastAsia="Calibri" w:cs="Times New Roman"/>
          <w:bCs/>
        </w:rPr>
        <w:t>p</w:t>
      </w:r>
      <w:r w:rsidR="008A665A" w:rsidRPr="008A665A">
        <w:rPr>
          <w:rFonts w:eastAsia="Calibri" w:cs="Times New Roman"/>
          <w:bCs/>
        </w:rPr>
        <w:t xml:space="preserve">olicy </w:t>
      </w:r>
      <w:r w:rsidR="008A665A">
        <w:rPr>
          <w:rFonts w:eastAsia="Calibri" w:cs="Times New Roman"/>
          <w:bCs/>
        </w:rPr>
        <w:t>r</w:t>
      </w:r>
      <w:r w:rsidR="008A665A" w:rsidRPr="008A665A">
        <w:rPr>
          <w:rFonts w:eastAsia="Calibri" w:cs="Times New Roman"/>
          <w:bCs/>
        </w:rPr>
        <w:t xml:space="preserve">ate (MPR), </w:t>
      </w:r>
      <w:r w:rsidR="00F516A7">
        <w:rPr>
          <w:rFonts w:eastAsia="Calibri" w:cs="Times New Roman"/>
          <w:bCs/>
        </w:rPr>
        <w:t xml:space="preserve">however, </w:t>
      </w:r>
      <w:r w:rsidR="008A665A" w:rsidRPr="008A665A">
        <w:rPr>
          <w:rFonts w:eastAsia="Calibri" w:cs="Times New Roman"/>
          <w:bCs/>
        </w:rPr>
        <w:t xml:space="preserve">the study </w:t>
      </w:r>
      <w:r w:rsidR="00F516A7">
        <w:rPr>
          <w:rFonts w:eastAsia="Calibri" w:cs="Times New Roman"/>
          <w:bCs/>
        </w:rPr>
        <w:t>did</w:t>
      </w:r>
      <w:r w:rsidR="00F516A7" w:rsidRPr="008A665A">
        <w:rPr>
          <w:rFonts w:eastAsia="Calibri" w:cs="Times New Roman"/>
          <w:bCs/>
        </w:rPr>
        <w:t xml:space="preserve"> not</w:t>
      </w:r>
      <w:r w:rsidR="008A665A" w:rsidRPr="008A665A">
        <w:rPr>
          <w:rFonts w:eastAsia="Calibri" w:cs="Times New Roman"/>
          <w:bCs/>
        </w:rPr>
        <w:t xml:space="preserve"> fully explore the interaction between the MPR and other variables, such as </w:t>
      </w:r>
      <w:r w:rsidR="008A665A">
        <w:rPr>
          <w:rFonts w:eastAsia="Calibri" w:cs="Times New Roman"/>
          <w:bCs/>
        </w:rPr>
        <w:t>w</w:t>
      </w:r>
      <w:r w:rsidR="008A665A" w:rsidRPr="008A665A">
        <w:rPr>
          <w:rFonts w:eastAsia="Calibri" w:cs="Times New Roman"/>
          <w:bCs/>
        </w:rPr>
        <w:t xml:space="preserve">ays and </w:t>
      </w:r>
      <w:r w:rsidR="008A665A">
        <w:rPr>
          <w:rFonts w:eastAsia="Calibri" w:cs="Times New Roman"/>
          <w:bCs/>
        </w:rPr>
        <w:t>m</w:t>
      </w:r>
      <w:r w:rsidR="008A665A" w:rsidRPr="008A665A">
        <w:rPr>
          <w:rFonts w:eastAsia="Calibri" w:cs="Times New Roman"/>
          <w:bCs/>
        </w:rPr>
        <w:t xml:space="preserve">eans </w:t>
      </w:r>
      <w:r w:rsidR="008A665A">
        <w:rPr>
          <w:rFonts w:eastAsia="Calibri" w:cs="Times New Roman"/>
          <w:bCs/>
        </w:rPr>
        <w:t>a</w:t>
      </w:r>
      <w:r w:rsidR="008A665A" w:rsidRPr="008A665A">
        <w:rPr>
          <w:rFonts w:eastAsia="Calibri" w:cs="Times New Roman"/>
          <w:bCs/>
        </w:rPr>
        <w:t xml:space="preserve">dvances. </w:t>
      </w:r>
      <w:r w:rsidR="008A665A">
        <w:rPr>
          <w:rFonts w:eastAsia="Calibri" w:cs="Times New Roman"/>
          <w:bCs/>
        </w:rPr>
        <w:t>Therefore, increased</w:t>
      </w:r>
      <w:r w:rsidR="008A665A" w:rsidRPr="008A665A">
        <w:rPr>
          <w:rFonts w:eastAsia="Calibri" w:cs="Times New Roman"/>
          <w:bCs/>
        </w:rPr>
        <w:t xml:space="preserve"> government borrowing through </w:t>
      </w:r>
      <w:r w:rsidR="008A665A">
        <w:rPr>
          <w:rFonts w:eastAsia="Calibri" w:cs="Times New Roman"/>
          <w:bCs/>
        </w:rPr>
        <w:t>w</w:t>
      </w:r>
      <w:r w:rsidR="008A665A" w:rsidRPr="008A665A">
        <w:rPr>
          <w:rFonts w:eastAsia="Calibri" w:cs="Times New Roman"/>
          <w:bCs/>
        </w:rPr>
        <w:t xml:space="preserve">ays and </w:t>
      </w:r>
      <w:r w:rsidR="008A665A">
        <w:rPr>
          <w:rFonts w:eastAsia="Calibri" w:cs="Times New Roman"/>
          <w:bCs/>
        </w:rPr>
        <w:t>m</w:t>
      </w:r>
      <w:r w:rsidR="008A665A" w:rsidRPr="008A665A">
        <w:rPr>
          <w:rFonts w:eastAsia="Calibri" w:cs="Times New Roman"/>
          <w:bCs/>
        </w:rPr>
        <w:t xml:space="preserve">eans </w:t>
      </w:r>
      <w:r w:rsidR="008A665A">
        <w:rPr>
          <w:rFonts w:eastAsia="Calibri" w:cs="Times New Roman"/>
          <w:bCs/>
        </w:rPr>
        <w:t>a</w:t>
      </w:r>
      <w:r w:rsidR="008A665A" w:rsidRPr="008A665A">
        <w:rPr>
          <w:rFonts w:eastAsia="Calibri" w:cs="Times New Roman"/>
          <w:bCs/>
        </w:rPr>
        <w:t>dvances</w:t>
      </w:r>
      <w:r w:rsidR="008A665A">
        <w:rPr>
          <w:rFonts w:eastAsia="Calibri" w:cs="Times New Roman"/>
          <w:bCs/>
        </w:rPr>
        <w:t xml:space="preserve"> as we witness today in Nigeria</w:t>
      </w:r>
      <w:r w:rsidR="008A665A" w:rsidRPr="008A665A">
        <w:rPr>
          <w:rFonts w:eastAsia="Calibri" w:cs="Times New Roman"/>
          <w:bCs/>
        </w:rPr>
        <w:t xml:space="preserve"> can undermine the effectiveness of the MPR, leading to liquidity overhang and contributing to inflation despite tight monetary policy.</w:t>
      </w:r>
      <w:r w:rsidR="00AD1DFF">
        <w:rPr>
          <w:rFonts w:eastAsia="Calibri" w:cs="Times New Roman"/>
          <w:bCs/>
        </w:rPr>
        <w:t xml:space="preserve"> For this </w:t>
      </w:r>
      <w:r w:rsidR="002B2CC5">
        <w:rPr>
          <w:rFonts w:eastAsia="Calibri" w:cs="Times New Roman"/>
          <w:bCs/>
        </w:rPr>
        <w:t>reason,</w:t>
      </w:r>
      <w:r w:rsidR="00AD1DFF">
        <w:rPr>
          <w:rFonts w:eastAsia="Calibri" w:cs="Times New Roman"/>
          <w:bCs/>
        </w:rPr>
        <w:t xml:space="preserve"> ways and means advances will be included in the thesis to test the efficacy of the monetary policy rate.</w:t>
      </w:r>
    </w:p>
    <w:p w14:paraId="6F289283" w14:textId="77777777" w:rsidR="00103FA3" w:rsidRPr="00A92011" w:rsidRDefault="00103FA3" w:rsidP="00596328">
      <w:pPr>
        <w:spacing w:after="0" w:line="240" w:lineRule="auto"/>
        <w:rPr>
          <w:rFonts w:eastAsia="Calibri" w:cs="Times New Roman"/>
          <w:bCs/>
        </w:rPr>
      </w:pPr>
    </w:p>
    <w:p w14:paraId="3471440F" w14:textId="1DFF053D" w:rsidR="00673D6D" w:rsidRPr="00AC3993" w:rsidRDefault="00BD102D" w:rsidP="00596328">
      <w:pPr>
        <w:pStyle w:val="Heading3"/>
        <w:spacing w:line="240" w:lineRule="auto"/>
        <w:rPr>
          <w:rFonts w:eastAsia="Calibri"/>
        </w:rPr>
      </w:pPr>
      <w:bookmarkStart w:id="9" w:name="_Toc227924540"/>
      <w:r>
        <w:rPr>
          <w:rFonts w:eastAsia="Calibri"/>
        </w:rPr>
        <w:t xml:space="preserve">2.4.1 </w:t>
      </w:r>
      <w:r w:rsidR="00673D6D" w:rsidRPr="00AC3993">
        <w:rPr>
          <w:rFonts w:eastAsia="Calibri"/>
        </w:rPr>
        <w:t>Gaps in Literature</w:t>
      </w:r>
      <w:bookmarkEnd w:id="9"/>
    </w:p>
    <w:p w14:paraId="5068513F" w14:textId="7BD84C8A" w:rsidR="00761CE3" w:rsidRDefault="00761CE3" w:rsidP="00596328">
      <w:pPr>
        <w:spacing w:after="0" w:line="240" w:lineRule="auto"/>
        <w:rPr>
          <w:rFonts w:eastAsia="Calibri" w:cs="Times New Roman"/>
          <w:bCs/>
        </w:rPr>
      </w:pPr>
      <w:r w:rsidRPr="00761CE3">
        <w:rPr>
          <w:rFonts w:eastAsia="Calibri" w:cs="Times New Roman"/>
          <w:bCs/>
        </w:rPr>
        <w:t>A review of the empirical literature reveals that numerous studies have examined the relationship between money supply and inflation</w:t>
      </w:r>
      <w:r w:rsidR="00DE3E98">
        <w:rPr>
          <w:rFonts w:eastAsia="Calibri" w:cs="Times New Roman"/>
          <w:bCs/>
        </w:rPr>
        <w:t xml:space="preserve"> rate</w:t>
      </w:r>
      <w:r w:rsidRPr="00761CE3">
        <w:rPr>
          <w:rFonts w:eastAsia="Calibri" w:cs="Times New Roman"/>
          <w:bCs/>
        </w:rPr>
        <w:t xml:space="preserve"> dynamics in Nigeria and other economies. However, this study contributes to the existing literature by incorporating the unofficial exchange rate</w:t>
      </w:r>
      <w:r w:rsidR="00B9096A">
        <w:rPr>
          <w:rFonts w:eastAsia="Calibri" w:cs="Times New Roman"/>
          <w:bCs/>
        </w:rPr>
        <w:t xml:space="preserve"> and interbank interest rate</w:t>
      </w:r>
      <w:r w:rsidRPr="00761CE3">
        <w:rPr>
          <w:rFonts w:eastAsia="Calibri" w:cs="Times New Roman"/>
          <w:bCs/>
        </w:rPr>
        <w:t xml:space="preserve"> into its empirical model</w:t>
      </w:r>
      <w:r w:rsidR="00DF15BD">
        <w:rPr>
          <w:rFonts w:eastAsia="Calibri" w:cs="Times New Roman"/>
          <w:bCs/>
        </w:rPr>
        <w:t>. The unofficial</w:t>
      </w:r>
      <w:r w:rsidRPr="00761CE3">
        <w:rPr>
          <w:rFonts w:eastAsia="Calibri" w:cs="Times New Roman"/>
          <w:bCs/>
        </w:rPr>
        <w:t xml:space="preserve"> </w:t>
      </w:r>
      <w:r w:rsidR="00DF15BD">
        <w:rPr>
          <w:rFonts w:eastAsia="Calibri" w:cs="Times New Roman"/>
          <w:bCs/>
        </w:rPr>
        <w:t>exchange rate</w:t>
      </w:r>
      <w:r w:rsidR="00425659">
        <w:rPr>
          <w:rFonts w:eastAsia="Calibri" w:cs="Times New Roman"/>
          <w:bCs/>
        </w:rPr>
        <w:t xml:space="preserve"> plays a</w:t>
      </w:r>
      <w:r w:rsidRPr="00761CE3">
        <w:rPr>
          <w:rFonts w:eastAsia="Calibri" w:cs="Times New Roman"/>
          <w:bCs/>
        </w:rPr>
        <w:t xml:space="preserve"> significant influence on foreign exchange market activities in Nigeria. In addition, while most previous studies cover periods ending in or before 2022, the scope of this study is extended to </w:t>
      </w:r>
      <w:r w:rsidR="003C5954">
        <w:rPr>
          <w:rFonts w:eastAsia="Calibri" w:cs="Times New Roman"/>
          <w:bCs/>
        </w:rPr>
        <w:t>December</w:t>
      </w:r>
      <w:r w:rsidRPr="00761CE3">
        <w:rPr>
          <w:rFonts w:eastAsia="Calibri" w:cs="Times New Roman"/>
          <w:bCs/>
        </w:rPr>
        <w:t xml:space="preserve"> 2025.</w:t>
      </w:r>
    </w:p>
    <w:p w14:paraId="32179439" w14:textId="38C759DB" w:rsidR="00A75937" w:rsidRDefault="00A75937" w:rsidP="00596328">
      <w:pPr>
        <w:spacing w:after="0" w:line="240" w:lineRule="auto"/>
        <w:rPr>
          <w:rFonts w:eastAsia="Calibri" w:cs="Times New Roman"/>
          <w:bCs/>
        </w:rPr>
      </w:pPr>
      <w:r w:rsidRPr="00A75937">
        <w:rPr>
          <w:rFonts w:eastAsia="Calibri" w:cs="Times New Roman"/>
          <w:bCs/>
        </w:rPr>
        <w:t xml:space="preserve">Furthermore, the study period encompasses several major macroeconomic and policy events, including the post–global financial crisis period of 2009, the 2010 gross domestic product </w:t>
      </w:r>
      <w:r w:rsidRPr="00A75937">
        <w:rPr>
          <w:rFonts w:eastAsia="Calibri" w:cs="Times New Roman"/>
          <w:bCs/>
        </w:rPr>
        <w:lastRenderedPageBreak/>
        <w:t>(GDP) rebasing exercise, the economic recession of 2016–2018, the COVID-19 pandemic in 2020, the deregulation of the downstream petroleum sector, and the liberalization of the domestic currency. Collectively, these developments represent an unprecedented concentration of economic shocks and policy shifts within a single period in Nigeria’s economic history. Most of the empirical studies reviewed only partially cover this period, thereby creating a gap that the present study seeks to address.</w:t>
      </w:r>
    </w:p>
    <w:p w14:paraId="084BA5AF" w14:textId="334F02FF" w:rsidR="003E5930" w:rsidRPr="002A3681" w:rsidRDefault="00673D6D" w:rsidP="00596328">
      <w:pPr>
        <w:spacing w:after="0" w:line="240" w:lineRule="auto"/>
        <w:rPr>
          <w:rFonts w:eastAsia="Calibri" w:cs="Times New Roman"/>
          <w:bCs/>
        </w:rPr>
      </w:pPr>
      <w:r w:rsidRPr="00263D10">
        <w:rPr>
          <w:rFonts w:eastAsia="Calibri" w:cs="Times New Roman"/>
          <w:bCs/>
        </w:rPr>
        <w:t xml:space="preserve"> Therefore, this study </w:t>
      </w:r>
      <w:r w:rsidR="004D34A3" w:rsidRPr="00263D10">
        <w:rPr>
          <w:rFonts w:eastAsia="Calibri" w:cs="Times New Roman"/>
          <w:bCs/>
        </w:rPr>
        <w:t xml:space="preserve">carefully selected this period to analyze money supply </w:t>
      </w:r>
      <w:r w:rsidR="00BC038C" w:rsidRPr="00263D10">
        <w:rPr>
          <w:rFonts w:eastAsia="Calibri" w:cs="Times New Roman"/>
          <w:bCs/>
        </w:rPr>
        <w:t>and</w:t>
      </w:r>
      <w:r w:rsidR="004D34A3" w:rsidRPr="00263D10">
        <w:rPr>
          <w:rFonts w:eastAsia="Calibri" w:cs="Times New Roman"/>
          <w:bCs/>
        </w:rPr>
        <w:t xml:space="preserve"> inflation rate</w:t>
      </w:r>
      <w:r w:rsidR="00BC038C" w:rsidRPr="00263D10">
        <w:rPr>
          <w:rFonts w:eastAsia="Calibri" w:cs="Times New Roman"/>
          <w:bCs/>
        </w:rPr>
        <w:t xml:space="preserve"> dynamics</w:t>
      </w:r>
      <w:r w:rsidR="004D34A3" w:rsidRPr="00263D10">
        <w:rPr>
          <w:rFonts w:eastAsia="Calibri" w:cs="Times New Roman"/>
          <w:bCs/>
        </w:rPr>
        <w:t xml:space="preserve"> in Nigeria.</w:t>
      </w:r>
      <w:r w:rsidRPr="00263D10">
        <w:rPr>
          <w:rFonts w:eastAsia="Calibri" w:cs="Times New Roman"/>
          <w:bCs/>
        </w:rPr>
        <w:t xml:space="preserve"> </w:t>
      </w:r>
      <w:r w:rsidR="00176444" w:rsidRPr="00263D10">
        <w:rPr>
          <w:rFonts w:eastAsia="Calibri" w:cs="Times New Roman"/>
          <w:bCs/>
        </w:rPr>
        <w:t>I</w:t>
      </w:r>
      <w:r w:rsidRPr="00263D10">
        <w:rPr>
          <w:rFonts w:eastAsia="Calibri" w:cs="Times New Roman"/>
          <w:bCs/>
        </w:rPr>
        <w:t xml:space="preserve">n addition, </w:t>
      </w:r>
      <w:r w:rsidR="005B4CF9">
        <w:rPr>
          <w:rFonts w:eastAsia="Calibri" w:cs="Times New Roman"/>
          <w:bCs/>
        </w:rPr>
        <w:t>Autoregressive</w:t>
      </w:r>
      <w:r w:rsidR="008339E1">
        <w:rPr>
          <w:rFonts w:eastAsia="Calibri" w:cs="Times New Roman"/>
          <w:bCs/>
        </w:rPr>
        <w:t xml:space="preserve"> Distributed Lag</w:t>
      </w:r>
      <w:r w:rsidR="005B4CF9">
        <w:rPr>
          <w:rFonts w:eastAsia="Calibri" w:cs="Times New Roman"/>
          <w:bCs/>
        </w:rPr>
        <w:t xml:space="preserve"> model</w:t>
      </w:r>
      <w:r w:rsidR="007979B6" w:rsidRPr="007979B6">
        <w:rPr>
          <w:rFonts w:eastAsia="Calibri" w:cs="Times New Roman"/>
          <w:bCs/>
        </w:rPr>
        <w:t xml:space="preserve"> framework and Error Correction Model (ECM)</w:t>
      </w:r>
      <w:r w:rsidR="007979B6">
        <w:rPr>
          <w:rFonts w:eastAsia="Calibri" w:cs="Times New Roman"/>
          <w:bCs/>
        </w:rPr>
        <w:t xml:space="preserve"> w</w:t>
      </w:r>
      <w:r w:rsidR="009B12E6">
        <w:rPr>
          <w:rFonts w:eastAsia="Calibri" w:cs="Times New Roman"/>
          <w:bCs/>
        </w:rPr>
        <w:t>ere</w:t>
      </w:r>
      <w:r w:rsidR="007979B6">
        <w:rPr>
          <w:rFonts w:eastAsia="Calibri" w:cs="Times New Roman"/>
          <w:bCs/>
        </w:rPr>
        <w:t xml:space="preserve"> used for the analysis.</w:t>
      </w:r>
    </w:p>
    <w:p w14:paraId="3A2B0942" w14:textId="200F0B96" w:rsidR="00673D6D" w:rsidRPr="0005516E" w:rsidRDefault="00673D6D" w:rsidP="00596328">
      <w:pPr>
        <w:spacing w:after="0" w:line="240" w:lineRule="auto"/>
        <w:rPr>
          <w:rFonts w:eastAsia="Calibri" w:cs="Times New Roman"/>
          <w:bCs/>
          <w:sz w:val="32"/>
          <w:szCs w:val="32"/>
        </w:rPr>
      </w:pPr>
    </w:p>
    <w:p w14:paraId="76DE1C78" w14:textId="4B12BCF4" w:rsidR="00C42DCB" w:rsidRDefault="00C42DCB" w:rsidP="00596328">
      <w:pPr>
        <w:pStyle w:val="Heading2"/>
        <w:spacing w:line="240" w:lineRule="auto"/>
        <w:rPr>
          <w:rFonts w:eastAsia="Calibri"/>
        </w:rPr>
      </w:pPr>
      <w:bookmarkStart w:id="10" w:name="_Toc227924544"/>
      <w:r>
        <w:rPr>
          <w:rFonts w:eastAsia="Calibri"/>
        </w:rPr>
        <w:t>3. Methodology</w:t>
      </w:r>
    </w:p>
    <w:p w14:paraId="60A084A9" w14:textId="66917FBB" w:rsidR="00673D6D" w:rsidRPr="0038607E" w:rsidRDefault="003D00DF" w:rsidP="00596328">
      <w:pPr>
        <w:pStyle w:val="Heading2"/>
        <w:spacing w:line="240" w:lineRule="auto"/>
        <w:rPr>
          <w:rFonts w:eastAsia="Calibri"/>
        </w:rPr>
      </w:pPr>
      <w:r>
        <w:rPr>
          <w:rFonts w:eastAsia="Calibri"/>
        </w:rPr>
        <w:t xml:space="preserve">3.1 </w:t>
      </w:r>
      <w:r w:rsidR="00673D6D" w:rsidRPr="0038607E">
        <w:rPr>
          <w:rFonts w:eastAsia="Calibri"/>
        </w:rPr>
        <w:t>Research Design</w:t>
      </w:r>
      <w:bookmarkEnd w:id="10"/>
    </w:p>
    <w:p w14:paraId="5C51D96A" w14:textId="02707015" w:rsidR="00EB725F" w:rsidRPr="00C06E8C" w:rsidRDefault="00EB725F" w:rsidP="00596328">
      <w:pPr>
        <w:spacing w:after="0" w:line="240" w:lineRule="auto"/>
        <w:rPr>
          <w:rFonts w:eastAsia="Calibri" w:cs="Times New Roman"/>
          <w:bCs/>
        </w:rPr>
      </w:pPr>
      <w:r w:rsidRPr="00EB725F">
        <w:rPr>
          <w:rFonts w:eastAsia="Calibri" w:cs="Times New Roman"/>
          <w:bCs/>
        </w:rPr>
        <w:t>In examining the impact of money supply on the inflation rate in Nigeria, this study adopts an ex-post facto research design. This approach is appropriate given the use of time series data. The chosen methodology is intended to analyze how the independent variables</w:t>
      </w:r>
      <w:r>
        <w:rPr>
          <w:rFonts w:eastAsia="Calibri" w:cs="Times New Roman"/>
          <w:bCs/>
        </w:rPr>
        <w:t xml:space="preserve"> </w:t>
      </w:r>
      <w:r w:rsidRPr="00EB725F">
        <w:rPr>
          <w:rFonts w:eastAsia="Calibri" w:cs="Times New Roman"/>
          <w:bCs/>
        </w:rPr>
        <w:t xml:space="preserve">namely, narrow money (M1), </w:t>
      </w:r>
      <w:r w:rsidR="001339B4">
        <w:rPr>
          <w:rFonts w:eastAsia="Calibri" w:cs="Times New Roman"/>
          <w:bCs/>
        </w:rPr>
        <w:t xml:space="preserve">Interbank Interest Rates (INB), </w:t>
      </w:r>
      <w:r w:rsidRPr="00EB725F">
        <w:rPr>
          <w:rFonts w:eastAsia="Calibri" w:cs="Times New Roman"/>
          <w:bCs/>
        </w:rPr>
        <w:t xml:space="preserve">Nigerian Treasury Certificates (NTC), Nigerian Treasury Bills (NTBs), Ways and Means Advances (WAMA), and the </w:t>
      </w:r>
      <w:r w:rsidR="00CD38E4">
        <w:rPr>
          <w:rFonts w:eastAsia="Calibri" w:cs="Times New Roman"/>
          <w:bCs/>
        </w:rPr>
        <w:t>A</w:t>
      </w:r>
      <w:r w:rsidRPr="00EB725F">
        <w:rPr>
          <w:rFonts w:eastAsia="Calibri" w:cs="Times New Roman"/>
          <w:bCs/>
        </w:rPr>
        <w:t xml:space="preserve">verage </w:t>
      </w:r>
      <w:r w:rsidR="00CD38E4">
        <w:rPr>
          <w:rFonts w:eastAsia="Calibri" w:cs="Times New Roman"/>
          <w:bCs/>
        </w:rPr>
        <w:t>E</w:t>
      </w:r>
      <w:r w:rsidRPr="00EB725F">
        <w:rPr>
          <w:rFonts w:eastAsia="Calibri" w:cs="Times New Roman"/>
          <w:bCs/>
        </w:rPr>
        <w:t xml:space="preserve">xchange </w:t>
      </w:r>
      <w:r w:rsidR="00CD38E4">
        <w:rPr>
          <w:rFonts w:eastAsia="Calibri" w:cs="Times New Roman"/>
          <w:bCs/>
        </w:rPr>
        <w:t>R</w:t>
      </w:r>
      <w:r w:rsidRPr="00EB725F">
        <w:rPr>
          <w:rFonts w:eastAsia="Calibri" w:cs="Times New Roman"/>
          <w:bCs/>
        </w:rPr>
        <w:t>ate</w:t>
      </w:r>
      <w:r w:rsidR="00CD38E4">
        <w:rPr>
          <w:rFonts w:eastAsia="Calibri" w:cs="Times New Roman"/>
          <w:bCs/>
        </w:rPr>
        <w:t>s</w:t>
      </w:r>
      <w:r w:rsidRPr="00EB725F">
        <w:rPr>
          <w:rFonts w:eastAsia="Calibri" w:cs="Times New Roman"/>
          <w:bCs/>
        </w:rPr>
        <w:t xml:space="preserve"> (AEXR)</w:t>
      </w:r>
      <w:r w:rsidR="00CD38E4">
        <w:rPr>
          <w:rFonts w:eastAsia="Calibri" w:cs="Times New Roman"/>
          <w:bCs/>
        </w:rPr>
        <w:t xml:space="preserve"> </w:t>
      </w:r>
      <w:r w:rsidRPr="00EB725F">
        <w:rPr>
          <w:rFonts w:eastAsia="Calibri" w:cs="Times New Roman"/>
          <w:bCs/>
        </w:rPr>
        <w:t>affect inflation in the Nigerian economy over the study period.</w:t>
      </w:r>
    </w:p>
    <w:p w14:paraId="1A920B26" w14:textId="2050B8B2" w:rsidR="00673D6D" w:rsidRPr="0038607E" w:rsidRDefault="00AD0DA4" w:rsidP="00596328">
      <w:pPr>
        <w:pStyle w:val="Heading2"/>
        <w:spacing w:line="240" w:lineRule="auto"/>
        <w:rPr>
          <w:rFonts w:eastAsia="Calibri"/>
        </w:rPr>
      </w:pPr>
      <w:r w:rsidRPr="0038607E">
        <w:rPr>
          <w:rFonts w:eastAsia="Calibri"/>
        </w:rPr>
        <w:t xml:space="preserve"> </w:t>
      </w:r>
      <w:bookmarkStart w:id="11" w:name="_Toc227924545"/>
      <w:r w:rsidR="003D00DF">
        <w:rPr>
          <w:rFonts w:eastAsia="Calibri"/>
        </w:rPr>
        <w:t xml:space="preserve">3.2 </w:t>
      </w:r>
      <w:r w:rsidR="00673D6D" w:rsidRPr="0038607E">
        <w:rPr>
          <w:rFonts w:eastAsia="Calibri"/>
        </w:rPr>
        <w:t>Model Specification</w:t>
      </w:r>
      <w:bookmarkEnd w:id="11"/>
    </w:p>
    <w:p w14:paraId="5977EB6C" w14:textId="79A8958D" w:rsidR="00673D6D" w:rsidRPr="00C06E8C" w:rsidRDefault="00673D6D" w:rsidP="00596328">
      <w:pPr>
        <w:spacing w:after="0" w:line="240" w:lineRule="auto"/>
        <w:rPr>
          <w:rFonts w:eastAsia="Calibri" w:cs="Times New Roman"/>
          <w:bCs/>
        </w:rPr>
      </w:pPr>
      <w:r w:rsidRPr="00C06E8C">
        <w:rPr>
          <w:rFonts w:eastAsia="Calibri" w:cs="Times New Roman"/>
          <w:bCs/>
        </w:rPr>
        <w:t>The model for this work is an adaptation of the model employed by Adjei (2018), where broad money growth, domestic credit to the private sector, broad money per centage of gross domestic product, and domestic gross product per capita were used as inflation determinants for Ghanaian economy and its relationship with Friedman’s theory of inflation.</w:t>
      </w:r>
    </w:p>
    <w:p w14:paraId="537E3636" w14:textId="710BB442" w:rsidR="00673D6D" w:rsidRPr="00C06E8C" w:rsidRDefault="00673D6D" w:rsidP="00596328">
      <w:pPr>
        <w:spacing w:after="0" w:line="240" w:lineRule="auto"/>
        <w:rPr>
          <w:rFonts w:eastAsia="Calibri" w:cs="Times New Roman"/>
          <w:bCs/>
        </w:rPr>
      </w:pPr>
      <w:r w:rsidRPr="00C06E8C">
        <w:rPr>
          <w:rFonts w:eastAsia="Calibri" w:cs="Times New Roman"/>
          <w:bCs/>
        </w:rPr>
        <w:t>INF =</w:t>
      </w:r>
      <w:r w:rsidR="00A8079D" w:rsidRPr="00C06E8C">
        <w:rPr>
          <w:rFonts w:eastAsia="Calibri" w:cs="Times New Roman"/>
          <w:bCs/>
        </w:rPr>
        <w:t>ƒ (</w:t>
      </w:r>
      <w:r w:rsidRPr="00C06E8C">
        <w:rPr>
          <w:rFonts w:eastAsia="Calibri" w:cs="Times New Roman"/>
          <w:bCs/>
        </w:rPr>
        <w:t>BMG, IMPTS, DCPS, BM/GDP, &amp; GDP/</w:t>
      </w:r>
      <w:r w:rsidR="00DD049F" w:rsidRPr="00C06E8C">
        <w:rPr>
          <w:rFonts w:eastAsia="Calibri" w:cs="Times New Roman"/>
          <w:bCs/>
        </w:rPr>
        <w:t>CAP)</w:t>
      </w:r>
      <w:r w:rsidR="00DD049F">
        <w:rPr>
          <w:rFonts w:eastAsia="Calibri" w:cs="Times New Roman"/>
          <w:bCs/>
        </w:rPr>
        <w:t xml:space="preserve"> ------------------------------------</w:t>
      </w:r>
      <w:r w:rsidR="009D6238">
        <w:rPr>
          <w:rFonts w:eastAsia="Calibri" w:cs="Times New Roman"/>
          <w:bCs/>
        </w:rPr>
        <w:t>3.1</w:t>
      </w:r>
    </w:p>
    <w:p w14:paraId="34500243" w14:textId="353B2CF4" w:rsidR="00673D6D" w:rsidRPr="00C06E8C" w:rsidRDefault="00673D6D" w:rsidP="00596328">
      <w:pPr>
        <w:spacing w:after="0" w:line="240" w:lineRule="auto"/>
        <w:rPr>
          <w:rFonts w:eastAsia="Calibri" w:cs="Times New Roman"/>
          <w:bCs/>
        </w:rPr>
      </w:pPr>
      <w:r w:rsidRPr="00C06E8C">
        <w:rPr>
          <w:rFonts w:eastAsia="Calibri" w:cs="Times New Roman"/>
          <w:bCs/>
        </w:rPr>
        <w:t>In econometric format, equation (i) can be stated as:</w:t>
      </w:r>
    </w:p>
    <w:p w14:paraId="3A385A1E" w14:textId="7FCC9550" w:rsidR="00673D6D" w:rsidRPr="00C06E8C" w:rsidRDefault="00673D6D" w:rsidP="00596328">
      <w:pPr>
        <w:spacing w:after="0" w:line="240" w:lineRule="auto"/>
        <w:rPr>
          <w:rFonts w:eastAsia="Calibri" w:cs="Times New Roman"/>
          <w:bCs/>
        </w:rPr>
      </w:pPr>
      <w:r w:rsidRPr="00C06E8C">
        <w:rPr>
          <w:rFonts w:eastAsia="Calibri" w:cs="Times New Roman"/>
          <w:bCs/>
        </w:rPr>
        <w:t>INF</w:t>
      </w:r>
      <w:r w:rsidRPr="00C06E8C">
        <w:rPr>
          <w:rFonts w:eastAsia="Calibri" w:cs="Times New Roman"/>
          <w:bCs/>
          <w:vertAlign w:val="subscript"/>
        </w:rPr>
        <w:t>t</w:t>
      </w:r>
      <w:r w:rsidRPr="00C06E8C">
        <w:rPr>
          <w:rFonts w:eastAsia="Calibri" w:cs="Times New Roman"/>
          <w:bCs/>
        </w:rPr>
        <w:t xml:space="preserve"> = β</w:t>
      </w:r>
      <w:r w:rsidRPr="00C06E8C">
        <w:rPr>
          <w:rFonts w:eastAsia="Calibri" w:cs="Times New Roman"/>
          <w:bCs/>
          <w:vertAlign w:val="subscript"/>
        </w:rPr>
        <w:t>0</w:t>
      </w:r>
      <w:r w:rsidRPr="00C06E8C">
        <w:rPr>
          <w:rFonts w:eastAsia="Calibri" w:cs="Times New Roman"/>
          <w:bCs/>
        </w:rPr>
        <w:t>+β</w:t>
      </w:r>
      <w:r w:rsidRPr="00C06E8C">
        <w:rPr>
          <w:rFonts w:eastAsia="Calibri" w:cs="Times New Roman"/>
          <w:bCs/>
          <w:vertAlign w:val="subscript"/>
        </w:rPr>
        <w:t>1</w:t>
      </w:r>
      <w:r w:rsidRPr="00C06E8C">
        <w:rPr>
          <w:rFonts w:eastAsia="Calibri" w:cs="Times New Roman"/>
          <w:bCs/>
        </w:rPr>
        <w:t>LnBMGR</w:t>
      </w:r>
      <w:r w:rsidRPr="00C06E8C">
        <w:rPr>
          <w:rFonts w:eastAsia="Calibri" w:cs="Times New Roman"/>
          <w:bCs/>
          <w:vertAlign w:val="subscript"/>
        </w:rPr>
        <w:t>t</w:t>
      </w:r>
      <w:r w:rsidRPr="00C06E8C">
        <w:rPr>
          <w:rFonts w:eastAsia="Calibri" w:cs="Times New Roman"/>
          <w:bCs/>
        </w:rPr>
        <w:t xml:space="preserve"> + β</w:t>
      </w:r>
      <w:r w:rsidRPr="00C06E8C">
        <w:rPr>
          <w:rFonts w:eastAsia="Calibri" w:cs="Times New Roman"/>
          <w:bCs/>
          <w:vertAlign w:val="subscript"/>
        </w:rPr>
        <w:t>2</w:t>
      </w:r>
      <w:r w:rsidRPr="00C06E8C">
        <w:rPr>
          <w:rFonts w:eastAsia="Calibri" w:cs="Times New Roman"/>
          <w:bCs/>
        </w:rPr>
        <w:t>LnIMPTS</w:t>
      </w:r>
      <w:r w:rsidRPr="00C06E8C">
        <w:rPr>
          <w:rFonts w:eastAsia="Calibri" w:cs="Times New Roman"/>
          <w:bCs/>
          <w:vertAlign w:val="subscript"/>
        </w:rPr>
        <w:t>t</w:t>
      </w:r>
      <w:r w:rsidRPr="00C06E8C">
        <w:rPr>
          <w:rFonts w:eastAsia="Calibri" w:cs="Times New Roman"/>
          <w:bCs/>
        </w:rPr>
        <w:t xml:space="preserve"> + β</w:t>
      </w:r>
      <w:r w:rsidRPr="00C06E8C">
        <w:rPr>
          <w:rFonts w:eastAsia="Calibri" w:cs="Times New Roman"/>
          <w:bCs/>
          <w:vertAlign w:val="subscript"/>
        </w:rPr>
        <w:t>3</w:t>
      </w:r>
      <w:r w:rsidRPr="00C06E8C">
        <w:rPr>
          <w:rFonts w:eastAsia="Calibri" w:cs="Times New Roman"/>
          <w:bCs/>
        </w:rPr>
        <w:t xml:space="preserve"> LnDCPS</w:t>
      </w:r>
      <w:r w:rsidRPr="00C06E8C">
        <w:rPr>
          <w:rFonts w:eastAsia="Calibri" w:cs="Times New Roman"/>
          <w:bCs/>
          <w:vertAlign w:val="subscript"/>
        </w:rPr>
        <w:t>t</w:t>
      </w:r>
      <w:r w:rsidRPr="00C06E8C">
        <w:rPr>
          <w:rFonts w:eastAsia="Calibri" w:cs="Times New Roman"/>
          <w:bCs/>
        </w:rPr>
        <w:t xml:space="preserve"> + β</w:t>
      </w:r>
      <w:r w:rsidRPr="00C06E8C">
        <w:rPr>
          <w:rFonts w:eastAsia="Calibri" w:cs="Times New Roman"/>
          <w:bCs/>
          <w:vertAlign w:val="subscript"/>
        </w:rPr>
        <w:t xml:space="preserve">4 </w:t>
      </w:r>
      <w:r w:rsidRPr="00C06E8C">
        <w:rPr>
          <w:rFonts w:eastAsia="Calibri" w:cs="Times New Roman"/>
          <w:bCs/>
        </w:rPr>
        <w:t>LnBM/GDP</w:t>
      </w:r>
      <w:r w:rsidRPr="00C06E8C">
        <w:rPr>
          <w:rFonts w:eastAsia="Calibri" w:cs="Times New Roman"/>
          <w:bCs/>
          <w:vertAlign w:val="subscript"/>
        </w:rPr>
        <w:t>t</w:t>
      </w:r>
      <w:r w:rsidRPr="00C06E8C">
        <w:rPr>
          <w:rFonts w:eastAsia="Calibri" w:cs="Times New Roman"/>
          <w:bCs/>
        </w:rPr>
        <w:t xml:space="preserve"> + β</w:t>
      </w:r>
      <w:r w:rsidRPr="00C06E8C">
        <w:rPr>
          <w:rFonts w:eastAsia="Calibri" w:cs="Times New Roman"/>
          <w:bCs/>
          <w:vertAlign w:val="subscript"/>
        </w:rPr>
        <w:t>5</w:t>
      </w:r>
      <w:r w:rsidRPr="00C06E8C">
        <w:rPr>
          <w:rFonts w:eastAsia="Calibri" w:cs="Times New Roman"/>
          <w:bCs/>
        </w:rPr>
        <w:t>GDP/CAP</w:t>
      </w:r>
      <w:r w:rsidRPr="00C06E8C">
        <w:rPr>
          <w:rFonts w:eastAsia="Calibri" w:cs="Times New Roman"/>
          <w:bCs/>
          <w:vertAlign w:val="subscript"/>
        </w:rPr>
        <w:t>t</w:t>
      </w:r>
      <w:r w:rsidRPr="00C06E8C">
        <w:rPr>
          <w:rFonts w:eastAsia="Calibri" w:cs="Times New Roman"/>
          <w:bCs/>
        </w:rPr>
        <w:t xml:space="preserve">+µr </w:t>
      </w:r>
      <w:r w:rsidR="009D6238">
        <w:rPr>
          <w:rFonts w:eastAsia="Calibri" w:cs="Times New Roman"/>
          <w:bCs/>
        </w:rPr>
        <w:t>--------------------------------------------------------------------------------------------------------3.2</w:t>
      </w:r>
    </w:p>
    <w:p w14:paraId="274130EA" w14:textId="2B176670" w:rsidR="00673D6D" w:rsidRPr="00C06E8C" w:rsidRDefault="00673D6D" w:rsidP="00596328">
      <w:pPr>
        <w:spacing w:after="0" w:line="240" w:lineRule="auto"/>
        <w:rPr>
          <w:rFonts w:eastAsia="Calibri" w:cs="Times New Roman"/>
          <w:bCs/>
        </w:rPr>
      </w:pPr>
      <w:r w:rsidRPr="00C06E8C">
        <w:rPr>
          <w:rFonts w:eastAsia="Calibri" w:cs="Times New Roman"/>
          <w:bCs/>
        </w:rPr>
        <w:t>Where,</w:t>
      </w:r>
    </w:p>
    <w:p w14:paraId="2158B17E" w14:textId="5CF9510B" w:rsidR="00903B38" w:rsidRDefault="00673D6D" w:rsidP="00596328">
      <w:pPr>
        <w:spacing w:after="0" w:line="240" w:lineRule="auto"/>
        <w:rPr>
          <w:rFonts w:eastAsia="Calibri" w:cs="Times New Roman"/>
          <w:bCs/>
        </w:rPr>
      </w:pPr>
      <w:r w:rsidRPr="00C06E8C">
        <w:rPr>
          <w:rFonts w:eastAsia="Calibri" w:cs="Times New Roman"/>
          <w:bCs/>
        </w:rPr>
        <w:t>INF</w:t>
      </w:r>
      <w:r w:rsidR="00903B38">
        <w:rPr>
          <w:rFonts w:eastAsia="Calibri" w:cs="Times New Roman"/>
          <w:bCs/>
        </w:rPr>
        <w:t xml:space="preserve"> </w:t>
      </w:r>
      <w:r w:rsidRPr="00C06E8C">
        <w:rPr>
          <w:rFonts w:eastAsia="Calibri" w:cs="Times New Roman"/>
          <w:bCs/>
        </w:rPr>
        <w:t xml:space="preserve">= inflation; </w:t>
      </w:r>
    </w:p>
    <w:p w14:paraId="5F33F4F4" w14:textId="2298DA3E" w:rsidR="00903B38" w:rsidRDefault="00673D6D" w:rsidP="00596328">
      <w:pPr>
        <w:spacing w:after="0" w:line="240" w:lineRule="auto"/>
        <w:rPr>
          <w:rFonts w:eastAsia="Calibri" w:cs="Times New Roman"/>
          <w:bCs/>
        </w:rPr>
      </w:pPr>
      <w:r w:rsidRPr="00C06E8C">
        <w:rPr>
          <w:rFonts w:eastAsia="Calibri" w:cs="Times New Roman"/>
          <w:bCs/>
        </w:rPr>
        <w:t>BMG</w:t>
      </w:r>
      <w:r w:rsidR="00903B38">
        <w:rPr>
          <w:rFonts w:eastAsia="Calibri" w:cs="Times New Roman"/>
          <w:bCs/>
        </w:rPr>
        <w:t xml:space="preserve"> </w:t>
      </w:r>
      <w:r w:rsidRPr="00C06E8C">
        <w:rPr>
          <w:rFonts w:eastAsia="Calibri" w:cs="Times New Roman"/>
          <w:bCs/>
        </w:rPr>
        <w:t xml:space="preserve">= Broad Money Growth; </w:t>
      </w:r>
    </w:p>
    <w:p w14:paraId="7AF67CBF" w14:textId="77777777" w:rsidR="00903B38" w:rsidRDefault="00940803" w:rsidP="00596328">
      <w:pPr>
        <w:spacing w:after="0" w:line="240" w:lineRule="auto"/>
        <w:rPr>
          <w:rFonts w:eastAsia="Calibri" w:cs="Times New Roman"/>
          <w:bCs/>
        </w:rPr>
      </w:pPr>
      <w:r w:rsidRPr="00C06E8C">
        <w:rPr>
          <w:rFonts w:eastAsia="Calibri" w:cs="Times New Roman"/>
          <w:bCs/>
        </w:rPr>
        <w:t xml:space="preserve">IMPTS= Imports of Goods &amp; Services; </w:t>
      </w:r>
    </w:p>
    <w:p w14:paraId="2E51A43A" w14:textId="0D16110D" w:rsidR="00903B38" w:rsidRDefault="00673D6D" w:rsidP="00596328">
      <w:pPr>
        <w:spacing w:after="0" w:line="240" w:lineRule="auto"/>
        <w:rPr>
          <w:rFonts w:eastAsia="Calibri" w:cs="Times New Roman"/>
          <w:bCs/>
        </w:rPr>
      </w:pPr>
      <w:r w:rsidRPr="00C06E8C">
        <w:rPr>
          <w:rFonts w:eastAsia="Calibri" w:cs="Times New Roman"/>
          <w:bCs/>
        </w:rPr>
        <w:t>DCPS</w:t>
      </w:r>
      <w:r w:rsidR="00903B38">
        <w:rPr>
          <w:rFonts w:eastAsia="Calibri" w:cs="Times New Roman"/>
          <w:bCs/>
        </w:rPr>
        <w:t xml:space="preserve"> </w:t>
      </w:r>
      <w:r w:rsidRPr="00C06E8C">
        <w:rPr>
          <w:rFonts w:eastAsia="Calibri" w:cs="Times New Roman"/>
          <w:bCs/>
        </w:rPr>
        <w:t xml:space="preserve">= Domestic Credit to the Private Sector; </w:t>
      </w:r>
    </w:p>
    <w:p w14:paraId="3527806D" w14:textId="77777777" w:rsidR="00903B38" w:rsidRDefault="00673D6D" w:rsidP="00596328">
      <w:pPr>
        <w:spacing w:after="0" w:line="240" w:lineRule="auto"/>
        <w:rPr>
          <w:rFonts w:eastAsia="Calibri" w:cs="Times New Roman"/>
          <w:bCs/>
        </w:rPr>
      </w:pPr>
      <w:r w:rsidRPr="00C06E8C">
        <w:rPr>
          <w:rFonts w:eastAsia="Calibri" w:cs="Times New Roman"/>
          <w:bCs/>
        </w:rPr>
        <w:t>BM/GDP</w:t>
      </w:r>
      <w:r w:rsidR="00903B38">
        <w:rPr>
          <w:rFonts w:eastAsia="Calibri" w:cs="Times New Roman"/>
          <w:bCs/>
        </w:rPr>
        <w:t xml:space="preserve"> </w:t>
      </w:r>
      <w:r w:rsidRPr="00C06E8C">
        <w:rPr>
          <w:rFonts w:eastAsia="Calibri" w:cs="Times New Roman"/>
          <w:bCs/>
        </w:rPr>
        <w:t>=</w:t>
      </w:r>
      <w:bookmarkStart w:id="12" w:name="_Hlk164171391"/>
      <w:r w:rsidR="00903B38">
        <w:rPr>
          <w:rFonts w:eastAsia="Calibri" w:cs="Times New Roman"/>
          <w:bCs/>
        </w:rPr>
        <w:t xml:space="preserve"> </w:t>
      </w:r>
      <w:r w:rsidRPr="00C06E8C">
        <w:rPr>
          <w:rFonts w:eastAsia="Calibri" w:cs="Times New Roman"/>
          <w:bCs/>
        </w:rPr>
        <w:t>Broad Money per centage of Gross Domestic Product</w:t>
      </w:r>
      <w:bookmarkEnd w:id="12"/>
      <w:r w:rsidRPr="00C06E8C">
        <w:rPr>
          <w:rFonts w:eastAsia="Calibri" w:cs="Times New Roman"/>
          <w:bCs/>
        </w:rPr>
        <w:t xml:space="preserve">; </w:t>
      </w:r>
    </w:p>
    <w:p w14:paraId="2DE7BC5D" w14:textId="77777777" w:rsidR="00903B38" w:rsidRDefault="00673D6D" w:rsidP="00596328">
      <w:pPr>
        <w:spacing w:after="0" w:line="240" w:lineRule="auto"/>
        <w:rPr>
          <w:rFonts w:eastAsia="Calibri" w:cs="Times New Roman"/>
          <w:bCs/>
        </w:rPr>
      </w:pPr>
      <w:r w:rsidRPr="00C06E8C">
        <w:rPr>
          <w:rFonts w:eastAsia="Calibri" w:cs="Times New Roman"/>
          <w:bCs/>
        </w:rPr>
        <w:t xml:space="preserve">GDP/CAP= Gross Domestic Product Per Capita; </w:t>
      </w:r>
    </w:p>
    <w:p w14:paraId="4F49D144" w14:textId="77777777" w:rsidR="00903B38" w:rsidRDefault="00673D6D" w:rsidP="00596328">
      <w:pPr>
        <w:spacing w:after="0" w:line="240" w:lineRule="auto"/>
        <w:rPr>
          <w:rFonts w:eastAsia="Calibri" w:cs="Times New Roman"/>
          <w:bCs/>
        </w:rPr>
      </w:pPr>
      <w:r w:rsidRPr="00C06E8C">
        <w:rPr>
          <w:rFonts w:eastAsia="Calibri" w:cs="Times New Roman"/>
          <w:bCs/>
        </w:rPr>
        <w:t xml:space="preserve">Ln= Natural Logarithm; </w:t>
      </w:r>
    </w:p>
    <w:p w14:paraId="3BC1A4C3" w14:textId="2E32007F" w:rsidR="00673D6D" w:rsidRPr="00C06E8C" w:rsidRDefault="00673D6D" w:rsidP="00596328">
      <w:pPr>
        <w:spacing w:after="0" w:line="240" w:lineRule="auto"/>
        <w:rPr>
          <w:rFonts w:eastAsia="Calibri" w:cs="Times New Roman"/>
          <w:bCs/>
        </w:rPr>
      </w:pPr>
      <w:r w:rsidRPr="00C06E8C">
        <w:rPr>
          <w:rFonts w:eastAsia="Calibri" w:cs="Times New Roman"/>
          <w:bCs/>
        </w:rPr>
        <w:t>β0= Constant Term and T= time.</w:t>
      </w:r>
    </w:p>
    <w:p w14:paraId="469679F9" w14:textId="7BE03E63" w:rsidR="00673D6D" w:rsidRPr="00C06E8C" w:rsidRDefault="00673D6D" w:rsidP="00596328">
      <w:pPr>
        <w:spacing w:after="0" w:line="240" w:lineRule="auto"/>
        <w:rPr>
          <w:rFonts w:eastAsia="Calibri" w:cs="Times New Roman"/>
          <w:bCs/>
        </w:rPr>
      </w:pPr>
      <w:r w:rsidRPr="00C06E8C">
        <w:rPr>
          <w:rFonts w:eastAsia="Calibri" w:cs="Times New Roman"/>
          <w:bCs/>
        </w:rPr>
        <w:t xml:space="preserve">This study adapted the model employed by Adjei (2018), where </w:t>
      </w:r>
      <w:r w:rsidR="00CF2C9D">
        <w:rPr>
          <w:rFonts w:eastAsia="Calibri" w:cs="Times New Roman"/>
          <w:bCs/>
        </w:rPr>
        <w:t xml:space="preserve">narrow </w:t>
      </w:r>
      <w:r w:rsidRPr="00C06E8C">
        <w:rPr>
          <w:rFonts w:eastAsia="Calibri" w:cs="Times New Roman"/>
          <w:bCs/>
        </w:rPr>
        <w:t xml:space="preserve">money, </w:t>
      </w:r>
      <w:r w:rsidR="00184EC0" w:rsidRPr="00184EC0">
        <w:rPr>
          <w:rFonts w:eastAsia="Calibri" w:cs="Times New Roman"/>
          <w:bCs/>
        </w:rPr>
        <w:t>treasury certificate</w:t>
      </w:r>
      <w:r w:rsidR="00074CC2">
        <w:rPr>
          <w:rFonts w:eastAsia="Calibri" w:cs="Times New Roman"/>
          <w:bCs/>
        </w:rPr>
        <w:t xml:space="preserve">, </w:t>
      </w:r>
      <w:r w:rsidR="00495E80" w:rsidRPr="00C06E8C">
        <w:rPr>
          <w:rFonts w:eastAsia="Calibri" w:cs="Times New Roman"/>
          <w:bCs/>
        </w:rPr>
        <w:t xml:space="preserve">Nigeria treasury bills, Central Bank of Nigeria ways and means advances, </w:t>
      </w:r>
      <w:r w:rsidR="00650A96" w:rsidRPr="00C06E8C">
        <w:rPr>
          <w:rFonts w:eastAsia="Calibri" w:cs="Times New Roman"/>
          <w:bCs/>
        </w:rPr>
        <w:t>and</w:t>
      </w:r>
      <w:r w:rsidR="00495E80" w:rsidRPr="00C06E8C">
        <w:rPr>
          <w:rFonts w:eastAsia="Calibri" w:cs="Times New Roman"/>
          <w:bCs/>
        </w:rPr>
        <w:t xml:space="preserve"> </w:t>
      </w:r>
      <w:r w:rsidR="00074CC2" w:rsidRPr="00074CC2">
        <w:rPr>
          <w:rFonts w:eastAsia="Calibri" w:cs="Times New Roman"/>
          <w:bCs/>
        </w:rPr>
        <w:t xml:space="preserve">bureau de change average exchange rate </w:t>
      </w:r>
      <w:r w:rsidR="00AF22A5">
        <w:rPr>
          <w:rFonts w:eastAsia="Calibri" w:cs="Times New Roman"/>
          <w:bCs/>
        </w:rPr>
        <w:t>are</w:t>
      </w:r>
      <w:r w:rsidRPr="00C06E8C">
        <w:rPr>
          <w:rFonts w:eastAsia="Calibri" w:cs="Times New Roman"/>
          <w:bCs/>
        </w:rPr>
        <w:t xml:space="preserve"> used to </w:t>
      </w:r>
      <w:r w:rsidR="00495E80" w:rsidRPr="00C06E8C">
        <w:rPr>
          <w:rFonts w:eastAsia="Calibri" w:cs="Times New Roman"/>
          <w:bCs/>
        </w:rPr>
        <w:t>analyze</w:t>
      </w:r>
      <w:r w:rsidRPr="00C06E8C">
        <w:rPr>
          <w:rFonts w:eastAsia="Calibri" w:cs="Times New Roman"/>
          <w:bCs/>
        </w:rPr>
        <w:t xml:space="preserve"> money supply </w:t>
      </w:r>
      <w:r w:rsidR="007B739A" w:rsidRPr="00C06E8C">
        <w:rPr>
          <w:rFonts w:eastAsia="Calibri" w:cs="Times New Roman"/>
          <w:bCs/>
        </w:rPr>
        <w:t>a</w:t>
      </w:r>
      <w:r w:rsidRPr="00C06E8C">
        <w:rPr>
          <w:rFonts w:eastAsia="Calibri" w:cs="Times New Roman"/>
          <w:bCs/>
        </w:rPr>
        <w:t>n</w:t>
      </w:r>
      <w:r w:rsidR="007B739A" w:rsidRPr="00C06E8C">
        <w:rPr>
          <w:rFonts w:eastAsia="Calibri" w:cs="Times New Roman"/>
          <w:bCs/>
        </w:rPr>
        <w:t>d</w:t>
      </w:r>
      <w:r w:rsidRPr="00C06E8C">
        <w:rPr>
          <w:rFonts w:eastAsia="Calibri" w:cs="Times New Roman"/>
          <w:bCs/>
        </w:rPr>
        <w:t xml:space="preserve"> inflation</w:t>
      </w:r>
      <w:r w:rsidR="007B739A" w:rsidRPr="00C06E8C">
        <w:rPr>
          <w:rFonts w:eastAsia="Calibri" w:cs="Times New Roman"/>
          <w:bCs/>
        </w:rPr>
        <w:t xml:space="preserve"> rate dynamics</w:t>
      </w:r>
      <w:r w:rsidRPr="00C06E8C">
        <w:rPr>
          <w:rFonts w:eastAsia="Calibri" w:cs="Times New Roman"/>
          <w:bCs/>
        </w:rPr>
        <w:t xml:space="preserve"> in Nigeria. Based on Adjei (2018) work, the model is </w:t>
      </w:r>
      <w:r w:rsidR="00B200AC" w:rsidRPr="00C06E8C">
        <w:rPr>
          <w:rFonts w:eastAsia="Calibri" w:cs="Times New Roman"/>
          <w:bCs/>
        </w:rPr>
        <w:t>therefore</w:t>
      </w:r>
      <w:r w:rsidRPr="00C06E8C">
        <w:rPr>
          <w:rFonts w:eastAsia="Calibri" w:cs="Times New Roman"/>
          <w:bCs/>
        </w:rPr>
        <w:t xml:space="preserve"> specified as follows:</w:t>
      </w:r>
    </w:p>
    <w:p w14:paraId="6901541B" w14:textId="3FB73C1B" w:rsidR="00673D6D" w:rsidRPr="00C06E8C" w:rsidRDefault="00D0411F" w:rsidP="00596328">
      <w:pPr>
        <w:spacing w:after="0" w:line="240" w:lineRule="auto"/>
        <w:rPr>
          <w:rFonts w:eastAsia="Calibri" w:cs="Times New Roman"/>
          <w:bCs/>
        </w:rPr>
      </w:pPr>
      <w:r>
        <w:rPr>
          <w:rFonts w:eastAsia="Calibri" w:cs="Times New Roman"/>
          <w:bCs/>
        </w:rPr>
        <w:t>CPI</w:t>
      </w:r>
      <w:r w:rsidR="00673D6D" w:rsidRPr="00C06E8C">
        <w:rPr>
          <w:rFonts w:eastAsia="Calibri" w:cs="Times New Roman"/>
          <w:bCs/>
          <w:vertAlign w:val="subscript"/>
        </w:rPr>
        <w:t>t</w:t>
      </w:r>
      <w:r w:rsidR="00673D6D" w:rsidRPr="00C06E8C">
        <w:rPr>
          <w:rFonts w:eastAsia="Calibri" w:cs="Times New Roman"/>
          <w:bCs/>
        </w:rPr>
        <w:t xml:space="preserve"> = β</w:t>
      </w:r>
      <w:r w:rsidR="00673D6D" w:rsidRPr="00C06E8C">
        <w:rPr>
          <w:rFonts w:eastAsia="Calibri" w:cs="Times New Roman"/>
          <w:bCs/>
          <w:vertAlign w:val="subscript"/>
        </w:rPr>
        <w:t>0</w:t>
      </w:r>
      <w:r w:rsidR="00673D6D" w:rsidRPr="00C06E8C">
        <w:rPr>
          <w:rFonts w:eastAsia="Calibri" w:cs="Times New Roman"/>
          <w:bCs/>
        </w:rPr>
        <w:t>+β</w:t>
      </w:r>
      <w:r w:rsidR="00673D6D" w:rsidRPr="00C06E8C">
        <w:rPr>
          <w:rFonts w:eastAsia="Calibri" w:cs="Times New Roman"/>
          <w:bCs/>
          <w:vertAlign w:val="subscript"/>
        </w:rPr>
        <w:t>1</w:t>
      </w:r>
      <w:r w:rsidR="00673D6D" w:rsidRPr="00C06E8C">
        <w:rPr>
          <w:rFonts w:eastAsia="Calibri" w:cs="Times New Roman"/>
          <w:bCs/>
        </w:rPr>
        <w:t>M</w:t>
      </w:r>
      <w:r w:rsidR="00802258" w:rsidRPr="00D0411F">
        <w:rPr>
          <w:rFonts w:eastAsia="Calibri" w:cs="Times New Roman"/>
          <w:bCs/>
          <w:vertAlign w:val="subscript"/>
        </w:rPr>
        <w:t>1</w:t>
      </w:r>
      <w:r w:rsidR="00673D6D" w:rsidRPr="00C06E8C">
        <w:rPr>
          <w:rFonts w:eastAsia="Calibri" w:cs="Times New Roman"/>
          <w:bCs/>
          <w:vertAlign w:val="subscript"/>
        </w:rPr>
        <w:t>t</w:t>
      </w:r>
      <w:r w:rsidR="00673D6D" w:rsidRPr="00C06E8C">
        <w:rPr>
          <w:rFonts w:eastAsia="Calibri" w:cs="Times New Roman"/>
          <w:bCs/>
        </w:rPr>
        <w:t xml:space="preserve"> + β</w:t>
      </w:r>
      <w:r w:rsidR="00673D6D" w:rsidRPr="00C06E8C">
        <w:rPr>
          <w:rFonts w:eastAsia="Calibri" w:cs="Times New Roman"/>
          <w:bCs/>
          <w:vertAlign w:val="subscript"/>
        </w:rPr>
        <w:t>2</w:t>
      </w:r>
      <w:r w:rsidR="001B2C06">
        <w:rPr>
          <w:rFonts w:eastAsia="Calibri" w:cs="Times New Roman"/>
          <w:bCs/>
        </w:rPr>
        <w:t>IN</w:t>
      </w:r>
      <w:r w:rsidR="00D60123">
        <w:rPr>
          <w:rFonts w:eastAsia="Calibri" w:cs="Times New Roman"/>
          <w:bCs/>
        </w:rPr>
        <w:t>B</w:t>
      </w:r>
      <w:r w:rsidR="00673D6D" w:rsidRPr="00C06E8C">
        <w:rPr>
          <w:rFonts w:eastAsia="Calibri" w:cs="Times New Roman"/>
          <w:bCs/>
          <w:vertAlign w:val="subscript"/>
        </w:rPr>
        <w:t>t</w:t>
      </w:r>
      <w:r w:rsidR="00673D6D" w:rsidRPr="00C06E8C">
        <w:rPr>
          <w:rFonts w:eastAsia="Calibri" w:cs="Times New Roman"/>
          <w:bCs/>
        </w:rPr>
        <w:t xml:space="preserve"> + β</w:t>
      </w:r>
      <w:r w:rsidR="00673D6D" w:rsidRPr="00C06E8C">
        <w:rPr>
          <w:rFonts w:eastAsia="Calibri" w:cs="Times New Roman"/>
          <w:bCs/>
          <w:vertAlign w:val="subscript"/>
        </w:rPr>
        <w:t>3</w:t>
      </w:r>
      <w:r w:rsidR="00B958FE">
        <w:rPr>
          <w:rFonts w:eastAsia="Calibri" w:cs="Times New Roman"/>
          <w:bCs/>
        </w:rPr>
        <w:t>TC</w:t>
      </w:r>
      <w:r w:rsidR="00673D6D" w:rsidRPr="00C06E8C">
        <w:rPr>
          <w:rFonts w:eastAsia="Calibri" w:cs="Times New Roman"/>
          <w:bCs/>
          <w:vertAlign w:val="subscript"/>
        </w:rPr>
        <w:t>t</w:t>
      </w:r>
      <w:r w:rsidR="00673D6D" w:rsidRPr="00C06E8C">
        <w:rPr>
          <w:rFonts w:eastAsia="Calibri" w:cs="Times New Roman"/>
          <w:bCs/>
        </w:rPr>
        <w:t xml:space="preserve"> </w:t>
      </w:r>
      <w:r w:rsidR="00495E80" w:rsidRPr="00C06E8C">
        <w:rPr>
          <w:rFonts w:eastAsia="Calibri" w:cs="Times New Roman"/>
          <w:bCs/>
        </w:rPr>
        <w:t>+β</w:t>
      </w:r>
      <w:r w:rsidR="00495E80" w:rsidRPr="00C06E8C">
        <w:rPr>
          <w:rFonts w:eastAsia="Calibri" w:cs="Times New Roman"/>
          <w:bCs/>
          <w:vertAlign w:val="subscript"/>
        </w:rPr>
        <w:t>4</w:t>
      </w:r>
      <w:r w:rsidR="00802258">
        <w:rPr>
          <w:rFonts w:eastAsia="Calibri" w:cs="Times New Roman"/>
          <w:bCs/>
        </w:rPr>
        <w:t>NTBs</w:t>
      </w:r>
      <w:r w:rsidR="00495E80" w:rsidRPr="00C06E8C">
        <w:rPr>
          <w:rFonts w:eastAsia="Calibri" w:cs="Times New Roman"/>
          <w:bCs/>
          <w:vertAlign w:val="subscript"/>
        </w:rPr>
        <w:t>t</w:t>
      </w:r>
      <w:r w:rsidR="00495E80" w:rsidRPr="00C06E8C">
        <w:rPr>
          <w:rFonts w:eastAsia="Calibri" w:cs="Times New Roman"/>
          <w:bCs/>
        </w:rPr>
        <w:t>+β</w:t>
      </w:r>
      <w:r w:rsidR="00650A96" w:rsidRPr="00C06E8C">
        <w:rPr>
          <w:rFonts w:eastAsia="Calibri" w:cs="Times New Roman"/>
          <w:bCs/>
          <w:vertAlign w:val="subscript"/>
        </w:rPr>
        <w:t>5</w:t>
      </w:r>
      <w:r w:rsidR="00802258">
        <w:rPr>
          <w:rFonts w:eastAsia="Calibri" w:cs="Times New Roman"/>
          <w:bCs/>
        </w:rPr>
        <w:t>WAMA</w:t>
      </w:r>
      <w:r w:rsidR="00495E80" w:rsidRPr="00C06E8C">
        <w:rPr>
          <w:rFonts w:eastAsia="Calibri" w:cs="Times New Roman"/>
          <w:bCs/>
          <w:vertAlign w:val="subscript"/>
        </w:rPr>
        <w:t>t</w:t>
      </w:r>
      <w:r w:rsidR="00673D6D" w:rsidRPr="00C06E8C">
        <w:rPr>
          <w:rFonts w:eastAsia="Calibri" w:cs="Times New Roman"/>
          <w:bCs/>
        </w:rPr>
        <w:t>+</w:t>
      </w:r>
      <w:r w:rsidR="00872C4A" w:rsidRPr="00872C4A">
        <w:t xml:space="preserve"> </w:t>
      </w:r>
      <w:r w:rsidR="00872C4A" w:rsidRPr="00872C4A">
        <w:rPr>
          <w:rFonts w:eastAsia="Calibri" w:cs="Times New Roman"/>
          <w:bCs/>
        </w:rPr>
        <w:t>β</w:t>
      </w:r>
      <w:r w:rsidR="00872C4A" w:rsidRPr="00872C4A">
        <w:rPr>
          <w:rFonts w:eastAsia="Calibri" w:cs="Times New Roman"/>
          <w:bCs/>
          <w:vertAlign w:val="subscript"/>
        </w:rPr>
        <w:t>6</w:t>
      </w:r>
      <w:r w:rsidR="00872C4A" w:rsidRPr="00872C4A">
        <w:rPr>
          <w:rFonts w:eastAsia="Calibri" w:cs="Times New Roman"/>
          <w:bCs/>
        </w:rPr>
        <w:t>A</w:t>
      </w:r>
      <w:r w:rsidR="008559A3">
        <w:rPr>
          <w:rFonts w:eastAsia="Calibri" w:cs="Times New Roman"/>
          <w:bCs/>
        </w:rPr>
        <w:t>EXR</w:t>
      </w:r>
      <w:r w:rsidR="00872C4A" w:rsidRPr="008559A3">
        <w:rPr>
          <w:rFonts w:eastAsia="Calibri" w:cs="Times New Roman"/>
          <w:bCs/>
          <w:vertAlign w:val="subscript"/>
        </w:rPr>
        <w:t xml:space="preserve">t </w:t>
      </w:r>
      <w:r w:rsidR="00872C4A">
        <w:rPr>
          <w:rFonts w:eastAsia="Calibri" w:cs="Times New Roman"/>
          <w:bCs/>
        </w:rPr>
        <w:t>+</w:t>
      </w:r>
      <w:r w:rsidR="00673D6D" w:rsidRPr="00C06E8C">
        <w:rPr>
          <w:rFonts w:eastAsia="Calibri" w:cs="Times New Roman"/>
          <w:bCs/>
        </w:rPr>
        <w:t>µ---------</w:t>
      </w:r>
      <w:r w:rsidR="009D6238">
        <w:rPr>
          <w:rFonts w:eastAsia="Calibri" w:cs="Times New Roman"/>
          <w:bCs/>
        </w:rPr>
        <w:t>3.3</w:t>
      </w:r>
    </w:p>
    <w:p w14:paraId="74C006A0" w14:textId="0500057B" w:rsidR="00673D6D" w:rsidRPr="00C06E8C" w:rsidRDefault="00673D6D" w:rsidP="00596328">
      <w:pPr>
        <w:spacing w:after="0" w:line="240" w:lineRule="auto"/>
        <w:rPr>
          <w:rFonts w:eastAsia="Calibri" w:cs="Times New Roman"/>
          <w:bCs/>
        </w:rPr>
      </w:pPr>
      <w:r w:rsidRPr="00C06E8C">
        <w:rPr>
          <w:rFonts w:eastAsia="Calibri" w:cs="Times New Roman"/>
          <w:bCs/>
        </w:rPr>
        <w:t>Where,</w:t>
      </w:r>
    </w:p>
    <w:p w14:paraId="078D7951" w14:textId="77777777" w:rsidR="00903B38" w:rsidRDefault="00903B38" w:rsidP="00596328">
      <w:pPr>
        <w:spacing w:after="0" w:line="240" w:lineRule="auto"/>
        <w:rPr>
          <w:rFonts w:eastAsia="Calibri" w:cs="Times New Roman"/>
          <w:bCs/>
        </w:rPr>
      </w:pPr>
      <w:r w:rsidRPr="00C06E8C">
        <w:rPr>
          <w:rFonts w:eastAsia="Calibri" w:cs="Times New Roman"/>
          <w:bCs/>
        </w:rPr>
        <w:t>Β</w:t>
      </w:r>
      <w:r w:rsidR="00673D6D" w:rsidRPr="00C06E8C">
        <w:rPr>
          <w:rFonts w:eastAsia="Calibri" w:cs="Times New Roman"/>
          <w:bCs/>
        </w:rPr>
        <w:t>i</w:t>
      </w:r>
      <w:r>
        <w:rPr>
          <w:rFonts w:eastAsia="Calibri" w:cs="Times New Roman"/>
          <w:bCs/>
        </w:rPr>
        <w:t xml:space="preserve"> </w:t>
      </w:r>
      <w:r w:rsidR="00673D6D" w:rsidRPr="00C06E8C">
        <w:rPr>
          <w:rFonts w:eastAsia="Calibri" w:cs="Times New Roman"/>
          <w:bCs/>
        </w:rPr>
        <w:t xml:space="preserve">= The Estimated Parameters /Coefficients of the Variables; </w:t>
      </w:r>
    </w:p>
    <w:p w14:paraId="2D710FA1" w14:textId="77777777" w:rsidR="00903B38" w:rsidRDefault="00673D6D" w:rsidP="00596328">
      <w:pPr>
        <w:spacing w:after="0" w:line="240" w:lineRule="auto"/>
        <w:rPr>
          <w:rFonts w:eastAsia="Calibri" w:cs="Times New Roman"/>
          <w:bCs/>
        </w:rPr>
      </w:pPr>
      <w:r w:rsidRPr="00C06E8C">
        <w:rPr>
          <w:rFonts w:eastAsia="Calibri" w:cs="Times New Roman"/>
          <w:bCs/>
        </w:rPr>
        <w:t>β0</w:t>
      </w:r>
      <w:r w:rsidR="00903B38">
        <w:rPr>
          <w:rFonts w:eastAsia="Calibri" w:cs="Times New Roman"/>
          <w:bCs/>
        </w:rPr>
        <w:t xml:space="preserve"> </w:t>
      </w:r>
      <w:r w:rsidRPr="00C06E8C">
        <w:rPr>
          <w:rFonts w:eastAsia="Calibri" w:cs="Times New Roman"/>
          <w:bCs/>
        </w:rPr>
        <w:t xml:space="preserve">= Constant Term; </w:t>
      </w:r>
    </w:p>
    <w:p w14:paraId="46C79760" w14:textId="77777777" w:rsidR="00903B38" w:rsidRDefault="00673D6D" w:rsidP="00596328">
      <w:pPr>
        <w:spacing w:after="0" w:line="240" w:lineRule="auto"/>
        <w:rPr>
          <w:rFonts w:eastAsia="Calibri" w:cs="Times New Roman"/>
          <w:bCs/>
        </w:rPr>
      </w:pPr>
      <w:r w:rsidRPr="00C06E8C">
        <w:rPr>
          <w:rFonts w:eastAsia="Calibri" w:cs="Times New Roman"/>
          <w:bCs/>
        </w:rPr>
        <w:t xml:space="preserve">T= Time; </w:t>
      </w:r>
    </w:p>
    <w:p w14:paraId="1522B949" w14:textId="77777777" w:rsidR="00903B38" w:rsidRDefault="00673D6D" w:rsidP="00596328">
      <w:pPr>
        <w:spacing w:after="0" w:line="240" w:lineRule="auto"/>
        <w:rPr>
          <w:rFonts w:eastAsia="Calibri" w:cs="Times New Roman"/>
          <w:bCs/>
        </w:rPr>
      </w:pPr>
      <w:r w:rsidRPr="00C06E8C">
        <w:rPr>
          <w:rFonts w:eastAsia="Calibri" w:cs="Times New Roman"/>
          <w:bCs/>
        </w:rPr>
        <w:t xml:space="preserve">µ= Error term; </w:t>
      </w:r>
    </w:p>
    <w:p w14:paraId="74AEDE9E" w14:textId="77777777" w:rsidR="00903B38" w:rsidRDefault="00133FD3" w:rsidP="00596328">
      <w:pPr>
        <w:spacing w:after="0" w:line="240" w:lineRule="auto"/>
        <w:rPr>
          <w:rFonts w:eastAsia="Calibri" w:cs="Times New Roman"/>
          <w:bCs/>
        </w:rPr>
      </w:pPr>
      <w:r>
        <w:rPr>
          <w:rFonts w:eastAsia="Calibri" w:cs="Times New Roman"/>
          <w:bCs/>
        </w:rPr>
        <w:t>CPI</w:t>
      </w:r>
      <w:r w:rsidR="00903B38">
        <w:rPr>
          <w:rFonts w:eastAsia="Calibri" w:cs="Times New Roman"/>
          <w:bCs/>
        </w:rPr>
        <w:t xml:space="preserve"> </w:t>
      </w:r>
      <w:r w:rsidR="00673D6D" w:rsidRPr="00C06E8C">
        <w:rPr>
          <w:rFonts w:eastAsia="Calibri" w:cs="Times New Roman"/>
          <w:bCs/>
        </w:rPr>
        <w:t>=</w:t>
      </w:r>
      <w:r w:rsidR="00E37337" w:rsidRPr="00C06E8C">
        <w:rPr>
          <w:rFonts w:eastAsia="Calibri" w:cs="Times New Roman"/>
          <w:bCs/>
        </w:rPr>
        <w:t xml:space="preserve"> </w:t>
      </w:r>
      <w:r>
        <w:rPr>
          <w:rFonts w:eastAsia="Calibri" w:cs="Times New Roman"/>
          <w:bCs/>
        </w:rPr>
        <w:t>Consumer Price Index</w:t>
      </w:r>
      <w:r w:rsidR="00673D6D" w:rsidRPr="00C06E8C">
        <w:rPr>
          <w:rFonts w:eastAsia="Calibri" w:cs="Times New Roman"/>
          <w:bCs/>
        </w:rPr>
        <w:t xml:space="preserve">; </w:t>
      </w:r>
    </w:p>
    <w:p w14:paraId="4368207B" w14:textId="77777777" w:rsidR="00903B38" w:rsidRDefault="00673D6D" w:rsidP="00596328">
      <w:pPr>
        <w:spacing w:after="0" w:line="240" w:lineRule="auto"/>
        <w:rPr>
          <w:rFonts w:eastAsia="Calibri" w:cs="Times New Roman"/>
          <w:bCs/>
        </w:rPr>
      </w:pPr>
      <w:r w:rsidRPr="00C06E8C">
        <w:rPr>
          <w:rFonts w:eastAsia="Calibri" w:cs="Times New Roman"/>
          <w:bCs/>
        </w:rPr>
        <w:t>M</w:t>
      </w:r>
      <w:r w:rsidR="00802258">
        <w:rPr>
          <w:rFonts w:eastAsia="Calibri" w:cs="Times New Roman"/>
          <w:bCs/>
        </w:rPr>
        <w:t>1</w:t>
      </w:r>
      <w:r w:rsidRPr="00C06E8C">
        <w:rPr>
          <w:rFonts w:eastAsia="Calibri" w:cs="Times New Roman"/>
          <w:bCs/>
        </w:rPr>
        <w:t xml:space="preserve">= </w:t>
      </w:r>
      <w:r w:rsidR="00802258">
        <w:rPr>
          <w:rFonts w:eastAsia="Calibri" w:cs="Times New Roman"/>
          <w:bCs/>
        </w:rPr>
        <w:t xml:space="preserve">Narrow </w:t>
      </w:r>
      <w:r w:rsidRPr="00C06E8C">
        <w:rPr>
          <w:rFonts w:eastAsia="Calibri" w:cs="Times New Roman"/>
          <w:bCs/>
        </w:rPr>
        <w:t xml:space="preserve">Money; </w:t>
      </w:r>
    </w:p>
    <w:p w14:paraId="4769A486" w14:textId="112F7DF4" w:rsidR="00903B38" w:rsidRDefault="00133C37" w:rsidP="00596328">
      <w:pPr>
        <w:spacing w:after="0" w:line="240" w:lineRule="auto"/>
        <w:rPr>
          <w:rFonts w:eastAsia="Calibri" w:cs="Times New Roman"/>
          <w:bCs/>
        </w:rPr>
      </w:pPr>
      <w:r>
        <w:rPr>
          <w:rFonts w:eastAsia="Calibri" w:cs="Times New Roman"/>
          <w:bCs/>
        </w:rPr>
        <w:lastRenderedPageBreak/>
        <w:t>INB</w:t>
      </w:r>
      <w:r w:rsidR="00903B38">
        <w:rPr>
          <w:rFonts w:eastAsia="Calibri" w:cs="Times New Roman"/>
          <w:bCs/>
        </w:rPr>
        <w:t xml:space="preserve"> </w:t>
      </w:r>
      <w:r>
        <w:rPr>
          <w:rFonts w:eastAsia="Calibri" w:cs="Times New Roman"/>
          <w:bCs/>
        </w:rPr>
        <w:t>=Interbank Rates</w:t>
      </w:r>
      <w:r w:rsidR="00D60123">
        <w:rPr>
          <w:rFonts w:eastAsia="Calibri" w:cs="Times New Roman"/>
          <w:bCs/>
        </w:rPr>
        <w:t xml:space="preserve">; </w:t>
      </w:r>
    </w:p>
    <w:p w14:paraId="446E45A1" w14:textId="5571FE24" w:rsidR="00903B38" w:rsidRDefault="000E19CB" w:rsidP="00596328">
      <w:pPr>
        <w:spacing w:after="0" w:line="240" w:lineRule="auto"/>
        <w:rPr>
          <w:rFonts w:eastAsia="Calibri" w:cs="Times New Roman"/>
          <w:bCs/>
        </w:rPr>
      </w:pPr>
      <w:r w:rsidRPr="00C06E8C">
        <w:rPr>
          <w:rFonts w:eastAsia="Calibri" w:cs="Times New Roman"/>
          <w:bCs/>
        </w:rPr>
        <w:t>NTBs</w:t>
      </w:r>
      <w:r w:rsidR="00903B38">
        <w:rPr>
          <w:rFonts w:eastAsia="Calibri" w:cs="Times New Roman"/>
          <w:bCs/>
        </w:rPr>
        <w:t xml:space="preserve"> </w:t>
      </w:r>
      <w:r w:rsidRPr="00C06E8C">
        <w:rPr>
          <w:rFonts w:eastAsia="Calibri" w:cs="Times New Roman"/>
          <w:bCs/>
        </w:rPr>
        <w:t xml:space="preserve">= Nigerian Treasury Bills; </w:t>
      </w:r>
    </w:p>
    <w:p w14:paraId="2AEA4956" w14:textId="77777777" w:rsidR="00903B38" w:rsidRDefault="00673D6D" w:rsidP="00596328">
      <w:pPr>
        <w:spacing w:after="0" w:line="240" w:lineRule="auto"/>
        <w:rPr>
          <w:rFonts w:eastAsia="Calibri" w:cs="Times New Roman"/>
          <w:bCs/>
        </w:rPr>
      </w:pPr>
      <w:r w:rsidRPr="00C06E8C">
        <w:rPr>
          <w:rFonts w:eastAsia="Calibri" w:cs="Times New Roman"/>
          <w:bCs/>
        </w:rPr>
        <w:t>AEXR</w:t>
      </w:r>
      <w:r w:rsidR="00903B38">
        <w:rPr>
          <w:rFonts w:eastAsia="Calibri" w:cs="Times New Roman"/>
          <w:bCs/>
        </w:rPr>
        <w:t xml:space="preserve"> </w:t>
      </w:r>
      <w:r w:rsidRPr="00C06E8C">
        <w:rPr>
          <w:rFonts w:eastAsia="Calibri" w:cs="Times New Roman"/>
          <w:bCs/>
        </w:rPr>
        <w:t>= Bureau de Change Average Exchange Rate</w:t>
      </w:r>
      <w:r w:rsidR="0025523A" w:rsidRPr="00C06E8C">
        <w:rPr>
          <w:rFonts w:eastAsia="Calibri" w:cs="Times New Roman"/>
          <w:bCs/>
        </w:rPr>
        <w:t xml:space="preserve">; </w:t>
      </w:r>
    </w:p>
    <w:p w14:paraId="618A4843" w14:textId="77777777" w:rsidR="00903B38" w:rsidRDefault="0025523A" w:rsidP="00596328">
      <w:pPr>
        <w:spacing w:after="0" w:line="240" w:lineRule="auto"/>
        <w:rPr>
          <w:rFonts w:eastAsia="Calibri" w:cs="Times New Roman"/>
          <w:bCs/>
        </w:rPr>
      </w:pPr>
      <w:r w:rsidRPr="00C06E8C">
        <w:rPr>
          <w:rFonts w:eastAsia="Calibri" w:cs="Times New Roman"/>
          <w:bCs/>
        </w:rPr>
        <w:t>WAM</w:t>
      </w:r>
      <w:r w:rsidR="007B739A" w:rsidRPr="00C06E8C">
        <w:rPr>
          <w:rFonts w:eastAsia="Calibri" w:cs="Times New Roman"/>
          <w:bCs/>
        </w:rPr>
        <w:t>A</w:t>
      </w:r>
      <w:r w:rsidRPr="00C06E8C">
        <w:rPr>
          <w:rFonts w:eastAsia="Calibri" w:cs="Times New Roman"/>
          <w:bCs/>
        </w:rPr>
        <w:t xml:space="preserve">= Central Bank of Nigeria Ways and Means </w:t>
      </w:r>
      <w:r w:rsidR="007B739A" w:rsidRPr="00C06E8C">
        <w:rPr>
          <w:rFonts w:eastAsia="Calibri" w:cs="Times New Roman"/>
          <w:bCs/>
        </w:rPr>
        <w:t>A</w:t>
      </w:r>
      <w:r w:rsidRPr="00C06E8C">
        <w:rPr>
          <w:rFonts w:eastAsia="Calibri" w:cs="Times New Roman"/>
          <w:bCs/>
        </w:rPr>
        <w:t xml:space="preserve">dvances; </w:t>
      </w:r>
      <w:r w:rsidR="00650A96" w:rsidRPr="00C06E8C">
        <w:rPr>
          <w:rFonts w:eastAsia="Calibri" w:cs="Times New Roman"/>
          <w:bCs/>
        </w:rPr>
        <w:t xml:space="preserve">and </w:t>
      </w:r>
    </w:p>
    <w:p w14:paraId="40ABA7B5" w14:textId="77777777" w:rsidR="00903B38" w:rsidRDefault="009C5B69" w:rsidP="00596328">
      <w:pPr>
        <w:spacing w:after="0" w:line="240" w:lineRule="auto"/>
        <w:rPr>
          <w:rFonts w:eastAsia="Calibri" w:cs="Times New Roman"/>
          <w:bCs/>
        </w:rPr>
      </w:pPr>
      <w:r>
        <w:rPr>
          <w:rFonts w:eastAsia="Calibri" w:cs="Times New Roman"/>
          <w:bCs/>
        </w:rPr>
        <w:t>TC</w:t>
      </w:r>
      <w:r w:rsidR="0025523A" w:rsidRPr="00C06E8C">
        <w:rPr>
          <w:rFonts w:eastAsia="Calibri" w:cs="Times New Roman"/>
          <w:bCs/>
        </w:rPr>
        <w:t xml:space="preserve">= </w:t>
      </w:r>
      <w:r>
        <w:rPr>
          <w:rFonts w:eastAsia="Calibri" w:cs="Times New Roman"/>
          <w:bCs/>
        </w:rPr>
        <w:t>Treasury Certificate</w:t>
      </w:r>
      <w:r w:rsidR="0025523A" w:rsidRPr="00C06E8C">
        <w:rPr>
          <w:rFonts w:eastAsia="Calibri" w:cs="Times New Roman"/>
          <w:bCs/>
        </w:rPr>
        <w:t>.</w:t>
      </w:r>
      <w:r w:rsidR="00673D6D" w:rsidRPr="00C06E8C">
        <w:rPr>
          <w:rFonts w:eastAsia="Calibri" w:cs="Times New Roman"/>
          <w:bCs/>
        </w:rPr>
        <w:t xml:space="preserve"> </w:t>
      </w:r>
    </w:p>
    <w:p w14:paraId="44BB93DA" w14:textId="6C7CF72F" w:rsidR="003D54B4" w:rsidRDefault="00673D6D" w:rsidP="00596328">
      <w:pPr>
        <w:spacing w:after="0" w:line="240" w:lineRule="auto"/>
        <w:rPr>
          <w:rFonts w:eastAsia="Calibri" w:cs="Times New Roman"/>
          <w:bCs/>
        </w:rPr>
      </w:pPr>
      <w:r w:rsidRPr="00C06E8C">
        <w:rPr>
          <w:rFonts w:eastAsia="Calibri" w:cs="Times New Roman"/>
          <w:bCs/>
        </w:rPr>
        <w:t>Table 3.1: A Priori Expectations of the Parameters.</w:t>
      </w:r>
    </w:p>
    <w:tbl>
      <w:tblPr>
        <w:tblStyle w:val="TableGrid"/>
        <w:tblW w:w="0" w:type="auto"/>
        <w:tblLook w:val="04A0" w:firstRow="1" w:lastRow="0" w:firstColumn="1" w:lastColumn="0" w:noHBand="0" w:noVBand="1"/>
      </w:tblPr>
      <w:tblGrid>
        <w:gridCol w:w="2254"/>
        <w:gridCol w:w="2254"/>
        <w:gridCol w:w="2254"/>
        <w:gridCol w:w="2254"/>
      </w:tblGrid>
      <w:tr w:rsidR="00774C1C" w14:paraId="0D66E41A" w14:textId="77777777" w:rsidTr="00774C1C">
        <w:tc>
          <w:tcPr>
            <w:tcW w:w="2254" w:type="dxa"/>
          </w:tcPr>
          <w:p w14:paraId="4C8B9463" w14:textId="600AEF0D" w:rsidR="00774C1C" w:rsidRDefault="00774C1C" w:rsidP="00596328">
            <w:pPr>
              <w:rPr>
                <w:rFonts w:eastAsia="Calibri" w:cs="Times New Roman"/>
                <w:bCs/>
              </w:rPr>
            </w:pPr>
            <w:r w:rsidRPr="00774C1C">
              <w:rPr>
                <w:rFonts w:eastAsia="Calibri" w:cs="Times New Roman"/>
                <w:bCs/>
              </w:rPr>
              <w:t>Dependent Variable</w:t>
            </w:r>
          </w:p>
        </w:tc>
        <w:tc>
          <w:tcPr>
            <w:tcW w:w="2254" w:type="dxa"/>
          </w:tcPr>
          <w:p w14:paraId="21C875D4" w14:textId="7E7C9C74" w:rsidR="00774C1C" w:rsidRDefault="00774C1C" w:rsidP="00596328">
            <w:pPr>
              <w:rPr>
                <w:rFonts w:eastAsia="Calibri" w:cs="Times New Roman"/>
                <w:bCs/>
              </w:rPr>
            </w:pPr>
            <w:r w:rsidRPr="00774C1C">
              <w:rPr>
                <w:rFonts w:eastAsia="Calibri" w:cs="Times New Roman"/>
                <w:bCs/>
              </w:rPr>
              <w:t>Signs/Relationship</w:t>
            </w:r>
          </w:p>
        </w:tc>
        <w:tc>
          <w:tcPr>
            <w:tcW w:w="2254" w:type="dxa"/>
          </w:tcPr>
          <w:p w14:paraId="225D1405" w14:textId="484B0A5D" w:rsidR="00774C1C" w:rsidRDefault="008A5396" w:rsidP="00596328">
            <w:pPr>
              <w:rPr>
                <w:rFonts w:eastAsia="Calibri" w:cs="Times New Roman"/>
                <w:bCs/>
              </w:rPr>
            </w:pPr>
            <w:r w:rsidRPr="008A5396">
              <w:rPr>
                <w:rFonts w:eastAsia="Calibri" w:cs="Times New Roman"/>
                <w:bCs/>
              </w:rPr>
              <w:t>Alternative</w:t>
            </w:r>
          </w:p>
        </w:tc>
        <w:tc>
          <w:tcPr>
            <w:tcW w:w="2254" w:type="dxa"/>
          </w:tcPr>
          <w:p w14:paraId="67D5BAA9" w14:textId="518BEF24" w:rsidR="00774C1C" w:rsidRDefault="008A5396" w:rsidP="00596328">
            <w:pPr>
              <w:rPr>
                <w:rFonts w:eastAsia="Calibri" w:cs="Times New Roman"/>
                <w:bCs/>
              </w:rPr>
            </w:pPr>
            <w:r w:rsidRPr="008A5396">
              <w:rPr>
                <w:rFonts w:eastAsia="Calibri" w:cs="Times New Roman"/>
                <w:bCs/>
              </w:rPr>
              <w:t>Independent Variables</w:t>
            </w:r>
          </w:p>
        </w:tc>
      </w:tr>
      <w:tr w:rsidR="00774C1C" w14:paraId="25D64EE0" w14:textId="77777777" w:rsidTr="00774C1C">
        <w:tc>
          <w:tcPr>
            <w:tcW w:w="2254" w:type="dxa"/>
          </w:tcPr>
          <w:p w14:paraId="153BA586" w14:textId="72CE2EAF" w:rsidR="00774C1C" w:rsidRDefault="00774C1C" w:rsidP="00596328">
            <w:pPr>
              <w:rPr>
                <w:rFonts w:eastAsia="Calibri" w:cs="Times New Roman"/>
                <w:bCs/>
              </w:rPr>
            </w:pPr>
            <w:r w:rsidRPr="00774C1C">
              <w:rPr>
                <w:rFonts w:eastAsia="Calibri" w:cs="Times New Roman"/>
                <w:bCs/>
              </w:rPr>
              <w:t xml:space="preserve">     </w:t>
            </w:r>
            <w:r w:rsidR="0010333A">
              <w:rPr>
                <w:rFonts w:eastAsia="Calibri" w:cs="Times New Roman"/>
                <w:bCs/>
              </w:rPr>
              <w:t xml:space="preserve">      </w:t>
            </w:r>
            <w:r w:rsidRPr="00774C1C">
              <w:rPr>
                <w:rFonts w:eastAsia="Calibri" w:cs="Times New Roman"/>
                <w:bCs/>
              </w:rPr>
              <w:t xml:space="preserve"> </w:t>
            </w:r>
            <w:r w:rsidR="0010333A">
              <w:rPr>
                <w:rFonts w:eastAsia="Calibri" w:cs="Times New Roman"/>
                <w:bCs/>
              </w:rPr>
              <w:t>INF</w:t>
            </w:r>
          </w:p>
        </w:tc>
        <w:tc>
          <w:tcPr>
            <w:tcW w:w="2254" w:type="dxa"/>
          </w:tcPr>
          <w:p w14:paraId="2C49C119" w14:textId="39120118" w:rsidR="00774C1C" w:rsidRDefault="00774C1C" w:rsidP="00596328">
            <w:pPr>
              <w:rPr>
                <w:rFonts w:eastAsia="Calibri" w:cs="Times New Roman"/>
                <w:bCs/>
              </w:rPr>
            </w:pPr>
            <w:r w:rsidRPr="00774C1C">
              <w:rPr>
                <w:rFonts w:eastAsia="Calibri" w:cs="Times New Roman"/>
                <w:bCs/>
              </w:rPr>
              <w:t>Positive (+ve)</w:t>
            </w:r>
            <w:r w:rsidRPr="00774C1C">
              <w:rPr>
                <w:rFonts w:eastAsia="Calibri" w:cs="Times New Roman"/>
                <w:bCs/>
              </w:rPr>
              <w:tab/>
            </w:r>
          </w:p>
        </w:tc>
        <w:tc>
          <w:tcPr>
            <w:tcW w:w="2254" w:type="dxa"/>
          </w:tcPr>
          <w:p w14:paraId="2481B77F" w14:textId="4D94C71B" w:rsidR="00774C1C" w:rsidRDefault="008A5396" w:rsidP="00596328">
            <w:pPr>
              <w:rPr>
                <w:rFonts w:eastAsia="Calibri" w:cs="Times New Roman"/>
                <w:bCs/>
              </w:rPr>
            </w:pPr>
            <w:r w:rsidRPr="008A5396">
              <w:rPr>
                <w:rFonts w:eastAsia="Calibri" w:cs="Times New Roman"/>
                <w:bCs/>
              </w:rPr>
              <w:t>β1&gt;0</w:t>
            </w:r>
          </w:p>
        </w:tc>
        <w:tc>
          <w:tcPr>
            <w:tcW w:w="2254" w:type="dxa"/>
          </w:tcPr>
          <w:p w14:paraId="1F694DB1" w14:textId="69B10BA3" w:rsidR="00774C1C" w:rsidRDefault="008A5396" w:rsidP="00596328">
            <w:pPr>
              <w:rPr>
                <w:rFonts w:eastAsia="Calibri" w:cs="Times New Roman"/>
                <w:bCs/>
              </w:rPr>
            </w:pPr>
            <w:r w:rsidRPr="008A5396">
              <w:rPr>
                <w:rFonts w:eastAsia="Calibri" w:cs="Times New Roman"/>
                <w:bCs/>
              </w:rPr>
              <w:t>M1</w:t>
            </w:r>
          </w:p>
        </w:tc>
      </w:tr>
      <w:tr w:rsidR="004A1760" w14:paraId="7609D688" w14:textId="77777777" w:rsidTr="00774C1C">
        <w:tc>
          <w:tcPr>
            <w:tcW w:w="2254" w:type="dxa"/>
          </w:tcPr>
          <w:p w14:paraId="6BEA8DC9" w14:textId="75C06BE0" w:rsidR="004A1760" w:rsidRPr="00774C1C" w:rsidRDefault="004A1760" w:rsidP="00596328">
            <w:pPr>
              <w:rPr>
                <w:rFonts w:eastAsia="Calibri" w:cs="Times New Roman"/>
                <w:bCs/>
              </w:rPr>
            </w:pPr>
            <w:r w:rsidRPr="004A1760">
              <w:rPr>
                <w:rFonts w:eastAsia="Calibri" w:cs="Times New Roman"/>
                <w:bCs/>
              </w:rPr>
              <w:t xml:space="preserve">            INF</w:t>
            </w:r>
          </w:p>
        </w:tc>
        <w:tc>
          <w:tcPr>
            <w:tcW w:w="2254" w:type="dxa"/>
          </w:tcPr>
          <w:p w14:paraId="204E523B" w14:textId="34AC2045" w:rsidR="004A1760" w:rsidRPr="00774C1C" w:rsidRDefault="00633019" w:rsidP="00596328">
            <w:pPr>
              <w:rPr>
                <w:rFonts w:eastAsia="Calibri" w:cs="Times New Roman"/>
                <w:bCs/>
              </w:rPr>
            </w:pPr>
            <w:r w:rsidRPr="00633019">
              <w:rPr>
                <w:rFonts w:eastAsia="Calibri" w:cs="Times New Roman"/>
                <w:bCs/>
              </w:rPr>
              <w:t>Positive (</w:t>
            </w:r>
            <w:r w:rsidR="009C7425">
              <w:rPr>
                <w:rFonts w:eastAsia="Calibri" w:cs="Times New Roman"/>
                <w:bCs/>
              </w:rPr>
              <w:t>-</w:t>
            </w:r>
            <w:r w:rsidRPr="00633019">
              <w:rPr>
                <w:rFonts w:eastAsia="Calibri" w:cs="Times New Roman"/>
                <w:bCs/>
              </w:rPr>
              <w:t>ve)</w:t>
            </w:r>
            <w:r w:rsidRPr="00633019">
              <w:rPr>
                <w:rFonts w:eastAsia="Calibri" w:cs="Times New Roman"/>
                <w:bCs/>
              </w:rPr>
              <w:tab/>
            </w:r>
          </w:p>
        </w:tc>
        <w:tc>
          <w:tcPr>
            <w:tcW w:w="2254" w:type="dxa"/>
          </w:tcPr>
          <w:p w14:paraId="77B55ECC" w14:textId="43AD9AA3" w:rsidR="004A1760" w:rsidRPr="008A5396" w:rsidRDefault="00633019" w:rsidP="00596328">
            <w:pPr>
              <w:rPr>
                <w:rFonts w:eastAsia="Calibri" w:cs="Times New Roman"/>
                <w:bCs/>
              </w:rPr>
            </w:pPr>
            <w:r w:rsidRPr="00633019">
              <w:rPr>
                <w:rFonts w:eastAsia="Calibri" w:cs="Times New Roman"/>
                <w:bCs/>
              </w:rPr>
              <w:t>β1&gt;0</w:t>
            </w:r>
          </w:p>
        </w:tc>
        <w:tc>
          <w:tcPr>
            <w:tcW w:w="2254" w:type="dxa"/>
          </w:tcPr>
          <w:p w14:paraId="0402AF40" w14:textId="79A44F82" w:rsidR="004A1760" w:rsidRDefault="00633019" w:rsidP="00596328">
            <w:pPr>
              <w:rPr>
                <w:rFonts w:eastAsia="Calibri" w:cs="Times New Roman"/>
                <w:bCs/>
              </w:rPr>
            </w:pPr>
            <w:r>
              <w:rPr>
                <w:rFonts w:eastAsia="Calibri" w:cs="Times New Roman"/>
                <w:bCs/>
              </w:rPr>
              <w:t>INB</w:t>
            </w:r>
          </w:p>
        </w:tc>
      </w:tr>
      <w:tr w:rsidR="00774C1C" w14:paraId="3EA7E866" w14:textId="77777777" w:rsidTr="00774C1C">
        <w:tc>
          <w:tcPr>
            <w:tcW w:w="2254" w:type="dxa"/>
          </w:tcPr>
          <w:p w14:paraId="4A03FD18" w14:textId="5CC5EFC6" w:rsidR="00774C1C" w:rsidRDefault="00774C1C" w:rsidP="00596328">
            <w:pPr>
              <w:rPr>
                <w:rFonts w:eastAsia="Calibri" w:cs="Times New Roman"/>
                <w:bCs/>
              </w:rPr>
            </w:pPr>
            <w:r w:rsidRPr="00774C1C">
              <w:rPr>
                <w:rFonts w:eastAsia="Calibri" w:cs="Times New Roman"/>
                <w:bCs/>
              </w:rPr>
              <w:t xml:space="preserve">      </w:t>
            </w:r>
            <w:r w:rsidR="0010333A" w:rsidRPr="00774C1C">
              <w:rPr>
                <w:rFonts w:eastAsia="Calibri" w:cs="Times New Roman"/>
                <w:bCs/>
              </w:rPr>
              <w:t xml:space="preserve">      </w:t>
            </w:r>
            <w:r w:rsidR="0010333A">
              <w:rPr>
                <w:rFonts w:eastAsia="Calibri" w:cs="Times New Roman"/>
                <w:bCs/>
              </w:rPr>
              <w:t>INF</w:t>
            </w:r>
          </w:p>
        </w:tc>
        <w:tc>
          <w:tcPr>
            <w:tcW w:w="2254" w:type="dxa"/>
          </w:tcPr>
          <w:p w14:paraId="1611715D" w14:textId="57B03CCD" w:rsidR="00774C1C" w:rsidRDefault="00774C1C" w:rsidP="00596328">
            <w:pPr>
              <w:rPr>
                <w:rFonts w:eastAsia="Calibri" w:cs="Times New Roman"/>
                <w:bCs/>
              </w:rPr>
            </w:pPr>
            <w:r w:rsidRPr="00774C1C">
              <w:rPr>
                <w:rFonts w:eastAsia="Calibri" w:cs="Times New Roman"/>
                <w:bCs/>
              </w:rPr>
              <w:t>Negative (-</w:t>
            </w:r>
            <w:r w:rsidR="00B94731" w:rsidRPr="00774C1C">
              <w:rPr>
                <w:rFonts w:eastAsia="Calibri" w:cs="Times New Roman"/>
                <w:bCs/>
              </w:rPr>
              <w:t xml:space="preserve">ve)  </w:t>
            </w:r>
            <w:r w:rsidRPr="00774C1C">
              <w:rPr>
                <w:rFonts w:eastAsia="Calibri" w:cs="Times New Roman"/>
                <w:bCs/>
              </w:rPr>
              <w:t xml:space="preserve">     </w:t>
            </w:r>
          </w:p>
        </w:tc>
        <w:tc>
          <w:tcPr>
            <w:tcW w:w="2254" w:type="dxa"/>
          </w:tcPr>
          <w:p w14:paraId="3636C8FD" w14:textId="52D86334" w:rsidR="00774C1C" w:rsidRDefault="008A5396" w:rsidP="00596328">
            <w:pPr>
              <w:rPr>
                <w:rFonts w:eastAsia="Calibri" w:cs="Times New Roman"/>
                <w:bCs/>
              </w:rPr>
            </w:pPr>
            <w:r w:rsidRPr="008A5396">
              <w:rPr>
                <w:rFonts w:eastAsia="Calibri" w:cs="Times New Roman"/>
                <w:bCs/>
              </w:rPr>
              <w:t>β2&lt;0</w:t>
            </w:r>
          </w:p>
        </w:tc>
        <w:tc>
          <w:tcPr>
            <w:tcW w:w="2254" w:type="dxa"/>
          </w:tcPr>
          <w:p w14:paraId="6EC96155" w14:textId="7E80D242" w:rsidR="00774C1C" w:rsidRDefault="00AB571D" w:rsidP="00596328">
            <w:pPr>
              <w:rPr>
                <w:rFonts w:eastAsia="Calibri" w:cs="Times New Roman"/>
                <w:bCs/>
              </w:rPr>
            </w:pPr>
            <w:r>
              <w:rPr>
                <w:rFonts w:eastAsia="Calibri" w:cs="Times New Roman"/>
                <w:bCs/>
              </w:rPr>
              <w:t>TC</w:t>
            </w:r>
          </w:p>
        </w:tc>
      </w:tr>
      <w:tr w:rsidR="00774C1C" w14:paraId="52270FE5" w14:textId="77777777" w:rsidTr="00774C1C">
        <w:tc>
          <w:tcPr>
            <w:tcW w:w="2254" w:type="dxa"/>
          </w:tcPr>
          <w:p w14:paraId="4A8B67E5" w14:textId="686D92BE" w:rsidR="00774C1C" w:rsidRDefault="00774C1C" w:rsidP="00596328">
            <w:pPr>
              <w:rPr>
                <w:rFonts w:eastAsia="Calibri" w:cs="Times New Roman"/>
                <w:bCs/>
              </w:rPr>
            </w:pPr>
            <w:r w:rsidRPr="00E712BE">
              <w:t xml:space="preserve">      </w:t>
            </w:r>
            <w:r w:rsidR="0010333A" w:rsidRPr="00774C1C">
              <w:rPr>
                <w:rFonts w:eastAsia="Calibri" w:cs="Times New Roman"/>
                <w:bCs/>
              </w:rPr>
              <w:t xml:space="preserve">      </w:t>
            </w:r>
            <w:r w:rsidR="0010333A">
              <w:rPr>
                <w:rFonts w:eastAsia="Calibri" w:cs="Times New Roman"/>
                <w:bCs/>
              </w:rPr>
              <w:t>INF</w:t>
            </w:r>
          </w:p>
        </w:tc>
        <w:tc>
          <w:tcPr>
            <w:tcW w:w="2254" w:type="dxa"/>
          </w:tcPr>
          <w:p w14:paraId="611DAA09" w14:textId="2B81299E" w:rsidR="00774C1C" w:rsidRDefault="00774C1C" w:rsidP="00596328">
            <w:pPr>
              <w:rPr>
                <w:rFonts w:eastAsia="Calibri" w:cs="Times New Roman"/>
                <w:bCs/>
              </w:rPr>
            </w:pPr>
            <w:r w:rsidRPr="00774C1C">
              <w:rPr>
                <w:rFonts w:eastAsia="Calibri" w:cs="Times New Roman"/>
                <w:bCs/>
              </w:rPr>
              <w:t>Positive (+</w:t>
            </w:r>
            <w:r w:rsidR="005F38D9" w:rsidRPr="00774C1C">
              <w:rPr>
                <w:rFonts w:eastAsia="Calibri" w:cs="Times New Roman"/>
                <w:bCs/>
              </w:rPr>
              <w:t xml:space="preserve">ve)  </w:t>
            </w:r>
            <w:r w:rsidRPr="00774C1C">
              <w:rPr>
                <w:rFonts w:eastAsia="Calibri" w:cs="Times New Roman"/>
                <w:bCs/>
              </w:rPr>
              <w:t xml:space="preserve">        </w:t>
            </w:r>
          </w:p>
        </w:tc>
        <w:tc>
          <w:tcPr>
            <w:tcW w:w="2254" w:type="dxa"/>
          </w:tcPr>
          <w:p w14:paraId="4A11000C" w14:textId="382E28C3" w:rsidR="00774C1C" w:rsidRDefault="008A5396" w:rsidP="00596328">
            <w:pPr>
              <w:rPr>
                <w:rFonts w:eastAsia="Calibri" w:cs="Times New Roman"/>
                <w:bCs/>
              </w:rPr>
            </w:pPr>
            <w:r w:rsidRPr="008A5396">
              <w:rPr>
                <w:rFonts w:eastAsia="Calibri" w:cs="Times New Roman"/>
                <w:bCs/>
              </w:rPr>
              <w:t>β1&gt;0</w:t>
            </w:r>
          </w:p>
        </w:tc>
        <w:tc>
          <w:tcPr>
            <w:tcW w:w="2254" w:type="dxa"/>
          </w:tcPr>
          <w:p w14:paraId="093BB1F7" w14:textId="677ACACA" w:rsidR="00774C1C" w:rsidRDefault="008A5396" w:rsidP="00596328">
            <w:pPr>
              <w:rPr>
                <w:rFonts w:eastAsia="Calibri" w:cs="Times New Roman"/>
                <w:bCs/>
              </w:rPr>
            </w:pPr>
            <w:r w:rsidRPr="008A5396">
              <w:rPr>
                <w:rFonts w:eastAsia="Calibri" w:cs="Times New Roman"/>
                <w:bCs/>
              </w:rPr>
              <w:t>AEXR</w:t>
            </w:r>
          </w:p>
        </w:tc>
      </w:tr>
      <w:tr w:rsidR="00774C1C" w14:paraId="7614ED2A" w14:textId="77777777" w:rsidTr="00774C1C">
        <w:tc>
          <w:tcPr>
            <w:tcW w:w="2254" w:type="dxa"/>
          </w:tcPr>
          <w:p w14:paraId="01E88B7B" w14:textId="4C12E204" w:rsidR="00774C1C" w:rsidRDefault="00774C1C" w:rsidP="00596328">
            <w:pPr>
              <w:rPr>
                <w:rFonts w:eastAsia="Calibri" w:cs="Times New Roman"/>
                <w:bCs/>
              </w:rPr>
            </w:pPr>
            <w:r w:rsidRPr="00E712BE">
              <w:t xml:space="preserve">      </w:t>
            </w:r>
            <w:r w:rsidR="0010333A" w:rsidRPr="00774C1C">
              <w:rPr>
                <w:rFonts w:eastAsia="Calibri" w:cs="Times New Roman"/>
                <w:bCs/>
              </w:rPr>
              <w:t xml:space="preserve">      </w:t>
            </w:r>
            <w:r w:rsidR="0010333A">
              <w:rPr>
                <w:rFonts w:eastAsia="Calibri" w:cs="Times New Roman"/>
                <w:bCs/>
              </w:rPr>
              <w:t>INF</w:t>
            </w:r>
          </w:p>
        </w:tc>
        <w:tc>
          <w:tcPr>
            <w:tcW w:w="2254" w:type="dxa"/>
          </w:tcPr>
          <w:p w14:paraId="513B9984" w14:textId="25E41E3E" w:rsidR="00774C1C" w:rsidRDefault="00774C1C" w:rsidP="00596328">
            <w:pPr>
              <w:rPr>
                <w:rFonts w:eastAsia="Calibri" w:cs="Times New Roman"/>
                <w:bCs/>
              </w:rPr>
            </w:pPr>
            <w:r w:rsidRPr="00774C1C">
              <w:rPr>
                <w:rFonts w:eastAsia="Calibri" w:cs="Times New Roman"/>
                <w:bCs/>
              </w:rPr>
              <w:t xml:space="preserve"> Negative (-</w:t>
            </w:r>
            <w:r w:rsidR="008A5396" w:rsidRPr="00774C1C">
              <w:rPr>
                <w:rFonts w:eastAsia="Calibri" w:cs="Times New Roman"/>
                <w:bCs/>
              </w:rPr>
              <w:t xml:space="preserve">ve)  </w:t>
            </w:r>
            <w:r w:rsidRPr="00774C1C">
              <w:rPr>
                <w:rFonts w:eastAsia="Calibri" w:cs="Times New Roman"/>
                <w:bCs/>
              </w:rPr>
              <w:t xml:space="preserve">           </w:t>
            </w:r>
          </w:p>
        </w:tc>
        <w:tc>
          <w:tcPr>
            <w:tcW w:w="2254" w:type="dxa"/>
          </w:tcPr>
          <w:p w14:paraId="767D40C2" w14:textId="431819A9" w:rsidR="00774C1C" w:rsidRDefault="008A5396" w:rsidP="00596328">
            <w:pPr>
              <w:rPr>
                <w:rFonts w:eastAsia="Calibri" w:cs="Times New Roman"/>
                <w:bCs/>
              </w:rPr>
            </w:pPr>
            <w:r w:rsidRPr="008A5396">
              <w:rPr>
                <w:rFonts w:eastAsia="Calibri" w:cs="Times New Roman"/>
                <w:bCs/>
              </w:rPr>
              <w:t>β2&lt;0</w:t>
            </w:r>
          </w:p>
        </w:tc>
        <w:tc>
          <w:tcPr>
            <w:tcW w:w="2254" w:type="dxa"/>
          </w:tcPr>
          <w:p w14:paraId="3E2A4139" w14:textId="6CC2900E" w:rsidR="00774C1C" w:rsidRDefault="008A5396" w:rsidP="00596328">
            <w:pPr>
              <w:rPr>
                <w:rFonts w:eastAsia="Calibri" w:cs="Times New Roman"/>
                <w:bCs/>
              </w:rPr>
            </w:pPr>
            <w:r w:rsidRPr="008A5396">
              <w:rPr>
                <w:rFonts w:eastAsia="Calibri" w:cs="Times New Roman"/>
                <w:bCs/>
              </w:rPr>
              <w:t>NTBS</w:t>
            </w:r>
          </w:p>
        </w:tc>
      </w:tr>
      <w:tr w:rsidR="00774C1C" w14:paraId="4F0ABD78" w14:textId="77777777" w:rsidTr="00774C1C">
        <w:tc>
          <w:tcPr>
            <w:tcW w:w="2254" w:type="dxa"/>
          </w:tcPr>
          <w:p w14:paraId="1BDB4CB6" w14:textId="38F9FECF" w:rsidR="00774C1C" w:rsidRDefault="00774C1C" w:rsidP="00596328">
            <w:pPr>
              <w:rPr>
                <w:rFonts w:eastAsia="Calibri" w:cs="Times New Roman"/>
                <w:bCs/>
              </w:rPr>
            </w:pPr>
            <w:r w:rsidRPr="00E712BE">
              <w:t xml:space="preserve">      </w:t>
            </w:r>
            <w:r w:rsidR="0010333A" w:rsidRPr="00774C1C">
              <w:rPr>
                <w:rFonts w:eastAsia="Calibri" w:cs="Times New Roman"/>
                <w:bCs/>
              </w:rPr>
              <w:t xml:space="preserve">      </w:t>
            </w:r>
            <w:r w:rsidR="0010333A">
              <w:rPr>
                <w:rFonts w:eastAsia="Calibri" w:cs="Times New Roman"/>
                <w:bCs/>
              </w:rPr>
              <w:t>INF</w:t>
            </w:r>
          </w:p>
        </w:tc>
        <w:tc>
          <w:tcPr>
            <w:tcW w:w="2254" w:type="dxa"/>
          </w:tcPr>
          <w:p w14:paraId="471A9DAF" w14:textId="421F4440" w:rsidR="00774C1C" w:rsidRDefault="00774C1C" w:rsidP="00596328">
            <w:pPr>
              <w:rPr>
                <w:rFonts w:eastAsia="Calibri" w:cs="Times New Roman"/>
                <w:bCs/>
              </w:rPr>
            </w:pPr>
            <w:r w:rsidRPr="00774C1C">
              <w:rPr>
                <w:rFonts w:eastAsia="Calibri" w:cs="Times New Roman"/>
                <w:bCs/>
              </w:rPr>
              <w:t>Positive (+</w:t>
            </w:r>
            <w:r w:rsidR="008A5396" w:rsidRPr="00774C1C">
              <w:rPr>
                <w:rFonts w:eastAsia="Calibri" w:cs="Times New Roman"/>
                <w:bCs/>
              </w:rPr>
              <w:t xml:space="preserve">ve)  </w:t>
            </w:r>
            <w:r w:rsidRPr="00774C1C">
              <w:rPr>
                <w:rFonts w:eastAsia="Calibri" w:cs="Times New Roman"/>
                <w:bCs/>
              </w:rPr>
              <w:t xml:space="preserve">           </w:t>
            </w:r>
          </w:p>
        </w:tc>
        <w:tc>
          <w:tcPr>
            <w:tcW w:w="2254" w:type="dxa"/>
          </w:tcPr>
          <w:p w14:paraId="63202BEC" w14:textId="6B3FD03D" w:rsidR="00774C1C" w:rsidRDefault="008A5396" w:rsidP="00596328">
            <w:pPr>
              <w:rPr>
                <w:rFonts w:eastAsia="Calibri" w:cs="Times New Roman"/>
                <w:bCs/>
              </w:rPr>
            </w:pPr>
            <w:r w:rsidRPr="008A5396">
              <w:rPr>
                <w:rFonts w:eastAsia="Calibri" w:cs="Times New Roman"/>
                <w:bCs/>
              </w:rPr>
              <w:t>β1&gt;0</w:t>
            </w:r>
          </w:p>
        </w:tc>
        <w:tc>
          <w:tcPr>
            <w:tcW w:w="2254" w:type="dxa"/>
          </w:tcPr>
          <w:p w14:paraId="6441E568" w14:textId="7F1D5FC5" w:rsidR="00774C1C" w:rsidRDefault="008A5396" w:rsidP="00596328">
            <w:pPr>
              <w:rPr>
                <w:rFonts w:eastAsia="Calibri" w:cs="Times New Roman"/>
                <w:bCs/>
              </w:rPr>
            </w:pPr>
            <w:r w:rsidRPr="008A5396">
              <w:rPr>
                <w:rFonts w:eastAsia="Calibri" w:cs="Times New Roman"/>
                <w:bCs/>
              </w:rPr>
              <w:t>WAMA</w:t>
            </w:r>
          </w:p>
        </w:tc>
      </w:tr>
    </w:tbl>
    <w:p w14:paraId="4BC9CFF1" w14:textId="77777777" w:rsidR="00130D4B" w:rsidRDefault="00130D4B" w:rsidP="00596328">
      <w:pPr>
        <w:spacing w:after="0" w:line="240" w:lineRule="auto"/>
        <w:rPr>
          <w:rFonts w:eastAsia="Calibri" w:cs="Times New Roman"/>
          <w:bCs/>
          <w:sz w:val="28"/>
          <w:szCs w:val="28"/>
        </w:rPr>
      </w:pPr>
    </w:p>
    <w:p w14:paraId="11E0C404" w14:textId="251C029B" w:rsidR="00673D6D" w:rsidRPr="0038607E" w:rsidRDefault="003D00DF" w:rsidP="00596328">
      <w:pPr>
        <w:pStyle w:val="Heading2"/>
        <w:spacing w:line="240" w:lineRule="auto"/>
        <w:rPr>
          <w:rFonts w:eastAsia="Calibri"/>
        </w:rPr>
      </w:pPr>
      <w:bookmarkStart w:id="13" w:name="_Toc227924546"/>
      <w:r>
        <w:rPr>
          <w:rFonts w:eastAsia="Calibri"/>
        </w:rPr>
        <w:t xml:space="preserve">3.3 </w:t>
      </w:r>
      <w:r w:rsidR="00673D6D" w:rsidRPr="0038607E">
        <w:rPr>
          <w:rFonts w:eastAsia="Calibri"/>
        </w:rPr>
        <w:t>Nature and Sources of Data</w:t>
      </w:r>
      <w:bookmarkEnd w:id="13"/>
    </w:p>
    <w:p w14:paraId="6094C712" w14:textId="362C0313" w:rsidR="0003386C" w:rsidRDefault="0003386C" w:rsidP="00596328">
      <w:pPr>
        <w:spacing w:after="0" w:line="240" w:lineRule="auto"/>
        <w:rPr>
          <w:rFonts w:eastAsia="Calibri" w:cs="Times New Roman"/>
          <w:bCs/>
        </w:rPr>
      </w:pPr>
      <w:r w:rsidRPr="0003386C">
        <w:rPr>
          <w:rFonts w:eastAsia="Calibri" w:cs="Times New Roman"/>
          <w:bCs/>
        </w:rPr>
        <w:t xml:space="preserve">This study employs monthly time series secondary data spanning from January 2010 to </w:t>
      </w:r>
      <w:r w:rsidR="00687520">
        <w:rPr>
          <w:rFonts w:eastAsia="Calibri" w:cs="Times New Roman"/>
          <w:bCs/>
        </w:rPr>
        <w:t>December</w:t>
      </w:r>
      <w:r w:rsidRPr="0003386C">
        <w:rPr>
          <w:rFonts w:eastAsia="Calibri" w:cs="Times New Roman"/>
          <w:bCs/>
        </w:rPr>
        <w:t xml:space="preserve"> 2025, comprising a total of 19</w:t>
      </w:r>
      <w:r w:rsidR="00687520">
        <w:rPr>
          <w:rFonts w:eastAsia="Calibri" w:cs="Times New Roman"/>
          <w:bCs/>
        </w:rPr>
        <w:t>2</w:t>
      </w:r>
      <w:r w:rsidRPr="0003386C">
        <w:rPr>
          <w:rFonts w:eastAsia="Calibri" w:cs="Times New Roman"/>
          <w:bCs/>
        </w:rPr>
        <w:t xml:space="preserve"> observations. This period captures significant monetary and fiscal interventions, during which authorities injected liquidity into critical sectors of the economy that were considered too risky for lending by other depository corporations. The study period also coincides with the 2010 GDP rebasing exercise, which positioned Nigeria as the largest economy in Africa, as well as the aftermath of the 2008/2009 global financial crisis. Furthermore, it encompasses the domestic economic recession of 2017–2018, the economic disruptions caused by the COVID-19 pandemic, the deregulation of the downstream petroleum sector, and the liberalization of the domestic currency. Collectively, these events represent a series of unprecedented economic challenges, making this period particularly relevant for analyzing inflation dynamics in Nigeria</w:t>
      </w:r>
    </w:p>
    <w:p w14:paraId="6C0E4AC0" w14:textId="746BE5BD" w:rsidR="00673D6D" w:rsidRDefault="00673D6D" w:rsidP="00596328">
      <w:pPr>
        <w:spacing w:after="0" w:line="240" w:lineRule="auto"/>
        <w:rPr>
          <w:rFonts w:eastAsia="Calibri" w:cs="Times New Roman"/>
          <w:bCs/>
          <w:sz w:val="22"/>
          <w:szCs w:val="22"/>
        </w:rPr>
      </w:pPr>
      <w:r w:rsidRPr="00C06E8C">
        <w:rPr>
          <w:rFonts w:eastAsia="Calibri" w:cs="Times New Roman"/>
          <w:bCs/>
        </w:rPr>
        <w:t>The independent variables in the model are M</w:t>
      </w:r>
      <w:r w:rsidR="00291469" w:rsidRPr="00C06E8C">
        <w:rPr>
          <w:rFonts w:eastAsia="Calibri" w:cs="Times New Roman"/>
          <w:bCs/>
        </w:rPr>
        <w:t>1</w:t>
      </w:r>
      <w:r w:rsidRPr="00C06E8C">
        <w:rPr>
          <w:rFonts w:eastAsia="Calibri" w:cs="Times New Roman"/>
          <w:bCs/>
        </w:rPr>
        <w:t xml:space="preserve">, </w:t>
      </w:r>
      <w:r w:rsidR="00687520">
        <w:rPr>
          <w:rFonts w:eastAsia="Calibri" w:cs="Times New Roman"/>
          <w:bCs/>
        </w:rPr>
        <w:t xml:space="preserve">INB, </w:t>
      </w:r>
      <w:r w:rsidR="00AB571D">
        <w:rPr>
          <w:rFonts w:eastAsia="Calibri" w:cs="Times New Roman"/>
          <w:bCs/>
        </w:rPr>
        <w:t>TC</w:t>
      </w:r>
      <w:r w:rsidR="000B30DF" w:rsidRPr="00C06E8C">
        <w:rPr>
          <w:rFonts w:eastAsia="Calibri" w:cs="Times New Roman"/>
          <w:bCs/>
        </w:rPr>
        <w:t>,</w:t>
      </w:r>
      <w:r w:rsidRPr="00C06E8C">
        <w:rPr>
          <w:rFonts w:eastAsia="Calibri" w:cs="Times New Roman"/>
          <w:bCs/>
        </w:rPr>
        <w:t xml:space="preserve"> </w:t>
      </w:r>
      <w:r w:rsidR="00B15971" w:rsidRPr="00B15971">
        <w:rPr>
          <w:rFonts w:eastAsia="Calibri" w:cs="Times New Roman"/>
          <w:bCs/>
        </w:rPr>
        <w:t>NTBS</w:t>
      </w:r>
      <w:r w:rsidR="00B74500">
        <w:rPr>
          <w:rFonts w:eastAsia="Calibri" w:cs="Times New Roman"/>
          <w:bCs/>
        </w:rPr>
        <w:t xml:space="preserve">, </w:t>
      </w:r>
      <w:r w:rsidR="00B74500" w:rsidRPr="00B74500">
        <w:rPr>
          <w:rFonts w:eastAsia="Calibri" w:cs="Times New Roman"/>
          <w:bCs/>
        </w:rPr>
        <w:t xml:space="preserve">WAMA </w:t>
      </w:r>
      <w:r w:rsidR="006C06FF">
        <w:rPr>
          <w:rFonts w:eastAsia="Calibri" w:cs="Times New Roman"/>
          <w:bCs/>
        </w:rPr>
        <w:t xml:space="preserve">and </w:t>
      </w:r>
      <w:r w:rsidR="00B74500" w:rsidRPr="00B74500">
        <w:rPr>
          <w:rFonts w:eastAsia="Calibri" w:cs="Times New Roman"/>
          <w:bCs/>
        </w:rPr>
        <w:t>AEXR</w:t>
      </w:r>
      <w:r w:rsidR="000B30DF" w:rsidRPr="00C06E8C">
        <w:rPr>
          <w:rFonts w:eastAsia="Calibri" w:cs="Times New Roman"/>
          <w:bCs/>
        </w:rPr>
        <w:t>. D</w:t>
      </w:r>
      <w:r w:rsidRPr="00C06E8C">
        <w:rPr>
          <w:rFonts w:eastAsia="Calibri" w:cs="Times New Roman"/>
          <w:bCs/>
        </w:rPr>
        <w:t xml:space="preserve">ata </w:t>
      </w:r>
      <w:r w:rsidR="00B74500">
        <w:rPr>
          <w:rFonts w:eastAsia="Calibri" w:cs="Times New Roman"/>
          <w:bCs/>
        </w:rPr>
        <w:t>are</w:t>
      </w:r>
      <w:r w:rsidRPr="00C06E8C">
        <w:rPr>
          <w:rFonts w:eastAsia="Calibri" w:cs="Times New Roman"/>
          <w:bCs/>
        </w:rPr>
        <w:t xml:space="preserve"> sourced from CBN statistical bulletin</w:t>
      </w:r>
      <w:r w:rsidR="000B30DF" w:rsidRPr="00C06E8C">
        <w:rPr>
          <w:rFonts w:eastAsia="Calibri" w:cs="Times New Roman"/>
          <w:bCs/>
        </w:rPr>
        <w:t xml:space="preserve"> </w:t>
      </w:r>
      <w:r w:rsidR="00314A44">
        <w:rPr>
          <w:rFonts w:eastAsia="Calibri" w:cs="Times New Roman"/>
          <w:bCs/>
        </w:rPr>
        <w:t xml:space="preserve">and </w:t>
      </w:r>
      <w:r w:rsidR="000B30DF" w:rsidRPr="00C06E8C">
        <w:rPr>
          <w:rFonts w:eastAsia="Calibri" w:cs="Times New Roman"/>
          <w:bCs/>
        </w:rPr>
        <w:t>NBS website</w:t>
      </w:r>
      <w:r w:rsidRPr="00C06E8C">
        <w:rPr>
          <w:rFonts w:eastAsia="Calibri" w:cs="Times New Roman"/>
          <w:bCs/>
        </w:rPr>
        <w:t xml:space="preserve">. These data </w:t>
      </w:r>
      <w:r w:rsidR="000B30DF" w:rsidRPr="00C06E8C">
        <w:rPr>
          <w:rFonts w:eastAsia="Calibri" w:cs="Times New Roman"/>
          <w:bCs/>
        </w:rPr>
        <w:t>w</w:t>
      </w:r>
      <w:r w:rsidR="0010333A">
        <w:rPr>
          <w:rFonts w:eastAsia="Calibri" w:cs="Times New Roman"/>
          <w:bCs/>
        </w:rPr>
        <w:t>ere</w:t>
      </w:r>
      <w:r w:rsidR="000B30DF" w:rsidRPr="00C06E8C">
        <w:rPr>
          <w:rFonts w:eastAsia="Calibri" w:cs="Times New Roman"/>
          <w:bCs/>
        </w:rPr>
        <w:t xml:space="preserve"> </w:t>
      </w:r>
      <w:r w:rsidRPr="00C06E8C">
        <w:rPr>
          <w:rFonts w:eastAsia="Calibri" w:cs="Times New Roman"/>
          <w:bCs/>
        </w:rPr>
        <w:t xml:space="preserve">processed using </w:t>
      </w:r>
      <w:r w:rsidR="00EB552C">
        <w:rPr>
          <w:rFonts w:eastAsia="Calibri" w:cs="Times New Roman"/>
          <w:bCs/>
        </w:rPr>
        <w:t>EViews 13</w:t>
      </w:r>
      <w:r w:rsidRPr="00C06E8C">
        <w:rPr>
          <w:rFonts w:eastAsia="Calibri" w:cs="Times New Roman"/>
          <w:bCs/>
        </w:rPr>
        <w:t xml:space="preserve"> econometric package and excel software</w:t>
      </w:r>
      <w:r w:rsidRPr="0038607E">
        <w:rPr>
          <w:rFonts w:eastAsia="Calibri" w:cs="Times New Roman"/>
          <w:bCs/>
          <w:sz w:val="22"/>
          <w:szCs w:val="22"/>
        </w:rPr>
        <w:t>.</w:t>
      </w:r>
    </w:p>
    <w:p w14:paraId="0774E54B" w14:textId="77777777" w:rsidR="00312FD6" w:rsidRPr="00312FD6" w:rsidRDefault="00312FD6" w:rsidP="00596328">
      <w:pPr>
        <w:pStyle w:val="Heading2"/>
        <w:spacing w:line="240" w:lineRule="auto"/>
        <w:rPr>
          <w:rFonts w:eastAsia="Calibri"/>
        </w:rPr>
      </w:pPr>
      <w:r w:rsidRPr="00312FD6">
        <w:rPr>
          <w:rFonts w:eastAsia="Calibri"/>
        </w:rPr>
        <w:t>3.4 Estimation Procedure</w:t>
      </w:r>
    </w:p>
    <w:p w14:paraId="2A8D1343" w14:textId="77777777" w:rsidR="00312FD6" w:rsidRPr="00312FD6" w:rsidRDefault="00312FD6" w:rsidP="00596328">
      <w:pPr>
        <w:spacing w:after="0" w:line="240" w:lineRule="auto"/>
        <w:rPr>
          <w:rFonts w:eastAsia="Calibri" w:cs="Times New Roman"/>
          <w:bCs/>
        </w:rPr>
      </w:pPr>
      <w:r w:rsidRPr="00312FD6">
        <w:rPr>
          <w:rFonts w:eastAsia="Calibri" w:cs="Times New Roman"/>
          <w:bCs/>
        </w:rPr>
        <w:t>To ensure the reliability and validity of the empirical results, this study follows a structured estimation procedure consistent with standard time series econometric practices. Given that macroeconomic time series data are often characterized by trends and non-stationarity, preliminary tests are conducted to avoid spurious regression results. The estimation procedure therefore involves unit root testing, cointegration analysis, and residual diagnostic checks.</w:t>
      </w:r>
    </w:p>
    <w:p w14:paraId="07AA06CC" w14:textId="77777777" w:rsidR="0060519A" w:rsidRPr="0060519A" w:rsidRDefault="0060519A" w:rsidP="00596328">
      <w:pPr>
        <w:spacing w:after="0" w:line="240" w:lineRule="auto"/>
        <w:ind w:left="360"/>
        <w:rPr>
          <w:rFonts w:eastAsia="Calibri" w:cs="Times New Roman"/>
          <w:bCs/>
          <w:sz w:val="4"/>
          <w:szCs w:val="4"/>
        </w:rPr>
      </w:pPr>
    </w:p>
    <w:p w14:paraId="00D5089C" w14:textId="3E0CE861" w:rsidR="00E12AE8" w:rsidRPr="000102AF" w:rsidRDefault="00E12AE8" w:rsidP="00596328">
      <w:pPr>
        <w:pStyle w:val="Heading2"/>
        <w:spacing w:line="240" w:lineRule="auto"/>
      </w:pPr>
      <w:bookmarkStart w:id="14" w:name="_Toc227924551"/>
      <w:r w:rsidRPr="000102AF">
        <w:t>3.5</w:t>
      </w:r>
      <w:r w:rsidR="000102AF" w:rsidRPr="000102AF">
        <w:t xml:space="preserve"> </w:t>
      </w:r>
      <w:r w:rsidRPr="000102AF">
        <w:rPr>
          <w:rStyle w:val="Heading2Char"/>
          <w:b/>
        </w:rPr>
        <w:t>Justification of Estimation Technique</w:t>
      </w:r>
      <w:bookmarkEnd w:id="14"/>
    </w:p>
    <w:p w14:paraId="3D4E4777" w14:textId="696BD212" w:rsidR="005B423E" w:rsidRDefault="005B423E" w:rsidP="008F26DA">
      <w:pPr>
        <w:pStyle w:val="NormalWeb"/>
        <w:spacing w:before="0" w:beforeAutospacing="0" w:after="0" w:afterAutospacing="0"/>
      </w:pPr>
      <w:r w:rsidRPr="005B423E">
        <w:t>It should be noted that ARDL estimation method can be regarded as an appropriate one for conducting the analysis because it provides the researcher with an opportunity to employ variables of different orders of integration. In other words, the ARDL approach can be employed if the variables involved are integrated at levels (I(0)), differenced once (I(1)), or both of the above options, on condition that none of the variables used is of order two (I(2)). In this way, one gets an obvious advantage comparing to conventional approaches to cointegration analysis, such as the Engle-Granger or Johansen methods, since the requirement is that all the variables must be integrated of the same order.</w:t>
      </w:r>
      <w:r>
        <w:t xml:space="preserve"> </w:t>
      </w:r>
      <w:r w:rsidRPr="005B423E">
        <w:t>Moreover, the bounds testing strategy within the ARDL model framework makes it possible to estimate simultaneously both the short-run and long-run relationships within a single specification.</w:t>
      </w:r>
    </w:p>
    <w:p w14:paraId="42F568BF" w14:textId="4D69580F" w:rsidR="00311EAF" w:rsidRDefault="005B423E" w:rsidP="008F26DA">
      <w:pPr>
        <w:pStyle w:val="NormalWeb"/>
        <w:spacing w:before="0" w:beforeAutospacing="0" w:after="0" w:afterAutospacing="0"/>
      </w:pPr>
      <w:r w:rsidRPr="005B423E">
        <w:t xml:space="preserve">Yet another strength associated with the use of the ARDL method is that it is very flexible with regard to handling small samples of data. In contrast to other econometric methods, </w:t>
      </w:r>
      <w:r w:rsidRPr="005B423E">
        <w:lastRenderedPageBreak/>
        <w:t>which depend on large samples of data to generate valid estimates, the ARDL technique can efficiently estimate with consistency even with few data points. According to Nkoro &amp; Uko (2016), ARDL models generally provide accurate and dependable estimates regardless of sample size. Therefore, the use of the ARDL approach is justified in this particular study.</w:t>
      </w:r>
      <w:r>
        <w:t xml:space="preserve"> </w:t>
      </w:r>
      <w:r w:rsidRPr="005B423E">
        <w:t>Additionally, the ARDL technique minimizes the risk of encountering the problem of endogeneity through correct specification of lag values in the dependent and independent variables.</w:t>
      </w:r>
    </w:p>
    <w:p w14:paraId="7D9E16B6" w14:textId="0CC5A463" w:rsidR="00C42DCB" w:rsidRPr="005B423E" w:rsidRDefault="00C42DCB" w:rsidP="00596328">
      <w:pPr>
        <w:pStyle w:val="Heading2"/>
        <w:spacing w:line="240" w:lineRule="auto"/>
      </w:pPr>
      <w:r>
        <w:t>4. Data Presentation and Analysis</w:t>
      </w:r>
    </w:p>
    <w:p w14:paraId="0C804904" w14:textId="0ED7D795" w:rsidR="000B43F8" w:rsidRDefault="00C42DCB" w:rsidP="00596328">
      <w:pPr>
        <w:pStyle w:val="Heading2"/>
        <w:spacing w:line="240" w:lineRule="auto"/>
        <w:rPr>
          <w:rFonts w:eastAsia="Calibri"/>
        </w:rPr>
      </w:pPr>
      <w:bookmarkStart w:id="15" w:name="_Toc227924554"/>
      <w:r>
        <w:t>4</w:t>
      </w:r>
      <w:r w:rsidR="002F2F17" w:rsidRPr="000102AF">
        <w:t xml:space="preserve">.1 </w:t>
      </w:r>
      <w:bookmarkStart w:id="16" w:name="_Toc108706792"/>
      <w:bookmarkStart w:id="17" w:name="_Toc227924557"/>
      <w:bookmarkEnd w:id="15"/>
      <w:r w:rsidR="000B43F8" w:rsidRPr="000B43F8">
        <w:rPr>
          <w:rFonts w:eastAsia="Calibri"/>
        </w:rPr>
        <w:t>Descriptive Statistics</w:t>
      </w:r>
      <w:bookmarkEnd w:id="16"/>
      <w:bookmarkEnd w:id="17"/>
    </w:p>
    <w:p w14:paraId="2BBFD17C" w14:textId="38962350" w:rsidR="0086780B" w:rsidRDefault="00F478B2" w:rsidP="00596328">
      <w:pPr>
        <w:spacing w:after="0" w:line="240" w:lineRule="auto"/>
        <w:rPr>
          <w:rFonts w:eastAsia="Calibri" w:cs="Times New Roman"/>
          <w:b/>
          <w:bCs/>
        </w:rPr>
      </w:pPr>
      <w:r w:rsidRPr="00F478B2">
        <w:rPr>
          <w:rFonts w:eastAsia="Calibri" w:cs="Times New Roman"/>
          <w:b/>
          <w:bCs/>
        </w:rPr>
        <w:t xml:space="preserve">Table 4.1: Descriptive Statistics of </w:t>
      </w:r>
      <w:r w:rsidR="00C42DCB">
        <w:rPr>
          <w:rFonts w:eastAsia="Calibri" w:cs="Times New Roman"/>
          <w:b/>
          <w:bCs/>
        </w:rPr>
        <w:t>Selected</w:t>
      </w:r>
      <w:r w:rsidRPr="00F478B2">
        <w:rPr>
          <w:rFonts w:eastAsia="Calibri" w:cs="Times New Roman"/>
          <w:b/>
          <w:bCs/>
        </w:rPr>
        <w:t xml:space="preserve"> Variables</w:t>
      </w:r>
    </w:p>
    <w:tbl>
      <w:tblPr>
        <w:tblStyle w:val="TableGrid"/>
        <w:tblW w:w="96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1053"/>
        <w:gridCol w:w="1476"/>
        <w:gridCol w:w="996"/>
        <w:gridCol w:w="1236"/>
        <w:gridCol w:w="876"/>
        <w:gridCol w:w="1476"/>
        <w:gridCol w:w="1091"/>
      </w:tblGrid>
      <w:tr w:rsidR="00E75CE0" w:rsidRPr="003D7E33" w14:paraId="1817B6B4" w14:textId="77777777" w:rsidTr="009E4217">
        <w:trPr>
          <w:trHeight w:val="300"/>
        </w:trPr>
        <w:tc>
          <w:tcPr>
            <w:tcW w:w="1483" w:type="dxa"/>
            <w:noWrap/>
            <w:hideMark/>
          </w:tcPr>
          <w:p w14:paraId="0B98CC9C" w14:textId="1C8C9BA0" w:rsidR="00F12831" w:rsidRPr="009E4217" w:rsidRDefault="00F12831" w:rsidP="00596328">
            <w:pPr>
              <w:rPr>
                <w:rFonts w:eastAsia="Calibri" w:cs="Times New Roman"/>
                <w:b/>
                <w:bCs/>
              </w:rPr>
            </w:pPr>
            <w:r w:rsidRPr="009E4217">
              <w:rPr>
                <w:rFonts w:eastAsia="Calibri" w:cs="Times New Roman"/>
                <w:b/>
                <w:bCs/>
              </w:rPr>
              <w:t> </w:t>
            </w:r>
            <w:r w:rsidR="009E4217" w:rsidRPr="009E4217">
              <w:rPr>
                <w:rFonts w:eastAsia="Calibri" w:cs="Times New Roman"/>
                <w:b/>
                <w:bCs/>
              </w:rPr>
              <w:t>Statistics</w:t>
            </w:r>
          </w:p>
        </w:tc>
        <w:tc>
          <w:tcPr>
            <w:tcW w:w="1053" w:type="dxa"/>
            <w:noWrap/>
            <w:hideMark/>
          </w:tcPr>
          <w:p w14:paraId="7FEE3DA2" w14:textId="5A53ABA2" w:rsidR="00F12831" w:rsidRPr="009E4217" w:rsidRDefault="00F12831" w:rsidP="00596328">
            <w:pPr>
              <w:rPr>
                <w:rFonts w:eastAsia="Calibri" w:cs="Times New Roman"/>
                <w:b/>
                <w:bCs/>
              </w:rPr>
            </w:pPr>
            <w:r w:rsidRPr="009E4217">
              <w:rPr>
                <w:rFonts w:eastAsia="Calibri" w:cs="Times New Roman"/>
                <w:b/>
                <w:bCs/>
              </w:rPr>
              <w:t>CPI</w:t>
            </w:r>
          </w:p>
        </w:tc>
        <w:tc>
          <w:tcPr>
            <w:tcW w:w="1476" w:type="dxa"/>
            <w:noWrap/>
            <w:hideMark/>
          </w:tcPr>
          <w:p w14:paraId="71BF5C32" w14:textId="77777777" w:rsidR="00F12831" w:rsidRPr="009E4217" w:rsidRDefault="00F12831" w:rsidP="00596328">
            <w:pPr>
              <w:rPr>
                <w:rFonts w:eastAsia="Calibri" w:cs="Times New Roman"/>
                <w:b/>
                <w:bCs/>
              </w:rPr>
            </w:pPr>
            <w:r w:rsidRPr="009E4217">
              <w:rPr>
                <w:rFonts w:eastAsia="Calibri" w:cs="Times New Roman"/>
                <w:b/>
                <w:bCs/>
              </w:rPr>
              <w:t>M1</w:t>
            </w:r>
          </w:p>
        </w:tc>
        <w:tc>
          <w:tcPr>
            <w:tcW w:w="996" w:type="dxa"/>
            <w:noWrap/>
            <w:hideMark/>
          </w:tcPr>
          <w:p w14:paraId="5540DD2E" w14:textId="0CDD2F04" w:rsidR="00F12831" w:rsidRPr="009E4217" w:rsidRDefault="00F12831" w:rsidP="00596328">
            <w:pPr>
              <w:rPr>
                <w:rFonts w:eastAsia="Calibri" w:cs="Times New Roman"/>
                <w:b/>
                <w:bCs/>
              </w:rPr>
            </w:pPr>
            <w:r w:rsidRPr="009E4217">
              <w:rPr>
                <w:rFonts w:eastAsia="Calibri" w:cs="Times New Roman"/>
                <w:b/>
                <w:bCs/>
              </w:rPr>
              <w:t>INB</w:t>
            </w:r>
          </w:p>
        </w:tc>
        <w:tc>
          <w:tcPr>
            <w:tcW w:w="1236" w:type="dxa"/>
            <w:noWrap/>
            <w:hideMark/>
          </w:tcPr>
          <w:p w14:paraId="347200A8" w14:textId="77777777" w:rsidR="00F12831" w:rsidRPr="009E4217" w:rsidRDefault="00F12831" w:rsidP="00596328">
            <w:pPr>
              <w:rPr>
                <w:rFonts w:eastAsia="Calibri" w:cs="Times New Roman"/>
                <w:b/>
                <w:bCs/>
              </w:rPr>
            </w:pPr>
            <w:r w:rsidRPr="009E4217">
              <w:rPr>
                <w:rFonts w:eastAsia="Calibri" w:cs="Times New Roman"/>
                <w:b/>
                <w:bCs/>
              </w:rPr>
              <w:t>TC</w:t>
            </w:r>
          </w:p>
        </w:tc>
        <w:tc>
          <w:tcPr>
            <w:tcW w:w="876" w:type="dxa"/>
          </w:tcPr>
          <w:p w14:paraId="6671CB62" w14:textId="61708701" w:rsidR="00F12831" w:rsidRPr="009E4217" w:rsidRDefault="00F12831" w:rsidP="00596328">
            <w:pPr>
              <w:rPr>
                <w:rFonts w:eastAsia="Calibri" w:cs="Times New Roman"/>
                <w:b/>
                <w:bCs/>
              </w:rPr>
            </w:pPr>
            <w:r w:rsidRPr="009E4217">
              <w:rPr>
                <w:rFonts w:eastAsia="Calibri" w:cs="Times New Roman"/>
                <w:b/>
                <w:bCs/>
              </w:rPr>
              <w:t>NTBS</w:t>
            </w:r>
          </w:p>
        </w:tc>
        <w:tc>
          <w:tcPr>
            <w:tcW w:w="1476" w:type="dxa"/>
            <w:noWrap/>
            <w:hideMark/>
          </w:tcPr>
          <w:p w14:paraId="149009CC" w14:textId="3FB38E95" w:rsidR="00F12831" w:rsidRPr="009E4217" w:rsidRDefault="00F12831" w:rsidP="00596328">
            <w:pPr>
              <w:rPr>
                <w:rFonts w:eastAsia="Calibri" w:cs="Times New Roman"/>
                <w:b/>
                <w:bCs/>
              </w:rPr>
            </w:pPr>
            <w:r w:rsidRPr="009E4217">
              <w:rPr>
                <w:rFonts w:eastAsia="Calibri" w:cs="Times New Roman"/>
                <w:b/>
                <w:bCs/>
              </w:rPr>
              <w:t>WAMA</w:t>
            </w:r>
          </w:p>
        </w:tc>
        <w:tc>
          <w:tcPr>
            <w:tcW w:w="1091" w:type="dxa"/>
            <w:noWrap/>
            <w:hideMark/>
          </w:tcPr>
          <w:p w14:paraId="74D485A3" w14:textId="77777777" w:rsidR="00F12831" w:rsidRPr="009E4217" w:rsidRDefault="00F12831" w:rsidP="00596328">
            <w:pPr>
              <w:rPr>
                <w:rFonts w:eastAsia="Calibri" w:cs="Times New Roman"/>
                <w:b/>
                <w:bCs/>
              </w:rPr>
            </w:pPr>
            <w:r w:rsidRPr="009E4217">
              <w:rPr>
                <w:rFonts w:eastAsia="Calibri" w:cs="Times New Roman"/>
                <w:b/>
                <w:bCs/>
              </w:rPr>
              <w:t>AEXR</w:t>
            </w:r>
          </w:p>
        </w:tc>
      </w:tr>
      <w:tr w:rsidR="00E75CE0" w:rsidRPr="003D7E33" w14:paraId="7876589D" w14:textId="77777777" w:rsidTr="009E4217">
        <w:trPr>
          <w:trHeight w:val="300"/>
        </w:trPr>
        <w:tc>
          <w:tcPr>
            <w:tcW w:w="1483" w:type="dxa"/>
            <w:noWrap/>
            <w:hideMark/>
          </w:tcPr>
          <w:p w14:paraId="60C8CDDD" w14:textId="77777777" w:rsidR="00F12831" w:rsidRPr="003D7E33" w:rsidRDefault="00F12831" w:rsidP="00596328">
            <w:pPr>
              <w:rPr>
                <w:rFonts w:eastAsia="Calibri" w:cs="Times New Roman"/>
              </w:rPr>
            </w:pPr>
            <w:r w:rsidRPr="003D7E33">
              <w:rPr>
                <w:rFonts w:eastAsia="Calibri" w:cs="Times New Roman"/>
              </w:rPr>
              <w:t xml:space="preserve"> Mean</w:t>
            </w:r>
          </w:p>
        </w:tc>
        <w:tc>
          <w:tcPr>
            <w:tcW w:w="1053" w:type="dxa"/>
            <w:noWrap/>
          </w:tcPr>
          <w:p w14:paraId="128E7326" w14:textId="6A20C13F" w:rsidR="00F12831" w:rsidRPr="003D7E33" w:rsidRDefault="00D8686E" w:rsidP="00596328">
            <w:pPr>
              <w:rPr>
                <w:rFonts w:eastAsia="Calibri" w:cs="Times New Roman"/>
              </w:rPr>
            </w:pPr>
            <w:r w:rsidRPr="00D8686E">
              <w:rPr>
                <w:rFonts w:eastAsia="Calibri" w:cs="Times New Roman"/>
              </w:rPr>
              <w:t>44.020</w:t>
            </w:r>
          </w:p>
        </w:tc>
        <w:tc>
          <w:tcPr>
            <w:tcW w:w="1476" w:type="dxa"/>
            <w:noWrap/>
          </w:tcPr>
          <w:p w14:paraId="7DE446CD" w14:textId="23512D89" w:rsidR="00F12831" w:rsidRPr="003D7E33" w:rsidRDefault="001748C6" w:rsidP="00596328">
            <w:pPr>
              <w:rPr>
                <w:rFonts w:eastAsia="Calibri" w:cs="Times New Roman"/>
              </w:rPr>
            </w:pPr>
            <w:r w:rsidRPr="001748C6">
              <w:rPr>
                <w:rFonts w:eastAsia="Calibri" w:cs="Times New Roman"/>
              </w:rPr>
              <w:t>14080706.41</w:t>
            </w:r>
          </w:p>
        </w:tc>
        <w:tc>
          <w:tcPr>
            <w:tcW w:w="996" w:type="dxa"/>
            <w:noWrap/>
          </w:tcPr>
          <w:p w14:paraId="397D2A0C" w14:textId="27795D97" w:rsidR="00F12831" w:rsidRPr="003D7E33" w:rsidRDefault="00B5531F" w:rsidP="00596328">
            <w:pPr>
              <w:rPr>
                <w:rFonts w:eastAsia="Calibri" w:cs="Times New Roman"/>
              </w:rPr>
            </w:pPr>
            <w:r w:rsidRPr="00B5531F">
              <w:rPr>
                <w:rFonts w:eastAsia="Calibri" w:cs="Times New Roman"/>
              </w:rPr>
              <w:t>13.565</w:t>
            </w:r>
          </w:p>
        </w:tc>
        <w:tc>
          <w:tcPr>
            <w:tcW w:w="1236" w:type="dxa"/>
            <w:noWrap/>
          </w:tcPr>
          <w:p w14:paraId="11C2E6B4" w14:textId="7C22CAF1" w:rsidR="00F12831" w:rsidRPr="003D7E33" w:rsidRDefault="0011641C" w:rsidP="00596328">
            <w:pPr>
              <w:rPr>
                <w:rFonts w:eastAsia="Calibri" w:cs="Times New Roman"/>
              </w:rPr>
            </w:pPr>
            <w:r w:rsidRPr="0011641C">
              <w:rPr>
                <w:rFonts w:eastAsia="Calibri" w:cs="Times New Roman"/>
              </w:rPr>
              <w:t>2281723.5</w:t>
            </w:r>
          </w:p>
        </w:tc>
        <w:tc>
          <w:tcPr>
            <w:tcW w:w="876" w:type="dxa"/>
          </w:tcPr>
          <w:p w14:paraId="54415DC5" w14:textId="26750935" w:rsidR="00F12831" w:rsidRPr="003D7E33" w:rsidRDefault="00D92D11" w:rsidP="00596328">
            <w:pPr>
              <w:rPr>
                <w:rFonts w:eastAsia="Calibri" w:cs="Times New Roman"/>
              </w:rPr>
            </w:pPr>
            <w:r w:rsidRPr="00D92D11">
              <w:rPr>
                <w:rFonts w:eastAsia="Calibri" w:cs="Times New Roman"/>
              </w:rPr>
              <w:t>9.179</w:t>
            </w:r>
          </w:p>
        </w:tc>
        <w:tc>
          <w:tcPr>
            <w:tcW w:w="1476" w:type="dxa"/>
            <w:noWrap/>
          </w:tcPr>
          <w:p w14:paraId="7D1940C8" w14:textId="7CCA5E57" w:rsidR="00F12831" w:rsidRPr="003D7E33" w:rsidRDefault="00456AD4" w:rsidP="00596328">
            <w:pPr>
              <w:rPr>
                <w:rFonts w:eastAsia="Calibri" w:cs="Times New Roman"/>
              </w:rPr>
            </w:pPr>
            <w:r w:rsidRPr="00456AD4">
              <w:rPr>
                <w:rFonts w:eastAsia="Calibri" w:cs="Times New Roman"/>
              </w:rPr>
              <w:t>5388380.62</w:t>
            </w:r>
          </w:p>
        </w:tc>
        <w:tc>
          <w:tcPr>
            <w:tcW w:w="1091" w:type="dxa"/>
            <w:noWrap/>
          </w:tcPr>
          <w:p w14:paraId="4CD73E1A" w14:textId="61E753A7" w:rsidR="00F12831" w:rsidRPr="003D7E33" w:rsidRDefault="004219A1" w:rsidP="00596328">
            <w:pPr>
              <w:rPr>
                <w:rFonts w:eastAsia="Calibri" w:cs="Times New Roman"/>
              </w:rPr>
            </w:pPr>
            <w:r w:rsidRPr="004219A1">
              <w:rPr>
                <w:rFonts w:eastAsia="Calibri" w:cs="Times New Roman"/>
              </w:rPr>
              <w:t>506.216</w:t>
            </w:r>
          </w:p>
        </w:tc>
      </w:tr>
      <w:tr w:rsidR="00E75CE0" w:rsidRPr="003D7E33" w14:paraId="4835F1A7" w14:textId="77777777" w:rsidTr="009E4217">
        <w:trPr>
          <w:trHeight w:val="300"/>
        </w:trPr>
        <w:tc>
          <w:tcPr>
            <w:tcW w:w="1483" w:type="dxa"/>
            <w:noWrap/>
            <w:hideMark/>
          </w:tcPr>
          <w:p w14:paraId="6F3271D3" w14:textId="77777777" w:rsidR="00F12831" w:rsidRPr="003D7E33" w:rsidRDefault="00F12831" w:rsidP="00596328">
            <w:pPr>
              <w:rPr>
                <w:rFonts w:eastAsia="Calibri" w:cs="Times New Roman"/>
              </w:rPr>
            </w:pPr>
            <w:r w:rsidRPr="003D7E33">
              <w:rPr>
                <w:rFonts w:eastAsia="Calibri" w:cs="Times New Roman"/>
              </w:rPr>
              <w:t xml:space="preserve"> Median</w:t>
            </w:r>
          </w:p>
        </w:tc>
        <w:tc>
          <w:tcPr>
            <w:tcW w:w="1053" w:type="dxa"/>
            <w:noWrap/>
          </w:tcPr>
          <w:p w14:paraId="7D458FFA" w14:textId="61E73CEF" w:rsidR="00F12831" w:rsidRPr="003D7E33" w:rsidRDefault="005036AA" w:rsidP="00596328">
            <w:pPr>
              <w:rPr>
                <w:rFonts w:eastAsia="Calibri" w:cs="Times New Roman"/>
              </w:rPr>
            </w:pPr>
            <w:r w:rsidRPr="005036AA">
              <w:rPr>
                <w:rFonts w:eastAsia="Calibri" w:cs="Times New Roman"/>
              </w:rPr>
              <w:t>33.285</w:t>
            </w:r>
          </w:p>
        </w:tc>
        <w:tc>
          <w:tcPr>
            <w:tcW w:w="1476" w:type="dxa"/>
            <w:noWrap/>
          </w:tcPr>
          <w:p w14:paraId="70B17269" w14:textId="15A83A20" w:rsidR="00F12831" w:rsidRPr="003D7E33" w:rsidRDefault="00466002" w:rsidP="00596328">
            <w:pPr>
              <w:rPr>
                <w:rFonts w:eastAsia="Calibri" w:cs="Times New Roman"/>
              </w:rPr>
            </w:pPr>
            <w:r w:rsidRPr="00466002">
              <w:rPr>
                <w:rFonts w:eastAsia="Calibri" w:cs="Times New Roman"/>
              </w:rPr>
              <w:t>9390636.22</w:t>
            </w:r>
          </w:p>
        </w:tc>
        <w:tc>
          <w:tcPr>
            <w:tcW w:w="996" w:type="dxa"/>
            <w:noWrap/>
          </w:tcPr>
          <w:p w14:paraId="627F2B71" w14:textId="13A05A95" w:rsidR="00F12831" w:rsidRPr="003D7E33" w:rsidRDefault="00B5531F" w:rsidP="00596328">
            <w:pPr>
              <w:rPr>
                <w:rFonts w:eastAsia="Calibri" w:cs="Times New Roman"/>
              </w:rPr>
            </w:pPr>
            <w:r w:rsidRPr="00B5531F">
              <w:rPr>
                <w:rFonts w:eastAsia="Calibri" w:cs="Times New Roman"/>
              </w:rPr>
              <w:t>11.575</w:t>
            </w:r>
          </w:p>
        </w:tc>
        <w:tc>
          <w:tcPr>
            <w:tcW w:w="1236" w:type="dxa"/>
            <w:noWrap/>
          </w:tcPr>
          <w:p w14:paraId="43B26D49" w14:textId="5DD085D2" w:rsidR="00F12831" w:rsidRPr="003D7E33" w:rsidRDefault="0011641C" w:rsidP="00596328">
            <w:pPr>
              <w:rPr>
                <w:rFonts w:eastAsia="Calibri" w:cs="Times New Roman"/>
              </w:rPr>
            </w:pPr>
            <w:r w:rsidRPr="0011641C">
              <w:rPr>
                <w:rFonts w:eastAsia="Calibri" w:cs="Times New Roman"/>
              </w:rPr>
              <w:t>1704394.8</w:t>
            </w:r>
          </w:p>
        </w:tc>
        <w:tc>
          <w:tcPr>
            <w:tcW w:w="876" w:type="dxa"/>
          </w:tcPr>
          <w:p w14:paraId="74B5F8BF" w14:textId="4ED49F0F" w:rsidR="00F12831" w:rsidRPr="003D7E33" w:rsidRDefault="00D92D11" w:rsidP="00596328">
            <w:pPr>
              <w:rPr>
                <w:rFonts w:eastAsia="Calibri" w:cs="Times New Roman"/>
              </w:rPr>
            </w:pPr>
            <w:r w:rsidRPr="00D92D11">
              <w:rPr>
                <w:rFonts w:eastAsia="Calibri" w:cs="Times New Roman"/>
              </w:rPr>
              <w:t>10.015</w:t>
            </w:r>
          </w:p>
        </w:tc>
        <w:tc>
          <w:tcPr>
            <w:tcW w:w="1476" w:type="dxa"/>
            <w:noWrap/>
          </w:tcPr>
          <w:p w14:paraId="2F175E31" w14:textId="71D7BB46" w:rsidR="00F12831" w:rsidRPr="003D7E33" w:rsidRDefault="00AD186F" w:rsidP="00596328">
            <w:pPr>
              <w:rPr>
                <w:rFonts w:eastAsia="Calibri" w:cs="Times New Roman"/>
              </w:rPr>
            </w:pPr>
            <w:r w:rsidRPr="00AD186F">
              <w:rPr>
                <w:rFonts w:eastAsia="Calibri" w:cs="Times New Roman"/>
              </w:rPr>
              <w:t>2886304.64</w:t>
            </w:r>
          </w:p>
        </w:tc>
        <w:tc>
          <w:tcPr>
            <w:tcW w:w="1091" w:type="dxa"/>
            <w:noWrap/>
          </w:tcPr>
          <w:p w14:paraId="2E853B05" w14:textId="074FE660" w:rsidR="00F12831" w:rsidRPr="003D7E33" w:rsidRDefault="00FC5E41" w:rsidP="00596328">
            <w:pPr>
              <w:rPr>
                <w:rFonts w:eastAsia="Calibri" w:cs="Times New Roman"/>
              </w:rPr>
            </w:pPr>
            <w:r w:rsidRPr="00FC5E41">
              <w:rPr>
                <w:rFonts w:eastAsia="Calibri" w:cs="Times New Roman"/>
              </w:rPr>
              <w:t>360.971</w:t>
            </w:r>
          </w:p>
        </w:tc>
      </w:tr>
      <w:tr w:rsidR="00E75CE0" w:rsidRPr="003D7E33" w14:paraId="18F53985" w14:textId="77777777" w:rsidTr="009E4217">
        <w:trPr>
          <w:trHeight w:val="300"/>
        </w:trPr>
        <w:tc>
          <w:tcPr>
            <w:tcW w:w="1483" w:type="dxa"/>
            <w:noWrap/>
            <w:hideMark/>
          </w:tcPr>
          <w:p w14:paraId="58846E68" w14:textId="77777777" w:rsidR="00F12831" w:rsidRPr="003D7E33" w:rsidRDefault="00F12831" w:rsidP="00596328">
            <w:pPr>
              <w:rPr>
                <w:rFonts w:eastAsia="Calibri" w:cs="Times New Roman"/>
              </w:rPr>
            </w:pPr>
            <w:r w:rsidRPr="003D7E33">
              <w:rPr>
                <w:rFonts w:eastAsia="Calibri" w:cs="Times New Roman"/>
              </w:rPr>
              <w:t xml:space="preserve"> Maximum</w:t>
            </w:r>
          </w:p>
        </w:tc>
        <w:tc>
          <w:tcPr>
            <w:tcW w:w="1053" w:type="dxa"/>
            <w:noWrap/>
          </w:tcPr>
          <w:p w14:paraId="6B8C6458" w14:textId="0E50C71E" w:rsidR="00F12831" w:rsidRPr="003D7E33" w:rsidRDefault="005036AA" w:rsidP="00596328">
            <w:pPr>
              <w:rPr>
                <w:rFonts w:eastAsia="Calibri" w:cs="Times New Roman"/>
              </w:rPr>
            </w:pPr>
            <w:r w:rsidRPr="005036AA">
              <w:rPr>
                <w:rFonts w:eastAsia="Calibri" w:cs="Times New Roman"/>
              </w:rPr>
              <w:t>131.166</w:t>
            </w:r>
          </w:p>
        </w:tc>
        <w:tc>
          <w:tcPr>
            <w:tcW w:w="1476" w:type="dxa"/>
            <w:noWrap/>
          </w:tcPr>
          <w:p w14:paraId="03F278A3" w14:textId="6720D98D" w:rsidR="00F12831" w:rsidRPr="003D7E33" w:rsidRDefault="00466002" w:rsidP="00596328">
            <w:pPr>
              <w:rPr>
                <w:rFonts w:eastAsia="Calibri" w:cs="Times New Roman"/>
              </w:rPr>
            </w:pPr>
            <w:r w:rsidRPr="00466002">
              <w:rPr>
                <w:rFonts w:eastAsia="Calibri" w:cs="Times New Roman"/>
              </w:rPr>
              <w:t>42142000.4</w:t>
            </w:r>
          </w:p>
        </w:tc>
        <w:tc>
          <w:tcPr>
            <w:tcW w:w="996" w:type="dxa"/>
            <w:noWrap/>
          </w:tcPr>
          <w:p w14:paraId="080AB1A7" w14:textId="51BE035E" w:rsidR="00F12831" w:rsidRPr="003D7E33" w:rsidRDefault="003042D5" w:rsidP="00596328">
            <w:pPr>
              <w:rPr>
                <w:rFonts w:eastAsia="Calibri" w:cs="Times New Roman"/>
              </w:rPr>
            </w:pPr>
            <w:r w:rsidRPr="003042D5">
              <w:rPr>
                <w:rFonts w:eastAsia="Calibri" w:cs="Times New Roman"/>
              </w:rPr>
              <w:t>64.58</w:t>
            </w:r>
            <w:r w:rsidR="00E75CE0">
              <w:rPr>
                <w:rFonts w:eastAsia="Calibri" w:cs="Times New Roman"/>
              </w:rPr>
              <w:t>8</w:t>
            </w:r>
          </w:p>
        </w:tc>
        <w:tc>
          <w:tcPr>
            <w:tcW w:w="1236" w:type="dxa"/>
            <w:noWrap/>
          </w:tcPr>
          <w:p w14:paraId="1D4DFC22" w14:textId="23AAB650" w:rsidR="00F12831" w:rsidRPr="003D7E33" w:rsidRDefault="0011641C" w:rsidP="00596328">
            <w:pPr>
              <w:rPr>
                <w:rFonts w:eastAsia="Calibri" w:cs="Times New Roman"/>
              </w:rPr>
            </w:pPr>
            <w:r w:rsidRPr="0011641C">
              <w:rPr>
                <w:rFonts w:eastAsia="Calibri" w:cs="Times New Roman"/>
              </w:rPr>
              <w:t>8389712.6</w:t>
            </w:r>
          </w:p>
        </w:tc>
        <w:tc>
          <w:tcPr>
            <w:tcW w:w="876" w:type="dxa"/>
          </w:tcPr>
          <w:p w14:paraId="663FFF43" w14:textId="34605EB4" w:rsidR="00F12831" w:rsidRPr="003D7E33" w:rsidRDefault="00B02F4F" w:rsidP="00596328">
            <w:pPr>
              <w:rPr>
                <w:rFonts w:eastAsia="Calibri" w:cs="Times New Roman"/>
              </w:rPr>
            </w:pPr>
            <w:r w:rsidRPr="00B02F4F">
              <w:rPr>
                <w:rFonts w:eastAsia="Calibri" w:cs="Times New Roman"/>
              </w:rPr>
              <w:t>19.07</w:t>
            </w:r>
          </w:p>
        </w:tc>
        <w:tc>
          <w:tcPr>
            <w:tcW w:w="1476" w:type="dxa"/>
            <w:noWrap/>
          </w:tcPr>
          <w:p w14:paraId="53CE5B20" w14:textId="45EB6FB9" w:rsidR="00F12831" w:rsidRPr="003D7E33" w:rsidRDefault="00AD186F" w:rsidP="00596328">
            <w:pPr>
              <w:rPr>
                <w:rFonts w:eastAsia="Calibri" w:cs="Times New Roman"/>
              </w:rPr>
            </w:pPr>
            <w:r w:rsidRPr="00AD186F">
              <w:rPr>
                <w:rFonts w:eastAsia="Calibri" w:cs="Times New Roman"/>
              </w:rPr>
              <w:t>26947167.65</w:t>
            </w:r>
          </w:p>
        </w:tc>
        <w:tc>
          <w:tcPr>
            <w:tcW w:w="1091" w:type="dxa"/>
            <w:noWrap/>
          </w:tcPr>
          <w:p w14:paraId="2E8AAC00" w14:textId="085F3186" w:rsidR="00F12831" w:rsidRPr="003D7E33" w:rsidRDefault="00FC5E41" w:rsidP="00596328">
            <w:pPr>
              <w:rPr>
                <w:rFonts w:eastAsia="Calibri" w:cs="Times New Roman"/>
              </w:rPr>
            </w:pPr>
            <w:r w:rsidRPr="00FC5E41">
              <w:rPr>
                <w:rFonts w:eastAsia="Calibri" w:cs="Times New Roman"/>
              </w:rPr>
              <w:t>1736.33</w:t>
            </w:r>
          </w:p>
        </w:tc>
      </w:tr>
      <w:tr w:rsidR="00E75CE0" w:rsidRPr="003D7E33" w14:paraId="18E4D814" w14:textId="77777777" w:rsidTr="009E4217">
        <w:trPr>
          <w:trHeight w:val="300"/>
        </w:trPr>
        <w:tc>
          <w:tcPr>
            <w:tcW w:w="1483" w:type="dxa"/>
            <w:noWrap/>
            <w:hideMark/>
          </w:tcPr>
          <w:p w14:paraId="12AC5BAA" w14:textId="77777777" w:rsidR="00F12831" w:rsidRPr="003D7E33" w:rsidRDefault="00F12831" w:rsidP="00596328">
            <w:pPr>
              <w:rPr>
                <w:rFonts w:eastAsia="Calibri" w:cs="Times New Roman"/>
              </w:rPr>
            </w:pPr>
            <w:r w:rsidRPr="003D7E33">
              <w:rPr>
                <w:rFonts w:eastAsia="Calibri" w:cs="Times New Roman"/>
              </w:rPr>
              <w:t xml:space="preserve"> Minimum</w:t>
            </w:r>
          </w:p>
        </w:tc>
        <w:tc>
          <w:tcPr>
            <w:tcW w:w="1053" w:type="dxa"/>
            <w:noWrap/>
          </w:tcPr>
          <w:p w14:paraId="79455302" w14:textId="1C619047" w:rsidR="00F12831" w:rsidRPr="003D7E33" w:rsidRDefault="005036AA" w:rsidP="00596328">
            <w:pPr>
              <w:rPr>
                <w:rFonts w:eastAsia="Calibri" w:cs="Times New Roman"/>
              </w:rPr>
            </w:pPr>
            <w:r w:rsidRPr="005036AA">
              <w:rPr>
                <w:rFonts w:eastAsia="Calibri" w:cs="Times New Roman"/>
              </w:rPr>
              <w:t>13.877</w:t>
            </w:r>
          </w:p>
        </w:tc>
        <w:tc>
          <w:tcPr>
            <w:tcW w:w="1476" w:type="dxa"/>
            <w:noWrap/>
          </w:tcPr>
          <w:p w14:paraId="738E7427" w14:textId="46013B4E" w:rsidR="00F12831" w:rsidRPr="003D7E33" w:rsidRDefault="00466002" w:rsidP="00596328">
            <w:pPr>
              <w:rPr>
                <w:rFonts w:eastAsia="Calibri" w:cs="Times New Roman"/>
              </w:rPr>
            </w:pPr>
            <w:r w:rsidRPr="00466002">
              <w:rPr>
                <w:rFonts w:eastAsia="Calibri" w:cs="Times New Roman"/>
              </w:rPr>
              <w:t>4753532.02</w:t>
            </w:r>
          </w:p>
        </w:tc>
        <w:tc>
          <w:tcPr>
            <w:tcW w:w="996" w:type="dxa"/>
            <w:noWrap/>
          </w:tcPr>
          <w:p w14:paraId="3B0AE2E5" w14:textId="01941022" w:rsidR="00F12831" w:rsidRPr="003D7E33" w:rsidRDefault="003042D5" w:rsidP="00596328">
            <w:pPr>
              <w:rPr>
                <w:rFonts w:eastAsia="Calibri" w:cs="Times New Roman"/>
              </w:rPr>
            </w:pPr>
            <w:r w:rsidRPr="003042D5">
              <w:rPr>
                <w:rFonts w:eastAsia="Calibri" w:cs="Times New Roman"/>
              </w:rPr>
              <w:t>0</w:t>
            </w:r>
            <w:r w:rsidR="00E75CE0">
              <w:rPr>
                <w:rFonts w:eastAsia="Calibri" w:cs="Times New Roman"/>
              </w:rPr>
              <w:t>.000</w:t>
            </w:r>
          </w:p>
        </w:tc>
        <w:tc>
          <w:tcPr>
            <w:tcW w:w="1236" w:type="dxa"/>
            <w:noWrap/>
          </w:tcPr>
          <w:p w14:paraId="2BAF463B" w14:textId="18338B84" w:rsidR="00F12831" w:rsidRPr="003D7E33" w:rsidRDefault="00DB183A" w:rsidP="00596328">
            <w:pPr>
              <w:rPr>
                <w:rFonts w:eastAsia="Calibri" w:cs="Times New Roman"/>
              </w:rPr>
            </w:pPr>
            <w:r w:rsidRPr="00DB183A">
              <w:rPr>
                <w:rFonts w:eastAsia="Calibri" w:cs="Times New Roman"/>
              </w:rPr>
              <w:t>873.14</w:t>
            </w:r>
          </w:p>
        </w:tc>
        <w:tc>
          <w:tcPr>
            <w:tcW w:w="876" w:type="dxa"/>
          </w:tcPr>
          <w:p w14:paraId="226146B5" w14:textId="69F948F3" w:rsidR="00F12831" w:rsidRPr="003D7E33" w:rsidRDefault="00875356" w:rsidP="00596328">
            <w:pPr>
              <w:rPr>
                <w:rFonts w:eastAsia="Calibri" w:cs="Times New Roman"/>
              </w:rPr>
            </w:pPr>
            <w:r w:rsidRPr="00875356">
              <w:rPr>
                <w:rFonts w:eastAsia="Calibri" w:cs="Times New Roman"/>
              </w:rPr>
              <w:t>0.03</w:t>
            </w:r>
          </w:p>
        </w:tc>
        <w:tc>
          <w:tcPr>
            <w:tcW w:w="1476" w:type="dxa"/>
            <w:noWrap/>
          </w:tcPr>
          <w:p w14:paraId="7E261381" w14:textId="67707DD1" w:rsidR="00F12831" w:rsidRPr="003D7E33" w:rsidRDefault="00AD186F" w:rsidP="00596328">
            <w:pPr>
              <w:rPr>
                <w:rFonts w:eastAsia="Calibri" w:cs="Times New Roman"/>
              </w:rPr>
            </w:pPr>
            <w:r w:rsidRPr="00AD186F">
              <w:rPr>
                <w:rFonts w:eastAsia="Calibri" w:cs="Times New Roman"/>
              </w:rPr>
              <w:t>32781.06</w:t>
            </w:r>
          </w:p>
        </w:tc>
        <w:tc>
          <w:tcPr>
            <w:tcW w:w="1091" w:type="dxa"/>
            <w:noWrap/>
          </w:tcPr>
          <w:p w14:paraId="15C74669" w14:textId="4C75876A" w:rsidR="00F12831" w:rsidRPr="003D7E33" w:rsidRDefault="00FC5E41" w:rsidP="00596328">
            <w:pPr>
              <w:rPr>
                <w:rFonts w:eastAsia="Calibri" w:cs="Times New Roman"/>
              </w:rPr>
            </w:pPr>
            <w:r w:rsidRPr="00FC5E41">
              <w:rPr>
                <w:rFonts w:eastAsia="Calibri" w:cs="Times New Roman"/>
              </w:rPr>
              <w:t>151.847</w:t>
            </w:r>
          </w:p>
        </w:tc>
      </w:tr>
      <w:tr w:rsidR="00E75CE0" w:rsidRPr="003D7E33" w14:paraId="00A68F20" w14:textId="77777777" w:rsidTr="009E4217">
        <w:trPr>
          <w:trHeight w:val="300"/>
        </w:trPr>
        <w:tc>
          <w:tcPr>
            <w:tcW w:w="1483" w:type="dxa"/>
            <w:noWrap/>
            <w:hideMark/>
          </w:tcPr>
          <w:p w14:paraId="1E423802" w14:textId="77777777" w:rsidR="00F12831" w:rsidRPr="003D7E33" w:rsidRDefault="00F12831" w:rsidP="00596328">
            <w:pPr>
              <w:rPr>
                <w:rFonts w:eastAsia="Calibri" w:cs="Times New Roman"/>
              </w:rPr>
            </w:pPr>
            <w:r w:rsidRPr="003D7E33">
              <w:rPr>
                <w:rFonts w:eastAsia="Calibri" w:cs="Times New Roman"/>
              </w:rPr>
              <w:t xml:space="preserve"> Std. Dev.</w:t>
            </w:r>
          </w:p>
        </w:tc>
        <w:tc>
          <w:tcPr>
            <w:tcW w:w="1053" w:type="dxa"/>
            <w:noWrap/>
          </w:tcPr>
          <w:p w14:paraId="6D6B55CD" w14:textId="3709DD7B" w:rsidR="00F12831" w:rsidRPr="003D7E33" w:rsidRDefault="008B0B69" w:rsidP="00596328">
            <w:pPr>
              <w:rPr>
                <w:rFonts w:eastAsia="Calibri" w:cs="Times New Roman"/>
              </w:rPr>
            </w:pPr>
            <w:r w:rsidRPr="008B0B69">
              <w:rPr>
                <w:rFonts w:eastAsia="Calibri" w:cs="Times New Roman"/>
              </w:rPr>
              <w:t>31.091</w:t>
            </w:r>
          </w:p>
        </w:tc>
        <w:tc>
          <w:tcPr>
            <w:tcW w:w="1476" w:type="dxa"/>
            <w:noWrap/>
          </w:tcPr>
          <w:p w14:paraId="49C798B3" w14:textId="2DF3D9F7" w:rsidR="00F12831" w:rsidRPr="003D7E33" w:rsidRDefault="00EA5B75" w:rsidP="00596328">
            <w:pPr>
              <w:rPr>
                <w:rFonts w:eastAsia="Calibri" w:cs="Times New Roman"/>
              </w:rPr>
            </w:pPr>
            <w:r w:rsidRPr="00EA5B75">
              <w:rPr>
                <w:rFonts w:eastAsia="Calibri" w:cs="Times New Roman"/>
              </w:rPr>
              <w:t>10366202.62</w:t>
            </w:r>
          </w:p>
        </w:tc>
        <w:tc>
          <w:tcPr>
            <w:tcW w:w="996" w:type="dxa"/>
            <w:noWrap/>
          </w:tcPr>
          <w:p w14:paraId="0939F55B" w14:textId="7424898C" w:rsidR="00F12831" w:rsidRPr="003D7E33" w:rsidRDefault="003042D5" w:rsidP="00596328">
            <w:pPr>
              <w:rPr>
                <w:rFonts w:eastAsia="Calibri" w:cs="Times New Roman"/>
              </w:rPr>
            </w:pPr>
            <w:r w:rsidRPr="003042D5">
              <w:rPr>
                <w:rFonts w:eastAsia="Calibri" w:cs="Times New Roman"/>
              </w:rPr>
              <w:t>9.312</w:t>
            </w:r>
          </w:p>
        </w:tc>
        <w:tc>
          <w:tcPr>
            <w:tcW w:w="1236" w:type="dxa"/>
            <w:noWrap/>
          </w:tcPr>
          <w:p w14:paraId="0F864DDF" w14:textId="7246E2CA" w:rsidR="00F12831" w:rsidRPr="003D7E33" w:rsidRDefault="00DB183A" w:rsidP="00596328">
            <w:pPr>
              <w:rPr>
                <w:rFonts w:eastAsia="Calibri" w:cs="Times New Roman"/>
              </w:rPr>
            </w:pPr>
            <w:r w:rsidRPr="00DB183A">
              <w:rPr>
                <w:rFonts w:eastAsia="Calibri" w:cs="Times New Roman"/>
              </w:rPr>
              <w:t>2307934.8</w:t>
            </w:r>
          </w:p>
        </w:tc>
        <w:tc>
          <w:tcPr>
            <w:tcW w:w="876" w:type="dxa"/>
          </w:tcPr>
          <w:p w14:paraId="4ACD4830" w14:textId="71AE5AAC" w:rsidR="00F12831" w:rsidRPr="003D7E33" w:rsidRDefault="00875356" w:rsidP="00596328">
            <w:pPr>
              <w:rPr>
                <w:rFonts w:eastAsia="Calibri" w:cs="Times New Roman"/>
              </w:rPr>
            </w:pPr>
            <w:r w:rsidRPr="00875356">
              <w:rPr>
                <w:rFonts w:eastAsia="Calibri" w:cs="Times New Roman"/>
              </w:rPr>
              <w:t>5.006</w:t>
            </w:r>
          </w:p>
        </w:tc>
        <w:tc>
          <w:tcPr>
            <w:tcW w:w="1476" w:type="dxa"/>
            <w:noWrap/>
          </w:tcPr>
          <w:p w14:paraId="2E662520" w14:textId="61979A28" w:rsidR="00F12831" w:rsidRPr="003D7E33" w:rsidRDefault="00E9372D" w:rsidP="00596328">
            <w:pPr>
              <w:rPr>
                <w:rFonts w:eastAsia="Calibri" w:cs="Times New Roman"/>
              </w:rPr>
            </w:pPr>
            <w:r w:rsidRPr="00E9372D">
              <w:rPr>
                <w:rFonts w:eastAsia="Calibri" w:cs="Times New Roman"/>
              </w:rPr>
              <w:t>6870977.59</w:t>
            </w:r>
          </w:p>
        </w:tc>
        <w:tc>
          <w:tcPr>
            <w:tcW w:w="1091" w:type="dxa"/>
            <w:noWrap/>
          </w:tcPr>
          <w:p w14:paraId="1FAB108C" w14:textId="599BE38D" w:rsidR="00F12831" w:rsidRPr="003D7E33" w:rsidRDefault="00C374F4" w:rsidP="00596328">
            <w:pPr>
              <w:rPr>
                <w:rFonts w:eastAsia="Calibri" w:cs="Times New Roman"/>
              </w:rPr>
            </w:pPr>
            <w:r w:rsidRPr="00C374F4">
              <w:rPr>
                <w:rFonts w:eastAsia="Calibri" w:cs="Times New Roman"/>
              </w:rPr>
              <w:t>445.518</w:t>
            </w:r>
          </w:p>
        </w:tc>
      </w:tr>
      <w:tr w:rsidR="00E75CE0" w:rsidRPr="003D7E33" w14:paraId="1511DB8F" w14:textId="77777777" w:rsidTr="009E4217">
        <w:trPr>
          <w:trHeight w:val="300"/>
        </w:trPr>
        <w:tc>
          <w:tcPr>
            <w:tcW w:w="1483" w:type="dxa"/>
            <w:noWrap/>
            <w:hideMark/>
          </w:tcPr>
          <w:p w14:paraId="10CD5DF3" w14:textId="77777777" w:rsidR="00F12831" w:rsidRPr="003D7E33" w:rsidRDefault="00F12831" w:rsidP="00596328">
            <w:pPr>
              <w:rPr>
                <w:rFonts w:eastAsia="Calibri" w:cs="Times New Roman"/>
              </w:rPr>
            </w:pPr>
            <w:r w:rsidRPr="003D7E33">
              <w:rPr>
                <w:rFonts w:eastAsia="Calibri" w:cs="Times New Roman"/>
              </w:rPr>
              <w:t xml:space="preserve"> Skewness</w:t>
            </w:r>
          </w:p>
        </w:tc>
        <w:tc>
          <w:tcPr>
            <w:tcW w:w="1053" w:type="dxa"/>
            <w:noWrap/>
          </w:tcPr>
          <w:p w14:paraId="3199E3E8" w14:textId="15DF39E1" w:rsidR="00F12831" w:rsidRPr="003D7E33" w:rsidRDefault="008B0B69" w:rsidP="00596328">
            <w:pPr>
              <w:rPr>
                <w:rFonts w:eastAsia="Calibri" w:cs="Times New Roman"/>
              </w:rPr>
            </w:pPr>
            <w:r w:rsidRPr="008B0B69">
              <w:rPr>
                <w:rFonts w:eastAsia="Calibri" w:cs="Times New Roman"/>
              </w:rPr>
              <w:t>1.317</w:t>
            </w:r>
          </w:p>
        </w:tc>
        <w:tc>
          <w:tcPr>
            <w:tcW w:w="1476" w:type="dxa"/>
            <w:noWrap/>
          </w:tcPr>
          <w:p w14:paraId="77C91C33" w14:textId="54D38A28" w:rsidR="00F12831" w:rsidRPr="003D7E33" w:rsidRDefault="00EA5B75" w:rsidP="00596328">
            <w:pPr>
              <w:rPr>
                <w:rFonts w:eastAsia="Calibri" w:cs="Times New Roman"/>
              </w:rPr>
            </w:pPr>
            <w:r w:rsidRPr="00EA5B75">
              <w:rPr>
                <w:rFonts w:eastAsia="Calibri" w:cs="Times New Roman"/>
              </w:rPr>
              <w:t>1.443</w:t>
            </w:r>
          </w:p>
        </w:tc>
        <w:tc>
          <w:tcPr>
            <w:tcW w:w="996" w:type="dxa"/>
            <w:noWrap/>
          </w:tcPr>
          <w:p w14:paraId="794BBBB6" w14:textId="6F908F48" w:rsidR="00F12831" w:rsidRPr="003D7E33" w:rsidRDefault="00B315C3" w:rsidP="00596328">
            <w:pPr>
              <w:rPr>
                <w:rFonts w:eastAsia="Calibri" w:cs="Times New Roman"/>
              </w:rPr>
            </w:pPr>
            <w:r w:rsidRPr="00B315C3">
              <w:rPr>
                <w:rFonts w:eastAsia="Calibri" w:cs="Times New Roman"/>
              </w:rPr>
              <w:t>1.453</w:t>
            </w:r>
          </w:p>
        </w:tc>
        <w:tc>
          <w:tcPr>
            <w:tcW w:w="1236" w:type="dxa"/>
            <w:noWrap/>
          </w:tcPr>
          <w:p w14:paraId="696D1BFE" w14:textId="0ABDF4D6" w:rsidR="00F12831" w:rsidRPr="003D7E33" w:rsidRDefault="00DB183A" w:rsidP="00596328">
            <w:pPr>
              <w:rPr>
                <w:rFonts w:eastAsia="Calibri" w:cs="Times New Roman"/>
              </w:rPr>
            </w:pPr>
            <w:r w:rsidRPr="00DB183A">
              <w:rPr>
                <w:rFonts w:eastAsia="Calibri" w:cs="Times New Roman"/>
              </w:rPr>
              <w:t>0.991</w:t>
            </w:r>
          </w:p>
        </w:tc>
        <w:tc>
          <w:tcPr>
            <w:tcW w:w="876" w:type="dxa"/>
          </w:tcPr>
          <w:p w14:paraId="5F27D481" w14:textId="66C7B43E" w:rsidR="00F12831" w:rsidRPr="003D7E33" w:rsidRDefault="00875356" w:rsidP="00596328">
            <w:pPr>
              <w:rPr>
                <w:rFonts w:eastAsia="Calibri" w:cs="Times New Roman"/>
              </w:rPr>
            </w:pPr>
            <w:r w:rsidRPr="00875356">
              <w:rPr>
                <w:rFonts w:eastAsia="Calibri" w:cs="Times New Roman"/>
              </w:rPr>
              <w:t>-0.121</w:t>
            </w:r>
          </w:p>
        </w:tc>
        <w:tc>
          <w:tcPr>
            <w:tcW w:w="1476" w:type="dxa"/>
            <w:noWrap/>
          </w:tcPr>
          <w:p w14:paraId="19D7C840" w14:textId="2E56F35E" w:rsidR="00F12831" w:rsidRPr="003D7E33" w:rsidRDefault="00E9372D" w:rsidP="00596328">
            <w:pPr>
              <w:rPr>
                <w:rFonts w:eastAsia="Calibri" w:cs="Times New Roman"/>
              </w:rPr>
            </w:pPr>
            <w:r w:rsidRPr="00E9372D">
              <w:rPr>
                <w:rFonts w:eastAsia="Calibri" w:cs="Times New Roman"/>
              </w:rPr>
              <w:t>1.498</w:t>
            </w:r>
          </w:p>
        </w:tc>
        <w:tc>
          <w:tcPr>
            <w:tcW w:w="1091" w:type="dxa"/>
            <w:noWrap/>
          </w:tcPr>
          <w:p w14:paraId="062A0516" w14:textId="6450EA56" w:rsidR="00F12831" w:rsidRPr="003D7E33" w:rsidRDefault="00C374F4" w:rsidP="00596328">
            <w:pPr>
              <w:rPr>
                <w:rFonts w:eastAsia="Calibri" w:cs="Times New Roman"/>
              </w:rPr>
            </w:pPr>
            <w:r w:rsidRPr="00C374F4">
              <w:rPr>
                <w:rFonts w:eastAsia="Calibri" w:cs="Times New Roman"/>
              </w:rPr>
              <w:t>1.566</w:t>
            </w:r>
          </w:p>
        </w:tc>
      </w:tr>
      <w:tr w:rsidR="00E75CE0" w:rsidRPr="003D7E33" w14:paraId="4D93D9D8" w14:textId="77777777" w:rsidTr="009E4217">
        <w:trPr>
          <w:trHeight w:val="300"/>
        </w:trPr>
        <w:tc>
          <w:tcPr>
            <w:tcW w:w="1483" w:type="dxa"/>
            <w:noWrap/>
            <w:hideMark/>
          </w:tcPr>
          <w:p w14:paraId="6920CA20" w14:textId="77777777" w:rsidR="00F12831" w:rsidRPr="003D7E33" w:rsidRDefault="00F12831" w:rsidP="00596328">
            <w:pPr>
              <w:rPr>
                <w:rFonts w:eastAsia="Calibri" w:cs="Times New Roman"/>
              </w:rPr>
            </w:pPr>
            <w:r w:rsidRPr="003D7E33">
              <w:rPr>
                <w:rFonts w:eastAsia="Calibri" w:cs="Times New Roman"/>
              </w:rPr>
              <w:t xml:space="preserve"> Kurtosis</w:t>
            </w:r>
          </w:p>
        </w:tc>
        <w:tc>
          <w:tcPr>
            <w:tcW w:w="1053" w:type="dxa"/>
            <w:noWrap/>
          </w:tcPr>
          <w:p w14:paraId="29F70AEA" w14:textId="38D6F548" w:rsidR="00F12831" w:rsidRPr="003D7E33" w:rsidRDefault="008B0B69" w:rsidP="00596328">
            <w:pPr>
              <w:rPr>
                <w:rFonts w:eastAsia="Calibri" w:cs="Times New Roman"/>
              </w:rPr>
            </w:pPr>
            <w:r w:rsidRPr="008B0B69">
              <w:rPr>
                <w:rFonts w:eastAsia="Calibri" w:cs="Times New Roman"/>
              </w:rPr>
              <w:t>3.772</w:t>
            </w:r>
          </w:p>
        </w:tc>
        <w:tc>
          <w:tcPr>
            <w:tcW w:w="1476" w:type="dxa"/>
            <w:noWrap/>
          </w:tcPr>
          <w:p w14:paraId="056A6BF5" w14:textId="2C6D6CC2" w:rsidR="00F12831" w:rsidRPr="003D7E33" w:rsidRDefault="00EA5B75" w:rsidP="00596328">
            <w:pPr>
              <w:rPr>
                <w:rFonts w:eastAsia="Calibri" w:cs="Times New Roman"/>
              </w:rPr>
            </w:pPr>
            <w:r w:rsidRPr="00EA5B75">
              <w:rPr>
                <w:rFonts w:eastAsia="Calibri" w:cs="Times New Roman"/>
              </w:rPr>
              <w:t>3.866</w:t>
            </w:r>
          </w:p>
        </w:tc>
        <w:tc>
          <w:tcPr>
            <w:tcW w:w="996" w:type="dxa"/>
            <w:noWrap/>
          </w:tcPr>
          <w:p w14:paraId="5EBC4B47" w14:textId="074AF65D" w:rsidR="00F12831" w:rsidRPr="003D7E33" w:rsidRDefault="00B315C3" w:rsidP="00596328">
            <w:pPr>
              <w:rPr>
                <w:rFonts w:eastAsia="Calibri" w:cs="Times New Roman"/>
              </w:rPr>
            </w:pPr>
            <w:r w:rsidRPr="00B315C3">
              <w:rPr>
                <w:rFonts w:eastAsia="Calibri" w:cs="Times New Roman"/>
              </w:rPr>
              <w:t>7.051</w:t>
            </w:r>
          </w:p>
        </w:tc>
        <w:tc>
          <w:tcPr>
            <w:tcW w:w="1236" w:type="dxa"/>
            <w:noWrap/>
          </w:tcPr>
          <w:p w14:paraId="78A0C240" w14:textId="247917B3" w:rsidR="00F12831" w:rsidRPr="003D7E33" w:rsidRDefault="00DB183A" w:rsidP="00596328">
            <w:pPr>
              <w:rPr>
                <w:rFonts w:eastAsia="Calibri" w:cs="Times New Roman"/>
              </w:rPr>
            </w:pPr>
            <w:r w:rsidRPr="00DB183A">
              <w:rPr>
                <w:rFonts w:eastAsia="Calibri" w:cs="Times New Roman"/>
              </w:rPr>
              <w:t>2.948</w:t>
            </w:r>
          </w:p>
        </w:tc>
        <w:tc>
          <w:tcPr>
            <w:tcW w:w="876" w:type="dxa"/>
          </w:tcPr>
          <w:p w14:paraId="7CD7364B" w14:textId="4BA8E389" w:rsidR="00F12831" w:rsidRPr="003D7E33" w:rsidRDefault="00875356" w:rsidP="00596328">
            <w:pPr>
              <w:rPr>
                <w:rFonts w:eastAsia="Calibri" w:cs="Times New Roman"/>
              </w:rPr>
            </w:pPr>
            <w:r w:rsidRPr="00875356">
              <w:rPr>
                <w:rFonts w:eastAsia="Calibri" w:cs="Times New Roman"/>
              </w:rPr>
              <w:t>1.950</w:t>
            </w:r>
          </w:p>
        </w:tc>
        <w:tc>
          <w:tcPr>
            <w:tcW w:w="1476" w:type="dxa"/>
            <w:noWrap/>
          </w:tcPr>
          <w:p w14:paraId="4A48FAD3" w14:textId="6A073BFD" w:rsidR="00F12831" w:rsidRPr="003D7E33" w:rsidRDefault="00E9372D" w:rsidP="00596328">
            <w:pPr>
              <w:rPr>
                <w:rFonts w:eastAsia="Calibri" w:cs="Times New Roman"/>
              </w:rPr>
            </w:pPr>
            <w:r w:rsidRPr="00E9372D">
              <w:rPr>
                <w:rFonts w:eastAsia="Calibri" w:cs="Times New Roman"/>
              </w:rPr>
              <w:t>4.251</w:t>
            </w:r>
          </w:p>
        </w:tc>
        <w:tc>
          <w:tcPr>
            <w:tcW w:w="1091" w:type="dxa"/>
            <w:noWrap/>
          </w:tcPr>
          <w:p w14:paraId="6CCB47F1" w14:textId="2710C95C" w:rsidR="00F12831" w:rsidRPr="003D7E33" w:rsidRDefault="00C374F4" w:rsidP="00596328">
            <w:pPr>
              <w:rPr>
                <w:rFonts w:eastAsia="Calibri" w:cs="Times New Roman"/>
              </w:rPr>
            </w:pPr>
            <w:r w:rsidRPr="00C374F4">
              <w:rPr>
                <w:rFonts w:eastAsia="Calibri" w:cs="Times New Roman"/>
              </w:rPr>
              <w:t>4.252</w:t>
            </w:r>
          </w:p>
        </w:tc>
      </w:tr>
      <w:tr w:rsidR="00E75CE0" w:rsidRPr="003D7E33" w14:paraId="72E2466E" w14:textId="77777777" w:rsidTr="009E4217">
        <w:trPr>
          <w:trHeight w:val="300"/>
        </w:trPr>
        <w:tc>
          <w:tcPr>
            <w:tcW w:w="1483" w:type="dxa"/>
            <w:noWrap/>
            <w:hideMark/>
          </w:tcPr>
          <w:p w14:paraId="0BBB802E" w14:textId="77777777" w:rsidR="00F12831" w:rsidRPr="003D7E33" w:rsidRDefault="00F12831" w:rsidP="00596328">
            <w:pPr>
              <w:rPr>
                <w:rFonts w:eastAsia="Calibri" w:cs="Times New Roman"/>
              </w:rPr>
            </w:pPr>
            <w:r w:rsidRPr="003D7E33">
              <w:rPr>
                <w:rFonts w:eastAsia="Calibri" w:cs="Times New Roman"/>
              </w:rPr>
              <w:t xml:space="preserve"> Jarque-Bera</w:t>
            </w:r>
          </w:p>
        </w:tc>
        <w:tc>
          <w:tcPr>
            <w:tcW w:w="1053" w:type="dxa"/>
            <w:noWrap/>
          </w:tcPr>
          <w:p w14:paraId="33312EAB" w14:textId="1F478A28" w:rsidR="00F12831" w:rsidRPr="003D7E33" w:rsidRDefault="00806D39" w:rsidP="00596328">
            <w:pPr>
              <w:rPr>
                <w:rFonts w:eastAsia="Calibri" w:cs="Times New Roman"/>
              </w:rPr>
            </w:pPr>
            <w:r w:rsidRPr="00806D39">
              <w:rPr>
                <w:rFonts w:eastAsia="Calibri" w:cs="Times New Roman"/>
              </w:rPr>
              <w:t>60.33</w:t>
            </w:r>
            <w:r w:rsidR="005B19A7">
              <w:rPr>
                <w:rFonts w:eastAsia="Calibri" w:cs="Times New Roman"/>
              </w:rPr>
              <w:t>4</w:t>
            </w:r>
          </w:p>
        </w:tc>
        <w:tc>
          <w:tcPr>
            <w:tcW w:w="1476" w:type="dxa"/>
            <w:noWrap/>
          </w:tcPr>
          <w:p w14:paraId="00D81451" w14:textId="0057B250" w:rsidR="00F12831" w:rsidRPr="003D7E33" w:rsidRDefault="00903E70" w:rsidP="00596328">
            <w:pPr>
              <w:rPr>
                <w:rFonts w:eastAsia="Calibri" w:cs="Times New Roman"/>
              </w:rPr>
            </w:pPr>
            <w:r w:rsidRPr="00903E70">
              <w:rPr>
                <w:rFonts w:eastAsia="Calibri" w:cs="Times New Roman"/>
              </w:rPr>
              <w:t>72.702</w:t>
            </w:r>
          </w:p>
        </w:tc>
        <w:tc>
          <w:tcPr>
            <w:tcW w:w="996" w:type="dxa"/>
            <w:noWrap/>
          </w:tcPr>
          <w:p w14:paraId="7C9011C2" w14:textId="4337CC1F" w:rsidR="00F12831" w:rsidRPr="003D7E33" w:rsidRDefault="00B315C3" w:rsidP="00596328">
            <w:pPr>
              <w:rPr>
                <w:rFonts w:eastAsia="Calibri" w:cs="Times New Roman"/>
              </w:rPr>
            </w:pPr>
            <w:r w:rsidRPr="00B315C3">
              <w:rPr>
                <w:rFonts w:eastAsia="Calibri" w:cs="Times New Roman"/>
              </w:rPr>
              <w:t>198.927</w:t>
            </w:r>
          </w:p>
        </w:tc>
        <w:tc>
          <w:tcPr>
            <w:tcW w:w="1236" w:type="dxa"/>
            <w:noWrap/>
          </w:tcPr>
          <w:p w14:paraId="3E06315F" w14:textId="3B65A6B2" w:rsidR="00F12831" w:rsidRPr="003D7E33" w:rsidRDefault="0009377E" w:rsidP="00596328">
            <w:pPr>
              <w:rPr>
                <w:rFonts w:eastAsia="Calibri" w:cs="Times New Roman"/>
              </w:rPr>
            </w:pPr>
            <w:r w:rsidRPr="0009377E">
              <w:rPr>
                <w:rFonts w:eastAsia="Calibri" w:cs="Times New Roman"/>
              </w:rPr>
              <w:t>31.485</w:t>
            </w:r>
          </w:p>
        </w:tc>
        <w:tc>
          <w:tcPr>
            <w:tcW w:w="876" w:type="dxa"/>
          </w:tcPr>
          <w:p w14:paraId="57778444" w14:textId="1AD7321F" w:rsidR="00F12831" w:rsidRPr="003D7E33" w:rsidRDefault="0034723D" w:rsidP="00596328">
            <w:pPr>
              <w:rPr>
                <w:rFonts w:eastAsia="Calibri" w:cs="Times New Roman"/>
              </w:rPr>
            </w:pPr>
            <w:r w:rsidRPr="0034723D">
              <w:rPr>
                <w:rFonts w:eastAsia="Calibri" w:cs="Times New Roman"/>
              </w:rPr>
              <w:t>9.279</w:t>
            </w:r>
          </w:p>
        </w:tc>
        <w:tc>
          <w:tcPr>
            <w:tcW w:w="1476" w:type="dxa"/>
            <w:noWrap/>
          </w:tcPr>
          <w:p w14:paraId="0EA0CC20" w14:textId="0EE4DA0E" w:rsidR="00F12831" w:rsidRPr="003D7E33" w:rsidRDefault="00E9372D" w:rsidP="00596328">
            <w:pPr>
              <w:rPr>
                <w:rFonts w:eastAsia="Calibri" w:cs="Times New Roman"/>
              </w:rPr>
            </w:pPr>
            <w:r w:rsidRPr="00E9372D">
              <w:rPr>
                <w:rFonts w:eastAsia="Calibri" w:cs="Times New Roman"/>
              </w:rPr>
              <w:t>84.344</w:t>
            </w:r>
          </w:p>
        </w:tc>
        <w:tc>
          <w:tcPr>
            <w:tcW w:w="1091" w:type="dxa"/>
            <w:noWrap/>
          </w:tcPr>
          <w:p w14:paraId="49C3AD75" w14:textId="30FB3F9A" w:rsidR="00F12831" w:rsidRPr="003D7E33" w:rsidRDefault="00A83A79" w:rsidP="00596328">
            <w:pPr>
              <w:rPr>
                <w:rFonts w:eastAsia="Calibri" w:cs="Times New Roman"/>
              </w:rPr>
            </w:pPr>
            <w:r w:rsidRPr="00A83A79">
              <w:rPr>
                <w:rFonts w:eastAsia="Calibri" w:cs="Times New Roman"/>
              </w:rPr>
              <w:t>91.082</w:t>
            </w:r>
          </w:p>
        </w:tc>
      </w:tr>
      <w:tr w:rsidR="00E75CE0" w:rsidRPr="003D7E33" w14:paraId="1C875DF5" w14:textId="77777777" w:rsidTr="009E4217">
        <w:trPr>
          <w:trHeight w:val="300"/>
        </w:trPr>
        <w:tc>
          <w:tcPr>
            <w:tcW w:w="1483" w:type="dxa"/>
            <w:noWrap/>
            <w:hideMark/>
          </w:tcPr>
          <w:p w14:paraId="6DB4DD7F" w14:textId="77777777" w:rsidR="00F12831" w:rsidRPr="003D7E33" w:rsidRDefault="00F12831" w:rsidP="00596328">
            <w:pPr>
              <w:rPr>
                <w:rFonts w:eastAsia="Calibri" w:cs="Times New Roman"/>
              </w:rPr>
            </w:pPr>
            <w:r w:rsidRPr="003D7E33">
              <w:rPr>
                <w:rFonts w:eastAsia="Calibri" w:cs="Times New Roman"/>
              </w:rPr>
              <w:t xml:space="preserve"> Probability</w:t>
            </w:r>
          </w:p>
        </w:tc>
        <w:tc>
          <w:tcPr>
            <w:tcW w:w="1053" w:type="dxa"/>
            <w:noWrap/>
          </w:tcPr>
          <w:p w14:paraId="4EA254EF" w14:textId="1A5A5112" w:rsidR="00F12831" w:rsidRPr="003D7E33" w:rsidRDefault="0034697D" w:rsidP="00596328">
            <w:pPr>
              <w:rPr>
                <w:rFonts w:eastAsia="Calibri" w:cs="Times New Roman"/>
              </w:rPr>
            </w:pPr>
            <w:r>
              <w:rPr>
                <w:rFonts w:eastAsia="Calibri" w:cs="Times New Roman"/>
              </w:rPr>
              <w:t>0</w:t>
            </w:r>
            <w:r w:rsidR="00BD3D05">
              <w:rPr>
                <w:rFonts w:eastAsia="Calibri" w:cs="Times New Roman"/>
              </w:rPr>
              <w:t>.000</w:t>
            </w:r>
          </w:p>
        </w:tc>
        <w:tc>
          <w:tcPr>
            <w:tcW w:w="1476" w:type="dxa"/>
            <w:noWrap/>
          </w:tcPr>
          <w:p w14:paraId="44A14225" w14:textId="44FA821C" w:rsidR="00F12831" w:rsidRPr="003D7E33" w:rsidRDefault="00BD3D05" w:rsidP="00596328">
            <w:pPr>
              <w:rPr>
                <w:rFonts w:eastAsia="Calibri" w:cs="Times New Roman"/>
              </w:rPr>
            </w:pPr>
            <w:r w:rsidRPr="00BD3D05">
              <w:rPr>
                <w:rFonts w:eastAsia="Calibri" w:cs="Times New Roman"/>
              </w:rPr>
              <w:t>0.000</w:t>
            </w:r>
          </w:p>
        </w:tc>
        <w:tc>
          <w:tcPr>
            <w:tcW w:w="996" w:type="dxa"/>
            <w:noWrap/>
          </w:tcPr>
          <w:p w14:paraId="79735FCD" w14:textId="59711EEC" w:rsidR="00F12831" w:rsidRPr="003D7E33" w:rsidRDefault="00BD3D05" w:rsidP="00596328">
            <w:pPr>
              <w:rPr>
                <w:rFonts w:eastAsia="Calibri" w:cs="Times New Roman"/>
              </w:rPr>
            </w:pPr>
            <w:r w:rsidRPr="00BD3D05">
              <w:rPr>
                <w:rFonts w:eastAsia="Calibri" w:cs="Times New Roman"/>
              </w:rPr>
              <w:t>0.000</w:t>
            </w:r>
          </w:p>
        </w:tc>
        <w:tc>
          <w:tcPr>
            <w:tcW w:w="1236" w:type="dxa"/>
            <w:noWrap/>
          </w:tcPr>
          <w:p w14:paraId="5A2F3DEC" w14:textId="555838C6" w:rsidR="00F12831" w:rsidRPr="003D7E33" w:rsidRDefault="00BD3D05" w:rsidP="00596328">
            <w:pPr>
              <w:rPr>
                <w:rFonts w:eastAsia="Calibri" w:cs="Times New Roman"/>
              </w:rPr>
            </w:pPr>
            <w:r w:rsidRPr="00BD3D05">
              <w:rPr>
                <w:rFonts w:eastAsia="Calibri" w:cs="Times New Roman"/>
              </w:rPr>
              <w:t>0.000</w:t>
            </w:r>
          </w:p>
        </w:tc>
        <w:tc>
          <w:tcPr>
            <w:tcW w:w="876" w:type="dxa"/>
          </w:tcPr>
          <w:p w14:paraId="3744E645" w14:textId="54CD6418" w:rsidR="00F12831" w:rsidRPr="003D7E33" w:rsidRDefault="00BD3D05" w:rsidP="00596328">
            <w:pPr>
              <w:rPr>
                <w:rFonts w:eastAsia="Calibri" w:cs="Times New Roman"/>
              </w:rPr>
            </w:pPr>
            <w:r w:rsidRPr="00BD3D05">
              <w:rPr>
                <w:rFonts w:eastAsia="Calibri" w:cs="Times New Roman"/>
              </w:rPr>
              <w:t>0.00</w:t>
            </w:r>
            <w:r w:rsidR="00C17A18">
              <w:rPr>
                <w:rFonts w:eastAsia="Calibri" w:cs="Times New Roman"/>
              </w:rPr>
              <w:t>9</w:t>
            </w:r>
          </w:p>
        </w:tc>
        <w:tc>
          <w:tcPr>
            <w:tcW w:w="1476" w:type="dxa"/>
            <w:noWrap/>
          </w:tcPr>
          <w:p w14:paraId="616769B7" w14:textId="5CEB7B3B" w:rsidR="00F12831" w:rsidRPr="003D7E33" w:rsidRDefault="00BD3D05" w:rsidP="00596328">
            <w:pPr>
              <w:rPr>
                <w:rFonts w:eastAsia="Calibri" w:cs="Times New Roman"/>
              </w:rPr>
            </w:pPr>
            <w:r w:rsidRPr="00BD3D05">
              <w:rPr>
                <w:rFonts w:eastAsia="Calibri" w:cs="Times New Roman"/>
              </w:rPr>
              <w:t>0.000</w:t>
            </w:r>
          </w:p>
        </w:tc>
        <w:tc>
          <w:tcPr>
            <w:tcW w:w="1091" w:type="dxa"/>
            <w:noWrap/>
          </w:tcPr>
          <w:p w14:paraId="574F694C" w14:textId="746C2039" w:rsidR="00F12831" w:rsidRPr="003D7E33" w:rsidRDefault="00BD3D05" w:rsidP="00596328">
            <w:pPr>
              <w:rPr>
                <w:rFonts w:eastAsia="Calibri" w:cs="Times New Roman"/>
              </w:rPr>
            </w:pPr>
            <w:r w:rsidRPr="00BD3D05">
              <w:rPr>
                <w:rFonts w:eastAsia="Calibri" w:cs="Times New Roman"/>
              </w:rPr>
              <w:t>0.000</w:t>
            </w:r>
          </w:p>
        </w:tc>
      </w:tr>
      <w:tr w:rsidR="00E75CE0" w:rsidRPr="003D7E33" w14:paraId="4EE0C093" w14:textId="77777777" w:rsidTr="009E4217">
        <w:trPr>
          <w:trHeight w:val="494"/>
        </w:trPr>
        <w:tc>
          <w:tcPr>
            <w:tcW w:w="1483" w:type="dxa"/>
            <w:noWrap/>
            <w:hideMark/>
          </w:tcPr>
          <w:p w14:paraId="2DEE6342" w14:textId="5E8F0EEF" w:rsidR="00F12831" w:rsidRPr="003D7E33" w:rsidRDefault="00F12831" w:rsidP="00596328">
            <w:pPr>
              <w:rPr>
                <w:rFonts w:eastAsia="Calibri" w:cs="Times New Roman"/>
              </w:rPr>
            </w:pPr>
            <w:r w:rsidRPr="003D7E33">
              <w:rPr>
                <w:rFonts w:eastAsia="Calibri" w:cs="Times New Roman"/>
              </w:rPr>
              <w:t>Observations</w:t>
            </w:r>
          </w:p>
        </w:tc>
        <w:tc>
          <w:tcPr>
            <w:tcW w:w="1053" w:type="dxa"/>
            <w:noWrap/>
          </w:tcPr>
          <w:p w14:paraId="2D62B4BE" w14:textId="0E081C52" w:rsidR="00F12831" w:rsidRPr="003D7E33" w:rsidRDefault="0034697D" w:rsidP="00596328">
            <w:pPr>
              <w:rPr>
                <w:rFonts w:eastAsia="Calibri" w:cs="Times New Roman"/>
              </w:rPr>
            </w:pPr>
            <w:r w:rsidRPr="0034697D">
              <w:rPr>
                <w:rFonts w:eastAsia="Calibri" w:cs="Times New Roman"/>
              </w:rPr>
              <w:t>192</w:t>
            </w:r>
          </w:p>
        </w:tc>
        <w:tc>
          <w:tcPr>
            <w:tcW w:w="1476" w:type="dxa"/>
            <w:noWrap/>
          </w:tcPr>
          <w:p w14:paraId="3EBCA7BA" w14:textId="22966A26" w:rsidR="00F12831" w:rsidRPr="003D7E33" w:rsidRDefault="00903E70" w:rsidP="00596328">
            <w:pPr>
              <w:rPr>
                <w:rFonts w:eastAsia="Calibri" w:cs="Times New Roman"/>
              </w:rPr>
            </w:pPr>
            <w:r w:rsidRPr="00903E70">
              <w:rPr>
                <w:rFonts w:eastAsia="Calibri" w:cs="Times New Roman"/>
              </w:rPr>
              <w:t>192</w:t>
            </w:r>
          </w:p>
        </w:tc>
        <w:tc>
          <w:tcPr>
            <w:tcW w:w="996" w:type="dxa"/>
            <w:noWrap/>
          </w:tcPr>
          <w:p w14:paraId="667B6814" w14:textId="0BE5D693" w:rsidR="00F12831" w:rsidRPr="003D7E33" w:rsidRDefault="00903E70" w:rsidP="00596328">
            <w:pPr>
              <w:rPr>
                <w:rFonts w:eastAsia="Calibri" w:cs="Times New Roman"/>
              </w:rPr>
            </w:pPr>
            <w:r w:rsidRPr="00903E70">
              <w:rPr>
                <w:rFonts w:eastAsia="Calibri" w:cs="Times New Roman"/>
              </w:rPr>
              <w:t>192</w:t>
            </w:r>
          </w:p>
        </w:tc>
        <w:tc>
          <w:tcPr>
            <w:tcW w:w="1236" w:type="dxa"/>
            <w:noWrap/>
          </w:tcPr>
          <w:p w14:paraId="2754BB7B" w14:textId="27A808CE" w:rsidR="00F12831" w:rsidRPr="003D7E33" w:rsidRDefault="00903E70" w:rsidP="00596328">
            <w:pPr>
              <w:rPr>
                <w:rFonts w:eastAsia="Calibri" w:cs="Times New Roman"/>
              </w:rPr>
            </w:pPr>
            <w:r w:rsidRPr="00903E70">
              <w:rPr>
                <w:rFonts w:eastAsia="Calibri" w:cs="Times New Roman"/>
              </w:rPr>
              <w:t>192</w:t>
            </w:r>
          </w:p>
        </w:tc>
        <w:tc>
          <w:tcPr>
            <w:tcW w:w="876" w:type="dxa"/>
          </w:tcPr>
          <w:p w14:paraId="7CF569F6" w14:textId="1FC12708" w:rsidR="00F12831" w:rsidRPr="003D7E33" w:rsidRDefault="00903E70" w:rsidP="00596328">
            <w:pPr>
              <w:rPr>
                <w:rFonts w:eastAsia="Calibri" w:cs="Times New Roman"/>
              </w:rPr>
            </w:pPr>
            <w:r w:rsidRPr="00903E70">
              <w:rPr>
                <w:rFonts w:eastAsia="Calibri" w:cs="Times New Roman"/>
              </w:rPr>
              <w:t>192</w:t>
            </w:r>
          </w:p>
        </w:tc>
        <w:tc>
          <w:tcPr>
            <w:tcW w:w="1476" w:type="dxa"/>
            <w:noWrap/>
          </w:tcPr>
          <w:p w14:paraId="78A92CF4" w14:textId="7BDEDC74" w:rsidR="00F12831" w:rsidRPr="003D7E33" w:rsidRDefault="00903E70" w:rsidP="00596328">
            <w:pPr>
              <w:rPr>
                <w:rFonts w:eastAsia="Calibri" w:cs="Times New Roman"/>
              </w:rPr>
            </w:pPr>
            <w:r w:rsidRPr="00903E70">
              <w:rPr>
                <w:rFonts w:eastAsia="Calibri" w:cs="Times New Roman"/>
              </w:rPr>
              <w:t>192</w:t>
            </w:r>
          </w:p>
        </w:tc>
        <w:tc>
          <w:tcPr>
            <w:tcW w:w="1091" w:type="dxa"/>
            <w:noWrap/>
          </w:tcPr>
          <w:p w14:paraId="0D2E9397" w14:textId="36CE2AC6" w:rsidR="00F12831" w:rsidRPr="003D7E33" w:rsidRDefault="00903E70" w:rsidP="00596328">
            <w:pPr>
              <w:rPr>
                <w:rFonts w:eastAsia="Calibri" w:cs="Times New Roman"/>
              </w:rPr>
            </w:pPr>
            <w:r w:rsidRPr="00903E70">
              <w:rPr>
                <w:rFonts w:eastAsia="Calibri" w:cs="Times New Roman"/>
              </w:rPr>
              <w:t>192</w:t>
            </w:r>
          </w:p>
        </w:tc>
      </w:tr>
    </w:tbl>
    <w:p w14:paraId="2459238F" w14:textId="71570969" w:rsidR="00611944" w:rsidRPr="001B67AD" w:rsidRDefault="001B67AD" w:rsidP="00596328">
      <w:pPr>
        <w:spacing w:after="0" w:line="240" w:lineRule="auto"/>
        <w:rPr>
          <w:rFonts w:cs="Times New Roman"/>
          <w:i/>
          <w:iCs/>
        </w:rPr>
      </w:pPr>
      <w:r w:rsidRPr="001B67AD">
        <w:rPr>
          <w:rFonts w:cs="Times New Roman"/>
          <w:i/>
          <w:iCs/>
        </w:rPr>
        <w:t xml:space="preserve">Source: Computed by author using </w:t>
      </w:r>
      <w:r w:rsidR="0066300C" w:rsidRPr="001B67AD">
        <w:rPr>
          <w:rFonts w:cs="Times New Roman"/>
          <w:i/>
          <w:iCs/>
        </w:rPr>
        <w:t>EViews</w:t>
      </w:r>
      <w:r w:rsidRPr="001B67AD">
        <w:rPr>
          <w:rFonts w:cs="Times New Roman"/>
          <w:i/>
          <w:iCs/>
        </w:rPr>
        <w:t xml:space="preserve"> 13</w:t>
      </w:r>
    </w:p>
    <w:p w14:paraId="06DF2890" w14:textId="1706DC16" w:rsidR="00272C48" w:rsidRDefault="00F478B2" w:rsidP="00596328">
      <w:pPr>
        <w:spacing w:after="0" w:line="240" w:lineRule="auto"/>
        <w:rPr>
          <w:rFonts w:cs="Times New Roman"/>
        </w:rPr>
      </w:pPr>
      <w:r w:rsidRPr="00EA751E">
        <w:rPr>
          <w:rFonts w:cs="Times New Roman"/>
        </w:rPr>
        <w:t>The descriptive statistics presented in</w:t>
      </w:r>
      <w:r w:rsidRPr="00A20998">
        <w:rPr>
          <w:rFonts w:cs="Times New Roman"/>
          <w:color w:val="FF0000"/>
        </w:rPr>
        <w:t xml:space="preserve"> </w:t>
      </w:r>
      <w:r w:rsidRPr="00F478B2">
        <w:rPr>
          <w:rFonts w:cs="Times New Roman"/>
        </w:rPr>
        <w:t xml:space="preserve">Table 4.1 provide critical insights into the dynamics of money supply and inflation in Nigeria. The variables under consideration include </w:t>
      </w:r>
      <w:r w:rsidR="00910E13">
        <w:rPr>
          <w:rFonts w:cs="Times New Roman"/>
        </w:rPr>
        <w:t>Consumer Price Index</w:t>
      </w:r>
      <w:r w:rsidRPr="00F478B2">
        <w:rPr>
          <w:rFonts w:cs="Times New Roman"/>
        </w:rPr>
        <w:t xml:space="preserve"> (</w:t>
      </w:r>
      <w:r w:rsidR="000559E5">
        <w:rPr>
          <w:rFonts w:cs="Times New Roman"/>
        </w:rPr>
        <w:t>CPI</w:t>
      </w:r>
      <w:r w:rsidRPr="00F478B2">
        <w:rPr>
          <w:rFonts w:cs="Times New Roman"/>
        </w:rPr>
        <w:t xml:space="preserve">), Narrow Money Supply (M1), </w:t>
      </w:r>
      <w:r w:rsidR="000559E5">
        <w:rPr>
          <w:rFonts w:cs="Times New Roman"/>
        </w:rPr>
        <w:t xml:space="preserve">Interbank Rates (INB), </w:t>
      </w:r>
      <w:r w:rsidRPr="00F478B2">
        <w:rPr>
          <w:rFonts w:cs="Times New Roman"/>
        </w:rPr>
        <w:t>Nigerian Treasury Bills (NTBs), Treasury Certificates (TC), Central Bank of Nigeria Ways and Means Advances (WAMA), and Bureau de Change Average Exchange Rate (AEXR). The summary statistics are based on 1</w:t>
      </w:r>
      <w:r w:rsidR="00681BCE">
        <w:rPr>
          <w:rFonts w:cs="Times New Roman"/>
        </w:rPr>
        <w:t>9</w:t>
      </w:r>
      <w:r w:rsidR="000559E5">
        <w:rPr>
          <w:rFonts w:cs="Times New Roman"/>
        </w:rPr>
        <w:t>2</w:t>
      </w:r>
      <w:r w:rsidRPr="00F478B2">
        <w:rPr>
          <w:rFonts w:cs="Times New Roman"/>
        </w:rPr>
        <w:t xml:space="preserve"> observations for each variable.</w:t>
      </w:r>
    </w:p>
    <w:p w14:paraId="4664F74A" w14:textId="23A6C11A" w:rsidR="00F478B2" w:rsidRPr="00F478B2" w:rsidRDefault="00F478B2" w:rsidP="00596328">
      <w:pPr>
        <w:spacing w:after="0" w:line="240" w:lineRule="auto"/>
        <w:rPr>
          <w:rFonts w:cs="Times New Roman"/>
        </w:rPr>
      </w:pPr>
      <w:r w:rsidRPr="00F478B2">
        <w:rPr>
          <w:rFonts w:cs="Times New Roman"/>
        </w:rPr>
        <w:t xml:space="preserve">The average </w:t>
      </w:r>
      <w:r w:rsidR="00193C83">
        <w:rPr>
          <w:rFonts w:cs="Times New Roman"/>
        </w:rPr>
        <w:t>CPI</w:t>
      </w:r>
      <w:r w:rsidRPr="00F478B2">
        <w:rPr>
          <w:rFonts w:cs="Times New Roman"/>
        </w:rPr>
        <w:t xml:space="preserve"> during the study period is </w:t>
      </w:r>
      <w:r w:rsidR="00F2466F">
        <w:rPr>
          <w:rFonts w:cs="Times New Roman"/>
        </w:rPr>
        <w:t>44</w:t>
      </w:r>
      <w:r w:rsidRPr="00F478B2">
        <w:rPr>
          <w:rFonts w:cs="Times New Roman"/>
        </w:rPr>
        <w:t>.</w:t>
      </w:r>
      <w:r w:rsidR="00F2466F">
        <w:rPr>
          <w:rFonts w:cs="Times New Roman"/>
        </w:rPr>
        <w:t>0</w:t>
      </w:r>
      <w:r w:rsidR="009275D5">
        <w:rPr>
          <w:rFonts w:cs="Times New Roman"/>
        </w:rPr>
        <w:t>2</w:t>
      </w:r>
      <w:r w:rsidRPr="00F478B2">
        <w:rPr>
          <w:rFonts w:cs="Times New Roman"/>
        </w:rPr>
        <w:t xml:space="preserve">%, with a median of </w:t>
      </w:r>
      <w:r w:rsidR="00ED2B0C">
        <w:rPr>
          <w:rFonts w:cs="Times New Roman"/>
        </w:rPr>
        <w:t>3</w:t>
      </w:r>
      <w:r w:rsidR="006D00E8">
        <w:rPr>
          <w:rFonts w:cs="Times New Roman"/>
        </w:rPr>
        <w:t>3</w:t>
      </w:r>
      <w:r w:rsidRPr="00F478B2">
        <w:rPr>
          <w:rFonts w:cs="Times New Roman"/>
        </w:rPr>
        <w:t>.</w:t>
      </w:r>
      <w:r w:rsidR="006D00E8">
        <w:rPr>
          <w:rFonts w:cs="Times New Roman"/>
        </w:rPr>
        <w:t>2</w:t>
      </w:r>
      <w:r w:rsidR="00ED2B0C">
        <w:rPr>
          <w:rFonts w:cs="Times New Roman"/>
        </w:rPr>
        <w:t>8</w:t>
      </w:r>
      <w:r w:rsidRPr="00F478B2">
        <w:rPr>
          <w:rFonts w:cs="Times New Roman"/>
        </w:rPr>
        <w:t xml:space="preserve">%. The maximum value of </w:t>
      </w:r>
      <w:r w:rsidR="00ED2B0C">
        <w:rPr>
          <w:rFonts w:cs="Times New Roman"/>
        </w:rPr>
        <w:t>1</w:t>
      </w:r>
      <w:r w:rsidRPr="00F478B2">
        <w:rPr>
          <w:rFonts w:cs="Times New Roman"/>
        </w:rPr>
        <w:t>3</w:t>
      </w:r>
      <w:r w:rsidR="00ED2B0C">
        <w:rPr>
          <w:rFonts w:cs="Times New Roman"/>
        </w:rPr>
        <w:t>1</w:t>
      </w:r>
      <w:r w:rsidRPr="00F478B2">
        <w:rPr>
          <w:rFonts w:cs="Times New Roman"/>
        </w:rPr>
        <w:t>.</w:t>
      </w:r>
      <w:r w:rsidR="00ED2B0C">
        <w:rPr>
          <w:rFonts w:cs="Times New Roman"/>
        </w:rPr>
        <w:t>16</w:t>
      </w:r>
      <w:r w:rsidRPr="00F478B2">
        <w:rPr>
          <w:rFonts w:cs="Times New Roman"/>
        </w:rPr>
        <w:t xml:space="preserve">% and minimum of </w:t>
      </w:r>
      <w:r w:rsidR="0005066E">
        <w:rPr>
          <w:rFonts w:cs="Times New Roman"/>
        </w:rPr>
        <w:t>13</w:t>
      </w:r>
      <w:r w:rsidRPr="00F478B2">
        <w:rPr>
          <w:rFonts w:cs="Times New Roman"/>
        </w:rPr>
        <w:t>.</w:t>
      </w:r>
      <w:r w:rsidR="0005066E">
        <w:rPr>
          <w:rFonts w:cs="Times New Roman"/>
        </w:rPr>
        <w:t>8</w:t>
      </w:r>
      <w:r w:rsidRPr="00F478B2">
        <w:rPr>
          <w:rFonts w:cs="Times New Roman"/>
        </w:rPr>
        <w:t xml:space="preserve">7% highlight significant volatility. The standard deviation of </w:t>
      </w:r>
      <w:r w:rsidR="00C33B4C">
        <w:rPr>
          <w:rFonts w:cs="Times New Roman"/>
        </w:rPr>
        <w:t>31</w:t>
      </w:r>
      <w:r w:rsidRPr="00F478B2">
        <w:rPr>
          <w:rFonts w:cs="Times New Roman"/>
        </w:rPr>
        <w:t>.</w:t>
      </w:r>
      <w:r w:rsidR="00C33B4C">
        <w:rPr>
          <w:rFonts w:cs="Times New Roman"/>
        </w:rPr>
        <w:t>09</w:t>
      </w:r>
      <w:r w:rsidRPr="00F478B2">
        <w:rPr>
          <w:rFonts w:cs="Times New Roman"/>
        </w:rPr>
        <w:t>% further confirms this variability. The skewness (1.</w:t>
      </w:r>
      <w:r w:rsidR="00432118">
        <w:rPr>
          <w:rFonts w:cs="Times New Roman"/>
        </w:rPr>
        <w:t>31</w:t>
      </w:r>
      <w:r w:rsidRPr="00F478B2">
        <w:rPr>
          <w:rFonts w:cs="Times New Roman"/>
        </w:rPr>
        <w:t>) and kurtosis (</w:t>
      </w:r>
      <w:r w:rsidR="00432118">
        <w:rPr>
          <w:rFonts w:cs="Times New Roman"/>
        </w:rPr>
        <w:t>3</w:t>
      </w:r>
      <w:r w:rsidRPr="00F478B2">
        <w:rPr>
          <w:rFonts w:cs="Times New Roman"/>
        </w:rPr>
        <w:t>.</w:t>
      </w:r>
      <w:r w:rsidR="00432118">
        <w:rPr>
          <w:rFonts w:cs="Times New Roman"/>
        </w:rPr>
        <w:t>77</w:t>
      </w:r>
      <w:r w:rsidRPr="00F478B2">
        <w:rPr>
          <w:rFonts w:cs="Times New Roman"/>
        </w:rPr>
        <w:t xml:space="preserve">) suggest a right-skewed distribution with fat tails, indicating occasional spikes in </w:t>
      </w:r>
      <w:r w:rsidR="00432118">
        <w:rPr>
          <w:rFonts w:cs="Times New Roman"/>
        </w:rPr>
        <w:t>CPI</w:t>
      </w:r>
      <w:r w:rsidRPr="00F478B2">
        <w:rPr>
          <w:rFonts w:cs="Times New Roman"/>
        </w:rPr>
        <w:t xml:space="preserve">. The Jarque-Bera test strongly rejects normality (p = 0.000), suggesting that </w:t>
      </w:r>
      <w:r w:rsidR="002C7F1B">
        <w:rPr>
          <w:rFonts w:cs="Times New Roman"/>
        </w:rPr>
        <w:t>con</w:t>
      </w:r>
      <w:r w:rsidR="00982D18">
        <w:rPr>
          <w:rFonts w:cs="Times New Roman"/>
        </w:rPr>
        <w:t>sumer price index</w:t>
      </w:r>
      <w:r w:rsidRPr="00F478B2">
        <w:rPr>
          <w:rFonts w:cs="Times New Roman"/>
        </w:rPr>
        <w:t xml:space="preserve"> shocks are not uncommon. Economically, this reflects the country's vulnerability to inflationary pressures potentially driven by macroeconomic shocks, fiscal imbalances, or monetary expansion.</w:t>
      </w:r>
    </w:p>
    <w:p w14:paraId="2A6F99F7" w14:textId="559173EC" w:rsidR="00F478B2" w:rsidRPr="00F478B2" w:rsidRDefault="00F478B2" w:rsidP="00596328">
      <w:pPr>
        <w:spacing w:after="0" w:line="240" w:lineRule="auto"/>
        <w:rPr>
          <w:rFonts w:cs="Times New Roman"/>
        </w:rPr>
      </w:pPr>
      <w:r w:rsidRPr="00F478B2">
        <w:rPr>
          <w:rFonts w:cs="Times New Roman"/>
        </w:rPr>
        <w:t>M1 has an average value of approximately ₦1</w:t>
      </w:r>
      <w:r w:rsidR="0032313C">
        <w:rPr>
          <w:rFonts w:cs="Times New Roman"/>
        </w:rPr>
        <w:t>4</w:t>
      </w:r>
      <w:r w:rsidRPr="00F478B2">
        <w:rPr>
          <w:rFonts w:cs="Times New Roman"/>
        </w:rPr>
        <w:t>.</w:t>
      </w:r>
      <w:r w:rsidR="00361049">
        <w:rPr>
          <w:rFonts w:cs="Times New Roman"/>
        </w:rPr>
        <w:t>08</w:t>
      </w:r>
      <w:r w:rsidRPr="00F478B2">
        <w:rPr>
          <w:rFonts w:cs="Times New Roman"/>
        </w:rPr>
        <w:t xml:space="preserve"> </w:t>
      </w:r>
      <w:r w:rsidR="006F76E9">
        <w:rPr>
          <w:rFonts w:cs="Times New Roman"/>
        </w:rPr>
        <w:t>tri</w:t>
      </w:r>
      <w:r w:rsidRPr="00F478B2">
        <w:rPr>
          <w:rFonts w:cs="Times New Roman"/>
        </w:rPr>
        <w:t>llion, with a median of ₦</w:t>
      </w:r>
      <w:r w:rsidR="00075132">
        <w:rPr>
          <w:rFonts w:cs="Times New Roman"/>
        </w:rPr>
        <w:t>9</w:t>
      </w:r>
      <w:r w:rsidRPr="00F478B2">
        <w:rPr>
          <w:rFonts w:cs="Times New Roman"/>
        </w:rPr>
        <w:t>.</w:t>
      </w:r>
      <w:r w:rsidR="00075132">
        <w:rPr>
          <w:rFonts w:cs="Times New Roman"/>
        </w:rPr>
        <w:t>3</w:t>
      </w:r>
      <w:r w:rsidR="00361049">
        <w:rPr>
          <w:rFonts w:cs="Times New Roman"/>
        </w:rPr>
        <w:t>9</w:t>
      </w:r>
      <w:r w:rsidRPr="00F478B2">
        <w:rPr>
          <w:rFonts w:cs="Times New Roman"/>
        </w:rPr>
        <w:t xml:space="preserve"> </w:t>
      </w:r>
      <w:r w:rsidR="0066052C">
        <w:rPr>
          <w:rFonts w:cs="Times New Roman"/>
        </w:rPr>
        <w:t>tr</w:t>
      </w:r>
      <w:r w:rsidRPr="00F478B2">
        <w:rPr>
          <w:rFonts w:cs="Times New Roman"/>
        </w:rPr>
        <w:t xml:space="preserve">illion. The wide range between the minimum (₦4.75 </w:t>
      </w:r>
      <w:r w:rsidR="0066052C">
        <w:rPr>
          <w:rFonts w:cs="Times New Roman"/>
        </w:rPr>
        <w:t>tri</w:t>
      </w:r>
      <w:r w:rsidRPr="00F478B2">
        <w:rPr>
          <w:rFonts w:cs="Times New Roman"/>
        </w:rPr>
        <w:t>llion) and maximum (₦</w:t>
      </w:r>
      <w:r w:rsidR="00583423">
        <w:rPr>
          <w:rFonts w:cs="Times New Roman"/>
        </w:rPr>
        <w:t>4</w:t>
      </w:r>
      <w:r w:rsidR="004409CD">
        <w:rPr>
          <w:rFonts w:cs="Times New Roman"/>
        </w:rPr>
        <w:t>2</w:t>
      </w:r>
      <w:r w:rsidRPr="00F478B2">
        <w:rPr>
          <w:rFonts w:cs="Times New Roman"/>
        </w:rPr>
        <w:t>.</w:t>
      </w:r>
      <w:r w:rsidR="004409CD">
        <w:rPr>
          <w:rFonts w:cs="Times New Roman"/>
        </w:rPr>
        <w:t>14</w:t>
      </w:r>
      <w:r w:rsidRPr="00F478B2">
        <w:rPr>
          <w:rFonts w:cs="Times New Roman"/>
        </w:rPr>
        <w:t xml:space="preserve"> </w:t>
      </w:r>
      <w:r w:rsidR="0066052C">
        <w:rPr>
          <w:rFonts w:cs="Times New Roman"/>
        </w:rPr>
        <w:t>tr</w:t>
      </w:r>
      <w:r w:rsidRPr="00F478B2">
        <w:rPr>
          <w:rFonts w:cs="Times New Roman"/>
        </w:rPr>
        <w:t>illion) values indicates substantial growth in liquidity. The standard deviation (₦</w:t>
      </w:r>
      <w:r w:rsidR="00282394">
        <w:rPr>
          <w:rFonts w:cs="Times New Roman"/>
        </w:rPr>
        <w:t>10</w:t>
      </w:r>
      <w:r w:rsidRPr="00F478B2">
        <w:rPr>
          <w:rFonts w:cs="Times New Roman"/>
        </w:rPr>
        <w:t>.</w:t>
      </w:r>
      <w:r w:rsidR="00901808">
        <w:rPr>
          <w:rFonts w:cs="Times New Roman"/>
        </w:rPr>
        <w:t>36</w:t>
      </w:r>
      <w:r w:rsidRPr="00F478B2">
        <w:rPr>
          <w:rFonts w:cs="Times New Roman"/>
        </w:rPr>
        <w:t xml:space="preserve"> </w:t>
      </w:r>
      <w:r w:rsidR="0066052C">
        <w:rPr>
          <w:rFonts w:cs="Times New Roman"/>
        </w:rPr>
        <w:t>tr</w:t>
      </w:r>
      <w:r w:rsidRPr="00F478B2">
        <w:rPr>
          <w:rFonts w:cs="Times New Roman"/>
        </w:rPr>
        <w:t>illion) confirms high variability. A positive skewness (1.</w:t>
      </w:r>
      <w:r w:rsidR="00070900">
        <w:rPr>
          <w:rFonts w:cs="Times New Roman"/>
        </w:rPr>
        <w:t>4</w:t>
      </w:r>
      <w:r w:rsidR="00D4165A">
        <w:rPr>
          <w:rFonts w:cs="Times New Roman"/>
        </w:rPr>
        <w:t>4</w:t>
      </w:r>
      <w:r w:rsidRPr="00F478B2">
        <w:rPr>
          <w:rFonts w:cs="Times New Roman"/>
        </w:rPr>
        <w:t>) and leptokurtic kurtosis (</w:t>
      </w:r>
      <w:r w:rsidR="00070900">
        <w:rPr>
          <w:rFonts w:cs="Times New Roman"/>
        </w:rPr>
        <w:t>3</w:t>
      </w:r>
      <w:r w:rsidRPr="00F478B2">
        <w:rPr>
          <w:rFonts w:cs="Times New Roman"/>
        </w:rPr>
        <w:t>.</w:t>
      </w:r>
      <w:r w:rsidR="00D4165A">
        <w:rPr>
          <w:rFonts w:cs="Times New Roman"/>
        </w:rPr>
        <w:t>86</w:t>
      </w:r>
      <w:r w:rsidRPr="00F478B2">
        <w:rPr>
          <w:rFonts w:cs="Times New Roman"/>
        </w:rPr>
        <w:t>) suggest periods of rapid expansion in money supply. The Jarque-Bera statistic confirms non-normality. This trend implies that monetary policy has been significantly expansionary, potentially</w:t>
      </w:r>
      <w:r w:rsidR="008A02DB">
        <w:rPr>
          <w:rFonts w:cs="Times New Roman"/>
        </w:rPr>
        <w:t xml:space="preserve"> c</w:t>
      </w:r>
      <w:r w:rsidRPr="00F478B2">
        <w:rPr>
          <w:rFonts w:cs="Times New Roman"/>
        </w:rPr>
        <w:t>ontributing to inflationary pressures, especially when not aligned with output growth.</w:t>
      </w:r>
    </w:p>
    <w:p w14:paraId="16726888" w14:textId="6978F8DF" w:rsidR="00F478B2" w:rsidRDefault="00F478B2" w:rsidP="00596328">
      <w:pPr>
        <w:spacing w:after="0" w:line="240" w:lineRule="auto"/>
        <w:rPr>
          <w:rFonts w:cs="Times New Roman"/>
        </w:rPr>
      </w:pPr>
      <w:r w:rsidRPr="00F478B2">
        <w:rPr>
          <w:rFonts w:cs="Times New Roman"/>
        </w:rPr>
        <w:t xml:space="preserve">The mean NTB rate is </w:t>
      </w:r>
      <w:r w:rsidR="00BE75F1">
        <w:rPr>
          <w:rFonts w:cs="Times New Roman"/>
        </w:rPr>
        <w:t>9</w:t>
      </w:r>
      <w:r w:rsidRPr="00F478B2">
        <w:rPr>
          <w:rFonts w:cs="Times New Roman"/>
        </w:rPr>
        <w:t>.</w:t>
      </w:r>
      <w:r w:rsidR="00BE75F1">
        <w:rPr>
          <w:rFonts w:cs="Times New Roman"/>
        </w:rPr>
        <w:t>1</w:t>
      </w:r>
      <w:r w:rsidR="00BA41F9">
        <w:rPr>
          <w:rFonts w:cs="Times New Roman"/>
        </w:rPr>
        <w:t>7</w:t>
      </w:r>
      <w:r w:rsidRPr="00F478B2">
        <w:rPr>
          <w:rFonts w:cs="Times New Roman"/>
        </w:rPr>
        <w:t>%, slightly below the median (</w:t>
      </w:r>
      <w:r w:rsidR="00BE75F1">
        <w:rPr>
          <w:rFonts w:cs="Times New Roman"/>
        </w:rPr>
        <w:t>10</w:t>
      </w:r>
      <w:r w:rsidRPr="00F478B2">
        <w:rPr>
          <w:rFonts w:cs="Times New Roman"/>
        </w:rPr>
        <w:t>.</w:t>
      </w:r>
      <w:r w:rsidR="00BE75F1">
        <w:rPr>
          <w:rFonts w:cs="Times New Roman"/>
        </w:rPr>
        <w:t>0</w:t>
      </w:r>
      <w:r w:rsidR="0028280C">
        <w:rPr>
          <w:rFonts w:cs="Times New Roman"/>
        </w:rPr>
        <w:t>1</w:t>
      </w:r>
      <w:r w:rsidRPr="00F478B2">
        <w:rPr>
          <w:rFonts w:cs="Times New Roman"/>
        </w:rPr>
        <w:t xml:space="preserve">%), indicating a few very low observations. With a standard deviation of </w:t>
      </w:r>
      <w:r w:rsidR="00434EAC">
        <w:rPr>
          <w:rFonts w:cs="Times New Roman"/>
        </w:rPr>
        <w:t>5</w:t>
      </w:r>
      <w:r w:rsidRPr="00F478B2">
        <w:rPr>
          <w:rFonts w:cs="Times New Roman"/>
        </w:rPr>
        <w:t>.</w:t>
      </w:r>
      <w:r w:rsidR="00434EAC">
        <w:rPr>
          <w:rFonts w:cs="Times New Roman"/>
        </w:rPr>
        <w:t>00</w:t>
      </w:r>
      <w:r w:rsidRPr="00F478B2">
        <w:rPr>
          <w:rFonts w:cs="Times New Roman"/>
        </w:rPr>
        <w:t>% and a range from 0.03% to 1</w:t>
      </w:r>
      <w:r w:rsidR="0065489E">
        <w:rPr>
          <w:rFonts w:cs="Times New Roman"/>
        </w:rPr>
        <w:t>9</w:t>
      </w:r>
      <w:r w:rsidRPr="00F478B2">
        <w:rPr>
          <w:rFonts w:cs="Times New Roman"/>
        </w:rPr>
        <w:t>.0</w:t>
      </w:r>
      <w:r w:rsidR="0065489E">
        <w:rPr>
          <w:rFonts w:cs="Times New Roman"/>
        </w:rPr>
        <w:t>7</w:t>
      </w:r>
      <w:r w:rsidRPr="00F478B2">
        <w:rPr>
          <w:rFonts w:cs="Times New Roman"/>
        </w:rPr>
        <w:t>%, NTBs display substantial variability. The distribution is mildly left-skewed (-0.</w:t>
      </w:r>
      <w:r w:rsidR="00D9349C">
        <w:rPr>
          <w:rFonts w:cs="Times New Roman"/>
        </w:rPr>
        <w:t>1</w:t>
      </w:r>
      <w:r w:rsidR="00A56CAC">
        <w:rPr>
          <w:rFonts w:cs="Times New Roman"/>
        </w:rPr>
        <w:t>2</w:t>
      </w:r>
      <w:r w:rsidRPr="00F478B2">
        <w:rPr>
          <w:rFonts w:cs="Times New Roman"/>
        </w:rPr>
        <w:t>) and platykurtic (</w:t>
      </w:r>
      <w:r w:rsidR="00447F00">
        <w:rPr>
          <w:rFonts w:cs="Times New Roman"/>
        </w:rPr>
        <w:t>1</w:t>
      </w:r>
      <w:r w:rsidRPr="00F478B2">
        <w:rPr>
          <w:rFonts w:cs="Times New Roman"/>
        </w:rPr>
        <w:t>.</w:t>
      </w:r>
      <w:r w:rsidR="00F87527">
        <w:rPr>
          <w:rFonts w:cs="Times New Roman"/>
        </w:rPr>
        <w:t>9</w:t>
      </w:r>
      <w:r w:rsidR="00447F00">
        <w:rPr>
          <w:rFonts w:cs="Times New Roman"/>
        </w:rPr>
        <w:t>5</w:t>
      </w:r>
      <w:r w:rsidRPr="00F478B2">
        <w:rPr>
          <w:rFonts w:cs="Times New Roman"/>
        </w:rPr>
        <w:t>), suggesting limited extreme movements. The p-value (0.00</w:t>
      </w:r>
      <w:r w:rsidR="00447F00">
        <w:rPr>
          <w:rFonts w:cs="Times New Roman"/>
        </w:rPr>
        <w:t>0</w:t>
      </w:r>
      <w:r w:rsidR="00417B1F">
        <w:rPr>
          <w:rFonts w:cs="Times New Roman"/>
        </w:rPr>
        <w:t>)</w:t>
      </w:r>
      <w:r w:rsidRPr="00F478B2">
        <w:rPr>
          <w:rFonts w:cs="Times New Roman"/>
        </w:rPr>
        <w:t xml:space="preserve"> implies non-normality. Economically, fluctuations in NTB rates signal dynamic liquidity management by monetary authorities. Extremely low rates in certain periods might reflect loose monetary conditions, raising concerns about inflationary consequences.</w:t>
      </w:r>
    </w:p>
    <w:p w14:paraId="7F6393D6" w14:textId="5EAE978F" w:rsidR="00E450DC" w:rsidRDefault="00E450DC" w:rsidP="00596328">
      <w:pPr>
        <w:spacing w:after="0" w:line="240" w:lineRule="auto"/>
        <w:rPr>
          <w:rFonts w:cs="Times New Roman"/>
        </w:rPr>
      </w:pPr>
      <w:r w:rsidRPr="00E450DC">
        <w:rPr>
          <w:rFonts w:cs="Times New Roman"/>
        </w:rPr>
        <w:t xml:space="preserve">The average </w:t>
      </w:r>
      <w:r w:rsidR="004C2AD5">
        <w:rPr>
          <w:rFonts w:cs="Times New Roman"/>
        </w:rPr>
        <w:t>interbank</w:t>
      </w:r>
      <w:r w:rsidRPr="00E450DC">
        <w:rPr>
          <w:rFonts w:cs="Times New Roman"/>
        </w:rPr>
        <w:t xml:space="preserve"> rate during the study period is 1</w:t>
      </w:r>
      <w:r w:rsidR="004C2AD5">
        <w:rPr>
          <w:rFonts w:cs="Times New Roman"/>
        </w:rPr>
        <w:t>3</w:t>
      </w:r>
      <w:r w:rsidRPr="00E450DC">
        <w:rPr>
          <w:rFonts w:cs="Times New Roman"/>
        </w:rPr>
        <w:t>.</w:t>
      </w:r>
      <w:r w:rsidR="004C2AD5">
        <w:rPr>
          <w:rFonts w:cs="Times New Roman"/>
        </w:rPr>
        <w:t>56</w:t>
      </w:r>
      <w:r w:rsidRPr="00E450DC">
        <w:rPr>
          <w:rFonts w:cs="Times New Roman"/>
        </w:rPr>
        <w:t>%, with a median of 1</w:t>
      </w:r>
      <w:r w:rsidR="004C2AD5">
        <w:rPr>
          <w:rFonts w:cs="Times New Roman"/>
        </w:rPr>
        <w:t>1</w:t>
      </w:r>
      <w:r w:rsidRPr="00E450DC">
        <w:rPr>
          <w:rFonts w:cs="Times New Roman"/>
        </w:rPr>
        <w:t>.</w:t>
      </w:r>
      <w:r w:rsidR="004C2AD5">
        <w:rPr>
          <w:rFonts w:cs="Times New Roman"/>
        </w:rPr>
        <w:t>57</w:t>
      </w:r>
      <w:r w:rsidRPr="00E450DC">
        <w:rPr>
          <w:rFonts w:cs="Times New Roman"/>
        </w:rPr>
        <w:t xml:space="preserve">%. The maximum value of </w:t>
      </w:r>
      <w:r w:rsidR="0087096A">
        <w:rPr>
          <w:rFonts w:cs="Times New Roman"/>
        </w:rPr>
        <w:t>6</w:t>
      </w:r>
      <w:r w:rsidRPr="00E450DC">
        <w:rPr>
          <w:rFonts w:cs="Times New Roman"/>
        </w:rPr>
        <w:t>4.5</w:t>
      </w:r>
      <w:r w:rsidR="0087096A">
        <w:rPr>
          <w:rFonts w:cs="Times New Roman"/>
        </w:rPr>
        <w:t>8</w:t>
      </w:r>
      <w:r w:rsidRPr="00E450DC">
        <w:rPr>
          <w:rFonts w:cs="Times New Roman"/>
        </w:rPr>
        <w:t xml:space="preserve">% and minimum of </w:t>
      </w:r>
      <w:r w:rsidR="00BE0136">
        <w:rPr>
          <w:rFonts w:cs="Times New Roman"/>
        </w:rPr>
        <w:t>0</w:t>
      </w:r>
      <w:r w:rsidRPr="00E450DC">
        <w:rPr>
          <w:rFonts w:cs="Times New Roman"/>
        </w:rPr>
        <w:t>.</w:t>
      </w:r>
      <w:r w:rsidR="00BE0136">
        <w:rPr>
          <w:rFonts w:cs="Times New Roman"/>
        </w:rPr>
        <w:t>0</w:t>
      </w:r>
      <w:r w:rsidRPr="00E450DC">
        <w:rPr>
          <w:rFonts w:cs="Times New Roman"/>
        </w:rPr>
        <w:t xml:space="preserve">0% highlight significant volatility. The standard deviation of </w:t>
      </w:r>
      <w:r w:rsidR="0010160C">
        <w:rPr>
          <w:rFonts w:cs="Times New Roman"/>
        </w:rPr>
        <w:t>9</w:t>
      </w:r>
      <w:r w:rsidRPr="00E450DC">
        <w:rPr>
          <w:rFonts w:cs="Times New Roman"/>
        </w:rPr>
        <w:t>.</w:t>
      </w:r>
      <w:r w:rsidR="0010160C">
        <w:rPr>
          <w:rFonts w:cs="Times New Roman"/>
        </w:rPr>
        <w:t>31</w:t>
      </w:r>
      <w:r w:rsidRPr="00E450DC">
        <w:rPr>
          <w:rFonts w:cs="Times New Roman"/>
        </w:rPr>
        <w:t>% further confirms this variability. The skewness (1.</w:t>
      </w:r>
      <w:r w:rsidR="0010160C">
        <w:rPr>
          <w:rFonts w:cs="Times New Roman"/>
        </w:rPr>
        <w:t>45</w:t>
      </w:r>
      <w:r w:rsidRPr="00E450DC">
        <w:rPr>
          <w:rFonts w:cs="Times New Roman"/>
        </w:rPr>
        <w:t>) and kurtosis (</w:t>
      </w:r>
      <w:r w:rsidR="0031715E">
        <w:rPr>
          <w:rFonts w:cs="Times New Roman"/>
        </w:rPr>
        <w:t>7</w:t>
      </w:r>
      <w:r w:rsidRPr="00E450DC">
        <w:rPr>
          <w:rFonts w:cs="Times New Roman"/>
        </w:rPr>
        <w:t>.</w:t>
      </w:r>
      <w:r w:rsidR="0031715E">
        <w:rPr>
          <w:rFonts w:cs="Times New Roman"/>
        </w:rPr>
        <w:t>05</w:t>
      </w:r>
      <w:r w:rsidRPr="00E450DC">
        <w:rPr>
          <w:rFonts w:cs="Times New Roman"/>
        </w:rPr>
        <w:t xml:space="preserve">) suggest a right-skewed distribution with fat tails, indicating occasional spikes in inflation. The Jarque-Bera test strongly rejects normality (p = 0.000), suggesting that </w:t>
      </w:r>
      <w:r w:rsidR="0031715E">
        <w:rPr>
          <w:rFonts w:cs="Times New Roman"/>
        </w:rPr>
        <w:t>CPI</w:t>
      </w:r>
      <w:r w:rsidRPr="00E450DC">
        <w:rPr>
          <w:rFonts w:cs="Times New Roman"/>
        </w:rPr>
        <w:t xml:space="preserve"> shocks are not uncommon. Economically, this reflects the country's vulnerability to inflationary pressures potentially driven by macroeconomic shocks, fiscal imbalances, or monetary expansion.</w:t>
      </w:r>
    </w:p>
    <w:p w14:paraId="07407783" w14:textId="402C9E71" w:rsidR="009E4217" w:rsidRDefault="00F478B2" w:rsidP="00596328">
      <w:pPr>
        <w:spacing w:after="0" w:line="240" w:lineRule="auto"/>
        <w:rPr>
          <w:rFonts w:cs="Times New Roman"/>
        </w:rPr>
      </w:pPr>
      <w:r w:rsidRPr="00F478B2">
        <w:rPr>
          <w:rFonts w:cs="Times New Roman"/>
        </w:rPr>
        <w:t>TCs average ₦2.2</w:t>
      </w:r>
      <w:r w:rsidR="003D56FD">
        <w:rPr>
          <w:rFonts w:cs="Times New Roman"/>
        </w:rPr>
        <w:t>8</w:t>
      </w:r>
      <w:r w:rsidRPr="00F478B2">
        <w:rPr>
          <w:rFonts w:cs="Times New Roman"/>
        </w:rPr>
        <w:t xml:space="preserve"> </w:t>
      </w:r>
      <w:r w:rsidR="0066052C">
        <w:rPr>
          <w:rFonts w:cs="Times New Roman"/>
        </w:rPr>
        <w:t>tr</w:t>
      </w:r>
      <w:r w:rsidRPr="00F478B2">
        <w:rPr>
          <w:rFonts w:cs="Times New Roman"/>
        </w:rPr>
        <w:t>illion, with a range from ₦873</w:t>
      </w:r>
      <w:r w:rsidR="004F4598">
        <w:rPr>
          <w:rFonts w:cs="Times New Roman"/>
        </w:rPr>
        <w:t>.14</w:t>
      </w:r>
      <w:r w:rsidR="00BB317D">
        <w:rPr>
          <w:rFonts w:cs="Times New Roman"/>
        </w:rPr>
        <w:t xml:space="preserve"> million</w:t>
      </w:r>
      <w:r w:rsidRPr="00F478B2">
        <w:rPr>
          <w:rFonts w:cs="Times New Roman"/>
        </w:rPr>
        <w:t xml:space="preserve"> to ₦8.3</w:t>
      </w:r>
      <w:r w:rsidR="00A86FD4">
        <w:rPr>
          <w:rFonts w:cs="Times New Roman"/>
        </w:rPr>
        <w:t>8</w:t>
      </w:r>
      <w:r w:rsidRPr="00F478B2">
        <w:rPr>
          <w:rFonts w:cs="Times New Roman"/>
        </w:rPr>
        <w:t xml:space="preserve"> </w:t>
      </w:r>
      <w:r w:rsidR="00642808">
        <w:rPr>
          <w:rFonts w:cs="Times New Roman"/>
        </w:rPr>
        <w:t>tr</w:t>
      </w:r>
      <w:r w:rsidRPr="00F478B2">
        <w:rPr>
          <w:rFonts w:cs="Times New Roman"/>
        </w:rPr>
        <w:t xml:space="preserve">illion. The standard deviation (₦2.30 </w:t>
      </w:r>
      <w:r w:rsidR="00642808">
        <w:rPr>
          <w:rFonts w:cs="Times New Roman"/>
        </w:rPr>
        <w:t>tr</w:t>
      </w:r>
      <w:r w:rsidRPr="00F478B2">
        <w:rPr>
          <w:rFonts w:cs="Times New Roman"/>
        </w:rPr>
        <w:t>illion), skewness (0.9</w:t>
      </w:r>
      <w:r w:rsidR="00620316">
        <w:rPr>
          <w:rFonts w:cs="Times New Roman"/>
        </w:rPr>
        <w:t>9</w:t>
      </w:r>
      <w:r w:rsidRPr="00F478B2">
        <w:rPr>
          <w:rFonts w:cs="Times New Roman"/>
        </w:rPr>
        <w:t>), and kurtosis (2.</w:t>
      </w:r>
      <w:r w:rsidR="00C3515F">
        <w:rPr>
          <w:rFonts w:cs="Times New Roman"/>
        </w:rPr>
        <w:t>9</w:t>
      </w:r>
      <w:r w:rsidR="00631DF2">
        <w:rPr>
          <w:rFonts w:cs="Times New Roman"/>
        </w:rPr>
        <w:t>4</w:t>
      </w:r>
      <w:r w:rsidRPr="00F478B2">
        <w:rPr>
          <w:rFonts w:cs="Times New Roman"/>
        </w:rPr>
        <w:t xml:space="preserve">) indicate moderate variability and a tendency toward </w:t>
      </w:r>
      <w:r w:rsidR="00193A80" w:rsidRPr="00F478B2">
        <w:rPr>
          <w:rFonts w:cs="Times New Roman"/>
        </w:rPr>
        <w:t>right skewness</w:t>
      </w:r>
      <w:r w:rsidRPr="00F478B2">
        <w:rPr>
          <w:rFonts w:cs="Times New Roman"/>
        </w:rPr>
        <w:t>. The non-normal distribution (p &lt; 0.01) suggests episodic spikes in TC issuance. The economic implication is that TCs have been used intermittently as a financing tool, and their issuance may have contributed to increasing liquidity in the system.</w:t>
      </w:r>
    </w:p>
    <w:p w14:paraId="1058DE29" w14:textId="5346C078" w:rsidR="00F478B2" w:rsidRPr="00F478B2" w:rsidRDefault="00F478B2" w:rsidP="00596328">
      <w:pPr>
        <w:spacing w:after="0" w:line="240" w:lineRule="auto"/>
        <w:rPr>
          <w:rFonts w:cs="Times New Roman"/>
        </w:rPr>
      </w:pPr>
      <w:r w:rsidRPr="00F478B2">
        <w:rPr>
          <w:rFonts w:cs="Times New Roman"/>
        </w:rPr>
        <w:t>The mean WAMA is ₦5.</w:t>
      </w:r>
      <w:r w:rsidR="001201EB">
        <w:rPr>
          <w:rFonts w:cs="Times New Roman"/>
        </w:rPr>
        <w:t>38</w:t>
      </w:r>
      <w:r w:rsidRPr="00F478B2">
        <w:rPr>
          <w:rFonts w:cs="Times New Roman"/>
        </w:rPr>
        <w:t xml:space="preserve"> </w:t>
      </w:r>
      <w:r w:rsidR="008562A1">
        <w:rPr>
          <w:rFonts w:cs="Times New Roman"/>
        </w:rPr>
        <w:t>tr</w:t>
      </w:r>
      <w:r w:rsidRPr="00F478B2">
        <w:rPr>
          <w:rFonts w:cs="Times New Roman"/>
        </w:rPr>
        <w:t>illion, while the median is substantially lower at ₦2.</w:t>
      </w:r>
      <w:r w:rsidR="008562A1">
        <w:rPr>
          <w:rFonts w:cs="Times New Roman"/>
        </w:rPr>
        <w:t>88</w:t>
      </w:r>
      <w:r w:rsidRPr="00F478B2">
        <w:rPr>
          <w:rFonts w:cs="Times New Roman"/>
        </w:rPr>
        <w:t xml:space="preserve"> </w:t>
      </w:r>
      <w:r w:rsidR="008562A1">
        <w:rPr>
          <w:rFonts w:cs="Times New Roman"/>
        </w:rPr>
        <w:t>tr</w:t>
      </w:r>
      <w:r w:rsidRPr="00F478B2">
        <w:rPr>
          <w:rFonts w:cs="Times New Roman"/>
        </w:rPr>
        <w:t xml:space="preserve">illion, showing a recent surge in borrowing. The maximum (₦26.95 </w:t>
      </w:r>
      <w:r w:rsidR="008562A1">
        <w:rPr>
          <w:rFonts w:cs="Times New Roman"/>
        </w:rPr>
        <w:t>tri</w:t>
      </w:r>
      <w:r w:rsidRPr="00F478B2">
        <w:rPr>
          <w:rFonts w:cs="Times New Roman"/>
        </w:rPr>
        <w:t xml:space="preserve">llion) and minimum (₦32.78 </w:t>
      </w:r>
      <w:r w:rsidR="00D339E5">
        <w:rPr>
          <w:rFonts w:cs="Times New Roman"/>
        </w:rPr>
        <w:t>b</w:t>
      </w:r>
      <w:r w:rsidRPr="00F478B2">
        <w:rPr>
          <w:rFonts w:cs="Times New Roman"/>
        </w:rPr>
        <w:t>illion) values, along with a standard deviation of ₦</w:t>
      </w:r>
      <w:r w:rsidR="00E7537F">
        <w:rPr>
          <w:rFonts w:cs="Times New Roman"/>
        </w:rPr>
        <w:t>6</w:t>
      </w:r>
      <w:r w:rsidRPr="00F478B2">
        <w:rPr>
          <w:rFonts w:cs="Times New Roman"/>
        </w:rPr>
        <w:t>.</w:t>
      </w:r>
      <w:r w:rsidR="00E7537F">
        <w:rPr>
          <w:rFonts w:cs="Times New Roman"/>
        </w:rPr>
        <w:t>8</w:t>
      </w:r>
      <w:r w:rsidRPr="00F478B2">
        <w:rPr>
          <w:rFonts w:cs="Times New Roman"/>
        </w:rPr>
        <w:t xml:space="preserve">8 </w:t>
      </w:r>
      <w:r w:rsidR="00E7537F">
        <w:rPr>
          <w:rFonts w:cs="Times New Roman"/>
        </w:rPr>
        <w:t>tr</w:t>
      </w:r>
      <w:r w:rsidRPr="00F478B2">
        <w:rPr>
          <w:rFonts w:cs="Times New Roman"/>
        </w:rPr>
        <w:t>illion, illustrate sharp variability. The right-skewed (1.</w:t>
      </w:r>
      <w:r w:rsidR="002369F9">
        <w:rPr>
          <w:rFonts w:cs="Times New Roman"/>
        </w:rPr>
        <w:t>49</w:t>
      </w:r>
      <w:r w:rsidRPr="00F478B2">
        <w:rPr>
          <w:rFonts w:cs="Times New Roman"/>
        </w:rPr>
        <w:t>) and leptokurtic (</w:t>
      </w:r>
      <w:r w:rsidR="002369F9">
        <w:rPr>
          <w:rFonts w:cs="Times New Roman"/>
        </w:rPr>
        <w:t>4</w:t>
      </w:r>
      <w:r w:rsidRPr="00F478B2">
        <w:rPr>
          <w:rFonts w:cs="Times New Roman"/>
        </w:rPr>
        <w:t>.</w:t>
      </w:r>
      <w:r w:rsidR="002369F9">
        <w:rPr>
          <w:rFonts w:cs="Times New Roman"/>
        </w:rPr>
        <w:t>2</w:t>
      </w:r>
      <w:r w:rsidR="000C448D">
        <w:rPr>
          <w:rFonts w:cs="Times New Roman"/>
        </w:rPr>
        <w:t>5</w:t>
      </w:r>
      <w:r w:rsidRPr="00F478B2">
        <w:rPr>
          <w:rFonts w:cs="Times New Roman"/>
        </w:rPr>
        <w:t>) distribution confirms this trend. The highly significant Jarque-Bera statistic underscores non-normality. The economic implication is worrisome: increased reliance on central bank financing reflects fiscal dominance, where monetary policy is influenced by fiscal needs, often leading to inflation.</w:t>
      </w:r>
    </w:p>
    <w:p w14:paraId="3C4F8D48" w14:textId="52DF8DA2" w:rsidR="00F478B2" w:rsidRPr="00F478B2" w:rsidRDefault="00F478B2" w:rsidP="00596328">
      <w:pPr>
        <w:spacing w:after="0" w:line="240" w:lineRule="auto"/>
        <w:rPr>
          <w:rFonts w:cs="Times New Roman"/>
        </w:rPr>
      </w:pPr>
      <w:r w:rsidRPr="00F478B2">
        <w:rPr>
          <w:rFonts w:cs="Times New Roman"/>
        </w:rPr>
        <w:t>The average exchange rate is ₦</w:t>
      </w:r>
      <w:r w:rsidR="00A378A2">
        <w:rPr>
          <w:rFonts w:cs="Times New Roman"/>
        </w:rPr>
        <w:t>50</w:t>
      </w:r>
      <w:r w:rsidR="00892B9B">
        <w:rPr>
          <w:rFonts w:cs="Times New Roman"/>
        </w:rPr>
        <w:t>6</w:t>
      </w:r>
      <w:r w:rsidRPr="00F478B2">
        <w:rPr>
          <w:rFonts w:cs="Times New Roman"/>
        </w:rPr>
        <w:t>.</w:t>
      </w:r>
      <w:r w:rsidR="00E53B98">
        <w:rPr>
          <w:rFonts w:cs="Times New Roman"/>
        </w:rPr>
        <w:t>21</w:t>
      </w:r>
      <w:r w:rsidRPr="00F478B2">
        <w:rPr>
          <w:rFonts w:cs="Times New Roman"/>
        </w:rPr>
        <w:t>/$, with a wide range from ₦151.85/$ to ₦1</w:t>
      </w:r>
      <w:r w:rsidR="006A5653">
        <w:rPr>
          <w:rFonts w:cs="Times New Roman"/>
        </w:rPr>
        <w:t>736</w:t>
      </w:r>
      <w:r w:rsidRPr="00F478B2">
        <w:rPr>
          <w:rFonts w:cs="Times New Roman"/>
        </w:rPr>
        <w:t>.</w:t>
      </w:r>
      <w:r w:rsidR="00E77D08">
        <w:rPr>
          <w:rFonts w:cs="Times New Roman"/>
        </w:rPr>
        <w:t>3</w:t>
      </w:r>
      <w:r w:rsidR="002A1294">
        <w:rPr>
          <w:rFonts w:cs="Times New Roman"/>
        </w:rPr>
        <w:t>3</w:t>
      </w:r>
      <w:r w:rsidRPr="00F478B2">
        <w:rPr>
          <w:rFonts w:cs="Times New Roman"/>
        </w:rPr>
        <w:t>/$. The high standard deviation (₦</w:t>
      </w:r>
      <w:r w:rsidR="00E77D08">
        <w:rPr>
          <w:rFonts w:cs="Times New Roman"/>
        </w:rPr>
        <w:t>44</w:t>
      </w:r>
      <w:r w:rsidR="0010051E">
        <w:rPr>
          <w:rFonts w:cs="Times New Roman"/>
        </w:rPr>
        <w:t>5</w:t>
      </w:r>
      <w:r w:rsidRPr="00F478B2">
        <w:rPr>
          <w:rFonts w:cs="Times New Roman"/>
        </w:rPr>
        <w:t>.</w:t>
      </w:r>
      <w:r w:rsidR="0010051E">
        <w:rPr>
          <w:rFonts w:cs="Times New Roman"/>
        </w:rPr>
        <w:t>51</w:t>
      </w:r>
      <w:r w:rsidRPr="00F478B2">
        <w:rPr>
          <w:rFonts w:cs="Times New Roman"/>
        </w:rPr>
        <w:t>), skewness (1.</w:t>
      </w:r>
      <w:r w:rsidR="00372399">
        <w:rPr>
          <w:rFonts w:cs="Times New Roman"/>
        </w:rPr>
        <w:t>56</w:t>
      </w:r>
      <w:r w:rsidRPr="00F478B2">
        <w:rPr>
          <w:rFonts w:cs="Times New Roman"/>
        </w:rPr>
        <w:t xml:space="preserve">), and </w:t>
      </w:r>
      <w:r w:rsidR="0096703F">
        <w:rPr>
          <w:rFonts w:cs="Times New Roman"/>
        </w:rPr>
        <w:t>a moderate</w:t>
      </w:r>
      <w:r w:rsidRPr="00F478B2">
        <w:rPr>
          <w:rFonts w:cs="Times New Roman"/>
        </w:rPr>
        <w:t xml:space="preserve"> kurtosis (</w:t>
      </w:r>
      <w:r w:rsidR="0096703F">
        <w:rPr>
          <w:rFonts w:cs="Times New Roman"/>
        </w:rPr>
        <w:t>4</w:t>
      </w:r>
      <w:r w:rsidRPr="00F478B2">
        <w:rPr>
          <w:rFonts w:cs="Times New Roman"/>
        </w:rPr>
        <w:t>.</w:t>
      </w:r>
      <w:r w:rsidR="00622671">
        <w:rPr>
          <w:rFonts w:cs="Times New Roman"/>
        </w:rPr>
        <w:t>25</w:t>
      </w:r>
      <w:r w:rsidRPr="00F478B2">
        <w:rPr>
          <w:rFonts w:cs="Times New Roman"/>
        </w:rPr>
        <w:t>) indicate significant volatility and frequent large depreciations. The Jarque-Bera test confirms strong non-normality. This suggests a persistent depreciation trend, likely due to macroeconomic instability, oil price shocks, or capital flight. Such volatility can exacerbate inflation through increased import costs and decreased investor confidence.</w:t>
      </w:r>
    </w:p>
    <w:p w14:paraId="2BF284F5" w14:textId="026A2E9F" w:rsidR="007D1937" w:rsidRDefault="00F478B2" w:rsidP="00596328">
      <w:pPr>
        <w:spacing w:after="0" w:line="240" w:lineRule="auto"/>
        <w:rPr>
          <w:rFonts w:cs="Times New Roman"/>
        </w:rPr>
      </w:pPr>
      <w:r w:rsidRPr="00F478B2">
        <w:rPr>
          <w:rFonts w:cs="Times New Roman"/>
        </w:rPr>
        <w:t>The analysis indicates that Nigeria’s inflation dynamics are strongly influenced by growth in money supply, fiscal operations, and exchange rate fluctuations. The persistent rise in M1 and WAMA highlights monetary expansion and fiscal reliance on central bank funding, both of which fuel inflation. Volatile NTB and TC rates, along with erratic exchange rates, complicate monetary policy transmission. The data suggest a macroeconomic environment characterized by fiscal dominance, weak monetary control, and vulnerability to external and internal shocks. Addressing these challenges requires coordinated fiscal-monetary policies, improved public finance management, and robust exchange rate frameworks.</w:t>
      </w:r>
    </w:p>
    <w:p w14:paraId="6708B267" w14:textId="77777777" w:rsidR="008F26DA" w:rsidRDefault="008F26DA" w:rsidP="00596328">
      <w:pPr>
        <w:spacing w:after="0" w:line="240" w:lineRule="auto"/>
        <w:rPr>
          <w:rFonts w:cs="Times New Roman"/>
        </w:rPr>
      </w:pPr>
    </w:p>
    <w:p w14:paraId="473FF356" w14:textId="77777777" w:rsidR="008F26DA" w:rsidRDefault="008F26DA" w:rsidP="00596328">
      <w:pPr>
        <w:spacing w:after="0" w:line="240" w:lineRule="auto"/>
        <w:rPr>
          <w:rFonts w:cs="Times New Roman"/>
        </w:rPr>
      </w:pPr>
    </w:p>
    <w:p w14:paraId="6A5DBEA4" w14:textId="72D594B8" w:rsidR="00A9112D" w:rsidRPr="005771DA" w:rsidRDefault="005771DA" w:rsidP="00596328">
      <w:pPr>
        <w:pStyle w:val="Heading3"/>
        <w:spacing w:line="240" w:lineRule="auto"/>
      </w:pPr>
      <w:bookmarkStart w:id="18" w:name="_Toc227924558"/>
      <w:r w:rsidRPr="005771DA">
        <w:t>4.2. Correlation Matrix Test</w:t>
      </w:r>
      <w:bookmarkEnd w:id="18"/>
    </w:p>
    <w:p w14:paraId="7BA2DB4B" w14:textId="568E85D5" w:rsidR="00702462" w:rsidRPr="005771DA" w:rsidRDefault="00702462" w:rsidP="00596328">
      <w:pPr>
        <w:spacing w:after="0" w:line="240" w:lineRule="auto"/>
        <w:rPr>
          <w:rFonts w:eastAsia="Calibri" w:cs="Times New Roman"/>
        </w:rPr>
      </w:pPr>
      <w:bookmarkStart w:id="19" w:name="_Toc96600738"/>
      <w:bookmarkStart w:id="20" w:name="_Toc96601236"/>
      <w:r w:rsidRPr="005771DA">
        <w:rPr>
          <w:rFonts w:eastAsia="Calibri" w:cs="Times New Roman"/>
        </w:rPr>
        <w:t>Table 4.2: Correlation Matrix Test</w:t>
      </w:r>
      <w:bookmarkEnd w:id="19"/>
      <w:bookmarkEnd w:id="20"/>
    </w:p>
    <w:tbl>
      <w:tblPr>
        <w:tblStyle w:val="TableGrid"/>
        <w:tblW w:w="9265" w:type="dxa"/>
        <w:tblLook w:val="04A0" w:firstRow="1" w:lastRow="0" w:firstColumn="1" w:lastColumn="0" w:noHBand="0" w:noVBand="1"/>
      </w:tblPr>
      <w:tblGrid>
        <w:gridCol w:w="1048"/>
        <w:gridCol w:w="1142"/>
        <w:gridCol w:w="1142"/>
        <w:gridCol w:w="1116"/>
        <w:gridCol w:w="1142"/>
        <w:gridCol w:w="1142"/>
        <w:gridCol w:w="1273"/>
        <w:gridCol w:w="1260"/>
      </w:tblGrid>
      <w:tr w:rsidR="0052739D" w14:paraId="398D1C90" w14:textId="77777777" w:rsidTr="00805120">
        <w:tc>
          <w:tcPr>
            <w:tcW w:w="1048" w:type="dxa"/>
          </w:tcPr>
          <w:p w14:paraId="4ABA57E2" w14:textId="77777777" w:rsidR="00A561C4" w:rsidRDefault="00A561C4" w:rsidP="00596328">
            <w:pPr>
              <w:rPr>
                <w:rFonts w:eastAsia="Calibri" w:cs="Times New Roman"/>
                <w:b/>
                <w:bCs/>
              </w:rPr>
            </w:pPr>
          </w:p>
        </w:tc>
        <w:tc>
          <w:tcPr>
            <w:tcW w:w="1142" w:type="dxa"/>
          </w:tcPr>
          <w:p w14:paraId="69CA679E" w14:textId="2870F1AC" w:rsidR="00A561C4" w:rsidRPr="0088046C" w:rsidRDefault="00A561C4" w:rsidP="00596328">
            <w:pPr>
              <w:rPr>
                <w:rFonts w:eastAsia="Calibri" w:cs="Times New Roman"/>
              </w:rPr>
            </w:pPr>
            <w:r>
              <w:rPr>
                <w:rFonts w:eastAsia="Calibri" w:cs="Times New Roman"/>
              </w:rPr>
              <w:t>CPI</w:t>
            </w:r>
          </w:p>
        </w:tc>
        <w:tc>
          <w:tcPr>
            <w:tcW w:w="1142" w:type="dxa"/>
          </w:tcPr>
          <w:p w14:paraId="14F61588" w14:textId="1F90DA15" w:rsidR="00A561C4" w:rsidRDefault="00A561C4" w:rsidP="00596328">
            <w:pPr>
              <w:rPr>
                <w:rFonts w:eastAsia="Calibri" w:cs="Times New Roman"/>
                <w:b/>
                <w:bCs/>
              </w:rPr>
            </w:pPr>
            <w:r w:rsidRPr="0082148A">
              <w:rPr>
                <w:rFonts w:eastAsia="Calibri" w:cs="Times New Roman"/>
              </w:rPr>
              <w:t>M1</w:t>
            </w:r>
          </w:p>
        </w:tc>
        <w:tc>
          <w:tcPr>
            <w:tcW w:w="1116" w:type="dxa"/>
          </w:tcPr>
          <w:p w14:paraId="14FFC644" w14:textId="031FF572" w:rsidR="00A561C4" w:rsidRPr="0088046C" w:rsidRDefault="00A561C4" w:rsidP="00596328">
            <w:pPr>
              <w:rPr>
                <w:rFonts w:eastAsia="Calibri" w:cs="Times New Roman"/>
              </w:rPr>
            </w:pPr>
            <w:r>
              <w:rPr>
                <w:rFonts w:eastAsia="Calibri" w:cs="Times New Roman"/>
              </w:rPr>
              <w:t>INB</w:t>
            </w:r>
          </w:p>
        </w:tc>
        <w:tc>
          <w:tcPr>
            <w:tcW w:w="1142" w:type="dxa"/>
          </w:tcPr>
          <w:p w14:paraId="3FA4C2EB" w14:textId="3D202387" w:rsidR="00A561C4" w:rsidRPr="0088046C" w:rsidRDefault="00A561C4" w:rsidP="00596328">
            <w:pPr>
              <w:rPr>
                <w:rFonts w:eastAsia="Calibri" w:cs="Times New Roman"/>
              </w:rPr>
            </w:pPr>
            <w:r w:rsidRPr="0088046C">
              <w:rPr>
                <w:rFonts w:eastAsia="Calibri" w:cs="Times New Roman"/>
              </w:rPr>
              <w:t>TC</w:t>
            </w:r>
          </w:p>
        </w:tc>
        <w:tc>
          <w:tcPr>
            <w:tcW w:w="1142" w:type="dxa"/>
          </w:tcPr>
          <w:p w14:paraId="2ED69A46" w14:textId="43E48E14" w:rsidR="00A561C4" w:rsidRPr="000C5ED8" w:rsidRDefault="000C5ED8" w:rsidP="00596328">
            <w:pPr>
              <w:rPr>
                <w:rFonts w:eastAsia="Calibri" w:cs="Times New Roman"/>
              </w:rPr>
            </w:pPr>
            <w:r w:rsidRPr="000C5ED8">
              <w:rPr>
                <w:rFonts w:eastAsia="Calibri" w:cs="Times New Roman"/>
              </w:rPr>
              <w:t>NTBS</w:t>
            </w:r>
          </w:p>
        </w:tc>
        <w:tc>
          <w:tcPr>
            <w:tcW w:w="1273" w:type="dxa"/>
          </w:tcPr>
          <w:p w14:paraId="79E92E4B" w14:textId="68E8625A" w:rsidR="00A561C4" w:rsidRPr="000C5ED8" w:rsidRDefault="000C5ED8" w:rsidP="00596328">
            <w:pPr>
              <w:rPr>
                <w:rFonts w:eastAsia="Calibri" w:cs="Times New Roman"/>
              </w:rPr>
            </w:pPr>
            <w:r w:rsidRPr="000C5ED8">
              <w:rPr>
                <w:rFonts w:eastAsia="Calibri" w:cs="Times New Roman"/>
              </w:rPr>
              <w:t>WAMA</w:t>
            </w:r>
          </w:p>
        </w:tc>
        <w:tc>
          <w:tcPr>
            <w:tcW w:w="1260" w:type="dxa"/>
          </w:tcPr>
          <w:p w14:paraId="01A1DC4D" w14:textId="0DD782F7" w:rsidR="00A561C4" w:rsidRPr="000C5ED8" w:rsidRDefault="000C5ED8" w:rsidP="00596328">
            <w:pPr>
              <w:rPr>
                <w:rFonts w:eastAsia="Calibri" w:cs="Times New Roman"/>
              </w:rPr>
            </w:pPr>
            <w:r w:rsidRPr="000C5ED8">
              <w:rPr>
                <w:rFonts w:eastAsia="Calibri" w:cs="Times New Roman"/>
              </w:rPr>
              <w:t>AEXR</w:t>
            </w:r>
          </w:p>
        </w:tc>
      </w:tr>
      <w:tr w:rsidR="0052739D" w14:paraId="0FAB18A9" w14:textId="77777777" w:rsidTr="00805120">
        <w:tc>
          <w:tcPr>
            <w:tcW w:w="1048" w:type="dxa"/>
          </w:tcPr>
          <w:p w14:paraId="528ED60A" w14:textId="632EE7D7" w:rsidR="00A561C4" w:rsidRPr="002E00A3" w:rsidRDefault="00A561C4" w:rsidP="00596328">
            <w:pPr>
              <w:rPr>
                <w:rFonts w:eastAsia="Calibri" w:cs="Times New Roman"/>
              </w:rPr>
            </w:pPr>
            <w:r>
              <w:rPr>
                <w:rFonts w:eastAsia="Calibri" w:cs="Times New Roman"/>
              </w:rPr>
              <w:t>INF</w:t>
            </w:r>
          </w:p>
        </w:tc>
        <w:tc>
          <w:tcPr>
            <w:tcW w:w="1142" w:type="dxa"/>
          </w:tcPr>
          <w:p w14:paraId="4CB63179" w14:textId="337BFBEA" w:rsidR="00A561C4" w:rsidRPr="00F364EC" w:rsidRDefault="00A561C4" w:rsidP="00596328">
            <w:pPr>
              <w:rPr>
                <w:rFonts w:eastAsia="Calibri" w:cs="Times New Roman"/>
              </w:rPr>
            </w:pPr>
            <w:r w:rsidRPr="00F364EC">
              <w:rPr>
                <w:rFonts w:eastAsia="Calibri" w:cs="Times New Roman"/>
              </w:rPr>
              <w:t>1.000000</w:t>
            </w:r>
          </w:p>
        </w:tc>
        <w:tc>
          <w:tcPr>
            <w:tcW w:w="1142" w:type="dxa"/>
          </w:tcPr>
          <w:p w14:paraId="0494C1C2" w14:textId="131F7FFF" w:rsidR="00A561C4" w:rsidRPr="00F364EC" w:rsidRDefault="00A561C4" w:rsidP="00596328">
            <w:pPr>
              <w:rPr>
                <w:rFonts w:eastAsia="Calibri" w:cs="Times New Roman"/>
              </w:rPr>
            </w:pPr>
            <w:r w:rsidRPr="00EB0BD4">
              <w:rPr>
                <w:rFonts w:eastAsia="Calibri" w:cs="Times New Roman"/>
              </w:rPr>
              <w:t>0.990195</w:t>
            </w:r>
          </w:p>
        </w:tc>
        <w:tc>
          <w:tcPr>
            <w:tcW w:w="1116" w:type="dxa"/>
          </w:tcPr>
          <w:p w14:paraId="5C529788" w14:textId="436B3647" w:rsidR="00A561C4" w:rsidRPr="00F364EC" w:rsidRDefault="00DD4845" w:rsidP="00596328">
            <w:pPr>
              <w:rPr>
                <w:rFonts w:eastAsia="Calibri" w:cs="Times New Roman"/>
              </w:rPr>
            </w:pPr>
            <w:r w:rsidRPr="00DD4845">
              <w:rPr>
                <w:rFonts w:eastAsia="Calibri" w:cs="Times New Roman"/>
              </w:rPr>
              <w:t>0.422383</w:t>
            </w:r>
          </w:p>
        </w:tc>
        <w:tc>
          <w:tcPr>
            <w:tcW w:w="1142" w:type="dxa"/>
          </w:tcPr>
          <w:p w14:paraId="59D9D7F0" w14:textId="1B67BB07" w:rsidR="00A561C4" w:rsidRPr="00F364EC" w:rsidRDefault="00FA19F9" w:rsidP="00596328">
            <w:pPr>
              <w:rPr>
                <w:rFonts w:eastAsia="Calibri" w:cs="Times New Roman"/>
              </w:rPr>
            </w:pPr>
            <w:r w:rsidRPr="00FA19F9">
              <w:rPr>
                <w:rFonts w:eastAsia="Calibri" w:cs="Times New Roman"/>
              </w:rPr>
              <w:t>-0.38462</w:t>
            </w:r>
          </w:p>
        </w:tc>
        <w:tc>
          <w:tcPr>
            <w:tcW w:w="1142" w:type="dxa"/>
          </w:tcPr>
          <w:p w14:paraId="153DEF54" w14:textId="0891B792" w:rsidR="00A561C4" w:rsidRPr="00250105" w:rsidRDefault="00256600" w:rsidP="00596328">
            <w:pPr>
              <w:rPr>
                <w:rFonts w:eastAsia="Calibri" w:cs="Times New Roman"/>
              </w:rPr>
            </w:pPr>
            <w:r w:rsidRPr="00256600">
              <w:rPr>
                <w:rFonts w:eastAsia="Calibri" w:cs="Times New Roman"/>
              </w:rPr>
              <w:t>0.226443</w:t>
            </w:r>
          </w:p>
        </w:tc>
        <w:tc>
          <w:tcPr>
            <w:tcW w:w="1273" w:type="dxa"/>
          </w:tcPr>
          <w:p w14:paraId="04131487" w14:textId="231EFA45" w:rsidR="00A561C4" w:rsidRPr="00250105" w:rsidRDefault="009153BC" w:rsidP="00596328">
            <w:pPr>
              <w:rPr>
                <w:rFonts w:eastAsia="Calibri" w:cs="Times New Roman"/>
              </w:rPr>
            </w:pPr>
            <w:r w:rsidRPr="009153BC">
              <w:rPr>
                <w:rFonts w:eastAsia="Calibri" w:cs="Times New Roman"/>
              </w:rPr>
              <w:t>0.368961</w:t>
            </w:r>
          </w:p>
        </w:tc>
        <w:tc>
          <w:tcPr>
            <w:tcW w:w="1260" w:type="dxa"/>
          </w:tcPr>
          <w:p w14:paraId="6B073C8F" w14:textId="436A4852" w:rsidR="00A561C4" w:rsidRPr="00250105" w:rsidRDefault="00794514" w:rsidP="00596328">
            <w:pPr>
              <w:rPr>
                <w:rFonts w:eastAsia="Calibri" w:cs="Times New Roman"/>
              </w:rPr>
            </w:pPr>
            <w:r w:rsidRPr="00794514">
              <w:rPr>
                <w:rFonts w:eastAsia="Calibri" w:cs="Times New Roman"/>
              </w:rPr>
              <w:t>0.971405</w:t>
            </w:r>
          </w:p>
        </w:tc>
      </w:tr>
      <w:tr w:rsidR="0052739D" w14:paraId="7EB36445" w14:textId="77777777" w:rsidTr="00805120">
        <w:tc>
          <w:tcPr>
            <w:tcW w:w="1048" w:type="dxa"/>
          </w:tcPr>
          <w:p w14:paraId="2824FF53" w14:textId="19810364" w:rsidR="00A561C4" w:rsidRPr="002E00A3" w:rsidRDefault="00A561C4" w:rsidP="00596328">
            <w:pPr>
              <w:rPr>
                <w:rFonts w:eastAsia="Calibri" w:cs="Times New Roman"/>
              </w:rPr>
            </w:pPr>
            <w:r w:rsidRPr="002E00A3">
              <w:rPr>
                <w:rFonts w:eastAsia="Calibri" w:cs="Times New Roman"/>
              </w:rPr>
              <w:t>M1</w:t>
            </w:r>
          </w:p>
        </w:tc>
        <w:tc>
          <w:tcPr>
            <w:tcW w:w="1142" w:type="dxa"/>
          </w:tcPr>
          <w:p w14:paraId="2E63D936" w14:textId="4007A0DB" w:rsidR="00A561C4" w:rsidRPr="00F364EC" w:rsidRDefault="00A561C4" w:rsidP="00596328">
            <w:pPr>
              <w:rPr>
                <w:rFonts w:eastAsia="Calibri" w:cs="Times New Roman"/>
              </w:rPr>
            </w:pPr>
            <w:r w:rsidRPr="008E3CA4">
              <w:rPr>
                <w:rFonts w:eastAsia="Calibri" w:cs="Times New Roman"/>
              </w:rPr>
              <w:t>0.990195</w:t>
            </w:r>
          </w:p>
        </w:tc>
        <w:tc>
          <w:tcPr>
            <w:tcW w:w="1142" w:type="dxa"/>
          </w:tcPr>
          <w:p w14:paraId="4790C016" w14:textId="4F13A025" w:rsidR="00A561C4" w:rsidRPr="00F364EC" w:rsidRDefault="00A561C4" w:rsidP="00596328">
            <w:pPr>
              <w:rPr>
                <w:rFonts w:eastAsia="Calibri" w:cs="Times New Roman"/>
              </w:rPr>
            </w:pPr>
            <w:r w:rsidRPr="00F364EC">
              <w:rPr>
                <w:rFonts w:eastAsia="Calibri" w:cs="Times New Roman"/>
              </w:rPr>
              <w:t>1.000000</w:t>
            </w:r>
          </w:p>
        </w:tc>
        <w:tc>
          <w:tcPr>
            <w:tcW w:w="1116" w:type="dxa"/>
          </w:tcPr>
          <w:p w14:paraId="134B5AB9" w14:textId="52882CBC" w:rsidR="00A561C4" w:rsidRPr="00F364EC" w:rsidRDefault="004D707F" w:rsidP="00596328">
            <w:pPr>
              <w:rPr>
                <w:rFonts w:eastAsia="Calibri" w:cs="Times New Roman"/>
              </w:rPr>
            </w:pPr>
            <w:r w:rsidRPr="004D707F">
              <w:rPr>
                <w:rFonts w:eastAsia="Calibri" w:cs="Times New Roman"/>
              </w:rPr>
              <w:t>0.435352</w:t>
            </w:r>
          </w:p>
        </w:tc>
        <w:tc>
          <w:tcPr>
            <w:tcW w:w="1142" w:type="dxa"/>
          </w:tcPr>
          <w:p w14:paraId="1725F32C" w14:textId="26A82387" w:rsidR="00A561C4" w:rsidRPr="00F364EC" w:rsidRDefault="006B1B94" w:rsidP="00596328">
            <w:pPr>
              <w:rPr>
                <w:rFonts w:eastAsia="Calibri" w:cs="Times New Roman"/>
              </w:rPr>
            </w:pPr>
            <w:r w:rsidRPr="006B1B94">
              <w:rPr>
                <w:rFonts w:eastAsia="Calibri" w:cs="Times New Roman"/>
              </w:rPr>
              <w:t>-0.46097</w:t>
            </w:r>
          </w:p>
        </w:tc>
        <w:tc>
          <w:tcPr>
            <w:tcW w:w="1142" w:type="dxa"/>
          </w:tcPr>
          <w:p w14:paraId="25EE9708" w14:textId="457326DE" w:rsidR="00A561C4" w:rsidRPr="00250105" w:rsidRDefault="00256600" w:rsidP="00596328">
            <w:pPr>
              <w:rPr>
                <w:rFonts w:eastAsia="Calibri" w:cs="Times New Roman"/>
              </w:rPr>
            </w:pPr>
            <w:r w:rsidRPr="00256600">
              <w:rPr>
                <w:rFonts w:eastAsia="Calibri" w:cs="Times New Roman"/>
              </w:rPr>
              <w:t>0.255844</w:t>
            </w:r>
          </w:p>
        </w:tc>
        <w:tc>
          <w:tcPr>
            <w:tcW w:w="1273" w:type="dxa"/>
          </w:tcPr>
          <w:p w14:paraId="4D24E2A6" w14:textId="3EDADFBE" w:rsidR="00A561C4" w:rsidRPr="00250105" w:rsidRDefault="009153BC" w:rsidP="00596328">
            <w:pPr>
              <w:rPr>
                <w:rFonts w:eastAsia="Calibri" w:cs="Times New Roman"/>
              </w:rPr>
            </w:pPr>
            <w:r w:rsidRPr="009153BC">
              <w:rPr>
                <w:rFonts w:eastAsia="Calibri" w:cs="Times New Roman"/>
              </w:rPr>
              <w:t>0.328164</w:t>
            </w:r>
          </w:p>
        </w:tc>
        <w:tc>
          <w:tcPr>
            <w:tcW w:w="1260" w:type="dxa"/>
          </w:tcPr>
          <w:p w14:paraId="1B17E4DB" w14:textId="4CC7A307" w:rsidR="00A561C4" w:rsidRPr="00250105" w:rsidRDefault="00DC33ED" w:rsidP="00596328">
            <w:pPr>
              <w:rPr>
                <w:rFonts w:eastAsia="Calibri" w:cs="Times New Roman"/>
              </w:rPr>
            </w:pPr>
            <w:r w:rsidRPr="00DC33ED">
              <w:rPr>
                <w:rFonts w:eastAsia="Calibri" w:cs="Times New Roman"/>
              </w:rPr>
              <w:t>0.979410</w:t>
            </w:r>
          </w:p>
        </w:tc>
      </w:tr>
      <w:tr w:rsidR="0052739D" w14:paraId="4EC6AF7F" w14:textId="77777777" w:rsidTr="00805120">
        <w:tc>
          <w:tcPr>
            <w:tcW w:w="1048" w:type="dxa"/>
          </w:tcPr>
          <w:p w14:paraId="431AAC8B" w14:textId="5824DA1B" w:rsidR="00A561C4" w:rsidRPr="002E00A3" w:rsidRDefault="00A561C4" w:rsidP="00596328">
            <w:pPr>
              <w:rPr>
                <w:rFonts w:eastAsia="Calibri" w:cs="Times New Roman"/>
              </w:rPr>
            </w:pPr>
            <w:r>
              <w:rPr>
                <w:rFonts w:eastAsia="Calibri" w:cs="Times New Roman"/>
              </w:rPr>
              <w:t>INB</w:t>
            </w:r>
          </w:p>
        </w:tc>
        <w:tc>
          <w:tcPr>
            <w:tcW w:w="1142" w:type="dxa"/>
          </w:tcPr>
          <w:p w14:paraId="715A2589" w14:textId="02A561B7" w:rsidR="00A561C4" w:rsidRPr="00F364EC" w:rsidRDefault="00A561C4" w:rsidP="00596328">
            <w:pPr>
              <w:rPr>
                <w:rFonts w:eastAsia="Calibri" w:cs="Times New Roman"/>
              </w:rPr>
            </w:pPr>
            <w:r w:rsidRPr="00BE4C0C">
              <w:rPr>
                <w:rFonts w:eastAsia="Calibri" w:cs="Times New Roman"/>
              </w:rPr>
              <w:t>0.422383</w:t>
            </w:r>
          </w:p>
        </w:tc>
        <w:tc>
          <w:tcPr>
            <w:tcW w:w="1142" w:type="dxa"/>
          </w:tcPr>
          <w:p w14:paraId="2A5EFF31" w14:textId="1EB9267A" w:rsidR="00A561C4" w:rsidRPr="00F364EC" w:rsidRDefault="00A561C4" w:rsidP="00596328">
            <w:pPr>
              <w:rPr>
                <w:rFonts w:eastAsia="Calibri" w:cs="Times New Roman"/>
              </w:rPr>
            </w:pPr>
            <w:r w:rsidRPr="00EB0BD4">
              <w:rPr>
                <w:rFonts w:eastAsia="Calibri" w:cs="Times New Roman"/>
              </w:rPr>
              <w:t>0.435352</w:t>
            </w:r>
          </w:p>
        </w:tc>
        <w:tc>
          <w:tcPr>
            <w:tcW w:w="1116" w:type="dxa"/>
          </w:tcPr>
          <w:p w14:paraId="0F586CA7" w14:textId="2FEFAD7A" w:rsidR="00A561C4" w:rsidRPr="00F364EC" w:rsidRDefault="004D707F" w:rsidP="00596328">
            <w:pPr>
              <w:rPr>
                <w:rFonts w:eastAsia="Calibri" w:cs="Times New Roman"/>
              </w:rPr>
            </w:pPr>
            <w:r>
              <w:rPr>
                <w:rFonts w:eastAsia="Calibri" w:cs="Times New Roman"/>
              </w:rPr>
              <w:t>1.000000</w:t>
            </w:r>
          </w:p>
        </w:tc>
        <w:tc>
          <w:tcPr>
            <w:tcW w:w="1142" w:type="dxa"/>
          </w:tcPr>
          <w:p w14:paraId="1970CF8C" w14:textId="49581B6D" w:rsidR="00A561C4" w:rsidRPr="00F364EC" w:rsidRDefault="006B1B94" w:rsidP="00596328">
            <w:pPr>
              <w:rPr>
                <w:rFonts w:eastAsia="Calibri" w:cs="Times New Roman"/>
              </w:rPr>
            </w:pPr>
            <w:r w:rsidRPr="006B1B94">
              <w:rPr>
                <w:rFonts w:eastAsia="Calibri" w:cs="Times New Roman"/>
              </w:rPr>
              <w:t>0.011399</w:t>
            </w:r>
          </w:p>
        </w:tc>
        <w:tc>
          <w:tcPr>
            <w:tcW w:w="1142" w:type="dxa"/>
          </w:tcPr>
          <w:p w14:paraId="17D6F20C" w14:textId="43B7DABE" w:rsidR="00A561C4" w:rsidRPr="00250105" w:rsidRDefault="00256600" w:rsidP="00596328">
            <w:pPr>
              <w:rPr>
                <w:rFonts w:eastAsia="Calibri" w:cs="Times New Roman"/>
              </w:rPr>
            </w:pPr>
            <w:r w:rsidRPr="00256600">
              <w:rPr>
                <w:rFonts w:eastAsia="Calibri" w:cs="Times New Roman"/>
              </w:rPr>
              <w:t>0.605927</w:t>
            </w:r>
          </w:p>
        </w:tc>
        <w:tc>
          <w:tcPr>
            <w:tcW w:w="1273" w:type="dxa"/>
          </w:tcPr>
          <w:p w14:paraId="2C107513" w14:textId="09A4ED92" w:rsidR="00A561C4" w:rsidRPr="00250105" w:rsidRDefault="009153BC" w:rsidP="00596328">
            <w:pPr>
              <w:rPr>
                <w:rFonts w:eastAsia="Calibri" w:cs="Times New Roman"/>
              </w:rPr>
            </w:pPr>
            <w:r w:rsidRPr="009153BC">
              <w:rPr>
                <w:rFonts w:eastAsia="Calibri" w:cs="Times New Roman"/>
              </w:rPr>
              <w:t>-0.133400</w:t>
            </w:r>
          </w:p>
        </w:tc>
        <w:tc>
          <w:tcPr>
            <w:tcW w:w="1260" w:type="dxa"/>
          </w:tcPr>
          <w:p w14:paraId="0E683505" w14:textId="389EAC5F" w:rsidR="00A561C4" w:rsidRPr="00250105" w:rsidRDefault="00DC33ED" w:rsidP="00596328">
            <w:pPr>
              <w:rPr>
                <w:rFonts w:eastAsia="Calibri" w:cs="Times New Roman"/>
              </w:rPr>
            </w:pPr>
            <w:r w:rsidRPr="00DC33ED">
              <w:rPr>
                <w:rFonts w:eastAsia="Calibri" w:cs="Times New Roman"/>
              </w:rPr>
              <w:t>0.485005</w:t>
            </w:r>
          </w:p>
        </w:tc>
      </w:tr>
      <w:tr w:rsidR="0052739D" w14:paraId="08B9DF80" w14:textId="77777777" w:rsidTr="00805120">
        <w:tc>
          <w:tcPr>
            <w:tcW w:w="1048" w:type="dxa"/>
          </w:tcPr>
          <w:p w14:paraId="2987D077" w14:textId="7AE0BC7D" w:rsidR="00A561C4" w:rsidRPr="002E00A3" w:rsidRDefault="00A561C4" w:rsidP="00596328">
            <w:pPr>
              <w:rPr>
                <w:rFonts w:eastAsia="Calibri" w:cs="Times New Roman"/>
              </w:rPr>
            </w:pPr>
            <w:r>
              <w:rPr>
                <w:rFonts w:eastAsia="Calibri" w:cs="Times New Roman"/>
              </w:rPr>
              <w:t>TC</w:t>
            </w:r>
          </w:p>
        </w:tc>
        <w:tc>
          <w:tcPr>
            <w:tcW w:w="1142" w:type="dxa"/>
          </w:tcPr>
          <w:p w14:paraId="5A552704" w14:textId="3556B63C" w:rsidR="00A561C4" w:rsidRPr="00F364EC" w:rsidRDefault="00A561C4" w:rsidP="00596328">
            <w:pPr>
              <w:rPr>
                <w:rFonts w:eastAsia="Calibri" w:cs="Times New Roman"/>
              </w:rPr>
            </w:pPr>
            <w:r w:rsidRPr="00BE4C0C">
              <w:rPr>
                <w:rFonts w:eastAsia="Calibri" w:cs="Times New Roman"/>
              </w:rPr>
              <w:t>-0.38462</w:t>
            </w:r>
          </w:p>
        </w:tc>
        <w:tc>
          <w:tcPr>
            <w:tcW w:w="1142" w:type="dxa"/>
          </w:tcPr>
          <w:p w14:paraId="0FC6B0BA" w14:textId="5A99DA36" w:rsidR="00A561C4" w:rsidRPr="00F364EC" w:rsidRDefault="00A561C4" w:rsidP="00596328">
            <w:pPr>
              <w:rPr>
                <w:rFonts w:eastAsia="Calibri" w:cs="Times New Roman"/>
              </w:rPr>
            </w:pPr>
            <w:r w:rsidRPr="000F400A">
              <w:rPr>
                <w:rFonts w:eastAsia="Calibri" w:cs="Times New Roman"/>
              </w:rPr>
              <w:t>-0.46097</w:t>
            </w:r>
          </w:p>
        </w:tc>
        <w:tc>
          <w:tcPr>
            <w:tcW w:w="1116" w:type="dxa"/>
          </w:tcPr>
          <w:p w14:paraId="2A2C12D8" w14:textId="76FBB0BE" w:rsidR="00A561C4" w:rsidRPr="00F364EC" w:rsidRDefault="00172FBA" w:rsidP="00596328">
            <w:pPr>
              <w:rPr>
                <w:rFonts w:eastAsia="Calibri" w:cs="Times New Roman"/>
              </w:rPr>
            </w:pPr>
            <w:r w:rsidRPr="00172FBA">
              <w:rPr>
                <w:rFonts w:eastAsia="Calibri" w:cs="Times New Roman"/>
              </w:rPr>
              <w:t>0.011399</w:t>
            </w:r>
          </w:p>
        </w:tc>
        <w:tc>
          <w:tcPr>
            <w:tcW w:w="1142" w:type="dxa"/>
          </w:tcPr>
          <w:p w14:paraId="5476951A" w14:textId="0037525F" w:rsidR="00A561C4" w:rsidRPr="00F364EC" w:rsidRDefault="000C5ED8" w:rsidP="00596328">
            <w:pPr>
              <w:rPr>
                <w:rFonts w:eastAsia="Calibri" w:cs="Times New Roman"/>
              </w:rPr>
            </w:pPr>
            <w:r w:rsidRPr="000C5ED8">
              <w:rPr>
                <w:rFonts w:eastAsia="Calibri" w:cs="Times New Roman"/>
              </w:rPr>
              <w:t>1.000000</w:t>
            </w:r>
          </w:p>
        </w:tc>
        <w:tc>
          <w:tcPr>
            <w:tcW w:w="1142" w:type="dxa"/>
          </w:tcPr>
          <w:p w14:paraId="6442F5DD" w14:textId="7283785B" w:rsidR="00A561C4" w:rsidRPr="00F364EC" w:rsidRDefault="00E66DE3" w:rsidP="00596328">
            <w:pPr>
              <w:rPr>
                <w:rFonts w:eastAsia="Calibri" w:cs="Times New Roman"/>
              </w:rPr>
            </w:pPr>
            <w:r w:rsidRPr="00E66DE3">
              <w:rPr>
                <w:rFonts w:eastAsia="Calibri" w:cs="Times New Roman"/>
              </w:rPr>
              <w:t>0.197639</w:t>
            </w:r>
          </w:p>
        </w:tc>
        <w:tc>
          <w:tcPr>
            <w:tcW w:w="1273" w:type="dxa"/>
          </w:tcPr>
          <w:p w14:paraId="77DEFCF1" w14:textId="524896A1" w:rsidR="00A561C4" w:rsidRPr="00250105" w:rsidRDefault="009153BC" w:rsidP="00596328">
            <w:pPr>
              <w:rPr>
                <w:rFonts w:eastAsia="Calibri" w:cs="Times New Roman"/>
              </w:rPr>
            </w:pPr>
            <w:r w:rsidRPr="009153BC">
              <w:rPr>
                <w:rFonts w:eastAsia="Calibri" w:cs="Times New Roman"/>
              </w:rPr>
              <w:t>-0.224810</w:t>
            </w:r>
          </w:p>
        </w:tc>
        <w:tc>
          <w:tcPr>
            <w:tcW w:w="1260" w:type="dxa"/>
          </w:tcPr>
          <w:p w14:paraId="409AABB4" w14:textId="25911A01" w:rsidR="00A561C4" w:rsidRPr="00250105" w:rsidRDefault="00DC33ED" w:rsidP="00596328">
            <w:pPr>
              <w:rPr>
                <w:rFonts w:eastAsia="Calibri" w:cs="Times New Roman"/>
              </w:rPr>
            </w:pPr>
            <w:r w:rsidRPr="00DC33ED">
              <w:rPr>
                <w:rFonts w:eastAsia="Calibri" w:cs="Times New Roman"/>
              </w:rPr>
              <w:t>-0.382279</w:t>
            </w:r>
          </w:p>
        </w:tc>
      </w:tr>
      <w:tr w:rsidR="0052739D" w14:paraId="6374CA46" w14:textId="77777777" w:rsidTr="00805120">
        <w:tc>
          <w:tcPr>
            <w:tcW w:w="1048" w:type="dxa"/>
          </w:tcPr>
          <w:p w14:paraId="5DBFF36F" w14:textId="3AED3B3C" w:rsidR="00A561C4" w:rsidRPr="002E00A3" w:rsidRDefault="00A561C4" w:rsidP="00596328">
            <w:pPr>
              <w:rPr>
                <w:rFonts w:eastAsia="Calibri" w:cs="Times New Roman"/>
              </w:rPr>
            </w:pPr>
            <w:r w:rsidRPr="002E00A3">
              <w:rPr>
                <w:rFonts w:eastAsia="Calibri" w:cs="Times New Roman"/>
              </w:rPr>
              <w:t>NTBS</w:t>
            </w:r>
          </w:p>
        </w:tc>
        <w:tc>
          <w:tcPr>
            <w:tcW w:w="1142" w:type="dxa"/>
          </w:tcPr>
          <w:p w14:paraId="27EAE389" w14:textId="2A40D380" w:rsidR="00A561C4" w:rsidRPr="00F364EC" w:rsidRDefault="00A561C4" w:rsidP="00596328">
            <w:pPr>
              <w:rPr>
                <w:rFonts w:eastAsia="Calibri" w:cs="Times New Roman"/>
              </w:rPr>
            </w:pPr>
            <w:r w:rsidRPr="00035183">
              <w:rPr>
                <w:rFonts w:eastAsia="Calibri" w:cs="Times New Roman"/>
              </w:rPr>
              <w:t>0.226443</w:t>
            </w:r>
          </w:p>
        </w:tc>
        <w:tc>
          <w:tcPr>
            <w:tcW w:w="1142" w:type="dxa"/>
          </w:tcPr>
          <w:p w14:paraId="7927BC0F" w14:textId="10BABCCE" w:rsidR="00A561C4" w:rsidRPr="00F364EC" w:rsidRDefault="00A561C4" w:rsidP="00596328">
            <w:pPr>
              <w:rPr>
                <w:rFonts w:eastAsia="Calibri" w:cs="Times New Roman"/>
              </w:rPr>
            </w:pPr>
            <w:r w:rsidRPr="000F400A">
              <w:rPr>
                <w:rFonts w:eastAsia="Calibri" w:cs="Times New Roman"/>
              </w:rPr>
              <w:t>0.255844</w:t>
            </w:r>
          </w:p>
        </w:tc>
        <w:tc>
          <w:tcPr>
            <w:tcW w:w="1116" w:type="dxa"/>
          </w:tcPr>
          <w:p w14:paraId="796F04B5" w14:textId="506772DA" w:rsidR="00A561C4" w:rsidRPr="00F364EC" w:rsidRDefault="00172FBA" w:rsidP="00596328">
            <w:pPr>
              <w:rPr>
                <w:rFonts w:eastAsia="Calibri" w:cs="Times New Roman"/>
              </w:rPr>
            </w:pPr>
            <w:r w:rsidRPr="00172FBA">
              <w:rPr>
                <w:rFonts w:eastAsia="Calibri" w:cs="Times New Roman"/>
              </w:rPr>
              <w:t>0.605927</w:t>
            </w:r>
          </w:p>
        </w:tc>
        <w:tc>
          <w:tcPr>
            <w:tcW w:w="1142" w:type="dxa"/>
          </w:tcPr>
          <w:p w14:paraId="04667B9F" w14:textId="36B2E810" w:rsidR="00A561C4" w:rsidRPr="00F364EC" w:rsidRDefault="006B1B94" w:rsidP="00596328">
            <w:pPr>
              <w:rPr>
                <w:rFonts w:eastAsia="Calibri" w:cs="Times New Roman"/>
              </w:rPr>
            </w:pPr>
            <w:r w:rsidRPr="006B1B94">
              <w:rPr>
                <w:rFonts w:eastAsia="Calibri" w:cs="Times New Roman"/>
              </w:rPr>
              <w:t>0.197639</w:t>
            </w:r>
          </w:p>
        </w:tc>
        <w:tc>
          <w:tcPr>
            <w:tcW w:w="1142" w:type="dxa"/>
          </w:tcPr>
          <w:p w14:paraId="6AA13317" w14:textId="44CB1FBD" w:rsidR="00A561C4" w:rsidRPr="00250105" w:rsidRDefault="000C5ED8" w:rsidP="00596328">
            <w:pPr>
              <w:rPr>
                <w:rFonts w:eastAsia="Calibri" w:cs="Times New Roman"/>
              </w:rPr>
            </w:pPr>
            <w:r w:rsidRPr="000C5ED8">
              <w:rPr>
                <w:rFonts w:eastAsia="Calibri" w:cs="Times New Roman"/>
              </w:rPr>
              <w:t>1.000000</w:t>
            </w:r>
          </w:p>
        </w:tc>
        <w:tc>
          <w:tcPr>
            <w:tcW w:w="1273" w:type="dxa"/>
          </w:tcPr>
          <w:p w14:paraId="4531D944" w14:textId="24CAD0C6" w:rsidR="00A561C4" w:rsidRPr="00F364EC" w:rsidRDefault="00794514" w:rsidP="00596328">
            <w:pPr>
              <w:rPr>
                <w:rFonts w:eastAsia="Calibri" w:cs="Times New Roman"/>
              </w:rPr>
            </w:pPr>
            <w:r w:rsidRPr="00794514">
              <w:rPr>
                <w:rFonts w:eastAsia="Calibri" w:cs="Times New Roman"/>
              </w:rPr>
              <w:t>-0.563870</w:t>
            </w:r>
          </w:p>
        </w:tc>
        <w:tc>
          <w:tcPr>
            <w:tcW w:w="1260" w:type="dxa"/>
          </w:tcPr>
          <w:p w14:paraId="2468CC5D" w14:textId="20FE6A16" w:rsidR="00A561C4" w:rsidRPr="00250105" w:rsidRDefault="00DC33ED" w:rsidP="00596328">
            <w:pPr>
              <w:rPr>
                <w:rFonts w:eastAsia="Calibri" w:cs="Times New Roman"/>
              </w:rPr>
            </w:pPr>
            <w:r w:rsidRPr="00DC33ED">
              <w:rPr>
                <w:rFonts w:eastAsia="Calibri" w:cs="Times New Roman"/>
              </w:rPr>
              <w:t>0.339338</w:t>
            </w:r>
          </w:p>
        </w:tc>
      </w:tr>
      <w:tr w:rsidR="0052739D" w14:paraId="77A834FD" w14:textId="77777777" w:rsidTr="00805120">
        <w:tc>
          <w:tcPr>
            <w:tcW w:w="1048" w:type="dxa"/>
          </w:tcPr>
          <w:p w14:paraId="1280CC01" w14:textId="68086A51" w:rsidR="00A561C4" w:rsidRPr="002E00A3" w:rsidRDefault="00A561C4" w:rsidP="00596328">
            <w:pPr>
              <w:rPr>
                <w:rFonts w:eastAsia="Calibri" w:cs="Times New Roman"/>
              </w:rPr>
            </w:pPr>
            <w:r w:rsidRPr="002E00A3">
              <w:rPr>
                <w:rFonts w:eastAsia="Calibri" w:cs="Times New Roman"/>
              </w:rPr>
              <w:t>WAMA</w:t>
            </w:r>
          </w:p>
        </w:tc>
        <w:tc>
          <w:tcPr>
            <w:tcW w:w="1142" w:type="dxa"/>
          </w:tcPr>
          <w:p w14:paraId="721EFD67" w14:textId="234775A6" w:rsidR="00A561C4" w:rsidRPr="00F364EC" w:rsidRDefault="00A561C4" w:rsidP="00596328">
            <w:pPr>
              <w:rPr>
                <w:rFonts w:eastAsia="Calibri" w:cs="Times New Roman"/>
              </w:rPr>
            </w:pPr>
            <w:r w:rsidRPr="00035183">
              <w:rPr>
                <w:rFonts w:eastAsia="Calibri" w:cs="Times New Roman"/>
              </w:rPr>
              <w:t>0.368961</w:t>
            </w:r>
          </w:p>
        </w:tc>
        <w:tc>
          <w:tcPr>
            <w:tcW w:w="1142" w:type="dxa"/>
          </w:tcPr>
          <w:p w14:paraId="29EC5DB8" w14:textId="2FC1346E" w:rsidR="00A561C4" w:rsidRPr="00F364EC" w:rsidRDefault="00A561C4" w:rsidP="00596328">
            <w:pPr>
              <w:rPr>
                <w:rFonts w:eastAsia="Calibri" w:cs="Times New Roman"/>
              </w:rPr>
            </w:pPr>
            <w:r w:rsidRPr="000F400A">
              <w:rPr>
                <w:rFonts w:eastAsia="Calibri" w:cs="Times New Roman"/>
              </w:rPr>
              <w:t>0.328164</w:t>
            </w:r>
          </w:p>
        </w:tc>
        <w:tc>
          <w:tcPr>
            <w:tcW w:w="1116" w:type="dxa"/>
          </w:tcPr>
          <w:p w14:paraId="7764A512" w14:textId="0EE94927" w:rsidR="00A561C4" w:rsidRPr="00250105" w:rsidRDefault="005A4D29" w:rsidP="00596328">
            <w:pPr>
              <w:rPr>
                <w:rFonts w:eastAsia="Calibri" w:cs="Times New Roman"/>
              </w:rPr>
            </w:pPr>
            <w:r w:rsidRPr="005A4D29">
              <w:rPr>
                <w:rFonts w:eastAsia="Calibri" w:cs="Times New Roman"/>
              </w:rPr>
              <w:t>-0.13340</w:t>
            </w:r>
          </w:p>
        </w:tc>
        <w:tc>
          <w:tcPr>
            <w:tcW w:w="1142" w:type="dxa"/>
          </w:tcPr>
          <w:p w14:paraId="6BD414B6" w14:textId="6F4D98BC" w:rsidR="00A561C4" w:rsidRPr="00250105" w:rsidRDefault="009A7C7A" w:rsidP="00596328">
            <w:pPr>
              <w:rPr>
                <w:rFonts w:eastAsia="Calibri" w:cs="Times New Roman"/>
              </w:rPr>
            </w:pPr>
            <w:r w:rsidRPr="009A7C7A">
              <w:rPr>
                <w:rFonts w:eastAsia="Calibri" w:cs="Times New Roman"/>
              </w:rPr>
              <w:t>-0.22481</w:t>
            </w:r>
          </w:p>
        </w:tc>
        <w:tc>
          <w:tcPr>
            <w:tcW w:w="1142" w:type="dxa"/>
          </w:tcPr>
          <w:p w14:paraId="422B8526" w14:textId="455FE517" w:rsidR="00A561C4" w:rsidRPr="00250105" w:rsidRDefault="00E66DE3" w:rsidP="00596328">
            <w:pPr>
              <w:rPr>
                <w:rFonts w:eastAsia="Calibri" w:cs="Times New Roman"/>
              </w:rPr>
            </w:pPr>
            <w:r w:rsidRPr="00E66DE3">
              <w:rPr>
                <w:rFonts w:eastAsia="Calibri" w:cs="Times New Roman"/>
              </w:rPr>
              <w:t>-0.56387</w:t>
            </w:r>
          </w:p>
        </w:tc>
        <w:tc>
          <w:tcPr>
            <w:tcW w:w="1273" w:type="dxa"/>
          </w:tcPr>
          <w:p w14:paraId="1A9FE689" w14:textId="2F2CEB78" w:rsidR="00A561C4" w:rsidRPr="00250105" w:rsidRDefault="000C5ED8" w:rsidP="00596328">
            <w:pPr>
              <w:rPr>
                <w:rFonts w:eastAsia="Calibri" w:cs="Times New Roman"/>
              </w:rPr>
            </w:pPr>
            <w:r w:rsidRPr="000C5ED8">
              <w:rPr>
                <w:rFonts w:eastAsia="Calibri" w:cs="Times New Roman"/>
              </w:rPr>
              <w:t>1.000000</w:t>
            </w:r>
          </w:p>
        </w:tc>
        <w:tc>
          <w:tcPr>
            <w:tcW w:w="1260" w:type="dxa"/>
          </w:tcPr>
          <w:p w14:paraId="035BE68C" w14:textId="56F851BE" w:rsidR="00A561C4" w:rsidRPr="00F364EC" w:rsidRDefault="00850851" w:rsidP="00596328">
            <w:pPr>
              <w:rPr>
                <w:rFonts w:eastAsia="Calibri" w:cs="Times New Roman"/>
              </w:rPr>
            </w:pPr>
            <w:r w:rsidRPr="00850851">
              <w:rPr>
                <w:rFonts w:eastAsia="Calibri" w:cs="Times New Roman"/>
              </w:rPr>
              <w:t>0.250324</w:t>
            </w:r>
          </w:p>
        </w:tc>
      </w:tr>
      <w:tr w:rsidR="0052739D" w14:paraId="3567C006" w14:textId="77777777" w:rsidTr="00805120">
        <w:tc>
          <w:tcPr>
            <w:tcW w:w="1048" w:type="dxa"/>
          </w:tcPr>
          <w:p w14:paraId="28FB68E3" w14:textId="6A9A5C52" w:rsidR="00A561C4" w:rsidRPr="002E00A3" w:rsidRDefault="00A561C4" w:rsidP="00596328">
            <w:pPr>
              <w:rPr>
                <w:rFonts w:eastAsia="Calibri" w:cs="Times New Roman"/>
              </w:rPr>
            </w:pPr>
            <w:r>
              <w:rPr>
                <w:rFonts w:eastAsia="Calibri" w:cs="Times New Roman"/>
              </w:rPr>
              <w:t>AEXR</w:t>
            </w:r>
          </w:p>
        </w:tc>
        <w:tc>
          <w:tcPr>
            <w:tcW w:w="1142" w:type="dxa"/>
          </w:tcPr>
          <w:p w14:paraId="4FF393F2" w14:textId="57F642D7" w:rsidR="00A561C4" w:rsidRPr="00F364EC" w:rsidRDefault="00A561C4" w:rsidP="00596328">
            <w:pPr>
              <w:rPr>
                <w:rFonts w:eastAsia="Calibri" w:cs="Times New Roman"/>
              </w:rPr>
            </w:pPr>
            <w:r w:rsidRPr="00035183">
              <w:rPr>
                <w:rFonts w:eastAsia="Calibri" w:cs="Times New Roman"/>
              </w:rPr>
              <w:t>0.971405</w:t>
            </w:r>
          </w:p>
        </w:tc>
        <w:tc>
          <w:tcPr>
            <w:tcW w:w="1142" w:type="dxa"/>
          </w:tcPr>
          <w:p w14:paraId="4E7F8FB1" w14:textId="5E965404" w:rsidR="00A561C4" w:rsidRPr="00F364EC" w:rsidRDefault="00A561C4" w:rsidP="00596328">
            <w:pPr>
              <w:rPr>
                <w:rFonts w:eastAsia="Calibri" w:cs="Times New Roman"/>
              </w:rPr>
            </w:pPr>
            <w:r w:rsidRPr="009F5ABE">
              <w:rPr>
                <w:rFonts w:eastAsia="Calibri" w:cs="Times New Roman"/>
              </w:rPr>
              <w:t>0.979410</w:t>
            </w:r>
          </w:p>
        </w:tc>
        <w:tc>
          <w:tcPr>
            <w:tcW w:w="1116" w:type="dxa"/>
          </w:tcPr>
          <w:p w14:paraId="08141E14" w14:textId="55D450E7" w:rsidR="00A561C4" w:rsidRPr="00250105" w:rsidRDefault="00FA19F9" w:rsidP="00596328">
            <w:pPr>
              <w:rPr>
                <w:rFonts w:eastAsia="Calibri" w:cs="Times New Roman"/>
              </w:rPr>
            </w:pPr>
            <w:r w:rsidRPr="00FA19F9">
              <w:rPr>
                <w:rFonts w:eastAsia="Calibri" w:cs="Times New Roman"/>
              </w:rPr>
              <w:t>0.48500</w:t>
            </w:r>
            <w:r w:rsidR="001754D2">
              <w:rPr>
                <w:rFonts w:eastAsia="Calibri" w:cs="Times New Roman"/>
              </w:rPr>
              <w:t>0</w:t>
            </w:r>
          </w:p>
        </w:tc>
        <w:tc>
          <w:tcPr>
            <w:tcW w:w="1142" w:type="dxa"/>
          </w:tcPr>
          <w:p w14:paraId="0EB85EE8" w14:textId="36F85124" w:rsidR="00A561C4" w:rsidRPr="00250105" w:rsidRDefault="009A7C7A" w:rsidP="00596328">
            <w:pPr>
              <w:rPr>
                <w:rFonts w:eastAsia="Calibri" w:cs="Times New Roman"/>
              </w:rPr>
            </w:pPr>
            <w:r w:rsidRPr="009A7C7A">
              <w:rPr>
                <w:rFonts w:eastAsia="Calibri" w:cs="Times New Roman"/>
              </w:rPr>
              <w:t>-0.38227</w:t>
            </w:r>
          </w:p>
        </w:tc>
        <w:tc>
          <w:tcPr>
            <w:tcW w:w="1142" w:type="dxa"/>
          </w:tcPr>
          <w:p w14:paraId="521DA972" w14:textId="0A314AC9" w:rsidR="00A561C4" w:rsidRPr="00250105" w:rsidRDefault="00E66DE3" w:rsidP="00596328">
            <w:pPr>
              <w:rPr>
                <w:rFonts w:eastAsia="Calibri" w:cs="Times New Roman"/>
              </w:rPr>
            </w:pPr>
            <w:r w:rsidRPr="00E66DE3">
              <w:rPr>
                <w:rFonts w:eastAsia="Calibri" w:cs="Times New Roman"/>
              </w:rPr>
              <w:t>0.339338</w:t>
            </w:r>
          </w:p>
        </w:tc>
        <w:tc>
          <w:tcPr>
            <w:tcW w:w="1273" w:type="dxa"/>
          </w:tcPr>
          <w:p w14:paraId="56FA58F9" w14:textId="1D468A11" w:rsidR="00A561C4" w:rsidRPr="00250105" w:rsidRDefault="00794514" w:rsidP="00596328">
            <w:pPr>
              <w:rPr>
                <w:rFonts w:eastAsia="Calibri" w:cs="Times New Roman"/>
              </w:rPr>
            </w:pPr>
            <w:r w:rsidRPr="00794514">
              <w:rPr>
                <w:rFonts w:eastAsia="Calibri" w:cs="Times New Roman"/>
              </w:rPr>
              <w:t>0.250324</w:t>
            </w:r>
          </w:p>
        </w:tc>
        <w:tc>
          <w:tcPr>
            <w:tcW w:w="1260" w:type="dxa"/>
          </w:tcPr>
          <w:p w14:paraId="5D342B23" w14:textId="2F13563C" w:rsidR="00A561C4" w:rsidRPr="00F364EC" w:rsidRDefault="000C5ED8" w:rsidP="00596328">
            <w:pPr>
              <w:rPr>
                <w:rFonts w:eastAsia="Calibri" w:cs="Times New Roman"/>
              </w:rPr>
            </w:pPr>
            <w:r w:rsidRPr="000C5ED8">
              <w:rPr>
                <w:rFonts w:eastAsia="Calibri" w:cs="Times New Roman"/>
              </w:rPr>
              <w:t>1.000000</w:t>
            </w:r>
          </w:p>
        </w:tc>
      </w:tr>
    </w:tbl>
    <w:p w14:paraId="3CAAEB8C" w14:textId="51387848" w:rsidR="00702462" w:rsidRDefault="00702462" w:rsidP="00596328">
      <w:pPr>
        <w:spacing w:after="0" w:line="240" w:lineRule="auto"/>
        <w:rPr>
          <w:rFonts w:eastAsia="Calibri" w:cs="Times New Roman"/>
          <w:bCs/>
          <w:i/>
          <w:iCs/>
        </w:rPr>
      </w:pPr>
      <w:r w:rsidRPr="00702462">
        <w:rPr>
          <w:rFonts w:eastAsia="Calibri" w:cs="Times New Roman"/>
          <w:bCs/>
          <w:i/>
          <w:iCs/>
        </w:rPr>
        <w:t xml:space="preserve">Source: Computed by author using </w:t>
      </w:r>
      <w:r w:rsidR="0066300C" w:rsidRPr="00702462">
        <w:rPr>
          <w:rFonts w:eastAsia="Calibri" w:cs="Times New Roman"/>
          <w:bCs/>
          <w:i/>
          <w:iCs/>
        </w:rPr>
        <w:t>EViews</w:t>
      </w:r>
      <w:r w:rsidRPr="00702462">
        <w:rPr>
          <w:rFonts w:eastAsia="Calibri" w:cs="Times New Roman"/>
          <w:bCs/>
          <w:i/>
          <w:iCs/>
        </w:rPr>
        <w:t xml:space="preserve"> 1</w:t>
      </w:r>
      <w:r w:rsidR="00A10A07">
        <w:rPr>
          <w:rFonts w:eastAsia="Calibri" w:cs="Times New Roman"/>
          <w:bCs/>
          <w:i/>
          <w:iCs/>
        </w:rPr>
        <w:t>3</w:t>
      </w:r>
    </w:p>
    <w:p w14:paraId="42035CAC" w14:textId="3A90A7B9" w:rsidR="00920A3F" w:rsidRDefault="00702462" w:rsidP="00596328">
      <w:pPr>
        <w:spacing w:after="0" w:line="240" w:lineRule="auto"/>
        <w:rPr>
          <w:rFonts w:eastAsia="Calibri" w:cs="Times New Roman"/>
          <w:bCs/>
        </w:rPr>
      </w:pPr>
      <w:r w:rsidRPr="00702462">
        <w:rPr>
          <w:rFonts w:eastAsia="Calibri" w:cs="Times New Roman"/>
          <w:bCs/>
        </w:rPr>
        <w:t xml:space="preserve">From table 4.2, </w:t>
      </w:r>
      <w:r>
        <w:rPr>
          <w:rFonts w:eastAsia="Calibri" w:cs="Times New Roman"/>
          <w:bCs/>
        </w:rPr>
        <w:t xml:space="preserve">all </w:t>
      </w:r>
      <w:r w:rsidRPr="00702462">
        <w:rPr>
          <w:rFonts w:eastAsia="Calibri" w:cs="Times New Roman"/>
          <w:bCs/>
        </w:rPr>
        <w:t xml:space="preserve">the coefficients of </w:t>
      </w:r>
      <w:r>
        <w:rPr>
          <w:rFonts w:eastAsia="Calibri" w:cs="Times New Roman"/>
          <w:bCs/>
        </w:rPr>
        <w:t xml:space="preserve">the variables in the model </w:t>
      </w:r>
      <w:r w:rsidRPr="00702462">
        <w:rPr>
          <w:rFonts w:eastAsia="Calibri" w:cs="Times New Roman"/>
          <w:bCs/>
        </w:rPr>
        <w:t xml:space="preserve">are </w:t>
      </w:r>
      <w:r w:rsidR="00D641D3" w:rsidRPr="00702462">
        <w:rPr>
          <w:rFonts w:eastAsia="Calibri" w:cs="Times New Roman"/>
          <w:bCs/>
        </w:rPr>
        <w:t>positive,</w:t>
      </w:r>
      <w:r w:rsidRPr="00702462">
        <w:rPr>
          <w:rFonts w:eastAsia="Calibri" w:cs="Times New Roman"/>
          <w:bCs/>
        </w:rPr>
        <w:t xml:space="preserve"> indicating a positive relationship with </w:t>
      </w:r>
      <w:r w:rsidR="0021492F">
        <w:rPr>
          <w:rFonts w:eastAsia="Calibri" w:cs="Times New Roman"/>
          <w:bCs/>
        </w:rPr>
        <w:t>CPI</w:t>
      </w:r>
      <w:r w:rsidRPr="00702462">
        <w:rPr>
          <w:rFonts w:eastAsia="Calibri" w:cs="Times New Roman"/>
          <w:bCs/>
        </w:rPr>
        <w:t xml:space="preserve">. However, </w:t>
      </w:r>
      <w:r w:rsidR="00916CD2">
        <w:rPr>
          <w:rFonts w:eastAsia="Calibri" w:cs="Times New Roman"/>
          <w:bCs/>
        </w:rPr>
        <w:t>TC</w:t>
      </w:r>
      <w:r w:rsidRPr="00702462">
        <w:rPr>
          <w:rFonts w:eastAsia="Calibri" w:cs="Times New Roman"/>
          <w:bCs/>
        </w:rPr>
        <w:t xml:space="preserve"> has a negative relationship with </w:t>
      </w:r>
      <w:r w:rsidR="00D641D3">
        <w:rPr>
          <w:rFonts w:eastAsia="Calibri" w:cs="Times New Roman"/>
          <w:bCs/>
        </w:rPr>
        <w:t>INF</w:t>
      </w:r>
      <w:r w:rsidRPr="00702462">
        <w:rPr>
          <w:rFonts w:eastAsia="Calibri" w:cs="Times New Roman"/>
          <w:bCs/>
        </w:rPr>
        <w:t>.</w:t>
      </w:r>
      <w:bookmarkStart w:id="21" w:name="_Toc108706793"/>
    </w:p>
    <w:p w14:paraId="491BCE22" w14:textId="77777777" w:rsidR="008F26DA" w:rsidRDefault="008F26DA" w:rsidP="00596328">
      <w:pPr>
        <w:spacing w:after="0" w:line="240" w:lineRule="auto"/>
        <w:rPr>
          <w:rFonts w:eastAsia="Calibri" w:cs="Times New Roman"/>
          <w:bCs/>
        </w:rPr>
      </w:pPr>
    </w:p>
    <w:p w14:paraId="34BF9391" w14:textId="77777777" w:rsidR="00A95F3A" w:rsidRDefault="00A95F3A" w:rsidP="00596328">
      <w:pPr>
        <w:spacing w:after="0" w:line="240" w:lineRule="auto"/>
        <w:rPr>
          <w:rFonts w:eastAsia="Calibri" w:cs="Times New Roman"/>
          <w:bCs/>
        </w:rPr>
      </w:pPr>
    </w:p>
    <w:p w14:paraId="6AC32B96" w14:textId="3EA5265F" w:rsidR="00AE0453" w:rsidRPr="00AE0453" w:rsidRDefault="00AE0453" w:rsidP="00596328">
      <w:pPr>
        <w:pStyle w:val="Heading3"/>
        <w:spacing w:line="240" w:lineRule="auto"/>
        <w:rPr>
          <w:rFonts w:eastAsia="Calibri"/>
        </w:rPr>
      </w:pPr>
      <w:bookmarkStart w:id="22" w:name="_Toc227924559"/>
      <w:r w:rsidRPr="00AE0453">
        <w:rPr>
          <w:rFonts w:eastAsia="Calibri"/>
        </w:rPr>
        <w:t>4.</w:t>
      </w:r>
      <w:r w:rsidR="00772AD1">
        <w:rPr>
          <w:rFonts w:eastAsia="Calibri"/>
        </w:rPr>
        <w:t>3</w:t>
      </w:r>
      <w:r w:rsidRPr="00AE0453">
        <w:rPr>
          <w:rFonts w:eastAsia="Calibri"/>
        </w:rPr>
        <w:t xml:space="preserve"> Unit Root Results</w:t>
      </w:r>
      <w:bookmarkEnd w:id="21"/>
      <w:bookmarkEnd w:id="22"/>
    </w:p>
    <w:tbl>
      <w:tblPr>
        <w:tblStyle w:val="TableGrid"/>
        <w:tblW w:w="0" w:type="auto"/>
        <w:tblLook w:val="04A0" w:firstRow="1" w:lastRow="0" w:firstColumn="1" w:lastColumn="0" w:noHBand="0" w:noVBand="1"/>
      </w:tblPr>
      <w:tblGrid>
        <w:gridCol w:w="1062"/>
        <w:gridCol w:w="989"/>
        <w:gridCol w:w="1476"/>
        <w:gridCol w:w="876"/>
        <w:gridCol w:w="989"/>
        <w:gridCol w:w="1476"/>
        <w:gridCol w:w="876"/>
        <w:gridCol w:w="1272"/>
      </w:tblGrid>
      <w:tr w:rsidR="00AE0453" w14:paraId="5CB7CF72" w14:textId="77777777" w:rsidTr="00903D32">
        <w:tc>
          <w:tcPr>
            <w:tcW w:w="9016" w:type="dxa"/>
            <w:gridSpan w:val="8"/>
          </w:tcPr>
          <w:p w14:paraId="5E39712E" w14:textId="5EEB8D0D" w:rsidR="00AE0453" w:rsidRDefault="00AE0453" w:rsidP="00596328">
            <w:pPr>
              <w:rPr>
                <w:rFonts w:eastAsia="Calibri" w:cs="Times New Roman"/>
                <w:bCs/>
              </w:rPr>
            </w:pPr>
            <w:bookmarkStart w:id="23" w:name="_Hlk179986133"/>
            <w:r w:rsidRPr="00AE0453">
              <w:rPr>
                <w:rFonts w:eastAsia="Calibri" w:cs="Times New Roman"/>
                <w:bCs/>
              </w:rPr>
              <w:t>Table 4.</w:t>
            </w:r>
            <w:r w:rsidR="00471E45">
              <w:rPr>
                <w:rFonts w:eastAsia="Calibri" w:cs="Times New Roman"/>
                <w:bCs/>
              </w:rPr>
              <w:t>2</w:t>
            </w:r>
            <w:r w:rsidRPr="00AE0453">
              <w:rPr>
                <w:rFonts w:eastAsia="Calibri" w:cs="Times New Roman"/>
                <w:bCs/>
              </w:rPr>
              <w:t xml:space="preserve">a: Augmented Dickey-Fuller </w:t>
            </w:r>
            <w:r w:rsidR="00082E0C">
              <w:rPr>
                <w:rFonts w:eastAsia="Calibri" w:cs="Times New Roman"/>
                <w:bCs/>
              </w:rPr>
              <w:t xml:space="preserve">Unit Root </w:t>
            </w:r>
            <w:r w:rsidRPr="00AE0453">
              <w:rPr>
                <w:rFonts w:eastAsia="Calibri" w:cs="Times New Roman"/>
                <w:bCs/>
              </w:rPr>
              <w:t>Test</w:t>
            </w:r>
          </w:p>
        </w:tc>
      </w:tr>
      <w:tr w:rsidR="00ED4A6A" w14:paraId="73641924" w14:textId="77777777" w:rsidTr="00BF4BF4">
        <w:tc>
          <w:tcPr>
            <w:tcW w:w="1062" w:type="dxa"/>
            <w:vMerge w:val="restart"/>
          </w:tcPr>
          <w:p w14:paraId="2B2CF93F" w14:textId="0E9216DE" w:rsidR="00AE0453" w:rsidRDefault="00AE0453" w:rsidP="00596328">
            <w:pPr>
              <w:rPr>
                <w:rFonts w:eastAsia="Calibri" w:cs="Times New Roman"/>
                <w:bCs/>
              </w:rPr>
            </w:pPr>
            <w:r w:rsidRPr="00AE0453">
              <w:rPr>
                <w:rFonts w:eastAsia="Calibri" w:cs="Times New Roman"/>
                <w:bCs/>
              </w:rPr>
              <w:t>Variable</w:t>
            </w:r>
          </w:p>
        </w:tc>
        <w:tc>
          <w:tcPr>
            <w:tcW w:w="3341" w:type="dxa"/>
            <w:gridSpan w:val="3"/>
          </w:tcPr>
          <w:p w14:paraId="6CED167F" w14:textId="100AACE6" w:rsidR="00AE0453" w:rsidRDefault="00CC48BE" w:rsidP="00596328">
            <w:pPr>
              <w:rPr>
                <w:rFonts w:eastAsia="Calibri" w:cs="Times New Roman"/>
                <w:bCs/>
              </w:rPr>
            </w:pPr>
            <w:r>
              <w:rPr>
                <w:rFonts w:eastAsia="Calibri" w:cs="Times New Roman"/>
                <w:bCs/>
              </w:rPr>
              <w:t xml:space="preserve">Levels </w:t>
            </w:r>
            <w:r w:rsidR="00AE0453" w:rsidRPr="00AE0453">
              <w:rPr>
                <w:rFonts w:eastAsia="Calibri" w:cs="Times New Roman"/>
                <w:bCs/>
              </w:rPr>
              <w:t>I(</w:t>
            </w:r>
            <w:r>
              <w:rPr>
                <w:rFonts w:eastAsia="Calibri" w:cs="Times New Roman"/>
                <w:bCs/>
              </w:rPr>
              <w:t>0</w:t>
            </w:r>
            <w:r w:rsidR="00AE0453" w:rsidRPr="00AE0453">
              <w:rPr>
                <w:rFonts w:eastAsia="Calibri" w:cs="Times New Roman"/>
                <w:bCs/>
              </w:rPr>
              <w:t>)</w:t>
            </w:r>
          </w:p>
        </w:tc>
        <w:tc>
          <w:tcPr>
            <w:tcW w:w="4613" w:type="dxa"/>
            <w:gridSpan w:val="4"/>
          </w:tcPr>
          <w:p w14:paraId="04A61AF0" w14:textId="16E91C1A" w:rsidR="00AE0453" w:rsidRDefault="00CC48BE" w:rsidP="00596328">
            <w:pPr>
              <w:rPr>
                <w:rFonts w:eastAsia="Calibri" w:cs="Times New Roman"/>
                <w:bCs/>
              </w:rPr>
            </w:pPr>
            <w:r>
              <w:rPr>
                <w:rFonts w:eastAsia="Calibri" w:cs="Times New Roman"/>
                <w:bCs/>
              </w:rPr>
              <w:t xml:space="preserve">First Difference </w:t>
            </w:r>
            <w:r w:rsidR="00AE0453" w:rsidRPr="00AE0453">
              <w:rPr>
                <w:rFonts w:eastAsia="Calibri" w:cs="Times New Roman"/>
                <w:bCs/>
              </w:rPr>
              <w:t>I(</w:t>
            </w:r>
            <w:r>
              <w:rPr>
                <w:rFonts w:eastAsia="Calibri" w:cs="Times New Roman"/>
                <w:bCs/>
              </w:rPr>
              <w:t>1</w:t>
            </w:r>
            <w:r w:rsidR="00AE0453" w:rsidRPr="00AE0453">
              <w:rPr>
                <w:rFonts w:eastAsia="Calibri" w:cs="Times New Roman"/>
                <w:bCs/>
              </w:rPr>
              <w:t>)</w:t>
            </w:r>
          </w:p>
        </w:tc>
      </w:tr>
      <w:tr w:rsidR="00ED4A6A" w14:paraId="7B77CA99" w14:textId="77777777" w:rsidTr="00BF4BF4">
        <w:tc>
          <w:tcPr>
            <w:tcW w:w="1062" w:type="dxa"/>
            <w:vMerge/>
          </w:tcPr>
          <w:p w14:paraId="3F3296AB" w14:textId="77777777" w:rsidR="00AE0453" w:rsidRDefault="00AE0453" w:rsidP="00596328">
            <w:pPr>
              <w:rPr>
                <w:rFonts w:eastAsia="Calibri" w:cs="Times New Roman"/>
                <w:bCs/>
              </w:rPr>
            </w:pPr>
          </w:p>
        </w:tc>
        <w:tc>
          <w:tcPr>
            <w:tcW w:w="989" w:type="dxa"/>
          </w:tcPr>
          <w:p w14:paraId="12CAF6B1" w14:textId="474438C2" w:rsidR="00AE0453" w:rsidRDefault="00CC48BE" w:rsidP="00596328">
            <w:pPr>
              <w:rPr>
                <w:rFonts w:eastAsia="Calibri" w:cs="Times New Roman"/>
                <w:bCs/>
              </w:rPr>
            </w:pPr>
            <w:r>
              <w:rPr>
                <w:rFonts w:eastAsia="Calibri" w:cs="Times New Roman"/>
                <w:bCs/>
              </w:rPr>
              <w:t>Test</w:t>
            </w:r>
            <w:r w:rsidR="00AE0453" w:rsidRPr="00AE0453">
              <w:rPr>
                <w:rFonts w:eastAsia="Calibri" w:cs="Times New Roman"/>
                <w:bCs/>
              </w:rPr>
              <w:t xml:space="preserve"> statistic</w:t>
            </w:r>
          </w:p>
        </w:tc>
        <w:tc>
          <w:tcPr>
            <w:tcW w:w="1476" w:type="dxa"/>
          </w:tcPr>
          <w:p w14:paraId="0F6697B4" w14:textId="1E3873A3" w:rsidR="00AE0453" w:rsidRDefault="00AE0453" w:rsidP="00596328">
            <w:pPr>
              <w:rPr>
                <w:rFonts w:eastAsia="Calibri" w:cs="Times New Roman"/>
                <w:bCs/>
              </w:rPr>
            </w:pPr>
            <w:r w:rsidRPr="001F5B16">
              <w:t xml:space="preserve">5% </w:t>
            </w:r>
            <w:r>
              <w:t>Level of S</w:t>
            </w:r>
            <w:r w:rsidRPr="001F5B16">
              <w:t>ig</w:t>
            </w:r>
            <w:r>
              <w:t>nificance.</w:t>
            </w:r>
          </w:p>
        </w:tc>
        <w:tc>
          <w:tcPr>
            <w:tcW w:w="876" w:type="dxa"/>
          </w:tcPr>
          <w:p w14:paraId="6DD69F17" w14:textId="1E2493C1" w:rsidR="00AE0453" w:rsidRDefault="00AE0453" w:rsidP="00596328">
            <w:pPr>
              <w:rPr>
                <w:rFonts w:eastAsia="Calibri" w:cs="Times New Roman"/>
                <w:bCs/>
              </w:rPr>
            </w:pPr>
            <w:r w:rsidRPr="001F5B16">
              <w:t>Prob. Value</w:t>
            </w:r>
          </w:p>
        </w:tc>
        <w:tc>
          <w:tcPr>
            <w:tcW w:w="989" w:type="dxa"/>
          </w:tcPr>
          <w:p w14:paraId="5DA2393A" w14:textId="7C452382" w:rsidR="00AE0453" w:rsidRDefault="00AE0453" w:rsidP="00596328">
            <w:pPr>
              <w:rPr>
                <w:rFonts w:eastAsia="Calibri" w:cs="Times New Roman"/>
                <w:bCs/>
              </w:rPr>
            </w:pPr>
            <w:r w:rsidRPr="001F5B16">
              <w:t>ADF statistic</w:t>
            </w:r>
          </w:p>
        </w:tc>
        <w:tc>
          <w:tcPr>
            <w:tcW w:w="1476" w:type="dxa"/>
          </w:tcPr>
          <w:p w14:paraId="337A5A49" w14:textId="435DA227" w:rsidR="00AE0453" w:rsidRDefault="00AE0453" w:rsidP="00596328">
            <w:pPr>
              <w:rPr>
                <w:rFonts w:eastAsia="Calibri" w:cs="Times New Roman"/>
                <w:bCs/>
              </w:rPr>
            </w:pPr>
            <w:r w:rsidRPr="00AE0453">
              <w:t>5% Level of Significance</w:t>
            </w:r>
            <w:r>
              <w:t>.</w:t>
            </w:r>
          </w:p>
        </w:tc>
        <w:tc>
          <w:tcPr>
            <w:tcW w:w="876" w:type="dxa"/>
          </w:tcPr>
          <w:p w14:paraId="77E671CA" w14:textId="01B8DE3C" w:rsidR="00AE0453" w:rsidRDefault="00AE0453" w:rsidP="00596328">
            <w:pPr>
              <w:rPr>
                <w:rFonts w:eastAsia="Calibri" w:cs="Times New Roman"/>
                <w:bCs/>
              </w:rPr>
            </w:pPr>
            <w:r w:rsidRPr="001F5B16">
              <w:t>Prob. Value</w:t>
            </w:r>
          </w:p>
        </w:tc>
        <w:tc>
          <w:tcPr>
            <w:tcW w:w="1272" w:type="dxa"/>
          </w:tcPr>
          <w:p w14:paraId="5EA85954" w14:textId="1F41E033" w:rsidR="00AE0453" w:rsidRDefault="00AE0453" w:rsidP="00596328">
            <w:pPr>
              <w:rPr>
                <w:rFonts w:eastAsia="Calibri" w:cs="Times New Roman"/>
                <w:bCs/>
              </w:rPr>
            </w:pPr>
            <w:r w:rsidRPr="001F5B16">
              <w:t xml:space="preserve">Order of </w:t>
            </w:r>
            <w:r w:rsidR="00D641D3">
              <w:t>Integration</w:t>
            </w:r>
          </w:p>
        </w:tc>
      </w:tr>
      <w:tr w:rsidR="00ED4A6A" w14:paraId="54BB21D8" w14:textId="77777777" w:rsidTr="00BF4BF4">
        <w:tc>
          <w:tcPr>
            <w:tcW w:w="1062" w:type="dxa"/>
          </w:tcPr>
          <w:p w14:paraId="41886643" w14:textId="62FEE6CE" w:rsidR="003475A6" w:rsidRDefault="009B3EE8" w:rsidP="00596328">
            <w:pPr>
              <w:rPr>
                <w:rFonts w:eastAsia="Calibri" w:cs="Times New Roman"/>
                <w:bCs/>
              </w:rPr>
            </w:pPr>
            <w:r>
              <w:rPr>
                <w:rFonts w:eastAsia="Calibri" w:cs="Times New Roman"/>
                <w:bCs/>
              </w:rPr>
              <w:t>CPI</w:t>
            </w:r>
          </w:p>
        </w:tc>
        <w:tc>
          <w:tcPr>
            <w:tcW w:w="989" w:type="dxa"/>
          </w:tcPr>
          <w:p w14:paraId="28C7F913" w14:textId="71E1E73D" w:rsidR="003475A6" w:rsidRDefault="00076D3F" w:rsidP="00596328">
            <w:pPr>
              <w:rPr>
                <w:rFonts w:eastAsia="Calibri" w:cs="Times New Roman"/>
                <w:bCs/>
              </w:rPr>
            </w:pPr>
            <w:r>
              <w:rPr>
                <w:rFonts w:eastAsia="Calibri" w:cs="Times New Roman"/>
                <w:bCs/>
              </w:rPr>
              <w:t>-4.5531</w:t>
            </w:r>
          </w:p>
        </w:tc>
        <w:tc>
          <w:tcPr>
            <w:tcW w:w="1476" w:type="dxa"/>
          </w:tcPr>
          <w:p w14:paraId="1AAB147D" w14:textId="011831E1" w:rsidR="003475A6" w:rsidRDefault="008C4420" w:rsidP="00596328">
            <w:pPr>
              <w:rPr>
                <w:rFonts w:eastAsia="Calibri" w:cs="Times New Roman"/>
                <w:bCs/>
              </w:rPr>
            </w:pPr>
            <w:r>
              <w:rPr>
                <w:rFonts w:eastAsia="Calibri" w:cs="Times New Roman"/>
                <w:bCs/>
              </w:rPr>
              <w:t>-3.4352</w:t>
            </w:r>
          </w:p>
        </w:tc>
        <w:tc>
          <w:tcPr>
            <w:tcW w:w="876" w:type="dxa"/>
          </w:tcPr>
          <w:p w14:paraId="303DB6EF" w14:textId="57361D8E" w:rsidR="003475A6" w:rsidRDefault="002A00A0" w:rsidP="00596328">
            <w:pPr>
              <w:rPr>
                <w:rFonts w:eastAsia="Calibri" w:cs="Times New Roman"/>
                <w:bCs/>
              </w:rPr>
            </w:pPr>
            <w:r>
              <w:rPr>
                <w:rFonts w:eastAsia="Calibri" w:cs="Times New Roman"/>
                <w:bCs/>
              </w:rPr>
              <w:t>0.0017</w:t>
            </w:r>
          </w:p>
        </w:tc>
        <w:tc>
          <w:tcPr>
            <w:tcW w:w="989" w:type="dxa"/>
          </w:tcPr>
          <w:p w14:paraId="4A9FB927" w14:textId="02354D85" w:rsidR="003475A6" w:rsidRDefault="005A26B8" w:rsidP="00596328">
            <w:pPr>
              <w:rPr>
                <w:rFonts w:eastAsia="Calibri" w:cs="Times New Roman"/>
                <w:bCs/>
              </w:rPr>
            </w:pPr>
            <w:r>
              <w:rPr>
                <w:rFonts w:eastAsia="Calibri" w:cs="Times New Roman"/>
                <w:bCs/>
              </w:rPr>
              <w:t>-2.0140</w:t>
            </w:r>
          </w:p>
        </w:tc>
        <w:tc>
          <w:tcPr>
            <w:tcW w:w="1476" w:type="dxa"/>
          </w:tcPr>
          <w:p w14:paraId="6C8EEE33" w14:textId="0DF64A98" w:rsidR="003475A6" w:rsidRDefault="005A26B8" w:rsidP="00596328">
            <w:pPr>
              <w:rPr>
                <w:rFonts w:eastAsia="Calibri" w:cs="Times New Roman"/>
                <w:bCs/>
              </w:rPr>
            </w:pPr>
            <w:r>
              <w:rPr>
                <w:rFonts w:eastAsia="Calibri" w:cs="Times New Roman"/>
                <w:bCs/>
              </w:rPr>
              <w:t>-3.435</w:t>
            </w:r>
          </w:p>
        </w:tc>
        <w:tc>
          <w:tcPr>
            <w:tcW w:w="876" w:type="dxa"/>
          </w:tcPr>
          <w:p w14:paraId="4254FCFC" w14:textId="0D5185CD" w:rsidR="003475A6" w:rsidRDefault="00C024BB" w:rsidP="00596328">
            <w:pPr>
              <w:rPr>
                <w:rFonts w:eastAsia="Calibri" w:cs="Times New Roman"/>
                <w:bCs/>
              </w:rPr>
            </w:pPr>
            <w:r>
              <w:rPr>
                <w:rFonts w:eastAsia="Calibri" w:cs="Times New Roman"/>
                <w:bCs/>
              </w:rPr>
              <w:t>0.5859</w:t>
            </w:r>
          </w:p>
        </w:tc>
        <w:tc>
          <w:tcPr>
            <w:tcW w:w="1272" w:type="dxa"/>
          </w:tcPr>
          <w:p w14:paraId="517A1D19" w14:textId="5116033D" w:rsidR="003475A6" w:rsidRDefault="00927DB6" w:rsidP="00596328">
            <w:pPr>
              <w:rPr>
                <w:rFonts w:eastAsia="Calibri" w:cs="Times New Roman"/>
                <w:bCs/>
              </w:rPr>
            </w:pPr>
            <w:r>
              <w:rPr>
                <w:bCs/>
              </w:rPr>
              <w:t>I</w:t>
            </w:r>
            <w:r w:rsidR="00E465C7">
              <w:rPr>
                <w:bCs/>
              </w:rPr>
              <w:t xml:space="preserve"> </w:t>
            </w:r>
            <w:r w:rsidR="004C15D0">
              <w:rPr>
                <w:bCs/>
              </w:rPr>
              <w:t>(</w:t>
            </w:r>
            <w:r w:rsidR="0083724A">
              <w:rPr>
                <w:bCs/>
              </w:rPr>
              <w:t>0</w:t>
            </w:r>
            <w:r w:rsidR="004C15D0">
              <w:rPr>
                <w:bCs/>
              </w:rPr>
              <w:t>)</w:t>
            </w:r>
            <w:r w:rsidR="00ED6AE2">
              <w:rPr>
                <w:bCs/>
              </w:rPr>
              <w:t xml:space="preserve"> </w:t>
            </w:r>
          </w:p>
        </w:tc>
      </w:tr>
      <w:tr w:rsidR="00ED4A6A" w14:paraId="330183AE" w14:textId="77777777" w:rsidTr="00BF4BF4">
        <w:tc>
          <w:tcPr>
            <w:tcW w:w="1062" w:type="dxa"/>
          </w:tcPr>
          <w:p w14:paraId="2A0E4C8A" w14:textId="5E4EADF3" w:rsidR="003475A6" w:rsidRDefault="003475A6" w:rsidP="00596328">
            <w:pPr>
              <w:rPr>
                <w:rFonts w:eastAsia="Calibri" w:cs="Times New Roman"/>
                <w:bCs/>
              </w:rPr>
            </w:pPr>
            <w:r>
              <w:rPr>
                <w:rFonts w:eastAsia="Calibri" w:cs="Times New Roman"/>
                <w:bCs/>
              </w:rPr>
              <w:t>M1</w:t>
            </w:r>
          </w:p>
        </w:tc>
        <w:tc>
          <w:tcPr>
            <w:tcW w:w="989" w:type="dxa"/>
          </w:tcPr>
          <w:p w14:paraId="019B0149" w14:textId="407B8778" w:rsidR="003475A6" w:rsidRDefault="00B60BDE" w:rsidP="00596328">
            <w:pPr>
              <w:rPr>
                <w:rFonts w:eastAsia="Calibri" w:cs="Times New Roman"/>
                <w:bCs/>
              </w:rPr>
            </w:pPr>
            <w:r>
              <w:rPr>
                <w:rFonts w:eastAsia="Calibri" w:cs="Times New Roman"/>
                <w:bCs/>
              </w:rPr>
              <w:t>0.8325</w:t>
            </w:r>
          </w:p>
        </w:tc>
        <w:tc>
          <w:tcPr>
            <w:tcW w:w="1476" w:type="dxa"/>
          </w:tcPr>
          <w:p w14:paraId="328CF502" w14:textId="0D6F87B4" w:rsidR="003475A6" w:rsidRDefault="00A6282E" w:rsidP="00596328">
            <w:pPr>
              <w:rPr>
                <w:rFonts w:eastAsia="Calibri" w:cs="Times New Roman"/>
                <w:bCs/>
              </w:rPr>
            </w:pPr>
            <w:r>
              <w:rPr>
                <w:rFonts w:eastAsia="Calibri" w:cs="Times New Roman"/>
                <w:bCs/>
              </w:rPr>
              <w:t>-3.4340</w:t>
            </w:r>
          </w:p>
        </w:tc>
        <w:tc>
          <w:tcPr>
            <w:tcW w:w="876" w:type="dxa"/>
          </w:tcPr>
          <w:p w14:paraId="64A01D00" w14:textId="1DD67246" w:rsidR="003475A6" w:rsidRDefault="00A6282E" w:rsidP="00596328">
            <w:pPr>
              <w:rPr>
                <w:rFonts w:eastAsia="Calibri" w:cs="Times New Roman"/>
                <w:bCs/>
              </w:rPr>
            </w:pPr>
            <w:r>
              <w:rPr>
                <w:rFonts w:eastAsia="Calibri" w:cs="Times New Roman"/>
                <w:bCs/>
              </w:rPr>
              <w:t>0.9998</w:t>
            </w:r>
          </w:p>
        </w:tc>
        <w:tc>
          <w:tcPr>
            <w:tcW w:w="989" w:type="dxa"/>
          </w:tcPr>
          <w:p w14:paraId="6D857515" w14:textId="6C0A8BD4" w:rsidR="003475A6" w:rsidRDefault="00450C79" w:rsidP="00596328">
            <w:pPr>
              <w:rPr>
                <w:rFonts w:eastAsia="Calibri" w:cs="Times New Roman"/>
                <w:bCs/>
              </w:rPr>
            </w:pPr>
            <w:r>
              <w:rPr>
                <w:rFonts w:eastAsia="Calibri" w:cs="Times New Roman"/>
                <w:bCs/>
              </w:rPr>
              <w:t>-6.9022</w:t>
            </w:r>
          </w:p>
        </w:tc>
        <w:tc>
          <w:tcPr>
            <w:tcW w:w="1476" w:type="dxa"/>
          </w:tcPr>
          <w:p w14:paraId="33E99453" w14:textId="42A69908" w:rsidR="003475A6" w:rsidRDefault="00455E16" w:rsidP="00596328">
            <w:pPr>
              <w:rPr>
                <w:rFonts w:eastAsia="Calibri" w:cs="Times New Roman"/>
                <w:bCs/>
              </w:rPr>
            </w:pPr>
            <w:r>
              <w:rPr>
                <w:rFonts w:eastAsia="Calibri" w:cs="Times New Roman"/>
                <w:bCs/>
              </w:rPr>
              <w:t>-3.4340</w:t>
            </w:r>
          </w:p>
        </w:tc>
        <w:tc>
          <w:tcPr>
            <w:tcW w:w="876" w:type="dxa"/>
          </w:tcPr>
          <w:p w14:paraId="22EC0AFF" w14:textId="3F1C270F" w:rsidR="003475A6" w:rsidRDefault="00455E16" w:rsidP="00596328">
            <w:pPr>
              <w:rPr>
                <w:rFonts w:eastAsia="Calibri" w:cs="Times New Roman"/>
                <w:bCs/>
              </w:rPr>
            </w:pPr>
            <w:r>
              <w:rPr>
                <w:rFonts w:eastAsia="Calibri" w:cs="Times New Roman"/>
                <w:bCs/>
              </w:rPr>
              <w:t>0.0000</w:t>
            </w:r>
          </w:p>
        </w:tc>
        <w:tc>
          <w:tcPr>
            <w:tcW w:w="1272" w:type="dxa"/>
          </w:tcPr>
          <w:p w14:paraId="546EA01E" w14:textId="4D1CD245" w:rsidR="003475A6" w:rsidRDefault="003475A6" w:rsidP="00596328">
            <w:pPr>
              <w:rPr>
                <w:rFonts w:eastAsia="Calibri" w:cs="Times New Roman"/>
                <w:bCs/>
              </w:rPr>
            </w:pPr>
            <w:r w:rsidRPr="001F5B16">
              <w:rPr>
                <w:bCs/>
              </w:rPr>
              <w:t>I (1)</w:t>
            </w:r>
          </w:p>
        </w:tc>
      </w:tr>
      <w:tr w:rsidR="00767336" w14:paraId="6AB45E57" w14:textId="77777777" w:rsidTr="00BF4BF4">
        <w:tc>
          <w:tcPr>
            <w:tcW w:w="1062" w:type="dxa"/>
          </w:tcPr>
          <w:p w14:paraId="1C65EA5B" w14:textId="4638F89F" w:rsidR="00767336" w:rsidRDefault="00767336" w:rsidP="00596328">
            <w:pPr>
              <w:rPr>
                <w:rFonts w:eastAsia="Calibri" w:cs="Times New Roman"/>
                <w:bCs/>
              </w:rPr>
            </w:pPr>
            <w:r>
              <w:rPr>
                <w:rFonts w:eastAsia="Calibri" w:cs="Times New Roman"/>
                <w:bCs/>
              </w:rPr>
              <w:t>INB</w:t>
            </w:r>
          </w:p>
        </w:tc>
        <w:tc>
          <w:tcPr>
            <w:tcW w:w="989" w:type="dxa"/>
          </w:tcPr>
          <w:p w14:paraId="0CDC784F" w14:textId="7E0A4B72" w:rsidR="00767336" w:rsidRDefault="00543B57" w:rsidP="00596328">
            <w:pPr>
              <w:rPr>
                <w:rFonts w:eastAsia="Calibri" w:cs="Times New Roman"/>
                <w:bCs/>
              </w:rPr>
            </w:pPr>
            <w:r>
              <w:rPr>
                <w:rFonts w:eastAsia="Calibri" w:cs="Times New Roman"/>
                <w:bCs/>
              </w:rPr>
              <w:t>-5.042</w:t>
            </w:r>
            <w:r w:rsidR="008375D3">
              <w:rPr>
                <w:rFonts w:eastAsia="Calibri" w:cs="Times New Roman"/>
                <w:bCs/>
              </w:rPr>
              <w:t>8</w:t>
            </w:r>
          </w:p>
        </w:tc>
        <w:tc>
          <w:tcPr>
            <w:tcW w:w="1476" w:type="dxa"/>
          </w:tcPr>
          <w:p w14:paraId="01001A9D" w14:textId="1483F744" w:rsidR="00767336" w:rsidRDefault="008375D3" w:rsidP="00596328">
            <w:pPr>
              <w:rPr>
                <w:rFonts w:eastAsia="Calibri" w:cs="Times New Roman"/>
                <w:bCs/>
              </w:rPr>
            </w:pPr>
            <w:r>
              <w:rPr>
                <w:rFonts w:eastAsia="Calibri" w:cs="Times New Roman"/>
                <w:bCs/>
              </w:rPr>
              <w:t>-3.4336</w:t>
            </w:r>
          </w:p>
        </w:tc>
        <w:tc>
          <w:tcPr>
            <w:tcW w:w="876" w:type="dxa"/>
          </w:tcPr>
          <w:p w14:paraId="7C099714" w14:textId="1E15A955" w:rsidR="00767336" w:rsidRDefault="004823F8" w:rsidP="00596328">
            <w:pPr>
              <w:rPr>
                <w:rFonts w:eastAsia="Calibri" w:cs="Times New Roman"/>
                <w:bCs/>
              </w:rPr>
            </w:pPr>
            <w:r>
              <w:rPr>
                <w:rFonts w:eastAsia="Calibri" w:cs="Times New Roman"/>
                <w:bCs/>
              </w:rPr>
              <w:t>0.0003</w:t>
            </w:r>
          </w:p>
        </w:tc>
        <w:tc>
          <w:tcPr>
            <w:tcW w:w="989" w:type="dxa"/>
          </w:tcPr>
          <w:p w14:paraId="16F5D441" w14:textId="79D970DA" w:rsidR="00767336" w:rsidRDefault="00406422" w:rsidP="00596328">
            <w:pPr>
              <w:rPr>
                <w:rFonts w:eastAsia="Calibri" w:cs="Times New Roman"/>
                <w:bCs/>
              </w:rPr>
            </w:pPr>
            <w:r>
              <w:rPr>
                <w:rFonts w:eastAsia="Calibri" w:cs="Times New Roman"/>
                <w:bCs/>
              </w:rPr>
              <w:t>-9.9741</w:t>
            </w:r>
          </w:p>
        </w:tc>
        <w:tc>
          <w:tcPr>
            <w:tcW w:w="1476" w:type="dxa"/>
          </w:tcPr>
          <w:p w14:paraId="6FDC7589" w14:textId="747F4FA7" w:rsidR="00767336" w:rsidRDefault="00406422" w:rsidP="00596328">
            <w:pPr>
              <w:rPr>
                <w:rFonts w:eastAsia="Calibri" w:cs="Times New Roman"/>
                <w:bCs/>
              </w:rPr>
            </w:pPr>
            <w:r>
              <w:rPr>
                <w:rFonts w:eastAsia="Calibri" w:cs="Times New Roman"/>
                <w:bCs/>
              </w:rPr>
              <w:t>-3.4341</w:t>
            </w:r>
          </w:p>
        </w:tc>
        <w:tc>
          <w:tcPr>
            <w:tcW w:w="876" w:type="dxa"/>
          </w:tcPr>
          <w:p w14:paraId="77960440" w14:textId="7B76FAEF" w:rsidR="00767336" w:rsidRPr="009B29B8" w:rsidRDefault="00A33A17" w:rsidP="00596328">
            <w:pPr>
              <w:rPr>
                <w:rFonts w:eastAsia="Calibri" w:cs="Times New Roman"/>
                <w:bCs/>
              </w:rPr>
            </w:pPr>
            <w:r>
              <w:rPr>
                <w:rFonts w:eastAsia="Calibri" w:cs="Times New Roman"/>
                <w:bCs/>
              </w:rPr>
              <w:t>0.0000</w:t>
            </w:r>
          </w:p>
        </w:tc>
        <w:tc>
          <w:tcPr>
            <w:tcW w:w="1272" w:type="dxa"/>
          </w:tcPr>
          <w:p w14:paraId="512DF247" w14:textId="6092D866" w:rsidR="00767336" w:rsidRPr="001F5B16" w:rsidRDefault="004823F8" w:rsidP="00596328">
            <w:pPr>
              <w:rPr>
                <w:bCs/>
              </w:rPr>
            </w:pPr>
            <w:r w:rsidRPr="004823F8">
              <w:rPr>
                <w:bCs/>
              </w:rPr>
              <w:t>I (0)</w:t>
            </w:r>
          </w:p>
        </w:tc>
      </w:tr>
      <w:tr w:rsidR="00ED4A6A" w14:paraId="66F2F827" w14:textId="77777777" w:rsidTr="00BF4BF4">
        <w:tc>
          <w:tcPr>
            <w:tcW w:w="1062" w:type="dxa"/>
          </w:tcPr>
          <w:p w14:paraId="250AA364" w14:textId="44FB8A7D" w:rsidR="003475A6" w:rsidRDefault="00536AD7" w:rsidP="00596328">
            <w:pPr>
              <w:rPr>
                <w:rFonts w:eastAsia="Calibri" w:cs="Times New Roman"/>
                <w:bCs/>
              </w:rPr>
            </w:pPr>
            <w:r>
              <w:rPr>
                <w:rFonts w:eastAsia="Calibri" w:cs="Times New Roman"/>
                <w:bCs/>
              </w:rPr>
              <w:t>TC</w:t>
            </w:r>
          </w:p>
        </w:tc>
        <w:tc>
          <w:tcPr>
            <w:tcW w:w="989" w:type="dxa"/>
          </w:tcPr>
          <w:p w14:paraId="242AF498" w14:textId="20DE3555" w:rsidR="003475A6" w:rsidRDefault="00B54130" w:rsidP="00596328">
            <w:pPr>
              <w:rPr>
                <w:rFonts w:eastAsia="Calibri" w:cs="Times New Roman"/>
                <w:bCs/>
              </w:rPr>
            </w:pPr>
            <w:r>
              <w:rPr>
                <w:rFonts w:eastAsia="Calibri" w:cs="Times New Roman"/>
                <w:bCs/>
              </w:rPr>
              <w:t>-</w:t>
            </w:r>
            <w:r w:rsidR="00A11B90">
              <w:rPr>
                <w:rFonts w:eastAsia="Calibri" w:cs="Times New Roman"/>
                <w:bCs/>
              </w:rPr>
              <w:t>1.823</w:t>
            </w:r>
            <w:r>
              <w:rPr>
                <w:rFonts w:eastAsia="Calibri" w:cs="Times New Roman"/>
                <w:bCs/>
              </w:rPr>
              <w:t>6</w:t>
            </w:r>
          </w:p>
        </w:tc>
        <w:tc>
          <w:tcPr>
            <w:tcW w:w="1476" w:type="dxa"/>
          </w:tcPr>
          <w:p w14:paraId="1EF626B7" w14:textId="3E4C0839" w:rsidR="003475A6" w:rsidRDefault="00B54130" w:rsidP="00596328">
            <w:pPr>
              <w:rPr>
                <w:rFonts w:eastAsia="Calibri" w:cs="Times New Roman"/>
                <w:bCs/>
              </w:rPr>
            </w:pPr>
            <w:r w:rsidRPr="00B54130">
              <w:rPr>
                <w:rFonts w:eastAsia="Calibri" w:cs="Times New Roman"/>
                <w:bCs/>
              </w:rPr>
              <w:t>-3.433</w:t>
            </w:r>
            <w:r>
              <w:rPr>
                <w:rFonts w:eastAsia="Calibri" w:cs="Times New Roman"/>
                <w:bCs/>
              </w:rPr>
              <w:t>5</w:t>
            </w:r>
          </w:p>
        </w:tc>
        <w:tc>
          <w:tcPr>
            <w:tcW w:w="876" w:type="dxa"/>
          </w:tcPr>
          <w:p w14:paraId="6437F67F" w14:textId="222CB9C8" w:rsidR="003475A6" w:rsidRDefault="00BA02CF" w:rsidP="00596328">
            <w:pPr>
              <w:rPr>
                <w:rFonts w:eastAsia="Calibri" w:cs="Times New Roman"/>
                <w:bCs/>
              </w:rPr>
            </w:pPr>
            <w:r>
              <w:rPr>
                <w:rFonts w:eastAsia="Calibri" w:cs="Times New Roman"/>
                <w:bCs/>
              </w:rPr>
              <w:t>0.6896</w:t>
            </w:r>
          </w:p>
        </w:tc>
        <w:tc>
          <w:tcPr>
            <w:tcW w:w="989" w:type="dxa"/>
          </w:tcPr>
          <w:p w14:paraId="51F852EF" w14:textId="028A956E" w:rsidR="003475A6" w:rsidRDefault="00BA02CF" w:rsidP="00596328">
            <w:pPr>
              <w:rPr>
                <w:rFonts w:eastAsia="Calibri" w:cs="Times New Roman"/>
                <w:bCs/>
              </w:rPr>
            </w:pPr>
            <w:r>
              <w:rPr>
                <w:rFonts w:eastAsia="Calibri" w:cs="Times New Roman"/>
                <w:bCs/>
              </w:rPr>
              <w:t>-12.963</w:t>
            </w:r>
          </w:p>
        </w:tc>
        <w:tc>
          <w:tcPr>
            <w:tcW w:w="1476" w:type="dxa"/>
          </w:tcPr>
          <w:p w14:paraId="3E926AC6" w14:textId="6A0BF9C8" w:rsidR="003475A6" w:rsidRDefault="005A40D9" w:rsidP="00596328">
            <w:pPr>
              <w:rPr>
                <w:rFonts w:eastAsia="Calibri" w:cs="Times New Roman"/>
                <w:bCs/>
              </w:rPr>
            </w:pPr>
            <w:r w:rsidRPr="005A40D9">
              <w:rPr>
                <w:rFonts w:eastAsia="Calibri" w:cs="Times New Roman"/>
                <w:bCs/>
              </w:rPr>
              <w:t>-3.433</w:t>
            </w:r>
            <w:r>
              <w:rPr>
                <w:rFonts w:eastAsia="Calibri" w:cs="Times New Roman"/>
                <w:bCs/>
              </w:rPr>
              <w:t>6</w:t>
            </w:r>
          </w:p>
        </w:tc>
        <w:tc>
          <w:tcPr>
            <w:tcW w:w="876" w:type="dxa"/>
          </w:tcPr>
          <w:p w14:paraId="12170081" w14:textId="5239C3F0" w:rsidR="003475A6" w:rsidRDefault="009B29B8" w:rsidP="00596328">
            <w:pPr>
              <w:rPr>
                <w:rFonts w:eastAsia="Calibri" w:cs="Times New Roman"/>
                <w:bCs/>
              </w:rPr>
            </w:pPr>
            <w:r w:rsidRPr="009B29B8">
              <w:rPr>
                <w:rFonts w:eastAsia="Calibri" w:cs="Times New Roman"/>
                <w:bCs/>
              </w:rPr>
              <w:t>0.000</w:t>
            </w:r>
          </w:p>
        </w:tc>
        <w:tc>
          <w:tcPr>
            <w:tcW w:w="1272" w:type="dxa"/>
          </w:tcPr>
          <w:p w14:paraId="177B0EC9" w14:textId="65BB6DDE" w:rsidR="003475A6" w:rsidRDefault="003475A6" w:rsidP="00596328">
            <w:pPr>
              <w:rPr>
                <w:rFonts w:eastAsia="Calibri" w:cs="Times New Roman"/>
                <w:bCs/>
              </w:rPr>
            </w:pPr>
            <w:r w:rsidRPr="001F5B16">
              <w:rPr>
                <w:bCs/>
              </w:rPr>
              <w:t>I (1)</w:t>
            </w:r>
          </w:p>
        </w:tc>
      </w:tr>
      <w:tr w:rsidR="00ED4A6A" w14:paraId="4D9BBEB7" w14:textId="77777777" w:rsidTr="00BF4BF4">
        <w:tc>
          <w:tcPr>
            <w:tcW w:w="1062" w:type="dxa"/>
          </w:tcPr>
          <w:p w14:paraId="1226E6C8" w14:textId="0B7426C9" w:rsidR="003475A6" w:rsidRDefault="003475A6" w:rsidP="00596328">
            <w:pPr>
              <w:rPr>
                <w:rFonts w:eastAsia="Calibri" w:cs="Times New Roman"/>
                <w:bCs/>
              </w:rPr>
            </w:pPr>
            <w:r w:rsidRPr="00AE0453">
              <w:rPr>
                <w:rFonts w:eastAsia="Calibri" w:cs="Times New Roman"/>
                <w:bCs/>
              </w:rPr>
              <w:t>AEXR</w:t>
            </w:r>
          </w:p>
        </w:tc>
        <w:tc>
          <w:tcPr>
            <w:tcW w:w="989" w:type="dxa"/>
          </w:tcPr>
          <w:p w14:paraId="79704EBC" w14:textId="1B729145" w:rsidR="003475A6" w:rsidRDefault="00003F19" w:rsidP="00596328">
            <w:pPr>
              <w:rPr>
                <w:rFonts w:eastAsia="Calibri" w:cs="Times New Roman"/>
                <w:bCs/>
              </w:rPr>
            </w:pPr>
            <w:r>
              <w:rPr>
                <w:rFonts w:eastAsia="Calibri" w:cs="Times New Roman"/>
                <w:bCs/>
              </w:rPr>
              <w:t>-1.0613</w:t>
            </w:r>
          </w:p>
        </w:tc>
        <w:tc>
          <w:tcPr>
            <w:tcW w:w="1476" w:type="dxa"/>
          </w:tcPr>
          <w:p w14:paraId="64897875" w14:textId="4C6D4CE8" w:rsidR="003475A6" w:rsidRDefault="00B6233D" w:rsidP="00596328">
            <w:pPr>
              <w:rPr>
                <w:rFonts w:eastAsia="Calibri" w:cs="Times New Roman"/>
                <w:bCs/>
              </w:rPr>
            </w:pPr>
            <w:r w:rsidRPr="00B6233D">
              <w:rPr>
                <w:rFonts w:eastAsia="Calibri" w:cs="Times New Roman"/>
                <w:bCs/>
              </w:rPr>
              <w:t>-3.4335</w:t>
            </w:r>
          </w:p>
        </w:tc>
        <w:tc>
          <w:tcPr>
            <w:tcW w:w="876" w:type="dxa"/>
          </w:tcPr>
          <w:p w14:paraId="08DF0B95" w14:textId="7E9ED60A" w:rsidR="003475A6" w:rsidRDefault="000838DB" w:rsidP="00596328">
            <w:pPr>
              <w:rPr>
                <w:rFonts w:eastAsia="Calibri" w:cs="Times New Roman"/>
                <w:bCs/>
              </w:rPr>
            </w:pPr>
            <w:r>
              <w:rPr>
                <w:rFonts w:eastAsia="Calibri" w:cs="Times New Roman"/>
                <w:bCs/>
              </w:rPr>
              <w:t>0.9317</w:t>
            </w:r>
          </w:p>
        </w:tc>
        <w:tc>
          <w:tcPr>
            <w:tcW w:w="989" w:type="dxa"/>
          </w:tcPr>
          <w:p w14:paraId="6FCBF5E5" w14:textId="28A4CF2E" w:rsidR="003475A6" w:rsidRDefault="000838DB" w:rsidP="00596328">
            <w:pPr>
              <w:rPr>
                <w:rFonts w:eastAsia="Calibri" w:cs="Times New Roman"/>
                <w:bCs/>
              </w:rPr>
            </w:pPr>
            <w:r>
              <w:rPr>
                <w:rFonts w:eastAsia="Calibri" w:cs="Times New Roman"/>
                <w:bCs/>
              </w:rPr>
              <w:t>-13.565</w:t>
            </w:r>
          </w:p>
        </w:tc>
        <w:tc>
          <w:tcPr>
            <w:tcW w:w="1476" w:type="dxa"/>
          </w:tcPr>
          <w:p w14:paraId="7EA536D1" w14:textId="095EBDBF" w:rsidR="003475A6" w:rsidRDefault="00B32F48" w:rsidP="00596328">
            <w:pPr>
              <w:rPr>
                <w:rFonts w:eastAsia="Calibri" w:cs="Times New Roman"/>
                <w:bCs/>
              </w:rPr>
            </w:pPr>
            <w:r>
              <w:rPr>
                <w:rFonts w:eastAsia="Calibri" w:cs="Times New Roman"/>
                <w:bCs/>
              </w:rPr>
              <w:t>-3.4336</w:t>
            </w:r>
          </w:p>
        </w:tc>
        <w:tc>
          <w:tcPr>
            <w:tcW w:w="876" w:type="dxa"/>
          </w:tcPr>
          <w:p w14:paraId="2334EE08" w14:textId="7FD4430F" w:rsidR="003475A6" w:rsidRDefault="00E40BA5" w:rsidP="00596328">
            <w:pPr>
              <w:rPr>
                <w:rFonts w:eastAsia="Calibri" w:cs="Times New Roman"/>
                <w:bCs/>
              </w:rPr>
            </w:pPr>
            <w:r w:rsidRPr="00E40BA5">
              <w:rPr>
                <w:rFonts w:eastAsia="Calibri" w:cs="Times New Roman"/>
                <w:bCs/>
              </w:rPr>
              <w:t>0.000</w:t>
            </w:r>
          </w:p>
        </w:tc>
        <w:tc>
          <w:tcPr>
            <w:tcW w:w="1272" w:type="dxa"/>
          </w:tcPr>
          <w:p w14:paraId="409C775B" w14:textId="6272BE74" w:rsidR="003475A6" w:rsidRDefault="003475A6" w:rsidP="00596328">
            <w:pPr>
              <w:rPr>
                <w:rFonts w:eastAsia="Calibri" w:cs="Times New Roman"/>
                <w:bCs/>
              </w:rPr>
            </w:pPr>
            <w:r w:rsidRPr="001F5B16">
              <w:rPr>
                <w:bCs/>
              </w:rPr>
              <w:t>I (1)</w:t>
            </w:r>
          </w:p>
        </w:tc>
      </w:tr>
      <w:tr w:rsidR="00ED4A6A" w14:paraId="5427AF72" w14:textId="77777777" w:rsidTr="00BF4BF4">
        <w:tc>
          <w:tcPr>
            <w:tcW w:w="1062" w:type="dxa"/>
          </w:tcPr>
          <w:p w14:paraId="6AF05875" w14:textId="0200A8E4" w:rsidR="003475A6" w:rsidRDefault="003475A6" w:rsidP="00596328">
            <w:pPr>
              <w:rPr>
                <w:rFonts w:eastAsia="Calibri" w:cs="Times New Roman"/>
                <w:bCs/>
              </w:rPr>
            </w:pPr>
            <w:r>
              <w:rPr>
                <w:rFonts w:eastAsia="Calibri" w:cs="Times New Roman"/>
                <w:bCs/>
              </w:rPr>
              <w:t>NTBS</w:t>
            </w:r>
          </w:p>
        </w:tc>
        <w:tc>
          <w:tcPr>
            <w:tcW w:w="989" w:type="dxa"/>
          </w:tcPr>
          <w:p w14:paraId="217E6283" w14:textId="3F485FA4" w:rsidR="003475A6" w:rsidRDefault="00D36798" w:rsidP="00596328">
            <w:pPr>
              <w:rPr>
                <w:rFonts w:eastAsia="Calibri" w:cs="Times New Roman"/>
                <w:bCs/>
              </w:rPr>
            </w:pPr>
            <w:r>
              <w:rPr>
                <w:rFonts w:eastAsia="Calibri" w:cs="Times New Roman"/>
                <w:bCs/>
              </w:rPr>
              <w:t>-1.943</w:t>
            </w:r>
            <w:r w:rsidR="008E4F48">
              <w:rPr>
                <w:rFonts w:eastAsia="Calibri" w:cs="Times New Roman"/>
                <w:bCs/>
              </w:rPr>
              <w:t>7</w:t>
            </w:r>
          </w:p>
        </w:tc>
        <w:tc>
          <w:tcPr>
            <w:tcW w:w="1476" w:type="dxa"/>
          </w:tcPr>
          <w:p w14:paraId="0896058C" w14:textId="40FFD91C" w:rsidR="003475A6" w:rsidRDefault="008E4F48" w:rsidP="00596328">
            <w:pPr>
              <w:rPr>
                <w:rFonts w:eastAsia="Calibri" w:cs="Times New Roman"/>
                <w:bCs/>
              </w:rPr>
            </w:pPr>
            <w:r w:rsidRPr="008E4F48">
              <w:rPr>
                <w:rFonts w:eastAsia="Calibri" w:cs="Times New Roman"/>
                <w:bCs/>
              </w:rPr>
              <w:t>-3.4335</w:t>
            </w:r>
          </w:p>
        </w:tc>
        <w:tc>
          <w:tcPr>
            <w:tcW w:w="876" w:type="dxa"/>
          </w:tcPr>
          <w:p w14:paraId="7E5F8A0C" w14:textId="6B0AE39E" w:rsidR="003475A6" w:rsidRDefault="0088102B" w:rsidP="00596328">
            <w:pPr>
              <w:rPr>
                <w:rFonts w:eastAsia="Calibri" w:cs="Times New Roman"/>
                <w:bCs/>
              </w:rPr>
            </w:pPr>
            <w:r>
              <w:rPr>
                <w:rFonts w:eastAsia="Calibri" w:cs="Times New Roman"/>
                <w:bCs/>
              </w:rPr>
              <w:t>0.6276</w:t>
            </w:r>
          </w:p>
        </w:tc>
        <w:tc>
          <w:tcPr>
            <w:tcW w:w="989" w:type="dxa"/>
          </w:tcPr>
          <w:p w14:paraId="323FE56C" w14:textId="57971043" w:rsidR="003475A6" w:rsidRDefault="0088102B" w:rsidP="00596328">
            <w:pPr>
              <w:rPr>
                <w:rFonts w:eastAsia="Calibri" w:cs="Times New Roman"/>
                <w:bCs/>
              </w:rPr>
            </w:pPr>
            <w:r>
              <w:rPr>
                <w:rFonts w:eastAsia="Calibri" w:cs="Times New Roman"/>
                <w:bCs/>
              </w:rPr>
              <w:t>-14.23</w:t>
            </w:r>
            <w:r w:rsidR="003357CF">
              <w:rPr>
                <w:rFonts w:eastAsia="Calibri" w:cs="Times New Roman"/>
                <w:bCs/>
              </w:rPr>
              <w:t>3</w:t>
            </w:r>
          </w:p>
        </w:tc>
        <w:tc>
          <w:tcPr>
            <w:tcW w:w="1476" w:type="dxa"/>
          </w:tcPr>
          <w:p w14:paraId="58512BD6" w14:textId="0CE6DDB9" w:rsidR="003475A6" w:rsidRDefault="003357CF" w:rsidP="00596328">
            <w:pPr>
              <w:rPr>
                <w:rFonts w:eastAsia="Calibri" w:cs="Times New Roman"/>
                <w:bCs/>
              </w:rPr>
            </w:pPr>
            <w:r w:rsidRPr="003357CF">
              <w:rPr>
                <w:rFonts w:eastAsia="Calibri" w:cs="Times New Roman"/>
                <w:bCs/>
              </w:rPr>
              <w:t>-3.4336</w:t>
            </w:r>
          </w:p>
        </w:tc>
        <w:tc>
          <w:tcPr>
            <w:tcW w:w="876" w:type="dxa"/>
          </w:tcPr>
          <w:p w14:paraId="3D0B9526" w14:textId="15E1DDE6" w:rsidR="003475A6" w:rsidRDefault="00E40BA5" w:rsidP="00596328">
            <w:pPr>
              <w:rPr>
                <w:rFonts w:eastAsia="Calibri" w:cs="Times New Roman"/>
                <w:bCs/>
              </w:rPr>
            </w:pPr>
            <w:r w:rsidRPr="00E40BA5">
              <w:rPr>
                <w:rFonts w:eastAsia="Calibri" w:cs="Times New Roman"/>
                <w:bCs/>
              </w:rPr>
              <w:t>0.000</w:t>
            </w:r>
          </w:p>
        </w:tc>
        <w:tc>
          <w:tcPr>
            <w:tcW w:w="1272" w:type="dxa"/>
          </w:tcPr>
          <w:p w14:paraId="00659592" w14:textId="67015C0D" w:rsidR="003475A6" w:rsidRDefault="003475A6" w:rsidP="00596328">
            <w:pPr>
              <w:rPr>
                <w:rFonts w:eastAsia="Calibri" w:cs="Times New Roman"/>
                <w:bCs/>
              </w:rPr>
            </w:pPr>
            <w:r w:rsidRPr="001F5B16">
              <w:rPr>
                <w:bCs/>
              </w:rPr>
              <w:t>I (1)</w:t>
            </w:r>
          </w:p>
        </w:tc>
      </w:tr>
      <w:tr w:rsidR="00ED4A6A" w14:paraId="68C49144" w14:textId="77777777" w:rsidTr="00BF4BF4">
        <w:tc>
          <w:tcPr>
            <w:tcW w:w="1062" w:type="dxa"/>
          </w:tcPr>
          <w:p w14:paraId="4454A77F" w14:textId="6E5BEB52" w:rsidR="003475A6" w:rsidRDefault="003475A6" w:rsidP="00596328">
            <w:pPr>
              <w:rPr>
                <w:rFonts w:eastAsia="Calibri" w:cs="Times New Roman"/>
                <w:bCs/>
              </w:rPr>
            </w:pPr>
            <w:r>
              <w:rPr>
                <w:rFonts w:eastAsia="Calibri" w:cs="Times New Roman"/>
                <w:bCs/>
              </w:rPr>
              <w:t>WAMA</w:t>
            </w:r>
          </w:p>
        </w:tc>
        <w:tc>
          <w:tcPr>
            <w:tcW w:w="989" w:type="dxa"/>
          </w:tcPr>
          <w:p w14:paraId="7EAA94B1" w14:textId="507E9153" w:rsidR="003475A6" w:rsidRDefault="00723192" w:rsidP="00596328">
            <w:pPr>
              <w:rPr>
                <w:rFonts w:eastAsia="Calibri" w:cs="Times New Roman"/>
                <w:bCs/>
              </w:rPr>
            </w:pPr>
            <w:r>
              <w:rPr>
                <w:rFonts w:eastAsia="Calibri" w:cs="Times New Roman"/>
                <w:bCs/>
              </w:rPr>
              <w:t>-1.8037</w:t>
            </w:r>
          </w:p>
        </w:tc>
        <w:tc>
          <w:tcPr>
            <w:tcW w:w="1476" w:type="dxa"/>
          </w:tcPr>
          <w:p w14:paraId="7117372B" w14:textId="39645E72" w:rsidR="003475A6" w:rsidRDefault="00E91111" w:rsidP="00596328">
            <w:pPr>
              <w:rPr>
                <w:rFonts w:eastAsia="Calibri" w:cs="Times New Roman"/>
                <w:bCs/>
              </w:rPr>
            </w:pPr>
            <w:r w:rsidRPr="00E91111">
              <w:rPr>
                <w:rFonts w:eastAsia="Calibri" w:cs="Times New Roman"/>
                <w:bCs/>
              </w:rPr>
              <w:t>-3.4335</w:t>
            </w:r>
          </w:p>
        </w:tc>
        <w:tc>
          <w:tcPr>
            <w:tcW w:w="876" w:type="dxa"/>
          </w:tcPr>
          <w:p w14:paraId="22AC69FA" w14:textId="1F01FE90" w:rsidR="003475A6" w:rsidRDefault="00E91111" w:rsidP="00596328">
            <w:pPr>
              <w:rPr>
                <w:rFonts w:eastAsia="Calibri" w:cs="Times New Roman"/>
                <w:bCs/>
              </w:rPr>
            </w:pPr>
            <w:r>
              <w:rPr>
                <w:rFonts w:eastAsia="Calibri" w:cs="Times New Roman"/>
                <w:bCs/>
              </w:rPr>
              <w:t>0.6993</w:t>
            </w:r>
          </w:p>
        </w:tc>
        <w:tc>
          <w:tcPr>
            <w:tcW w:w="989" w:type="dxa"/>
          </w:tcPr>
          <w:p w14:paraId="4B6A7150" w14:textId="14D854BE" w:rsidR="003475A6" w:rsidRDefault="00D01BDA" w:rsidP="00596328">
            <w:pPr>
              <w:rPr>
                <w:rFonts w:eastAsia="Calibri" w:cs="Times New Roman"/>
                <w:bCs/>
              </w:rPr>
            </w:pPr>
            <w:r>
              <w:rPr>
                <w:rFonts w:eastAsia="Calibri" w:cs="Times New Roman"/>
                <w:bCs/>
              </w:rPr>
              <w:t>-13.656</w:t>
            </w:r>
          </w:p>
        </w:tc>
        <w:tc>
          <w:tcPr>
            <w:tcW w:w="1476" w:type="dxa"/>
          </w:tcPr>
          <w:p w14:paraId="4D89ED91" w14:textId="11496DAA" w:rsidR="003475A6" w:rsidRDefault="00D01BDA" w:rsidP="00596328">
            <w:pPr>
              <w:rPr>
                <w:rFonts w:eastAsia="Calibri" w:cs="Times New Roman"/>
                <w:bCs/>
              </w:rPr>
            </w:pPr>
            <w:r w:rsidRPr="00D01BDA">
              <w:rPr>
                <w:rFonts w:eastAsia="Calibri" w:cs="Times New Roman"/>
                <w:bCs/>
              </w:rPr>
              <w:t>-3.4336</w:t>
            </w:r>
          </w:p>
        </w:tc>
        <w:tc>
          <w:tcPr>
            <w:tcW w:w="876" w:type="dxa"/>
          </w:tcPr>
          <w:p w14:paraId="3F6BB5E8" w14:textId="4D07EDB5" w:rsidR="003475A6" w:rsidRDefault="00E40BA5" w:rsidP="00596328">
            <w:pPr>
              <w:rPr>
                <w:rFonts w:eastAsia="Calibri" w:cs="Times New Roman"/>
                <w:bCs/>
              </w:rPr>
            </w:pPr>
            <w:r w:rsidRPr="00E40BA5">
              <w:rPr>
                <w:rFonts w:eastAsia="Calibri" w:cs="Times New Roman"/>
                <w:bCs/>
              </w:rPr>
              <w:t>0.000</w:t>
            </w:r>
          </w:p>
        </w:tc>
        <w:tc>
          <w:tcPr>
            <w:tcW w:w="1272" w:type="dxa"/>
          </w:tcPr>
          <w:p w14:paraId="222E6425" w14:textId="3A355EDA" w:rsidR="003475A6" w:rsidRDefault="003475A6" w:rsidP="00596328">
            <w:pPr>
              <w:rPr>
                <w:rFonts w:eastAsia="Calibri" w:cs="Times New Roman"/>
                <w:bCs/>
              </w:rPr>
            </w:pPr>
            <w:r w:rsidRPr="001F5B16">
              <w:rPr>
                <w:bCs/>
              </w:rPr>
              <w:t>I (1)</w:t>
            </w:r>
          </w:p>
        </w:tc>
      </w:tr>
    </w:tbl>
    <w:bookmarkEnd w:id="23"/>
    <w:p w14:paraId="298D04AB" w14:textId="1DA36E16" w:rsidR="0046150F" w:rsidRDefault="00BF4BF4" w:rsidP="00596328">
      <w:pPr>
        <w:spacing w:after="0" w:line="240" w:lineRule="auto"/>
        <w:rPr>
          <w:rFonts w:eastAsia="Calibri" w:cs="Times New Roman"/>
          <w:bCs/>
          <w:i/>
          <w:iCs/>
        </w:rPr>
      </w:pPr>
      <w:r w:rsidRPr="00BF4BF4">
        <w:rPr>
          <w:rFonts w:eastAsia="Calibri" w:cs="Times New Roman"/>
          <w:bCs/>
          <w:i/>
          <w:iCs/>
        </w:rPr>
        <w:t xml:space="preserve">Source: Computed by author using </w:t>
      </w:r>
      <w:r w:rsidR="0066300C" w:rsidRPr="00BF4BF4">
        <w:rPr>
          <w:rFonts w:eastAsia="Calibri" w:cs="Times New Roman"/>
          <w:bCs/>
          <w:i/>
          <w:iCs/>
        </w:rPr>
        <w:t>EViews</w:t>
      </w:r>
      <w:r w:rsidRPr="00BF4BF4">
        <w:rPr>
          <w:rFonts w:eastAsia="Calibri" w:cs="Times New Roman"/>
          <w:bCs/>
          <w:i/>
          <w:iCs/>
        </w:rPr>
        <w:t xml:space="preserve"> 13</w:t>
      </w:r>
    </w:p>
    <w:p w14:paraId="048EF168" w14:textId="77777777" w:rsidR="00CA141F" w:rsidRDefault="00CA141F" w:rsidP="00596328">
      <w:pPr>
        <w:spacing w:after="0" w:line="240" w:lineRule="auto"/>
        <w:rPr>
          <w:rFonts w:eastAsia="Calibri" w:cs="Times New Roman"/>
          <w:bCs/>
          <w:i/>
          <w:iCs/>
        </w:rPr>
      </w:pPr>
    </w:p>
    <w:p w14:paraId="02B90381" w14:textId="77777777" w:rsidR="008F26DA" w:rsidRDefault="008F26DA" w:rsidP="00596328">
      <w:pPr>
        <w:spacing w:after="0" w:line="240" w:lineRule="auto"/>
        <w:rPr>
          <w:rFonts w:eastAsia="Calibri" w:cs="Times New Roman"/>
          <w:bCs/>
          <w:i/>
          <w:iCs/>
        </w:rPr>
      </w:pPr>
    </w:p>
    <w:p w14:paraId="2D2AEC82" w14:textId="77777777" w:rsidR="008F26DA" w:rsidRDefault="008F26DA" w:rsidP="00596328">
      <w:pPr>
        <w:spacing w:after="0" w:line="240" w:lineRule="auto"/>
        <w:rPr>
          <w:rFonts w:eastAsia="Calibri" w:cs="Times New Roman"/>
          <w:bCs/>
          <w:i/>
          <w:iCs/>
        </w:rPr>
      </w:pPr>
    </w:p>
    <w:p w14:paraId="79EED24A" w14:textId="77777777" w:rsidR="008F26DA" w:rsidRDefault="008F26DA" w:rsidP="00596328">
      <w:pPr>
        <w:spacing w:after="0" w:line="240" w:lineRule="auto"/>
        <w:rPr>
          <w:rFonts w:eastAsia="Calibri" w:cs="Times New Roman"/>
          <w:bCs/>
          <w:i/>
          <w:iCs/>
        </w:rPr>
      </w:pPr>
    </w:p>
    <w:p w14:paraId="405A4B17" w14:textId="77777777" w:rsidR="008F26DA" w:rsidRDefault="008F26DA" w:rsidP="00596328">
      <w:pPr>
        <w:spacing w:after="0" w:line="240" w:lineRule="auto"/>
        <w:rPr>
          <w:rFonts w:eastAsia="Calibri" w:cs="Times New Roman"/>
          <w:bCs/>
          <w:i/>
          <w:iCs/>
        </w:rPr>
      </w:pPr>
    </w:p>
    <w:tbl>
      <w:tblPr>
        <w:tblStyle w:val="TableGrid"/>
        <w:tblW w:w="0" w:type="auto"/>
        <w:tblLook w:val="04A0" w:firstRow="1" w:lastRow="0" w:firstColumn="1" w:lastColumn="0" w:noHBand="0" w:noVBand="1"/>
      </w:tblPr>
      <w:tblGrid>
        <w:gridCol w:w="1068"/>
        <w:gridCol w:w="954"/>
        <w:gridCol w:w="1476"/>
        <w:gridCol w:w="876"/>
        <w:gridCol w:w="954"/>
        <w:gridCol w:w="1476"/>
        <w:gridCol w:w="876"/>
        <w:gridCol w:w="1336"/>
      </w:tblGrid>
      <w:tr w:rsidR="00AE0453" w:rsidRPr="00AE0453" w14:paraId="3F350C39" w14:textId="77777777" w:rsidTr="00264907">
        <w:tc>
          <w:tcPr>
            <w:tcW w:w="9016" w:type="dxa"/>
            <w:gridSpan w:val="8"/>
          </w:tcPr>
          <w:p w14:paraId="7B030DCB" w14:textId="4568E957" w:rsidR="00AE0453" w:rsidRPr="00AE0453" w:rsidRDefault="00AE0453" w:rsidP="00596328">
            <w:pPr>
              <w:rPr>
                <w:rFonts w:eastAsia="Calibri" w:cs="Times New Roman"/>
              </w:rPr>
            </w:pPr>
            <w:r w:rsidRPr="00AE0453">
              <w:rPr>
                <w:rFonts w:eastAsia="Calibri" w:cs="Times New Roman"/>
              </w:rPr>
              <w:t>Table 4.</w:t>
            </w:r>
            <w:r w:rsidR="00471E45">
              <w:rPr>
                <w:rFonts w:eastAsia="Calibri" w:cs="Times New Roman"/>
              </w:rPr>
              <w:t>2</w:t>
            </w:r>
            <w:r w:rsidRPr="00AE0453">
              <w:rPr>
                <w:rFonts w:eastAsia="Calibri" w:cs="Times New Roman"/>
              </w:rPr>
              <w:t xml:space="preserve">b: Phillip Peron </w:t>
            </w:r>
            <w:r w:rsidR="00082E0C">
              <w:rPr>
                <w:rFonts w:eastAsia="Calibri" w:cs="Times New Roman"/>
              </w:rPr>
              <w:t xml:space="preserve">Unit Root </w:t>
            </w:r>
            <w:r w:rsidRPr="00AE0453">
              <w:rPr>
                <w:rFonts w:eastAsia="Calibri" w:cs="Times New Roman"/>
              </w:rPr>
              <w:t>Test</w:t>
            </w:r>
          </w:p>
        </w:tc>
      </w:tr>
      <w:tr w:rsidR="006A106B" w:rsidRPr="00AE0453" w14:paraId="746BEE84" w14:textId="77777777" w:rsidTr="0066300C">
        <w:tc>
          <w:tcPr>
            <w:tcW w:w="1068" w:type="dxa"/>
            <w:vMerge w:val="restart"/>
          </w:tcPr>
          <w:p w14:paraId="7122BAB3" w14:textId="066E8E8B" w:rsidR="00AE0453" w:rsidRPr="00AE0453" w:rsidRDefault="00AE0453" w:rsidP="00596328">
            <w:pPr>
              <w:rPr>
                <w:rFonts w:eastAsia="Calibri" w:cs="Times New Roman"/>
                <w:bCs/>
              </w:rPr>
            </w:pPr>
            <w:r w:rsidRPr="00AE0453">
              <w:rPr>
                <w:rFonts w:eastAsia="Calibri" w:cs="Times New Roman"/>
                <w:bCs/>
              </w:rPr>
              <w:t>Variable</w:t>
            </w:r>
          </w:p>
        </w:tc>
        <w:tc>
          <w:tcPr>
            <w:tcW w:w="3306" w:type="dxa"/>
            <w:gridSpan w:val="3"/>
          </w:tcPr>
          <w:p w14:paraId="5C61569E" w14:textId="2BC3532B" w:rsidR="00AE0453" w:rsidRPr="00AE0453" w:rsidRDefault="00CC48BE" w:rsidP="00596328">
            <w:pPr>
              <w:rPr>
                <w:rFonts w:eastAsia="Calibri" w:cs="Times New Roman"/>
                <w:bCs/>
              </w:rPr>
            </w:pPr>
            <w:r>
              <w:rPr>
                <w:rFonts w:eastAsia="Calibri" w:cs="Times New Roman"/>
                <w:bCs/>
              </w:rPr>
              <w:t xml:space="preserve">Levels </w:t>
            </w:r>
            <w:r w:rsidR="00AE0453" w:rsidRPr="00AE0453">
              <w:rPr>
                <w:rFonts w:eastAsia="Calibri" w:cs="Times New Roman"/>
                <w:bCs/>
              </w:rPr>
              <w:t>I(</w:t>
            </w:r>
            <w:r>
              <w:rPr>
                <w:rFonts w:eastAsia="Calibri" w:cs="Times New Roman"/>
                <w:bCs/>
              </w:rPr>
              <w:t>0</w:t>
            </w:r>
            <w:r w:rsidR="00AE0453" w:rsidRPr="00AE0453">
              <w:rPr>
                <w:rFonts w:eastAsia="Calibri" w:cs="Times New Roman"/>
                <w:bCs/>
              </w:rPr>
              <w:t>)</w:t>
            </w:r>
          </w:p>
        </w:tc>
        <w:tc>
          <w:tcPr>
            <w:tcW w:w="4642" w:type="dxa"/>
            <w:gridSpan w:val="4"/>
          </w:tcPr>
          <w:p w14:paraId="1D44D354" w14:textId="23298081" w:rsidR="00AE0453" w:rsidRPr="00AE0453" w:rsidRDefault="00CC48BE" w:rsidP="00596328">
            <w:pPr>
              <w:rPr>
                <w:rFonts w:eastAsia="Calibri" w:cs="Times New Roman"/>
                <w:bCs/>
              </w:rPr>
            </w:pPr>
            <w:r>
              <w:rPr>
                <w:rFonts w:eastAsia="Calibri" w:cs="Times New Roman"/>
                <w:bCs/>
              </w:rPr>
              <w:t xml:space="preserve">First Difference </w:t>
            </w:r>
            <w:r w:rsidR="00AE0453" w:rsidRPr="00AE0453">
              <w:rPr>
                <w:rFonts w:eastAsia="Calibri" w:cs="Times New Roman"/>
                <w:bCs/>
              </w:rPr>
              <w:t>I(1)</w:t>
            </w:r>
          </w:p>
        </w:tc>
      </w:tr>
      <w:tr w:rsidR="0066300C" w:rsidRPr="00AE0453" w14:paraId="348EE4BD" w14:textId="77777777" w:rsidTr="0066300C">
        <w:tc>
          <w:tcPr>
            <w:tcW w:w="1068" w:type="dxa"/>
            <w:vMerge/>
          </w:tcPr>
          <w:p w14:paraId="6BAA3636" w14:textId="77777777" w:rsidR="00AE0453" w:rsidRPr="00AE0453" w:rsidRDefault="00AE0453" w:rsidP="00596328">
            <w:pPr>
              <w:rPr>
                <w:rFonts w:eastAsia="Calibri" w:cs="Times New Roman"/>
                <w:bCs/>
              </w:rPr>
            </w:pPr>
          </w:p>
        </w:tc>
        <w:tc>
          <w:tcPr>
            <w:tcW w:w="954" w:type="dxa"/>
          </w:tcPr>
          <w:p w14:paraId="7BEEA3FC" w14:textId="4D7285A0" w:rsidR="00AE0453" w:rsidRPr="00AE0453" w:rsidRDefault="000450BB" w:rsidP="00596328">
            <w:pPr>
              <w:rPr>
                <w:rFonts w:eastAsia="Calibri" w:cs="Times New Roman"/>
                <w:bCs/>
              </w:rPr>
            </w:pPr>
            <w:r>
              <w:rPr>
                <w:rFonts w:eastAsia="Calibri" w:cs="Times New Roman"/>
                <w:bCs/>
              </w:rPr>
              <w:t>Test</w:t>
            </w:r>
            <w:r w:rsidR="00AE0453" w:rsidRPr="00AE0453">
              <w:rPr>
                <w:rFonts w:eastAsia="Calibri" w:cs="Times New Roman"/>
                <w:bCs/>
              </w:rPr>
              <w:t xml:space="preserve"> statistic</w:t>
            </w:r>
          </w:p>
        </w:tc>
        <w:tc>
          <w:tcPr>
            <w:tcW w:w="1476" w:type="dxa"/>
          </w:tcPr>
          <w:p w14:paraId="0D15E9D2" w14:textId="06FD20BE" w:rsidR="00AE0453" w:rsidRPr="00AE0453" w:rsidRDefault="00AE0453" w:rsidP="00596328">
            <w:pPr>
              <w:rPr>
                <w:rFonts w:eastAsia="Calibri" w:cs="Times New Roman"/>
                <w:bCs/>
              </w:rPr>
            </w:pPr>
            <w:r w:rsidRPr="001F5B16">
              <w:t xml:space="preserve">5% </w:t>
            </w:r>
            <w:r>
              <w:t>Level of S</w:t>
            </w:r>
            <w:r w:rsidRPr="001F5B16">
              <w:t>ig</w:t>
            </w:r>
            <w:r>
              <w:t>nificance.</w:t>
            </w:r>
          </w:p>
        </w:tc>
        <w:tc>
          <w:tcPr>
            <w:tcW w:w="876" w:type="dxa"/>
          </w:tcPr>
          <w:p w14:paraId="1CB7C6BA" w14:textId="37DDC71B" w:rsidR="00AE0453" w:rsidRPr="00AE0453" w:rsidRDefault="00AE0453" w:rsidP="00596328">
            <w:pPr>
              <w:rPr>
                <w:rFonts w:eastAsia="Calibri" w:cs="Times New Roman"/>
                <w:bCs/>
              </w:rPr>
            </w:pPr>
            <w:r w:rsidRPr="001F5B16">
              <w:t>Prob. Value</w:t>
            </w:r>
          </w:p>
        </w:tc>
        <w:tc>
          <w:tcPr>
            <w:tcW w:w="954" w:type="dxa"/>
          </w:tcPr>
          <w:p w14:paraId="514F9234" w14:textId="522C257C" w:rsidR="00AE0453" w:rsidRPr="00AE0453" w:rsidRDefault="00AE0453" w:rsidP="00596328">
            <w:pPr>
              <w:rPr>
                <w:rFonts w:eastAsia="Calibri" w:cs="Times New Roman"/>
                <w:bCs/>
              </w:rPr>
            </w:pPr>
            <w:r w:rsidRPr="001F5B16">
              <w:t>ADF statistic</w:t>
            </w:r>
          </w:p>
        </w:tc>
        <w:tc>
          <w:tcPr>
            <w:tcW w:w="1476" w:type="dxa"/>
          </w:tcPr>
          <w:p w14:paraId="74A8BD6A" w14:textId="02A6D540" w:rsidR="00AE0453" w:rsidRPr="00AE0453" w:rsidRDefault="00AE0453" w:rsidP="00596328">
            <w:pPr>
              <w:rPr>
                <w:rFonts w:eastAsia="Calibri" w:cs="Times New Roman"/>
                <w:bCs/>
              </w:rPr>
            </w:pPr>
            <w:r w:rsidRPr="00AE0453">
              <w:t>5% Level of Significance</w:t>
            </w:r>
            <w:r>
              <w:t>.</w:t>
            </w:r>
          </w:p>
        </w:tc>
        <w:tc>
          <w:tcPr>
            <w:tcW w:w="876" w:type="dxa"/>
          </w:tcPr>
          <w:p w14:paraId="08777443" w14:textId="554FAB80" w:rsidR="00AE0453" w:rsidRPr="00AE0453" w:rsidRDefault="00AE0453" w:rsidP="00596328">
            <w:pPr>
              <w:rPr>
                <w:rFonts w:eastAsia="Calibri" w:cs="Times New Roman"/>
                <w:bCs/>
              </w:rPr>
            </w:pPr>
            <w:r w:rsidRPr="001F5B16">
              <w:t>Prob. Value</w:t>
            </w:r>
          </w:p>
        </w:tc>
        <w:tc>
          <w:tcPr>
            <w:tcW w:w="1336" w:type="dxa"/>
          </w:tcPr>
          <w:p w14:paraId="69B3DF6A" w14:textId="6C7330A1" w:rsidR="00AE0453" w:rsidRPr="00AE0453" w:rsidRDefault="00AE0453" w:rsidP="00596328">
            <w:pPr>
              <w:rPr>
                <w:rFonts w:eastAsia="Calibri" w:cs="Times New Roman"/>
                <w:bCs/>
              </w:rPr>
            </w:pPr>
            <w:r w:rsidRPr="001F5B16">
              <w:t>Order of Stationarity</w:t>
            </w:r>
          </w:p>
        </w:tc>
      </w:tr>
      <w:tr w:rsidR="0066300C" w:rsidRPr="00AE0453" w14:paraId="53D76F58" w14:textId="77777777" w:rsidTr="0066300C">
        <w:tc>
          <w:tcPr>
            <w:tcW w:w="1068" w:type="dxa"/>
          </w:tcPr>
          <w:p w14:paraId="68E9EA78" w14:textId="64970552" w:rsidR="003475A6" w:rsidRPr="00AE0453" w:rsidRDefault="00D76277" w:rsidP="00596328">
            <w:pPr>
              <w:rPr>
                <w:rFonts w:eastAsia="Calibri" w:cs="Times New Roman"/>
                <w:bCs/>
              </w:rPr>
            </w:pPr>
            <w:r>
              <w:rPr>
                <w:rFonts w:eastAsia="Calibri" w:cs="Times New Roman"/>
                <w:bCs/>
              </w:rPr>
              <w:t>CPI</w:t>
            </w:r>
          </w:p>
        </w:tc>
        <w:tc>
          <w:tcPr>
            <w:tcW w:w="954" w:type="dxa"/>
          </w:tcPr>
          <w:p w14:paraId="70D4E631" w14:textId="48F74BAB" w:rsidR="003475A6" w:rsidRPr="00AE0453" w:rsidRDefault="0060171B" w:rsidP="00596328">
            <w:pPr>
              <w:rPr>
                <w:rFonts w:eastAsia="Calibri" w:cs="Times New Roman"/>
                <w:bCs/>
              </w:rPr>
            </w:pPr>
            <w:r>
              <w:rPr>
                <w:rFonts w:eastAsia="Calibri" w:cs="Times New Roman"/>
                <w:bCs/>
              </w:rPr>
              <w:t>5.035</w:t>
            </w:r>
            <w:r w:rsidR="007A5F21">
              <w:rPr>
                <w:rFonts w:eastAsia="Calibri" w:cs="Times New Roman"/>
                <w:bCs/>
              </w:rPr>
              <w:t>7</w:t>
            </w:r>
          </w:p>
        </w:tc>
        <w:tc>
          <w:tcPr>
            <w:tcW w:w="1476" w:type="dxa"/>
          </w:tcPr>
          <w:p w14:paraId="328FD585" w14:textId="747C880E" w:rsidR="003475A6" w:rsidRPr="00AE0453" w:rsidRDefault="007A5F21" w:rsidP="00596328">
            <w:pPr>
              <w:rPr>
                <w:rFonts w:eastAsia="Calibri" w:cs="Times New Roman"/>
                <w:bCs/>
              </w:rPr>
            </w:pPr>
            <w:r>
              <w:rPr>
                <w:rFonts w:eastAsia="Calibri" w:cs="Times New Roman"/>
                <w:bCs/>
              </w:rPr>
              <w:t>-3.4335</w:t>
            </w:r>
          </w:p>
        </w:tc>
        <w:tc>
          <w:tcPr>
            <w:tcW w:w="876" w:type="dxa"/>
          </w:tcPr>
          <w:p w14:paraId="52FF2290" w14:textId="4F6AD431" w:rsidR="003475A6" w:rsidRPr="00AE0453" w:rsidRDefault="00E913A8" w:rsidP="00596328">
            <w:pPr>
              <w:rPr>
                <w:rFonts w:eastAsia="Calibri" w:cs="Times New Roman"/>
                <w:bCs/>
              </w:rPr>
            </w:pPr>
            <w:r>
              <w:rPr>
                <w:rFonts w:eastAsia="Calibri" w:cs="Times New Roman"/>
                <w:bCs/>
              </w:rPr>
              <w:t>1.0000</w:t>
            </w:r>
          </w:p>
        </w:tc>
        <w:tc>
          <w:tcPr>
            <w:tcW w:w="954" w:type="dxa"/>
          </w:tcPr>
          <w:p w14:paraId="20DDC096" w14:textId="1EBC401F" w:rsidR="003475A6" w:rsidRPr="00AE0453" w:rsidRDefault="007E1C42" w:rsidP="00596328">
            <w:pPr>
              <w:rPr>
                <w:rFonts w:eastAsia="Calibri" w:cs="Times New Roman"/>
                <w:bCs/>
              </w:rPr>
            </w:pPr>
            <w:r w:rsidRPr="007E1C42">
              <w:rPr>
                <w:rFonts w:eastAsia="Calibri" w:cs="Times New Roman"/>
                <w:bCs/>
              </w:rPr>
              <w:t>-11.08</w:t>
            </w:r>
          </w:p>
        </w:tc>
        <w:tc>
          <w:tcPr>
            <w:tcW w:w="1476" w:type="dxa"/>
          </w:tcPr>
          <w:p w14:paraId="7631FEE6" w14:textId="38DE8321" w:rsidR="003475A6" w:rsidRPr="00AE0453" w:rsidRDefault="00FE4C4B" w:rsidP="00596328">
            <w:pPr>
              <w:rPr>
                <w:rFonts w:eastAsia="Calibri" w:cs="Times New Roman"/>
                <w:bCs/>
              </w:rPr>
            </w:pPr>
            <w:r>
              <w:rPr>
                <w:rFonts w:eastAsia="Calibri" w:cs="Times New Roman"/>
                <w:bCs/>
              </w:rPr>
              <w:t>-3.4336</w:t>
            </w:r>
          </w:p>
        </w:tc>
        <w:tc>
          <w:tcPr>
            <w:tcW w:w="876" w:type="dxa"/>
          </w:tcPr>
          <w:p w14:paraId="770CB789" w14:textId="20DD07D9" w:rsidR="003475A6" w:rsidRPr="00AE0453" w:rsidRDefault="003475A6" w:rsidP="00596328">
            <w:pPr>
              <w:rPr>
                <w:rFonts w:eastAsia="Calibri" w:cs="Times New Roman"/>
                <w:bCs/>
              </w:rPr>
            </w:pPr>
            <w:r w:rsidRPr="003475A6">
              <w:rPr>
                <w:rFonts w:eastAsia="Calibri" w:cs="Times New Roman"/>
                <w:bCs/>
              </w:rPr>
              <w:t>0.000</w:t>
            </w:r>
          </w:p>
        </w:tc>
        <w:tc>
          <w:tcPr>
            <w:tcW w:w="1336" w:type="dxa"/>
          </w:tcPr>
          <w:p w14:paraId="3DE9F7E2" w14:textId="5C2D7F61" w:rsidR="003475A6" w:rsidRPr="00AE0453" w:rsidRDefault="003475A6" w:rsidP="00596328">
            <w:pPr>
              <w:rPr>
                <w:rFonts w:eastAsia="Calibri" w:cs="Times New Roman"/>
                <w:bCs/>
              </w:rPr>
            </w:pPr>
            <w:r w:rsidRPr="001F5B16">
              <w:rPr>
                <w:bCs/>
              </w:rPr>
              <w:t>I (1)</w:t>
            </w:r>
          </w:p>
        </w:tc>
      </w:tr>
      <w:tr w:rsidR="0066300C" w:rsidRPr="00AE0453" w14:paraId="14543FD5" w14:textId="77777777" w:rsidTr="0066300C">
        <w:tc>
          <w:tcPr>
            <w:tcW w:w="1068" w:type="dxa"/>
          </w:tcPr>
          <w:p w14:paraId="0AD75F6F" w14:textId="69F68BBE" w:rsidR="003475A6" w:rsidRPr="00AE0453" w:rsidRDefault="003475A6" w:rsidP="00596328">
            <w:pPr>
              <w:rPr>
                <w:rFonts w:eastAsia="Calibri" w:cs="Times New Roman"/>
                <w:bCs/>
              </w:rPr>
            </w:pPr>
            <w:r>
              <w:rPr>
                <w:rFonts w:eastAsia="Calibri" w:cs="Times New Roman"/>
                <w:bCs/>
              </w:rPr>
              <w:t>M1</w:t>
            </w:r>
          </w:p>
        </w:tc>
        <w:tc>
          <w:tcPr>
            <w:tcW w:w="954" w:type="dxa"/>
          </w:tcPr>
          <w:p w14:paraId="0374DE59" w14:textId="3A1F8E87" w:rsidR="003475A6" w:rsidRPr="00AE0453" w:rsidRDefault="00B45548" w:rsidP="00596328">
            <w:pPr>
              <w:rPr>
                <w:rFonts w:eastAsia="Calibri" w:cs="Times New Roman"/>
                <w:bCs/>
              </w:rPr>
            </w:pPr>
            <w:r>
              <w:rPr>
                <w:rFonts w:eastAsia="Calibri" w:cs="Times New Roman"/>
                <w:bCs/>
              </w:rPr>
              <w:t>0.7837</w:t>
            </w:r>
          </w:p>
        </w:tc>
        <w:tc>
          <w:tcPr>
            <w:tcW w:w="1476" w:type="dxa"/>
          </w:tcPr>
          <w:p w14:paraId="3582B893" w14:textId="5BF4169E" w:rsidR="003475A6" w:rsidRPr="00AE0453" w:rsidRDefault="00B45548" w:rsidP="00596328">
            <w:pPr>
              <w:rPr>
                <w:rFonts w:eastAsia="Calibri" w:cs="Times New Roman"/>
                <w:bCs/>
              </w:rPr>
            </w:pPr>
            <w:r>
              <w:rPr>
                <w:rFonts w:eastAsia="Calibri" w:cs="Times New Roman"/>
                <w:bCs/>
              </w:rPr>
              <w:t>-3.4335</w:t>
            </w:r>
          </w:p>
        </w:tc>
        <w:tc>
          <w:tcPr>
            <w:tcW w:w="876" w:type="dxa"/>
          </w:tcPr>
          <w:p w14:paraId="72EFBABD" w14:textId="15D602B3" w:rsidR="003475A6" w:rsidRPr="00AE0453" w:rsidRDefault="000A554F" w:rsidP="00596328">
            <w:pPr>
              <w:rPr>
                <w:rFonts w:eastAsia="Calibri" w:cs="Times New Roman"/>
                <w:bCs/>
              </w:rPr>
            </w:pPr>
            <w:r>
              <w:rPr>
                <w:rFonts w:eastAsia="Calibri" w:cs="Times New Roman"/>
                <w:bCs/>
              </w:rPr>
              <w:t>0.9997</w:t>
            </w:r>
          </w:p>
        </w:tc>
        <w:tc>
          <w:tcPr>
            <w:tcW w:w="954" w:type="dxa"/>
          </w:tcPr>
          <w:p w14:paraId="71DBCE9B" w14:textId="04FD3FC5" w:rsidR="003475A6" w:rsidRPr="00AE0453" w:rsidRDefault="000A554F" w:rsidP="00596328">
            <w:pPr>
              <w:rPr>
                <w:rFonts w:eastAsia="Calibri" w:cs="Times New Roman"/>
                <w:bCs/>
              </w:rPr>
            </w:pPr>
            <w:r>
              <w:rPr>
                <w:rFonts w:eastAsia="Calibri" w:cs="Times New Roman"/>
                <w:bCs/>
              </w:rPr>
              <w:t>-16.49</w:t>
            </w:r>
          </w:p>
        </w:tc>
        <w:tc>
          <w:tcPr>
            <w:tcW w:w="1476" w:type="dxa"/>
          </w:tcPr>
          <w:p w14:paraId="18920A85" w14:textId="270F7E30" w:rsidR="003475A6" w:rsidRPr="00AE0453" w:rsidRDefault="00A57EF5" w:rsidP="00596328">
            <w:pPr>
              <w:rPr>
                <w:rFonts w:eastAsia="Calibri" w:cs="Times New Roman"/>
                <w:bCs/>
              </w:rPr>
            </w:pPr>
            <w:r>
              <w:rPr>
                <w:rFonts w:eastAsia="Calibri" w:cs="Times New Roman"/>
                <w:bCs/>
              </w:rPr>
              <w:t>-3.4336</w:t>
            </w:r>
          </w:p>
        </w:tc>
        <w:tc>
          <w:tcPr>
            <w:tcW w:w="876" w:type="dxa"/>
          </w:tcPr>
          <w:p w14:paraId="35AA4DAF" w14:textId="6CA44548" w:rsidR="003475A6" w:rsidRPr="00AE0453" w:rsidRDefault="003475A6" w:rsidP="00596328">
            <w:pPr>
              <w:rPr>
                <w:rFonts w:eastAsia="Calibri" w:cs="Times New Roman"/>
                <w:bCs/>
              </w:rPr>
            </w:pPr>
            <w:r w:rsidRPr="003475A6">
              <w:rPr>
                <w:rFonts w:eastAsia="Calibri" w:cs="Times New Roman"/>
                <w:bCs/>
              </w:rPr>
              <w:t>0.000</w:t>
            </w:r>
            <w:r w:rsidR="00301D70">
              <w:rPr>
                <w:rFonts w:eastAsia="Calibri" w:cs="Times New Roman"/>
                <w:bCs/>
              </w:rPr>
              <w:t>0</w:t>
            </w:r>
          </w:p>
        </w:tc>
        <w:tc>
          <w:tcPr>
            <w:tcW w:w="1336" w:type="dxa"/>
          </w:tcPr>
          <w:p w14:paraId="61730358" w14:textId="587C92A0" w:rsidR="003475A6" w:rsidRPr="00AE0453" w:rsidRDefault="003475A6" w:rsidP="00596328">
            <w:pPr>
              <w:rPr>
                <w:rFonts w:eastAsia="Calibri" w:cs="Times New Roman"/>
                <w:bCs/>
              </w:rPr>
            </w:pPr>
            <w:r w:rsidRPr="001F5B16">
              <w:rPr>
                <w:bCs/>
              </w:rPr>
              <w:t>I (1)</w:t>
            </w:r>
          </w:p>
        </w:tc>
      </w:tr>
      <w:tr w:rsidR="0066300C" w:rsidRPr="00AE0453" w14:paraId="5DD01E1C" w14:textId="77777777" w:rsidTr="0066300C">
        <w:tc>
          <w:tcPr>
            <w:tcW w:w="1068" w:type="dxa"/>
          </w:tcPr>
          <w:p w14:paraId="00EAED2F" w14:textId="2A035BF2" w:rsidR="00D76277" w:rsidRDefault="00D76277" w:rsidP="00596328">
            <w:pPr>
              <w:rPr>
                <w:rFonts w:eastAsia="Calibri" w:cs="Times New Roman"/>
                <w:bCs/>
              </w:rPr>
            </w:pPr>
            <w:r>
              <w:rPr>
                <w:rFonts w:eastAsia="Calibri" w:cs="Times New Roman"/>
                <w:bCs/>
              </w:rPr>
              <w:t>INB</w:t>
            </w:r>
          </w:p>
        </w:tc>
        <w:tc>
          <w:tcPr>
            <w:tcW w:w="954" w:type="dxa"/>
          </w:tcPr>
          <w:p w14:paraId="4F99C1AC" w14:textId="02840B90" w:rsidR="00D76277" w:rsidRPr="00AE0453" w:rsidRDefault="00194D8A" w:rsidP="00596328">
            <w:pPr>
              <w:rPr>
                <w:rFonts w:eastAsia="Calibri" w:cs="Times New Roman"/>
                <w:bCs/>
              </w:rPr>
            </w:pPr>
            <w:r>
              <w:rPr>
                <w:rFonts w:eastAsia="Calibri" w:cs="Times New Roman"/>
                <w:bCs/>
              </w:rPr>
              <w:t>-9.153</w:t>
            </w:r>
          </w:p>
        </w:tc>
        <w:tc>
          <w:tcPr>
            <w:tcW w:w="1476" w:type="dxa"/>
          </w:tcPr>
          <w:p w14:paraId="58A7B3A8" w14:textId="2DEA2D97" w:rsidR="00D76277" w:rsidRPr="00AE0453" w:rsidRDefault="004E2723" w:rsidP="00596328">
            <w:pPr>
              <w:rPr>
                <w:rFonts w:eastAsia="Calibri" w:cs="Times New Roman"/>
                <w:bCs/>
              </w:rPr>
            </w:pPr>
            <w:r>
              <w:rPr>
                <w:rFonts w:eastAsia="Calibri" w:cs="Times New Roman"/>
                <w:bCs/>
              </w:rPr>
              <w:t>-3.4335</w:t>
            </w:r>
          </w:p>
        </w:tc>
        <w:tc>
          <w:tcPr>
            <w:tcW w:w="876" w:type="dxa"/>
          </w:tcPr>
          <w:p w14:paraId="34A426F9" w14:textId="58B6B55A" w:rsidR="00D76277" w:rsidRPr="00AE0453" w:rsidRDefault="004E2723" w:rsidP="00596328">
            <w:pPr>
              <w:rPr>
                <w:rFonts w:eastAsia="Calibri" w:cs="Times New Roman"/>
                <w:bCs/>
              </w:rPr>
            </w:pPr>
            <w:r>
              <w:rPr>
                <w:rFonts w:eastAsia="Calibri" w:cs="Times New Roman"/>
                <w:bCs/>
              </w:rPr>
              <w:t>0.0000</w:t>
            </w:r>
          </w:p>
        </w:tc>
        <w:tc>
          <w:tcPr>
            <w:tcW w:w="954" w:type="dxa"/>
          </w:tcPr>
          <w:p w14:paraId="1877EA5D" w14:textId="7502BC43" w:rsidR="00D76277" w:rsidRPr="00AE0453" w:rsidRDefault="00BA3B32" w:rsidP="00596328">
            <w:pPr>
              <w:rPr>
                <w:rFonts w:eastAsia="Calibri" w:cs="Times New Roman"/>
                <w:bCs/>
              </w:rPr>
            </w:pPr>
            <w:r>
              <w:rPr>
                <w:rFonts w:eastAsia="Calibri" w:cs="Times New Roman"/>
                <w:bCs/>
              </w:rPr>
              <w:t>-45</w:t>
            </w:r>
            <w:r w:rsidR="00565E85">
              <w:rPr>
                <w:rFonts w:eastAsia="Calibri" w:cs="Times New Roman"/>
                <w:bCs/>
              </w:rPr>
              <w:t>.</w:t>
            </w:r>
            <w:r>
              <w:rPr>
                <w:rFonts w:eastAsia="Calibri" w:cs="Times New Roman"/>
                <w:bCs/>
              </w:rPr>
              <w:t>70</w:t>
            </w:r>
          </w:p>
        </w:tc>
        <w:tc>
          <w:tcPr>
            <w:tcW w:w="1476" w:type="dxa"/>
          </w:tcPr>
          <w:p w14:paraId="4B66A556" w14:textId="01536B80" w:rsidR="00D76277" w:rsidRPr="00AE0453" w:rsidRDefault="00301D70" w:rsidP="00596328">
            <w:pPr>
              <w:rPr>
                <w:rFonts w:eastAsia="Calibri" w:cs="Times New Roman"/>
                <w:bCs/>
              </w:rPr>
            </w:pPr>
            <w:r w:rsidRPr="00301D70">
              <w:rPr>
                <w:rFonts w:eastAsia="Calibri" w:cs="Times New Roman"/>
                <w:bCs/>
              </w:rPr>
              <w:t>-3.4336</w:t>
            </w:r>
          </w:p>
        </w:tc>
        <w:tc>
          <w:tcPr>
            <w:tcW w:w="876" w:type="dxa"/>
          </w:tcPr>
          <w:p w14:paraId="3BE1ACE2" w14:textId="2ABB4073" w:rsidR="00D76277" w:rsidRPr="002458F1" w:rsidRDefault="00301D70" w:rsidP="00596328">
            <w:pPr>
              <w:rPr>
                <w:rFonts w:eastAsia="Calibri" w:cs="Times New Roman"/>
                <w:bCs/>
              </w:rPr>
            </w:pPr>
            <w:r>
              <w:rPr>
                <w:rFonts w:eastAsia="Calibri" w:cs="Times New Roman"/>
                <w:bCs/>
              </w:rPr>
              <w:t>0.0001</w:t>
            </w:r>
          </w:p>
        </w:tc>
        <w:tc>
          <w:tcPr>
            <w:tcW w:w="1336" w:type="dxa"/>
          </w:tcPr>
          <w:p w14:paraId="5BB22F5E" w14:textId="0B125142" w:rsidR="00D76277" w:rsidRPr="001F5B16" w:rsidRDefault="00A2558D" w:rsidP="00596328">
            <w:pPr>
              <w:rPr>
                <w:bCs/>
              </w:rPr>
            </w:pPr>
            <w:r w:rsidRPr="00A2558D">
              <w:rPr>
                <w:bCs/>
              </w:rPr>
              <w:t>I (0)</w:t>
            </w:r>
          </w:p>
        </w:tc>
      </w:tr>
      <w:tr w:rsidR="0066300C" w:rsidRPr="00AE0453" w14:paraId="225BAEE0" w14:textId="77777777" w:rsidTr="0066300C">
        <w:tc>
          <w:tcPr>
            <w:tcW w:w="1068" w:type="dxa"/>
          </w:tcPr>
          <w:p w14:paraId="7F218154" w14:textId="2813C6DE" w:rsidR="003475A6" w:rsidRPr="00AE0453" w:rsidRDefault="009E71A2" w:rsidP="00596328">
            <w:pPr>
              <w:rPr>
                <w:rFonts w:eastAsia="Calibri" w:cs="Times New Roman"/>
                <w:bCs/>
              </w:rPr>
            </w:pPr>
            <w:r>
              <w:rPr>
                <w:rFonts w:eastAsia="Calibri" w:cs="Times New Roman"/>
                <w:bCs/>
              </w:rPr>
              <w:t>TC</w:t>
            </w:r>
          </w:p>
        </w:tc>
        <w:tc>
          <w:tcPr>
            <w:tcW w:w="954" w:type="dxa"/>
          </w:tcPr>
          <w:p w14:paraId="436B6123" w14:textId="5723CF36" w:rsidR="003475A6" w:rsidRPr="00AE0453" w:rsidRDefault="00CA0EA2" w:rsidP="00596328">
            <w:pPr>
              <w:rPr>
                <w:rFonts w:eastAsia="Calibri" w:cs="Times New Roman"/>
                <w:bCs/>
              </w:rPr>
            </w:pPr>
            <w:r>
              <w:rPr>
                <w:rFonts w:eastAsia="Calibri" w:cs="Times New Roman"/>
                <w:bCs/>
              </w:rPr>
              <w:t>-1.831</w:t>
            </w:r>
          </w:p>
        </w:tc>
        <w:tc>
          <w:tcPr>
            <w:tcW w:w="1476" w:type="dxa"/>
          </w:tcPr>
          <w:p w14:paraId="097A4BAB" w14:textId="0C86E16C" w:rsidR="003475A6" w:rsidRPr="00AE0453" w:rsidRDefault="00773AA1" w:rsidP="00596328">
            <w:pPr>
              <w:rPr>
                <w:rFonts w:eastAsia="Calibri" w:cs="Times New Roman"/>
                <w:bCs/>
              </w:rPr>
            </w:pPr>
            <w:r w:rsidRPr="00773AA1">
              <w:rPr>
                <w:rFonts w:eastAsia="Calibri" w:cs="Times New Roman"/>
                <w:bCs/>
              </w:rPr>
              <w:t>-3.4335</w:t>
            </w:r>
          </w:p>
        </w:tc>
        <w:tc>
          <w:tcPr>
            <w:tcW w:w="876" w:type="dxa"/>
          </w:tcPr>
          <w:p w14:paraId="33B58B54" w14:textId="350783E4" w:rsidR="003475A6" w:rsidRPr="00AE0453" w:rsidRDefault="00773AA1" w:rsidP="00596328">
            <w:pPr>
              <w:rPr>
                <w:rFonts w:eastAsia="Calibri" w:cs="Times New Roman"/>
                <w:bCs/>
              </w:rPr>
            </w:pPr>
            <w:r>
              <w:rPr>
                <w:rFonts w:eastAsia="Calibri" w:cs="Times New Roman"/>
                <w:bCs/>
              </w:rPr>
              <w:t>0.6855</w:t>
            </w:r>
          </w:p>
        </w:tc>
        <w:tc>
          <w:tcPr>
            <w:tcW w:w="954" w:type="dxa"/>
          </w:tcPr>
          <w:p w14:paraId="56AEF5CC" w14:textId="728FF303" w:rsidR="003475A6" w:rsidRPr="00AE0453" w:rsidRDefault="008A66E5" w:rsidP="00596328">
            <w:pPr>
              <w:rPr>
                <w:rFonts w:eastAsia="Calibri" w:cs="Times New Roman"/>
                <w:bCs/>
              </w:rPr>
            </w:pPr>
            <w:r>
              <w:rPr>
                <w:rFonts w:eastAsia="Calibri" w:cs="Times New Roman"/>
                <w:bCs/>
              </w:rPr>
              <w:t>-12.94</w:t>
            </w:r>
          </w:p>
        </w:tc>
        <w:tc>
          <w:tcPr>
            <w:tcW w:w="1476" w:type="dxa"/>
          </w:tcPr>
          <w:p w14:paraId="11187C9D" w14:textId="381240FF" w:rsidR="003475A6" w:rsidRPr="00AE0453" w:rsidRDefault="00465ECA" w:rsidP="00596328">
            <w:pPr>
              <w:rPr>
                <w:rFonts w:eastAsia="Calibri" w:cs="Times New Roman"/>
                <w:bCs/>
              </w:rPr>
            </w:pPr>
            <w:r w:rsidRPr="00465ECA">
              <w:rPr>
                <w:rFonts w:eastAsia="Calibri" w:cs="Times New Roman"/>
                <w:bCs/>
              </w:rPr>
              <w:t>-3.433</w:t>
            </w:r>
            <w:r>
              <w:rPr>
                <w:rFonts w:eastAsia="Calibri" w:cs="Times New Roman"/>
                <w:bCs/>
              </w:rPr>
              <w:t>6</w:t>
            </w:r>
          </w:p>
        </w:tc>
        <w:tc>
          <w:tcPr>
            <w:tcW w:w="876" w:type="dxa"/>
          </w:tcPr>
          <w:p w14:paraId="73713CEB" w14:textId="2308AB13" w:rsidR="003475A6" w:rsidRPr="00AE0453" w:rsidRDefault="002458F1" w:rsidP="00596328">
            <w:pPr>
              <w:rPr>
                <w:rFonts w:eastAsia="Calibri" w:cs="Times New Roman"/>
                <w:bCs/>
              </w:rPr>
            </w:pPr>
            <w:r w:rsidRPr="002458F1">
              <w:rPr>
                <w:rFonts w:eastAsia="Calibri" w:cs="Times New Roman"/>
                <w:bCs/>
              </w:rPr>
              <w:t>0.000</w:t>
            </w:r>
          </w:p>
        </w:tc>
        <w:tc>
          <w:tcPr>
            <w:tcW w:w="1336" w:type="dxa"/>
          </w:tcPr>
          <w:p w14:paraId="5A3AF1D0" w14:textId="3E11F950" w:rsidR="003475A6" w:rsidRPr="00AE0453" w:rsidRDefault="003475A6" w:rsidP="00596328">
            <w:pPr>
              <w:rPr>
                <w:rFonts w:eastAsia="Calibri" w:cs="Times New Roman"/>
                <w:bCs/>
              </w:rPr>
            </w:pPr>
            <w:r w:rsidRPr="001F5B16">
              <w:rPr>
                <w:bCs/>
              </w:rPr>
              <w:t>I (1)</w:t>
            </w:r>
          </w:p>
        </w:tc>
      </w:tr>
      <w:tr w:rsidR="0066300C" w:rsidRPr="00AE0453" w14:paraId="1B5354FF" w14:textId="77777777" w:rsidTr="0066300C">
        <w:tc>
          <w:tcPr>
            <w:tcW w:w="1068" w:type="dxa"/>
          </w:tcPr>
          <w:p w14:paraId="325099F2" w14:textId="325BEA4A" w:rsidR="003475A6" w:rsidRPr="00AE0453" w:rsidRDefault="003475A6" w:rsidP="00596328">
            <w:pPr>
              <w:rPr>
                <w:rFonts w:eastAsia="Calibri" w:cs="Times New Roman"/>
                <w:bCs/>
              </w:rPr>
            </w:pPr>
            <w:r w:rsidRPr="00AE0453">
              <w:rPr>
                <w:rFonts w:eastAsia="Calibri" w:cs="Times New Roman"/>
                <w:bCs/>
              </w:rPr>
              <w:t>AEXR</w:t>
            </w:r>
          </w:p>
        </w:tc>
        <w:tc>
          <w:tcPr>
            <w:tcW w:w="954" w:type="dxa"/>
          </w:tcPr>
          <w:p w14:paraId="592EB932" w14:textId="18D42D34" w:rsidR="003475A6" w:rsidRPr="00AE0453" w:rsidRDefault="00870735" w:rsidP="00596328">
            <w:pPr>
              <w:rPr>
                <w:rFonts w:eastAsia="Calibri" w:cs="Times New Roman"/>
                <w:bCs/>
              </w:rPr>
            </w:pPr>
            <w:r>
              <w:rPr>
                <w:rFonts w:eastAsia="Calibri" w:cs="Times New Roman"/>
                <w:bCs/>
              </w:rPr>
              <w:t>-1.201</w:t>
            </w:r>
          </w:p>
        </w:tc>
        <w:tc>
          <w:tcPr>
            <w:tcW w:w="1476" w:type="dxa"/>
          </w:tcPr>
          <w:p w14:paraId="70839CA9" w14:textId="450BDFB2" w:rsidR="003475A6" w:rsidRPr="00AE0453" w:rsidRDefault="00D94B6F" w:rsidP="00596328">
            <w:pPr>
              <w:rPr>
                <w:rFonts w:eastAsia="Calibri" w:cs="Times New Roman"/>
                <w:bCs/>
              </w:rPr>
            </w:pPr>
            <w:r w:rsidRPr="00D94B6F">
              <w:rPr>
                <w:rFonts w:eastAsia="Calibri" w:cs="Times New Roman"/>
                <w:bCs/>
              </w:rPr>
              <w:t>-3.4335</w:t>
            </w:r>
          </w:p>
        </w:tc>
        <w:tc>
          <w:tcPr>
            <w:tcW w:w="876" w:type="dxa"/>
          </w:tcPr>
          <w:p w14:paraId="041DF603" w14:textId="5CD10139" w:rsidR="003475A6" w:rsidRPr="00AE0453" w:rsidRDefault="000A774D" w:rsidP="00596328">
            <w:pPr>
              <w:rPr>
                <w:rFonts w:eastAsia="Calibri" w:cs="Times New Roman"/>
                <w:bCs/>
              </w:rPr>
            </w:pPr>
            <w:r>
              <w:rPr>
                <w:rFonts w:eastAsia="Calibri" w:cs="Times New Roman"/>
                <w:bCs/>
              </w:rPr>
              <w:t>0.9068</w:t>
            </w:r>
          </w:p>
        </w:tc>
        <w:tc>
          <w:tcPr>
            <w:tcW w:w="954" w:type="dxa"/>
          </w:tcPr>
          <w:p w14:paraId="0C7372E3" w14:textId="388E1EB2" w:rsidR="003475A6" w:rsidRPr="00AE0453" w:rsidRDefault="00112322" w:rsidP="00596328">
            <w:pPr>
              <w:rPr>
                <w:rFonts w:eastAsia="Calibri" w:cs="Times New Roman"/>
                <w:bCs/>
              </w:rPr>
            </w:pPr>
            <w:r>
              <w:rPr>
                <w:rFonts w:eastAsia="Calibri" w:cs="Times New Roman"/>
                <w:bCs/>
              </w:rPr>
              <w:t>-13.60</w:t>
            </w:r>
          </w:p>
        </w:tc>
        <w:tc>
          <w:tcPr>
            <w:tcW w:w="1476" w:type="dxa"/>
          </w:tcPr>
          <w:p w14:paraId="440B1EDE" w14:textId="66571298" w:rsidR="003475A6" w:rsidRPr="00AE0453" w:rsidRDefault="00A41F2F" w:rsidP="00596328">
            <w:pPr>
              <w:rPr>
                <w:rFonts w:eastAsia="Calibri" w:cs="Times New Roman"/>
                <w:bCs/>
              </w:rPr>
            </w:pPr>
            <w:r w:rsidRPr="00A41F2F">
              <w:rPr>
                <w:rFonts w:eastAsia="Calibri" w:cs="Times New Roman"/>
                <w:bCs/>
              </w:rPr>
              <w:t>-3.4336</w:t>
            </w:r>
          </w:p>
        </w:tc>
        <w:tc>
          <w:tcPr>
            <w:tcW w:w="876" w:type="dxa"/>
          </w:tcPr>
          <w:p w14:paraId="79AC1186" w14:textId="5D6C1B3F" w:rsidR="003475A6" w:rsidRPr="00AE0453" w:rsidRDefault="00E40BA5" w:rsidP="00596328">
            <w:pPr>
              <w:rPr>
                <w:rFonts w:eastAsia="Calibri" w:cs="Times New Roman"/>
                <w:bCs/>
              </w:rPr>
            </w:pPr>
            <w:r w:rsidRPr="00E40BA5">
              <w:rPr>
                <w:rFonts w:eastAsia="Calibri" w:cs="Times New Roman"/>
                <w:bCs/>
              </w:rPr>
              <w:t>0.000</w:t>
            </w:r>
          </w:p>
        </w:tc>
        <w:tc>
          <w:tcPr>
            <w:tcW w:w="1336" w:type="dxa"/>
          </w:tcPr>
          <w:p w14:paraId="59292A94" w14:textId="52964F33" w:rsidR="003475A6" w:rsidRPr="00AE0453" w:rsidRDefault="003475A6" w:rsidP="00596328">
            <w:pPr>
              <w:rPr>
                <w:rFonts w:eastAsia="Calibri" w:cs="Times New Roman"/>
                <w:bCs/>
              </w:rPr>
            </w:pPr>
            <w:r w:rsidRPr="001F5B16">
              <w:rPr>
                <w:bCs/>
              </w:rPr>
              <w:t>I (1)</w:t>
            </w:r>
          </w:p>
        </w:tc>
      </w:tr>
      <w:tr w:rsidR="0066300C" w:rsidRPr="00AE0453" w14:paraId="24E7B5B3" w14:textId="77777777" w:rsidTr="0066300C">
        <w:tc>
          <w:tcPr>
            <w:tcW w:w="1068" w:type="dxa"/>
          </w:tcPr>
          <w:p w14:paraId="66F07D52" w14:textId="0B37F2CD" w:rsidR="003475A6" w:rsidRPr="00AE0453" w:rsidRDefault="003475A6" w:rsidP="00596328">
            <w:pPr>
              <w:rPr>
                <w:rFonts w:eastAsia="Calibri" w:cs="Times New Roman"/>
                <w:bCs/>
              </w:rPr>
            </w:pPr>
            <w:r>
              <w:rPr>
                <w:rFonts w:eastAsia="Calibri" w:cs="Times New Roman"/>
                <w:bCs/>
              </w:rPr>
              <w:t>NTBS</w:t>
            </w:r>
          </w:p>
        </w:tc>
        <w:tc>
          <w:tcPr>
            <w:tcW w:w="954" w:type="dxa"/>
          </w:tcPr>
          <w:p w14:paraId="3304A5F4" w14:textId="549A8553" w:rsidR="003475A6" w:rsidRPr="00AE0453" w:rsidRDefault="005B75ED" w:rsidP="00596328">
            <w:pPr>
              <w:rPr>
                <w:rFonts w:eastAsia="Calibri" w:cs="Times New Roman"/>
                <w:bCs/>
              </w:rPr>
            </w:pPr>
            <w:r>
              <w:rPr>
                <w:rFonts w:eastAsia="Calibri" w:cs="Times New Roman"/>
                <w:bCs/>
              </w:rPr>
              <w:t>-1.961</w:t>
            </w:r>
          </w:p>
        </w:tc>
        <w:tc>
          <w:tcPr>
            <w:tcW w:w="1476" w:type="dxa"/>
          </w:tcPr>
          <w:p w14:paraId="545F6272" w14:textId="2D233C57" w:rsidR="003475A6" w:rsidRPr="00AE0453" w:rsidRDefault="00915746" w:rsidP="00596328">
            <w:pPr>
              <w:rPr>
                <w:rFonts w:eastAsia="Calibri" w:cs="Times New Roman"/>
                <w:bCs/>
              </w:rPr>
            </w:pPr>
            <w:r w:rsidRPr="00915746">
              <w:rPr>
                <w:rFonts w:eastAsia="Calibri" w:cs="Times New Roman"/>
                <w:bCs/>
              </w:rPr>
              <w:t>-3.4335</w:t>
            </w:r>
          </w:p>
        </w:tc>
        <w:tc>
          <w:tcPr>
            <w:tcW w:w="876" w:type="dxa"/>
          </w:tcPr>
          <w:p w14:paraId="6A50A353" w14:textId="21376AED" w:rsidR="003475A6" w:rsidRPr="00AE0453" w:rsidRDefault="00915746" w:rsidP="00596328">
            <w:pPr>
              <w:rPr>
                <w:rFonts w:eastAsia="Calibri" w:cs="Times New Roman"/>
                <w:bCs/>
              </w:rPr>
            </w:pPr>
            <w:r>
              <w:rPr>
                <w:rFonts w:eastAsia="Calibri" w:cs="Times New Roman"/>
                <w:bCs/>
              </w:rPr>
              <w:t>0.6180</w:t>
            </w:r>
          </w:p>
        </w:tc>
        <w:tc>
          <w:tcPr>
            <w:tcW w:w="954" w:type="dxa"/>
          </w:tcPr>
          <w:p w14:paraId="3296A748" w14:textId="3A92E5E4" w:rsidR="003475A6" w:rsidRPr="00AE0453" w:rsidRDefault="00267B98" w:rsidP="00596328">
            <w:pPr>
              <w:rPr>
                <w:rFonts w:eastAsia="Calibri" w:cs="Times New Roman"/>
                <w:bCs/>
              </w:rPr>
            </w:pPr>
            <w:r>
              <w:rPr>
                <w:rFonts w:eastAsia="Calibri" w:cs="Times New Roman"/>
                <w:bCs/>
              </w:rPr>
              <w:t>-14.23</w:t>
            </w:r>
          </w:p>
        </w:tc>
        <w:tc>
          <w:tcPr>
            <w:tcW w:w="1476" w:type="dxa"/>
          </w:tcPr>
          <w:p w14:paraId="589C3FDC" w14:textId="7F59F585" w:rsidR="003475A6" w:rsidRPr="00AE0453" w:rsidRDefault="003E3327" w:rsidP="00596328">
            <w:pPr>
              <w:rPr>
                <w:rFonts w:eastAsia="Calibri" w:cs="Times New Roman"/>
                <w:bCs/>
              </w:rPr>
            </w:pPr>
            <w:r w:rsidRPr="003E3327">
              <w:rPr>
                <w:rFonts w:eastAsia="Calibri" w:cs="Times New Roman"/>
                <w:bCs/>
              </w:rPr>
              <w:t>-3.4336</w:t>
            </w:r>
          </w:p>
        </w:tc>
        <w:tc>
          <w:tcPr>
            <w:tcW w:w="876" w:type="dxa"/>
          </w:tcPr>
          <w:p w14:paraId="7D4AB86E" w14:textId="7FE7A96A" w:rsidR="003475A6" w:rsidRPr="00AE0453" w:rsidRDefault="00E40BA5" w:rsidP="00596328">
            <w:pPr>
              <w:rPr>
                <w:rFonts w:eastAsia="Calibri" w:cs="Times New Roman"/>
                <w:bCs/>
              </w:rPr>
            </w:pPr>
            <w:r w:rsidRPr="00E40BA5">
              <w:rPr>
                <w:rFonts w:eastAsia="Calibri" w:cs="Times New Roman"/>
                <w:bCs/>
              </w:rPr>
              <w:t>0.000</w:t>
            </w:r>
          </w:p>
        </w:tc>
        <w:tc>
          <w:tcPr>
            <w:tcW w:w="1336" w:type="dxa"/>
          </w:tcPr>
          <w:p w14:paraId="3692482D" w14:textId="5019C7A2" w:rsidR="003475A6" w:rsidRPr="00AE0453" w:rsidRDefault="003475A6" w:rsidP="00596328">
            <w:pPr>
              <w:rPr>
                <w:rFonts w:eastAsia="Calibri" w:cs="Times New Roman"/>
                <w:bCs/>
              </w:rPr>
            </w:pPr>
            <w:r w:rsidRPr="001F5B16">
              <w:rPr>
                <w:bCs/>
              </w:rPr>
              <w:t>I (1)</w:t>
            </w:r>
          </w:p>
        </w:tc>
      </w:tr>
      <w:tr w:rsidR="0066300C" w:rsidRPr="00AE0453" w14:paraId="5CFFC5FA" w14:textId="77777777" w:rsidTr="0066300C">
        <w:tc>
          <w:tcPr>
            <w:tcW w:w="1068" w:type="dxa"/>
          </w:tcPr>
          <w:p w14:paraId="0E787DA5" w14:textId="7C6A54BF" w:rsidR="003475A6" w:rsidRDefault="003475A6" w:rsidP="00596328">
            <w:pPr>
              <w:rPr>
                <w:rFonts w:eastAsia="Calibri" w:cs="Times New Roman"/>
                <w:bCs/>
              </w:rPr>
            </w:pPr>
            <w:r w:rsidRPr="00AE0453">
              <w:rPr>
                <w:rFonts w:eastAsia="Calibri" w:cs="Times New Roman"/>
                <w:bCs/>
              </w:rPr>
              <w:t>WAMA</w:t>
            </w:r>
          </w:p>
        </w:tc>
        <w:tc>
          <w:tcPr>
            <w:tcW w:w="954" w:type="dxa"/>
          </w:tcPr>
          <w:p w14:paraId="3F78D48B" w14:textId="227B7B1A" w:rsidR="003475A6" w:rsidRPr="00AE0453" w:rsidRDefault="00555C6F" w:rsidP="00596328">
            <w:pPr>
              <w:rPr>
                <w:rFonts w:eastAsia="Calibri" w:cs="Times New Roman"/>
                <w:bCs/>
              </w:rPr>
            </w:pPr>
            <w:r>
              <w:rPr>
                <w:rFonts w:eastAsia="Calibri" w:cs="Times New Roman"/>
                <w:bCs/>
              </w:rPr>
              <w:t>-1.730</w:t>
            </w:r>
          </w:p>
        </w:tc>
        <w:tc>
          <w:tcPr>
            <w:tcW w:w="1476" w:type="dxa"/>
          </w:tcPr>
          <w:p w14:paraId="197EBBC7" w14:textId="40E64ED6" w:rsidR="003475A6" w:rsidRPr="00AE0453" w:rsidRDefault="0002253D" w:rsidP="00596328">
            <w:pPr>
              <w:rPr>
                <w:rFonts w:eastAsia="Calibri" w:cs="Times New Roman"/>
                <w:bCs/>
              </w:rPr>
            </w:pPr>
            <w:r w:rsidRPr="0002253D">
              <w:rPr>
                <w:rFonts w:eastAsia="Calibri" w:cs="Times New Roman"/>
                <w:bCs/>
              </w:rPr>
              <w:t>-3.4335</w:t>
            </w:r>
          </w:p>
        </w:tc>
        <w:tc>
          <w:tcPr>
            <w:tcW w:w="876" w:type="dxa"/>
          </w:tcPr>
          <w:p w14:paraId="2DF68E9F" w14:textId="1EA45A9F" w:rsidR="003475A6" w:rsidRPr="00AE0453" w:rsidRDefault="0002253D" w:rsidP="00596328">
            <w:pPr>
              <w:rPr>
                <w:rFonts w:eastAsia="Calibri" w:cs="Times New Roman"/>
                <w:bCs/>
              </w:rPr>
            </w:pPr>
            <w:r>
              <w:rPr>
                <w:rFonts w:eastAsia="Calibri" w:cs="Times New Roman"/>
                <w:bCs/>
              </w:rPr>
              <w:t>0.7339</w:t>
            </w:r>
          </w:p>
        </w:tc>
        <w:tc>
          <w:tcPr>
            <w:tcW w:w="954" w:type="dxa"/>
          </w:tcPr>
          <w:p w14:paraId="66CA2E9E" w14:textId="7B93C776" w:rsidR="003475A6" w:rsidRPr="00AE0453" w:rsidRDefault="00BD43ED" w:rsidP="00596328">
            <w:pPr>
              <w:rPr>
                <w:rFonts w:eastAsia="Calibri" w:cs="Times New Roman"/>
                <w:bCs/>
              </w:rPr>
            </w:pPr>
            <w:r>
              <w:rPr>
                <w:rFonts w:eastAsia="Calibri" w:cs="Times New Roman"/>
                <w:bCs/>
              </w:rPr>
              <w:t>-13.79</w:t>
            </w:r>
          </w:p>
        </w:tc>
        <w:tc>
          <w:tcPr>
            <w:tcW w:w="1476" w:type="dxa"/>
          </w:tcPr>
          <w:p w14:paraId="756B60D3" w14:textId="2FDE8811" w:rsidR="003475A6" w:rsidRPr="00AE0453" w:rsidRDefault="00BD43ED" w:rsidP="00596328">
            <w:pPr>
              <w:rPr>
                <w:rFonts w:eastAsia="Calibri" w:cs="Times New Roman"/>
                <w:bCs/>
              </w:rPr>
            </w:pPr>
            <w:r w:rsidRPr="00BD43ED">
              <w:rPr>
                <w:rFonts w:eastAsia="Calibri" w:cs="Times New Roman"/>
                <w:bCs/>
              </w:rPr>
              <w:t>-3.4336</w:t>
            </w:r>
          </w:p>
        </w:tc>
        <w:tc>
          <w:tcPr>
            <w:tcW w:w="876" w:type="dxa"/>
          </w:tcPr>
          <w:p w14:paraId="336E8167" w14:textId="645EFB43" w:rsidR="003475A6" w:rsidRPr="00AE0453" w:rsidRDefault="00E40BA5" w:rsidP="00596328">
            <w:pPr>
              <w:rPr>
                <w:rFonts w:eastAsia="Calibri" w:cs="Times New Roman"/>
                <w:bCs/>
              </w:rPr>
            </w:pPr>
            <w:r w:rsidRPr="00E40BA5">
              <w:rPr>
                <w:rFonts w:eastAsia="Calibri" w:cs="Times New Roman"/>
                <w:bCs/>
              </w:rPr>
              <w:t>0.000</w:t>
            </w:r>
          </w:p>
        </w:tc>
        <w:tc>
          <w:tcPr>
            <w:tcW w:w="1336" w:type="dxa"/>
          </w:tcPr>
          <w:p w14:paraId="316724E9" w14:textId="080C78CF" w:rsidR="003475A6" w:rsidRPr="00AE0453" w:rsidRDefault="003475A6" w:rsidP="00596328">
            <w:pPr>
              <w:rPr>
                <w:rFonts w:eastAsia="Calibri" w:cs="Times New Roman"/>
                <w:bCs/>
              </w:rPr>
            </w:pPr>
            <w:r w:rsidRPr="001F5B16">
              <w:rPr>
                <w:bCs/>
              </w:rPr>
              <w:t>I (1)</w:t>
            </w:r>
          </w:p>
        </w:tc>
      </w:tr>
    </w:tbl>
    <w:p w14:paraId="2AA41A5D" w14:textId="3129E528" w:rsidR="00AE0453" w:rsidRPr="0066300C" w:rsidRDefault="0066300C" w:rsidP="00596328">
      <w:pPr>
        <w:spacing w:after="0" w:line="240" w:lineRule="auto"/>
        <w:rPr>
          <w:rFonts w:eastAsia="Calibri" w:cs="Times New Roman"/>
          <w:bCs/>
          <w:i/>
          <w:iCs/>
        </w:rPr>
      </w:pPr>
      <w:r w:rsidRPr="0066300C">
        <w:rPr>
          <w:rFonts w:eastAsia="Calibri" w:cs="Times New Roman"/>
          <w:bCs/>
          <w:i/>
          <w:iCs/>
        </w:rPr>
        <w:t>Source: Computed by author using EViews 13</w:t>
      </w:r>
    </w:p>
    <w:p w14:paraId="71C9D2C7" w14:textId="5CD5DD1F" w:rsidR="00C174E2" w:rsidRDefault="00AB1E17" w:rsidP="00596328">
      <w:pPr>
        <w:spacing w:after="0" w:line="240" w:lineRule="auto"/>
        <w:rPr>
          <w:rFonts w:cs="Times New Roman"/>
          <w:color w:val="000000"/>
        </w:rPr>
      </w:pPr>
      <w:r w:rsidRPr="00AB1E17">
        <w:rPr>
          <w:rFonts w:eastAsia="Calibri" w:cs="Times New Roman"/>
          <w:bCs/>
        </w:rPr>
        <w:t>To avoid publishing a spurious econometric result, time series data must be stationary either at level or first difference. Augmented Dickey-Fuller (ADF) and Phillip Pe</w:t>
      </w:r>
      <w:r>
        <w:rPr>
          <w:rFonts w:eastAsia="Calibri" w:cs="Times New Roman"/>
          <w:bCs/>
        </w:rPr>
        <w:t>r</w:t>
      </w:r>
      <w:r w:rsidRPr="00AB1E17">
        <w:rPr>
          <w:rFonts w:eastAsia="Calibri" w:cs="Times New Roman"/>
          <w:bCs/>
        </w:rPr>
        <w:t xml:space="preserve">ron (PP) </w:t>
      </w:r>
      <w:r w:rsidR="004446B4">
        <w:rPr>
          <w:rFonts w:eastAsia="Calibri" w:cs="Times New Roman"/>
          <w:bCs/>
        </w:rPr>
        <w:t>are</w:t>
      </w:r>
      <w:r w:rsidRPr="00AB1E17">
        <w:rPr>
          <w:rFonts w:eastAsia="Calibri" w:cs="Times New Roman"/>
          <w:bCs/>
        </w:rPr>
        <w:t xml:space="preserve"> used to test for stationarity. The results </w:t>
      </w:r>
      <w:r>
        <w:rPr>
          <w:rFonts w:eastAsia="Calibri" w:cs="Times New Roman"/>
          <w:bCs/>
        </w:rPr>
        <w:t>as</w:t>
      </w:r>
      <w:r w:rsidRPr="00AB1E17">
        <w:rPr>
          <w:rFonts w:eastAsia="Calibri" w:cs="Times New Roman"/>
          <w:bCs/>
        </w:rPr>
        <w:t xml:space="preserve"> displayed in tables 4.</w:t>
      </w:r>
      <w:r w:rsidR="00776F64">
        <w:rPr>
          <w:rFonts w:eastAsia="Calibri" w:cs="Times New Roman"/>
          <w:bCs/>
        </w:rPr>
        <w:t>2a and 4.2b</w:t>
      </w:r>
      <w:r>
        <w:rPr>
          <w:rFonts w:eastAsia="Calibri" w:cs="Times New Roman"/>
          <w:bCs/>
        </w:rPr>
        <w:t xml:space="preserve"> </w:t>
      </w:r>
      <w:r w:rsidR="00D641D3">
        <w:rPr>
          <w:rFonts w:eastAsia="Calibri" w:cs="Times New Roman"/>
          <w:bCs/>
        </w:rPr>
        <w:t>indicate</w:t>
      </w:r>
      <w:r>
        <w:rPr>
          <w:rFonts w:eastAsia="Calibri" w:cs="Times New Roman"/>
          <w:bCs/>
        </w:rPr>
        <w:t xml:space="preserve"> that all the variables in the model</w:t>
      </w:r>
      <w:r w:rsidRPr="00AB1E17">
        <w:rPr>
          <w:rFonts w:eastAsia="Calibri" w:cs="Times New Roman"/>
          <w:bCs/>
        </w:rPr>
        <w:t xml:space="preserve"> </w:t>
      </w:r>
      <w:r w:rsidR="004446B4">
        <w:rPr>
          <w:rFonts w:eastAsia="Calibri" w:cs="Times New Roman"/>
          <w:bCs/>
        </w:rPr>
        <w:t>are</w:t>
      </w:r>
      <w:r w:rsidRPr="00AB1E17">
        <w:rPr>
          <w:rFonts w:eastAsia="Calibri" w:cs="Times New Roman"/>
          <w:bCs/>
        </w:rPr>
        <w:t xml:space="preserve"> stationary at I (1), with the probability values less than 5 per cent </w:t>
      </w:r>
      <w:r>
        <w:rPr>
          <w:rFonts w:eastAsia="Calibri" w:cs="Times New Roman"/>
          <w:bCs/>
        </w:rPr>
        <w:t xml:space="preserve">in both ADF </w:t>
      </w:r>
      <w:r w:rsidRPr="00AB1E17">
        <w:rPr>
          <w:rFonts w:eastAsia="Calibri" w:cs="Times New Roman"/>
          <w:bCs/>
        </w:rPr>
        <w:t>and PP test</w:t>
      </w:r>
      <w:r>
        <w:rPr>
          <w:rFonts w:eastAsia="Calibri" w:cs="Times New Roman"/>
          <w:bCs/>
        </w:rPr>
        <w:t>s.</w:t>
      </w:r>
      <w:r w:rsidRPr="00AB1E17">
        <w:rPr>
          <w:rFonts w:eastAsia="Calibri" w:cs="Times New Roman"/>
          <w:bCs/>
        </w:rPr>
        <w:t xml:space="preserve">  </w:t>
      </w:r>
      <w:r w:rsidR="000C5D2B">
        <w:rPr>
          <w:rFonts w:eastAsia="Calibri" w:cs="Times New Roman"/>
          <w:bCs/>
        </w:rPr>
        <w:t xml:space="preserve">However, </w:t>
      </w:r>
      <w:r w:rsidR="004D4EF7">
        <w:rPr>
          <w:rFonts w:eastAsia="Calibri" w:cs="Times New Roman"/>
          <w:bCs/>
        </w:rPr>
        <w:t xml:space="preserve">CPI and INB are stationary at </w:t>
      </w:r>
      <w:r w:rsidR="0023764B">
        <w:rPr>
          <w:rFonts w:eastAsia="Calibri" w:cs="Times New Roman"/>
          <w:bCs/>
        </w:rPr>
        <w:t>I (</w:t>
      </w:r>
      <w:r w:rsidR="00667899">
        <w:rPr>
          <w:rFonts w:eastAsia="Calibri" w:cs="Times New Roman"/>
          <w:bCs/>
        </w:rPr>
        <w:t>0)</w:t>
      </w:r>
      <w:r w:rsidR="00B309F9">
        <w:rPr>
          <w:rFonts w:eastAsia="Calibri" w:cs="Times New Roman"/>
          <w:bCs/>
        </w:rPr>
        <w:t xml:space="preserve"> with probability values les</w:t>
      </w:r>
      <w:r w:rsidR="001563B9">
        <w:rPr>
          <w:rFonts w:eastAsia="Calibri" w:cs="Times New Roman"/>
          <w:bCs/>
        </w:rPr>
        <w:t>s than 5 per cent</w:t>
      </w:r>
      <w:r w:rsidR="00667899">
        <w:rPr>
          <w:rFonts w:eastAsia="Calibri" w:cs="Times New Roman"/>
          <w:bCs/>
        </w:rPr>
        <w:t xml:space="preserve">. </w:t>
      </w:r>
      <w:r w:rsidR="001563B9">
        <w:rPr>
          <w:rFonts w:eastAsia="Calibri" w:cs="Times New Roman"/>
          <w:bCs/>
        </w:rPr>
        <w:t xml:space="preserve">Since </w:t>
      </w:r>
      <w:r w:rsidR="00DF410B">
        <w:rPr>
          <w:rFonts w:eastAsia="Calibri" w:cs="Times New Roman"/>
          <w:bCs/>
        </w:rPr>
        <w:t xml:space="preserve">the order of integration of the variables are </w:t>
      </w:r>
      <w:r w:rsidR="00777E63">
        <w:rPr>
          <w:rFonts w:eastAsia="Calibri" w:cs="Times New Roman"/>
          <w:bCs/>
        </w:rPr>
        <w:t>both I (0) and I (1),</w:t>
      </w:r>
      <w:r w:rsidR="00B34FCE">
        <w:rPr>
          <w:rFonts w:eastAsia="Calibri" w:cs="Times New Roman"/>
          <w:bCs/>
        </w:rPr>
        <w:t xml:space="preserve"> </w:t>
      </w:r>
      <w:r w:rsidR="00D528BA">
        <w:rPr>
          <w:rFonts w:eastAsia="Calibri" w:cs="Times New Roman"/>
          <w:bCs/>
        </w:rPr>
        <w:t xml:space="preserve">Autoregressive Distributed Lag Bound </w:t>
      </w:r>
      <w:r w:rsidR="00EA10CD">
        <w:rPr>
          <w:rFonts w:eastAsia="Calibri" w:cs="Times New Roman"/>
          <w:bCs/>
        </w:rPr>
        <w:t>test</w:t>
      </w:r>
      <w:r w:rsidR="00B34FCE">
        <w:rPr>
          <w:rFonts w:cs="Times New Roman"/>
          <w:color w:val="000000"/>
        </w:rPr>
        <w:t xml:space="preserve"> </w:t>
      </w:r>
      <w:r w:rsidR="00B34FCE" w:rsidRPr="00E83F82">
        <w:rPr>
          <w:rFonts w:cs="Times New Roman"/>
          <w:color w:val="000000"/>
        </w:rPr>
        <w:t xml:space="preserve">estimation technique </w:t>
      </w:r>
      <w:r w:rsidR="00B34FCE">
        <w:rPr>
          <w:rFonts w:cs="Times New Roman"/>
          <w:color w:val="000000"/>
        </w:rPr>
        <w:t xml:space="preserve">became appropriate and </w:t>
      </w:r>
      <w:r w:rsidR="00B34FCE" w:rsidRPr="00E83F82">
        <w:rPr>
          <w:rFonts w:cs="Times New Roman"/>
          <w:color w:val="000000"/>
        </w:rPr>
        <w:t>is employed to test for cointegration</w:t>
      </w:r>
      <w:r w:rsidR="00B34FCE">
        <w:rPr>
          <w:rFonts w:cs="Times New Roman"/>
          <w:color w:val="000000"/>
        </w:rPr>
        <w:t xml:space="preserve"> and estimation of the model. </w:t>
      </w:r>
    </w:p>
    <w:p w14:paraId="7E6C8746" w14:textId="77777777" w:rsidR="008F26DA" w:rsidRDefault="008F26DA" w:rsidP="00596328">
      <w:pPr>
        <w:pStyle w:val="Heading2"/>
        <w:spacing w:line="240" w:lineRule="auto"/>
      </w:pPr>
      <w:bookmarkStart w:id="24" w:name="_Toc227924560"/>
    </w:p>
    <w:p w14:paraId="1BAAB416" w14:textId="62FF7D08" w:rsidR="00FD20E8" w:rsidRDefault="00DA51E3" w:rsidP="00596328">
      <w:pPr>
        <w:pStyle w:val="Heading2"/>
        <w:spacing w:line="240" w:lineRule="auto"/>
      </w:pPr>
      <w:r>
        <w:t>4.</w:t>
      </w:r>
      <w:r w:rsidR="008F26DA">
        <w:t>4</w:t>
      </w:r>
      <w:r w:rsidR="00716756">
        <w:t xml:space="preserve"> </w:t>
      </w:r>
      <w:r w:rsidR="00FD20E8">
        <w:t>Model Estimation</w:t>
      </w:r>
      <w:bookmarkEnd w:id="24"/>
    </w:p>
    <w:p w14:paraId="5BF328D4" w14:textId="4AF69663" w:rsidR="003E49E0" w:rsidRDefault="003E49E0" w:rsidP="00596328">
      <w:pPr>
        <w:pStyle w:val="Heading3"/>
        <w:spacing w:line="240" w:lineRule="auto"/>
      </w:pPr>
      <w:bookmarkStart w:id="25" w:name="_Toc227924561"/>
      <w:r w:rsidRPr="003E49E0">
        <w:t>4.</w:t>
      </w:r>
      <w:r w:rsidR="008F26DA">
        <w:t>4</w:t>
      </w:r>
      <w:r w:rsidRPr="003E49E0">
        <w:t>.</w:t>
      </w:r>
      <w:r w:rsidR="00A73093">
        <w:t>1</w:t>
      </w:r>
      <w:r w:rsidRPr="003E49E0">
        <w:t xml:space="preserve"> Autoregressive Distributed Lag Test for Cointegration</w:t>
      </w:r>
      <w:bookmarkEnd w:id="25"/>
    </w:p>
    <w:p w14:paraId="6B180D0D" w14:textId="6995C1B1" w:rsidR="00A73093" w:rsidRDefault="00A73093" w:rsidP="00596328">
      <w:pPr>
        <w:spacing w:after="0" w:line="240" w:lineRule="auto"/>
        <w:rPr>
          <w:rFonts w:cs="Times New Roman"/>
          <w:color w:val="000000"/>
        </w:rPr>
      </w:pPr>
      <w:r w:rsidRPr="00A73093">
        <w:rPr>
          <w:rFonts w:cs="Times New Roman"/>
          <w:color w:val="000000"/>
        </w:rPr>
        <w:t>The cointegration result is displayed in table 4.</w:t>
      </w:r>
      <w:r w:rsidR="00776F64">
        <w:rPr>
          <w:rFonts w:cs="Times New Roman"/>
          <w:color w:val="000000"/>
        </w:rPr>
        <w:t>3</w:t>
      </w:r>
      <w:r w:rsidRPr="00A73093">
        <w:rPr>
          <w:rFonts w:cs="Times New Roman"/>
          <w:color w:val="000000"/>
        </w:rPr>
        <w:t xml:space="preserve"> and it showed the mixture of order of stationarity: I (0) and I (1), which are referred to as lower bound and upper bound values.</w:t>
      </w:r>
      <w:r w:rsidR="002C59E7">
        <w:rPr>
          <w:rFonts w:cs="Times New Roman"/>
          <w:color w:val="000000"/>
        </w:rPr>
        <w:t xml:space="preserve"> </w:t>
      </w:r>
    </w:p>
    <w:p w14:paraId="48779FCE" w14:textId="77777777" w:rsidR="00776F64" w:rsidRDefault="00776F64" w:rsidP="00596328">
      <w:pPr>
        <w:spacing w:after="0" w:line="240" w:lineRule="auto"/>
        <w:rPr>
          <w:rFonts w:cs="Times New Roman"/>
          <w:color w:val="000000"/>
        </w:rPr>
      </w:pPr>
    </w:p>
    <w:p w14:paraId="274ACA1C" w14:textId="5FD99C8E" w:rsidR="00A7772F" w:rsidRDefault="00A7772F" w:rsidP="00596328">
      <w:pPr>
        <w:spacing w:after="0" w:line="240" w:lineRule="auto"/>
        <w:rPr>
          <w:rFonts w:cs="Times New Roman"/>
          <w:b/>
          <w:bCs/>
          <w:color w:val="000000"/>
        </w:rPr>
      </w:pPr>
      <w:r w:rsidRPr="00A7772F">
        <w:rPr>
          <w:rFonts w:cs="Times New Roman"/>
          <w:b/>
          <w:bCs/>
          <w:color w:val="000000"/>
        </w:rPr>
        <w:t>Table 4.</w:t>
      </w:r>
      <w:r w:rsidR="00655FF5">
        <w:rPr>
          <w:rFonts w:cs="Times New Roman"/>
          <w:b/>
          <w:bCs/>
          <w:color w:val="000000"/>
        </w:rPr>
        <w:t>3</w:t>
      </w:r>
      <w:r w:rsidRPr="00A7772F">
        <w:rPr>
          <w:rFonts w:cs="Times New Roman"/>
          <w:b/>
          <w:bCs/>
          <w:color w:val="000000"/>
        </w:rPr>
        <w:t>: ARDL Test for Cointegration</w:t>
      </w:r>
    </w:p>
    <w:tbl>
      <w:tblPr>
        <w:tblStyle w:val="TableGrid"/>
        <w:tblW w:w="0" w:type="auto"/>
        <w:tblLook w:val="04A0" w:firstRow="1" w:lastRow="0" w:firstColumn="1" w:lastColumn="0" w:noHBand="0" w:noVBand="1"/>
      </w:tblPr>
      <w:tblGrid>
        <w:gridCol w:w="1803"/>
        <w:gridCol w:w="1803"/>
        <w:gridCol w:w="1803"/>
        <w:gridCol w:w="1803"/>
        <w:gridCol w:w="1804"/>
      </w:tblGrid>
      <w:tr w:rsidR="00EE0B0D" w14:paraId="26505FDD" w14:textId="77777777" w:rsidTr="00C44B87">
        <w:tc>
          <w:tcPr>
            <w:tcW w:w="1803" w:type="dxa"/>
          </w:tcPr>
          <w:p w14:paraId="4C04A3C1" w14:textId="77777777" w:rsidR="00EE0B0D" w:rsidRPr="009F5433" w:rsidRDefault="00EE0B0D" w:rsidP="00596328">
            <w:pPr>
              <w:rPr>
                <w:rFonts w:eastAsia="Calibri" w:cs="Times New Roman"/>
              </w:rPr>
            </w:pPr>
            <w:r w:rsidRPr="009F5433">
              <w:rPr>
                <w:rFonts w:eastAsia="Calibri" w:cs="Times New Roman"/>
              </w:rPr>
              <w:t>Test Statistic</w:t>
            </w:r>
          </w:p>
        </w:tc>
        <w:tc>
          <w:tcPr>
            <w:tcW w:w="1803" w:type="dxa"/>
          </w:tcPr>
          <w:p w14:paraId="690B0544" w14:textId="77777777" w:rsidR="00EE0B0D" w:rsidRPr="009F5433" w:rsidRDefault="00EE0B0D" w:rsidP="00596328">
            <w:pPr>
              <w:rPr>
                <w:rFonts w:eastAsia="Calibri" w:cs="Times New Roman"/>
              </w:rPr>
            </w:pPr>
            <w:r w:rsidRPr="009F5433">
              <w:rPr>
                <w:rFonts w:eastAsia="Calibri" w:cs="Times New Roman"/>
              </w:rPr>
              <w:t>Value</w:t>
            </w:r>
          </w:p>
        </w:tc>
        <w:tc>
          <w:tcPr>
            <w:tcW w:w="1803" w:type="dxa"/>
          </w:tcPr>
          <w:p w14:paraId="66D5FFF5" w14:textId="77777777" w:rsidR="00EE0B0D" w:rsidRPr="009F5433" w:rsidRDefault="00EE0B0D" w:rsidP="00596328">
            <w:pPr>
              <w:rPr>
                <w:rFonts w:eastAsia="Calibri" w:cs="Times New Roman"/>
              </w:rPr>
            </w:pPr>
            <w:r w:rsidRPr="009F5433">
              <w:rPr>
                <w:rFonts w:eastAsia="Calibri" w:cs="Times New Roman"/>
              </w:rPr>
              <w:t>Signif.</w:t>
            </w:r>
          </w:p>
        </w:tc>
        <w:tc>
          <w:tcPr>
            <w:tcW w:w="1803" w:type="dxa"/>
          </w:tcPr>
          <w:p w14:paraId="3AC93651" w14:textId="77777777" w:rsidR="00EE0B0D" w:rsidRPr="009F5433" w:rsidRDefault="00EE0B0D" w:rsidP="00596328">
            <w:pPr>
              <w:rPr>
                <w:rFonts w:eastAsia="Calibri" w:cs="Times New Roman"/>
              </w:rPr>
            </w:pPr>
            <w:r w:rsidRPr="009F5433">
              <w:rPr>
                <w:rFonts w:eastAsia="Calibri" w:cs="Times New Roman"/>
              </w:rPr>
              <w:t>I(0)</w:t>
            </w:r>
          </w:p>
        </w:tc>
        <w:tc>
          <w:tcPr>
            <w:tcW w:w="1804" w:type="dxa"/>
          </w:tcPr>
          <w:p w14:paraId="543592DF" w14:textId="77777777" w:rsidR="00EE0B0D" w:rsidRPr="009F5433" w:rsidRDefault="00EE0B0D" w:rsidP="00596328">
            <w:pPr>
              <w:rPr>
                <w:rFonts w:eastAsia="Calibri" w:cs="Times New Roman"/>
              </w:rPr>
            </w:pPr>
            <w:r w:rsidRPr="009F5433">
              <w:rPr>
                <w:rFonts w:eastAsia="Calibri" w:cs="Times New Roman"/>
              </w:rPr>
              <w:t>I(1)</w:t>
            </w:r>
          </w:p>
        </w:tc>
      </w:tr>
      <w:tr w:rsidR="00EE0B0D" w14:paraId="142F4D39" w14:textId="77777777" w:rsidTr="00C44B87">
        <w:tc>
          <w:tcPr>
            <w:tcW w:w="9016" w:type="dxa"/>
            <w:gridSpan w:val="5"/>
          </w:tcPr>
          <w:p w14:paraId="747A5582" w14:textId="77777777" w:rsidR="00EE0B0D" w:rsidRPr="009F5433" w:rsidRDefault="00EE0B0D" w:rsidP="00596328">
            <w:pPr>
              <w:rPr>
                <w:rFonts w:eastAsia="Calibri" w:cs="Times New Roman"/>
              </w:rPr>
            </w:pPr>
            <w:r>
              <w:rPr>
                <w:rFonts w:eastAsia="Calibri" w:cs="Times New Roman"/>
              </w:rPr>
              <w:t xml:space="preserve">                                                                                                          Sample size:188</w:t>
            </w:r>
            <w:r w:rsidRPr="009F5433">
              <w:rPr>
                <w:rFonts w:eastAsia="Calibri" w:cs="Times New Roman"/>
              </w:rPr>
              <w:tab/>
            </w:r>
          </w:p>
        </w:tc>
      </w:tr>
      <w:tr w:rsidR="00EE0B0D" w14:paraId="39DC6FDB" w14:textId="77777777" w:rsidTr="00C44B87">
        <w:tc>
          <w:tcPr>
            <w:tcW w:w="1803" w:type="dxa"/>
          </w:tcPr>
          <w:p w14:paraId="75B233E2" w14:textId="77777777" w:rsidR="00EE0B0D" w:rsidRPr="009F5433" w:rsidRDefault="00EE0B0D" w:rsidP="00596328">
            <w:pPr>
              <w:rPr>
                <w:rFonts w:eastAsia="Calibri" w:cs="Times New Roman"/>
              </w:rPr>
            </w:pPr>
            <w:r w:rsidRPr="009F5433">
              <w:rPr>
                <w:rFonts w:eastAsia="Calibri" w:cs="Times New Roman"/>
              </w:rPr>
              <w:t>F-statistic</w:t>
            </w:r>
          </w:p>
        </w:tc>
        <w:tc>
          <w:tcPr>
            <w:tcW w:w="1803" w:type="dxa"/>
          </w:tcPr>
          <w:p w14:paraId="507D5D70" w14:textId="77777777" w:rsidR="00EE0B0D" w:rsidRPr="009F5433" w:rsidRDefault="00EE0B0D" w:rsidP="00596328">
            <w:pPr>
              <w:rPr>
                <w:rFonts w:eastAsia="Calibri" w:cs="Times New Roman"/>
              </w:rPr>
            </w:pPr>
            <w:r>
              <w:rPr>
                <w:rFonts w:eastAsia="Calibri" w:cs="Times New Roman"/>
              </w:rPr>
              <w:t>23.123217</w:t>
            </w:r>
          </w:p>
        </w:tc>
        <w:tc>
          <w:tcPr>
            <w:tcW w:w="1803" w:type="dxa"/>
          </w:tcPr>
          <w:p w14:paraId="747660BC" w14:textId="77777777" w:rsidR="00EE0B0D" w:rsidRPr="009F5433" w:rsidRDefault="00EE0B0D" w:rsidP="00596328">
            <w:pPr>
              <w:rPr>
                <w:rFonts w:eastAsia="Calibri" w:cs="Times New Roman"/>
              </w:rPr>
            </w:pPr>
            <w:r w:rsidRPr="009F5433">
              <w:rPr>
                <w:rFonts w:eastAsia="Calibri" w:cs="Times New Roman"/>
              </w:rPr>
              <w:t xml:space="preserve">10%  </w:t>
            </w:r>
          </w:p>
        </w:tc>
        <w:tc>
          <w:tcPr>
            <w:tcW w:w="1803" w:type="dxa"/>
          </w:tcPr>
          <w:p w14:paraId="7C69FE56" w14:textId="77777777" w:rsidR="00EE0B0D" w:rsidRPr="009F5433" w:rsidRDefault="00EE0B0D" w:rsidP="00596328">
            <w:pPr>
              <w:rPr>
                <w:rFonts w:eastAsia="Calibri" w:cs="Times New Roman"/>
              </w:rPr>
            </w:pPr>
            <w:r>
              <w:rPr>
                <w:rFonts w:eastAsia="Calibri" w:cs="Times New Roman"/>
              </w:rPr>
              <w:t>2.120</w:t>
            </w:r>
          </w:p>
        </w:tc>
        <w:tc>
          <w:tcPr>
            <w:tcW w:w="1804" w:type="dxa"/>
          </w:tcPr>
          <w:p w14:paraId="094F14C5" w14:textId="77777777" w:rsidR="00EE0B0D" w:rsidRPr="009F5433" w:rsidRDefault="00EE0B0D" w:rsidP="00596328">
            <w:pPr>
              <w:rPr>
                <w:rFonts w:eastAsia="Calibri" w:cs="Times New Roman"/>
              </w:rPr>
            </w:pPr>
            <w:r>
              <w:rPr>
                <w:rFonts w:eastAsia="Calibri" w:cs="Times New Roman"/>
              </w:rPr>
              <w:t>3.230</w:t>
            </w:r>
          </w:p>
        </w:tc>
      </w:tr>
      <w:tr w:rsidR="00EE0B0D" w14:paraId="14671323" w14:textId="77777777" w:rsidTr="00C44B87">
        <w:tc>
          <w:tcPr>
            <w:tcW w:w="1803" w:type="dxa"/>
          </w:tcPr>
          <w:p w14:paraId="58BBF76E" w14:textId="77777777" w:rsidR="00EE0B0D" w:rsidRPr="009F5433" w:rsidRDefault="00EE0B0D" w:rsidP="00596328">
            <w:pPr>
              <w:rPr>
                <w:rFonts w:eastAsia="Calibri" w:cs="Times New Roman"/>
              </w:rPr>
            </w:pPr>
            <w:r w:rsidRPr="009F5433">
              <w:rPr>
                <w:rFonts w:eastAsia="Calibri" w:cs="Times New Roman"/>
              </w:rPr>
              <w:t>k</w:t>
            </w:r>
          </w:p>
        </w:tc>
        <w:tc>
          <w:tcPr>
            <w:tcW w:w="1803" w:type="dxa"/>
          </w:tcPr>
          <w:p w14:paraId="3E100CC1" w14:textId="77777777" w:rsidR="00EE0B0D" w:rsidRPr="009F5433" w:rsidRDefault="00EE0B0D" w:rsidP="00596328">
            <w:pPr>
              <w:rPr>
                <w:rFonts w:eastAsia="Calibri" w:cs="Times New Roman"/>
              </w:rPr>
            </w:pPr>
            <w:r w:rsidRPr="009F5433">
              <w:rPr>
                <w:rFonts w:eastAsia="Calibri" w:cs="Times New Roman"/>
              </w:rPr>
              <w:t>6</w:t>
            </w:r>
          </w:p>
        </w:tc>
        <w:tc>
          <w:tcPr>
            <w:tcW w:w="1803" w:type="dxa"/>
          </w:tcPr>
          <w:p w14:paraId="08C62122" w14:textId="77777777" w:rsidR="00EE0B0D" w:rsidRPr="009F5433" w:rsidRDefault="00EE0B0D" w:rsidP="00596328">
            <w:pPr>
              <w:rPr>
                <w:rFonts w:eastAsia="Calibri" w:cs="Times New Roman"/>
              </w:rPr>
            </w:pPr>
            <w:r w:rsidRPr="009F5433">
              <w:rPr>
                <w:rFonts w:eastAsia="Calibri" w:cs="Times New Roman"/>
              </w:rPr>
              <w:t xml:space="preserve">5%  </w:t>
            </w:r>
          </w:p>
        </w:tc>
        <w:tc>
          <w:tcPr>
            <w:tcW w:w="1803" w:type="dxa"/>
          </w:tcPr>
          <w:p w14:paraId="33F1C0BC" w14:textId="77777777" w:rsidR="00EE0B0D" w:rsidRPr="009F5433" w:rsidRDefault="00EE0B0D" w:rsidP="00596328">
            <w:pPr>
              <w:rPr>
                <w:rFonts w:eastAsia="Calibri" w:cs="Times New Roman"/>
              </w:rPr>
            </w:pPr>
            <w:r>
              <w:rPr>
                <w:rFonts w:eastAsia="Calibri" w:cs="Times New Roman"/>
              </w:rPr>
              <w:t>2.450</w:t>
            </w:r>
          </w:p>
        </w:tc>
        <w:tc>
          <w:tcPr>
            <w:tcW w:w="1804" w:type="dxa"/>
          </w:tcPr>
          <w:p w14:paraId="5C7BCCA7" w14:textId="77777777" w:rsidR="00EE0B0D" w:rsidRPr="009F5433" w:rsidRDefault="00EE0B0D" w:rsidP="00596328">
            <w:pPr>
              <w:rPr>
                <w:rFonts w:eastAsia="Calibri" w:cs="Times New Roman"/>
              </w:rPr>
            </w:pPr>
            <w:r>
              <w:rPr>
                <w:rFonts w:eastAsia="Calibri" w:cs="Times New Roman"/>
              </w:rPr>
              <w:t>3.610</w:t>
            </w:r>
          </w:p>
        </w:tc>
      </w:tr>
      <w:tr w:rsidR="00EE0B0D" w14:paraId="510FFF96" w14:textId="77777777" w:rsidTr="00C44B87">
        <w:tc>
          <w:tcPr>
            <w:tcW w:w="1803" w:type="dxa"/>
          </w:tcPr>
          <w:p w14:paraId="5155F1D7" w14:textId="77777777" w:rsidR="00EE0B0D" w:rsidRDefault="00EE0B0D" w:rsidP="00596328">
            <w:pPr>
              <w:rPr>
                <w:rFonts w:eastAsia="Calibri" w:cs="Times New Roman"/>
                <w:b/>
                <w:bCs/>
              </w:rPr>
            </w:pPr>
          </w:p>
        </w:tc>
        <w:tc>
          <w:tcPr>
            <w:tcW w:w="1803" w:type="dxa"/>
          </w:tcPr>
          <w:p w14:paraId="692BB3EC" w14:textId="77777777" w:rsidR="00EE0B0D" w:rsidRDefault="00EE0B0D" w:rsidP="00596328">
            <w:pPr>
              <w:rPr>
                <w:rFonts w:eastAsia="Calibri" w:cs="Times New Roman"/>
                <w:b/>
                <w:bCs/>
              </w:rPr>
            </w:pPr>
          </w:p>
        </w:tc>
        <w:tc>
          <w:tcPr>
            <w:tcW w:w="1803" w:type="dxa"/>
          </w:tcPr>
          <w:p w14:paraId="4CA25760" w14:textId="77777777" w:rsidR="00EE0B0D" w:rsidRPr="009F5433" w:rsidRDefault="00EE0B0D" w:rsidP="00596328">
            <w:pPr>
              <w:rPr>
                <w:rFonts w:eastAsia="Calibri" w:cs="Times New Roman"/>
              </w:rPr>
            </w:pPr>
            <w:r w:rsidRPr="009F5433">
              <w:rPr>
                <w:rFonts w:eastAsia="Calibri" w:cs="Times New Roman"/>
              </w:rPr>
              <w:t xml:space="preserve">1%  </w:t>
            </w:r>
          </w:p>
        </w:tc>
        <w:tc>
          <w:tcPr>
            <w:tcW w:w="1803" w:type="dxa"/>
          </w:tcPr>
          <w:p w14:paraId="0AFED445" w14:textId="77777777" w:rsidR="00EE0B0D" w:rsidRPr="009F5433" w:rsidRDefault="00EE0B0D" w:rsidP="00596328">
            <w:pPr>
              <w:rPr>
                <w:rFonts w:eastAsia="Calibri" w:cs="Times New Roman"/>
              </w:rPr>
            </w:pPr>
            <w:r>
              <w:rPr>
                <w:rFonts w:eastAsia="Calibri" w:cs="Times New Roman"/>
              </w:rPr>
              <w:t>3.150</w:t>
            </w:r>
          </w:p>
        </w:tc>
        <w:tc>
          <w:tcPr>
            <w:tcW w:w="1804" w:type="dxa"/>
          </w:tcPr>
          <w:p w14:paraId="6D221F19" w14:textId="77777777" w:rsidR="00EE0B0D" w:rsidRPr="009F5433" w:rsidRDefault="00EE0B0D" w:rsidP="00596328">
            <w:pPr>
              <w:rPr>
                <w:rFonts w:eastAsia="Calibri" w:cs="Times New Roman"/>
              </w:rPr>
            </w:pPr>
            <w:r>
              <w:rPr>
                <w:rFonts w:eastAsia="Calibri" w:cs="Times New Roman"/>
              </w:rPr>
              <w:t>4.430</w:t>
            </w:r>
          </w:p>
        </w:tc>
      </w:tr>
      <w:tr w:rsidR="00EE0B0D" w14:paraId="02DA6598" w14:textId="77777777" w:rsidTr="00C44B87">
        <w:tc>
          <w:tcPr>
            <w:tcW w:w="1803" w:type="dxa"/>
          </w:tcPr>
          <w:p w14:paraId="32FC71C5" w14:textId="77777777" w:rsidR="00EE0B0D" w:rsidRPr="009F5433" w:rsidRDefault="00EE0B0D" w:rsidP="00596328">
            <w:pPr>
              <w:rPr>
                <w:rFonts w:eastAsia="Calibri" w:cs="Times New Roman"/>
              </w:rPr>
            </w:pPr>
            <w:r>
              <w:rPr>
                <w:rFonts w:eastAsia="Calibri" w:cs="Times New Roman"/>
              </w:rPr>
              <w:t>t-statistic</w:t>
            </w:r>
          </w:p>
        </w:tc>
        <w:tc>
          <w:tcPr>
            <w:tcW w:w="1803" w:type="dxa"/>
          </w:tcPr>
          <w:p w14:paraId="19A55209" w14:textId="77777777" w:rsidR="00EE0B0D" w:rsidRPr="00AB1466" w:rsidRDefault="00EE0B0D" w:rsidP="00596328">
            <w:pPr>
              <w:rPr>
                <w:rFonts w:eastAsia="Calibri" w:cs="Times New Roman"/>
              </w:rPr>
            </w:pPr>
            <w:r w:rsidRPr="00AB1466">
              <w:rPr>
                <w:rFonts w:eastAsia="Calibri" w:cs="Times New Roman"/>
              </w:rPr>
              <w:t>6</w:t>
            </w:r>
          </w:p>
        </w:tc>
        <w:tc>
          <w:tcPr>
            <w:tcW w:w="1803" w:type="dxa"/>
          </w:tcPr>
          <w:p w14:paraId="7648D0F9" w14:textId="77777777" w:rsidR="00EE0B0D" w:rsidRPr="009F5433" w:rsidRDefault="00EE0B0D" w:rsidP="00596328">
            <w:pPr>
              <w:rPr>
                <w:rFonts w:eastAsia="Calibri" w:cs="Times New Roman"/>
              </w:rPr>
            </w:pPr>
            <w:r w:rsidRPr="009F5433">
              <w:rPr>
                <w:rFonts w:eastAsia="Calibri" w:cs="Times New Roman"/>
              </w:rPr>
              <w:t xml:space="preserve">10%  </w:t>
            </w:r>
          </w:p>
        </w:tc>
        <w:tc>
          <w:tcPr>
            <w:tcW w:w="1803" w:type="dxa"/>
          </w:tcPr>
          <w:p w14:paraId="6285D904" w14:textId="77777777" w:rsidR="00EE0B0D" w:rsidRPr="009F5433" w:rsidRDefault="00EE0B0D" w:rsidP="00596328">
            <w:pPr>
              <w:rPr>
                <w:rFonts w:eastAsia="Calibri" w:cs="Times New Roman"/>
              </w:rPr>
            </w:pPr>
            <w:r>
              <w:rPr>
                <w:rFonts w:eastAsia="Calibri" w:cs="Times New Roman"/>
              </w:rPr>
              <w:t>-2.570</w:t>
            </w:r>
          </w:p>
        </w:tc>
        <w:tc>
          <w:tcPr>
            <w:tcW w:w="1804" w:type="dxa"/>
          </w:tcPr>
          <w:p w14:paraId="43E35255" w14:textId="77777777" w:rsidR="00EE0B0D" w:rsidRPr="009F5433" w:rsidRDefault="00EE0B0D" w:rsidP="00596328">
            <w:pPr>
              <w:rPr>
                <w:rFonts w:eastAsia="Calibri" w:cs="Times New Roman"/>
              </w:rPr>
            </w:pPr>
            <w:r>
              <w:rPr>
                <w:rFonts w:eastAsia="Calibri" w:cs="Times New Roman"/>
              </w:rPr>
              <w:t>-4.040</w:t>
            </w:r>
          </w:p>
        </w:tc>
      </w:tr>
      <w:tr w:rsidR="00EE0B0D" w14:paraId="761CF280" w14:textId="77777777" w:rsidTr="00C44B87">
        <w:tc>
          <w:tcPr>
            <w:tcW w:w="1803" w:type="dxa"/>
          </w:tcPr>
          <w:p w14:paraId="0F781C1D" w14:textId="77777777" w:rsidR="00EE0B0D" w:rsidRPr="00AB1466" w:rsidRDefault="00EE0B0D" w:rsidP="00596328">
            <w:pPr>
              <w:rPr>
                <w:rFonts w:eastAsia="Calibri" w:cs="Times New Roman"/>
              </w:rPr>
            </w:pPr>
            <w:r w:rsidRPr="00AB1466">
              <w:rPr>
                <w:rFonts w:eastAsia="Calibri" w:cs="Times New Roman"/>
              </w:rPr>
              <w:t>K</w:t>
            </w:r>
          </w:p>
        </w:tc>
        <w:tc>
          <w:tcPr>
            <w:tcW w:w="1803" w:type="dxa"/>
          </w:tcPr>
          <w:p w14:paraId="0DDB383E" w14:textId="77777777" w:rsidR="00EE0B0D" w:rsidRDefault="00EE0B0D" w:rsidP="00596328">
            <w:pPr>
              <w:rPr>
                <w:rFonts w:eastAsia="Calibri" w:cs="Times New Roman"/>
                <w:b/>
                <w:bCs/>
              </w:rPr>
            </w:pPr>
          </w:p>
        </w:tc>
        <w:tc>
          <w:tcPr>
            <w:tcW w:w="1803" w:type="dxa"/>
          </w:tcPr>
          <w:p w14:paraId="2E095361" w14:textId="77777777" w:rsidR="00EE0B0D" w:rsidRPr="009F5433" w:rsidRDefault="00EE0B0D" w:rsidP="00596328">
            <w:pPr>
              <w:rPr>
                <w:rFonts w:eastAsia="Calibri" w:cs="Times New Roman"/>
              </w:rPr>
            </w:pPr>
            <w:r w:rsidRPr="009F5433">
              <w:rPr>
                <w:rFonts w:eastAsia="Calibri" w:cs="Times New Roman"/>
              </w:rPr>
              <w:t xml:space="preserve">5%  </w:t>
            </w:r>
          </w:p>
        </w:tc>
        <w:tc>
          <w:tcPr>
            <w:tcW w:w="1803" w:type="dxa"/>
          </w:tcPr>
          <w:p w14:paraId="36D07433" w14:textId="77777777" w:rsidR="00EE0B0D" w:rsidRPr="009F5433" w:rsidRDefault="00EE0B0D" w:rsidP="00596328">
            <w:pPr>
              <w:rPr>
                <w:rFonts w:eastAsia="Calibri" w:cs="Times New Roman"/>
              </w:rPr>
            </w:pPr>
            <w:r>
              <w:rPr>
                <w:rFonts w:eastAsia="Calibri" w:cs="Times New Roman"/>
              </w:rPr>
              <w:t>-2.860</w:t>
            </w:r>
          </w:p>
        </w:tc>
        <w:tc>
          <w:tcPr>
            <w:tcW w:w="1804" w:type="dxa"/>
          </w:tcPr>
          <w:p w14:paraId="760698B3" w14:textId="77777777" w:rsidR="00EE0B0D" w:rsidRPr="009F5433" w:rsidRDefault="00EE0B0D" w:rsidP="00596328">
            <w:pPr>
              <w:rPr>
                <w:rFonts w:eastAsia="Calibri" w:cs="Times New Roman"/>
              </w:rPr>
            </w:pPr>
            <w:r>
              <w:rPr>
                <w:rFonts w:eastAsia="Calibri" w:cs="Times New Roman"/>
              </w:rPr>
              <w:t>-4.380</w:t>
            </w:r>
          </w:p>
        </w:tc>
      </w:tr>
      <w:tr w:rsidR="00EE0B0D" w14:paraId="4DB77850" w14:textId="77777777" w:rsidTr="00C44B87">
        <w:tc>
          <w:tcPr>
            <w:tcW w:w="1803" w:type="dxa"/>
          </w:tcPr>
          <w:p w14:paraId="4F9012DB" w14:textId="77777777" w:rsidR="00EE0B0D" w:rsidRDefault="00EE0B0D" w:rsidP="00596328">
            <w:pPr>
              <w:rPr>
                <w:rFonts w:eastAsia="Calibri" w:cs="Times New Roman"/>
                <w:b/>
                <w:bCs/>
              </w:rPr>
            </w:pPr>
          </w:p>
        </w:tc>
        <w:tc>
          <w:tcPr>
            <w:tcW w:w="1803" w:type="dxa"/>
          </w:tcPr>
          <w:p w14:paraId="65304D39" w14:textId="77777777" w:rsidR="00EE0B0D" w:rsidRDefault="00EE0B0D" w:rsidP="00596328">
            <w:pPr>
              <w:rPr>
                <w:rFonts w:eastAsia="Calibri" w:cs="Times New Roman"/>
                <w:b/>
                <w:bCs/>
              </w:rPr>
            </w:pPr>
          </w:p>
        </w:tc>
        <w:tc>
          <w:tcPr>
            <w:tcW w:w="1803" w:type="dxa"/>
          </w:tcPr>
          <w:p w14:paraId="090F729B" w14:textId="77777777" w:rsidR="00EE0B0D" w:rsidRPr="009F5433" w:rsidRDefault="00EE0B0D" w:rsidP="00596328">
            <w:pPr>
              <w:rPr>
                <w:rFonts w:eastAsia="Calibri" w:cs="Times New Roman"/>
              </w:rPr>
            </w:pPr>
            <w:r w:rsidRPr="009F5433">
              <w:rPr>
                <w:rFonts w:eastAsia="Calibri" w:cs="Times New Roman"/>
              </w:rPr>
              <w:t xml:space="preserve">1%  </w:t>
            </w:r>
          </w:p>
        </w:tc>
        <w:tc>
          <w:tcPr>
            <w:tcW w:w="1803" w:type="dxa"/>
          </w:tcPr>
          <w:p w14:paraId="30AC5131" w14:textId="77777777" w:rsidR="00EE0B0D" w:rsidRPr="009F5433" w:rsidRDefault="00EE0B0D" w:rsidP="00596328">
            <w:pPr>
              <w:rPr>
                <w:rFonts w:eastAsia="Calibri" w:cs="Times New Roman"/>
              </w:rPr>
            </w:pPr>
            <w:r>
              <w:rPr>
                <w:rFonts w:eastAsia="Calibri" w:cs="Times New Roman"/>
              </w:rPr>
              <w:t>-3.430</w:t>
            </w:r>
          </w:p>
        </w:tc>
        <w:tc>
          <w:tcPr>
            <w:tcW w:w="1804" w:type="dxa"/>
          </w:tcPr>
          <w:p w14:paraId="5DB39712" w14:textId="77777777" w:rsidR="00EE0B0D" w:rsidRPr="009F5433" w:rsidRDefault="00EE0B0D" w:rsidP="00596328">
            <w:pPr>
              <w:rPr>
                <w:rFonts w:eastAsia="Calibri" w:cs="Times New Roman"/>
              </w:rPr>
            </w:pPr>
            <w:r>
              <w:rPr>
                <w:rFonts w:eastAsia="Calibri" w:cs="Times New Roman"/>
              </w:rPr>
              <w:t>-4.990</w:t>
            </w:r>
          </w:p>
        </w:tc>
      </w:tr>
    </w:tbl>
    <w:p w14:paraId="7A544E50" w14:textId="18D185A5" w:rsidR="00EE0B0D" w:rsidRPr="00360BAE" w:rsidRDefault="00360BAE" w:rsidP="00596328">
      <w:pPr>
        <w:spacing w:after="0" w:line="240" w:lineRule="auto"/>
        <w:rPr>
          <w:rFonts w:cs="Times New Roman"/>
          <w:i/>
          <w:iCs/>
          <w:color w:val="000000"/>
        </w:rPr>
      </w:pPr>
      <w:r w:rsidRPr="00360BAE">
        <w:rPr>
          <w:rFonts w:cs="Times New Roman"/>
          <w:i/>
          <w:iCs/>
          <w:color w:val="000000"/>
        </w:rPr>
        <w:t>Source: Extract from computer on regression of data using EViews version 13.</w:t>
      </w:r>
    </w:p>
    <w:p w14:paraId="6DE63169" w14:textId="599FA092" w:rsidR="00360BAE" w:rsidRPr="00360BAE" w:rsidRDefault="00360BAE" w:rsidP="00596328">
      <w:pPr>
        <w:spacing w:after="0" w:line="240" w:lineRule="auto"/>
        <w:rPr>
          <w:rFonts w:cs="Times New Roman"/>
          <w:color w:val="000000"/>
        </w:rPr>
      </w:pPr>
      <w:r w:rsidRPr="00360BAE">
        <w:rPr>
          <w:rFonts w:cs="Times New Roman"/>
          <w:color w:val="000000"/>
        </w:rPr>
        <w:t>Ho: there is no cointegration.</w:t>
      </w:r>
    </w:p>
    <w:p w14:paraId="00063391" w14:textId="6F0B04B9" w:rsidR="00360BAE" w:rsidRPr="00360BAE" w:rsidRDefault="00360BAE" w:rsidP="00596328">
      <w:pPr>
        <w:spacing w:after="0" w:line="240" w:lineRule="auto"/>
        <w:rPr>
          <w:rFonts w:cs="Times New Roman"/>
          <w:color w:val="000000"/>
        </w:rPr>
      </w:pPr>
      <w:r w:rsidRPr="00360BAE">
        <w:rPr>
          <w:rFonts w:cs="Times New Roman"/>
          <w:color w:val="000000"/>
        </w:rPr>
        <w:t>H1: there is cointegration.</w:t>
      </w:r>
    </w:p>
    <w:p w14:paraId="39E639E6" w14:textId="7D012B0C" w:rsidR="00360BAE" w:rsidRDefault="007B0B74" w:rsidP="00596328">
      <w:pPr>
        <w:spacing w:after="0" w:line="240" w:lineRule="auto"/>
        <w:rPr>
          <w:rFonts w:cs="Times New Roman"/>
          <w:color w:val="000000"/>
        </w:rPr>
      </w:pPr>
      <w:r w:rsidRPr="007B0B74">
        <w:rPr>
          <w:rFonts w:cs="Times New Roman"/>
          <w:color w:val="000000"/>
        </w:rPr>
        <w:t>The decision rule for cointegration using ARDL is that, if the F-statistic is lower than the lower bound value at the level of significance, we accept the null hypothesis that there is no cointegration, but if the F-statistic lies between the upper and lower values, it is undecided. But if it is higher than the upper bound value, there is cointegration.</w:t>
      </w:r>
    </w:p>
    <w:p w14:paraId="391FB5F7" w14:textId="7EDD3D89" w:rsidR="00306A12" w:rsidRDefault="00306A12" w:rsidP="00596328">
      <w:pPr>
        <w:spacing w:after="0" w:line="240" w:lineRule="auto"/>
        <w:rPr>
          <w:rFonts w:cs="Times New Roman"/>
          <w:color w:val="000000"/>
        </w:rPr>
      </w:pPr>
      <w:r w:rsidRPr="00306A12">
        <w:rPr>
          <w:rFonts w:cs="Times New Roman"/>
          <w:color w:val="000000"/>
        </w:rPr>
        <w:t>From table 4.4, F-statistic at 23.123217 is much higher than the upper bound value of 4.430, we therefore reject the null hypothesis, and we conclude that there is cointegration, confirming the existence of long run relationship among the variables in the model.</w:t>
      </w:r>
    </w:p>
    <w:p w14:paraId="51452F63" w14:textId="77777777" w:rsidR="00776F64" w:rsidRDefault="00776F64" w:rsidP="00596328">
      <w:pPr>
        <w:spacing w:after="0" w:line="240" w:lineRule="auto"/>
        <w:rPr>
          <w:rFonts w:cs="Times New Roman"/>
          <w:color w:val="000000"/>
        </w:rPr>
      </w:pPr>
    </w:p>
    <w:p w14:paraId="03FCCD3A" w14:textId="77777777" w:rsidR="00776F64" w:rsidRDefault="00776F64" w:rsidP="00596328">
      <w:pPr>
        <w:spacing w:after="0" w:line="240" w:lineRule="auto"/>
        <w:rPr>
          <w:rFonts w:cs="Times New Roman"/>
          <w:color w:val="000000"/>
        </w:rPr>
      </w:pPr>
    </w:p>
    <w:p w14:paraId="1954FD48" w14:textId="77777777" w:rsidR="00776F64" w:rsidRPr="007B0B74" w:rsidRDefault="00776F64" w:rsidP="00596328">
      <w:pPr>
        <w:spacing w:after="0" w:line="240" w:lineRule="auto"/>
        <w:rPr>
          <w:rFonts w:cs="Times New Roman"/>
          <w:color w:val="000000"/>
        </w:rPr>
      </w:pPr>
    </w:p>
    <w:p w14:paraId="308578F3" w14:textId="16CC7CDB" w:rsidR="00F70EFA" w:rsidRPr="00C17EEA" w:rsidRDefault="00F70EFA" w:rsidP="00596328">
      <w:pPr>
        <w:pStyle w:val="Heading3"/>
        <w:spacing w:line="240" w:lineRule="auto"/>
      </w:pPr>
      <w:bookmarkStart w:id="26" w:name="_Toc227924563"/>
      <w:bookmarkStart w:id="27" w:name="_Toc108706796"/>
      <w:r w:rsidRPr="00C17EEA">
        <w:t>4.</w:t>
      </w:r>
      <w:r w:rsidR="008F26DA">
        <w:t>4</w:t>
      </w:r>
      <w:r w:rsidRPr="00C17EEA">
        <w:t>.</w:t>
      </w:r>
      <w:r w:rsidR="00776F64">
        <w:t>2</w:t>
      </w:r>
      <w:r w:rsidRPr="00C17EEA">
        <w:t xml:space="preserve"> </w:t>
      </w:r>
      <w:r w:rsidR="00EA2287" w:rsidRPr="00C17EEA">
        <w:t xml:space="preserve">Autoregressive Distributed Lag </w:t>
      </w:r>
      <w:r w:rsidRPr="00C17EEA">
        <w:t>Long Run Form</w:t>
      </w:r>
      <w:bookmarkEnd w:id="26"/>
    </w:p>
    <w:p w14:paraId="178BB953" w14:textId="1E3B1A46" w:rsidR="00EC3BAD" w:rsidRPr="003B0EE2" w:rsidRDefault="00B50E36" w:rsidP="00596328">
      <w:pPr>
        <w:spacing w:after="0" w:line="240" w:lineRule="auto"/>
        <w:rPr>
          <w:rFonts w:cs="Times New Roman"/>
          <w:color w:val="000000"/>
        </w:rPr>
      </w:pPr>
      <w:r w:rsidRPr="003B0EE2">
        <w:rPr>
          <w:rFonts w:cs="Times New Roman"/>
          <w:color w:val="000000"/>
        </w:rPr>
        <w:t>Table 4.</w:t>
      </w:r>
      <w:r w:rsidR="00776F64">
        <w:rPr>
          <w:rFonts w:cs="Times New Roman"/>
          <w:color w:val="000000"/>
        </w:rPr>
        <w:t>4</w:t>
      </w:r>
      <w:r w:rsidRPr="003B0EE2">
        <w:rPr>
          <w:rFonts w:cs="Times New Roman"/>
          <w:color w:val="000000"/>
        </w:rPr>
        <w:t>: Long Run Form</w:t>
      </w:r>
    </w:p>
    <w:tbl>
      <w:tblPr>
        <w:tblStyle w:val="TableGrid"/>
        <w:tblW w:w="0" w:type="auto"/>
        <w:tblLook w:val="04A0" w:firstRow="1" w:lastRow="0" w:firstColumn="1" w:lastColumn="0" w:noHBand="0" w:noVBand="1"/>
      </w:tblPr>
      <w:tblGrid>
        <w:gridCol w:w="1803"/>
        <w:gridCol w:w="1803"/>
        <w:gridCol w:w="1803"/>
        <w:gridCol w:w="1803"/>
        <w:gridCol w:w="1804"/>
      </w:tblGrid>
      <w:tr w:rsidR="00543AB4" w14:paraId="6F4FAE90" w14:textId="77777777" w:rsidTr="00C44B87">
        <w:tc>
          <w:tcPr>
            <w:tcW w:w="1803" w:type="dxa"/>
          </w:tcPr>
          <w:p w14:paraId="64FFF9E6" w14:textId="77777777" w:rsidR="00543AB4" w:rsidRPr="004543DB" w:rsidRDefault="00543AB4" w:rsidP="00596328">
            <w:pPr>
              <w:rPr>
                <w:rFonts w:eastAsia="Calibri" w:cs="Times New Roman"/>
              </w:rPr>
            </w:pPr>
            <w:r w:rsidRPr="004543DB">
              <w:rPr>
                <w:rFonts w:eastAsia="Calibri" w:cs="Times New Roman"/>
              </w:rPr>
              <w:t>Variable</w:t>
            </w:r>
          </w:p>
        </w:tc>
        <w:tc>
          <w:tcPr>
            <w:tcW w:w="1803" w:type="dxa"/>
          </w:tcPr>
          <w:p w14:paraId="4B22E078" w14:textId="77777777" w:rsidR="00543AB4" w:rsidRPr="004543DB" w:rsidRDefault="00543AB4" w:rsidP="00596328">
            <w:pPr>
              <w:rPr>
                <w:rFonts w:eastAsia="Calibri" w:cs="Times New Roman"/>
              </w:rPr>
            </w:pPr>
            <w:r w:rsidRPr="004543DB">
              <w:rPr>
                <w:rFonts w:eastAsia="Calibri" w:cs="Times New Roman"/>
              </w:rPr>
              <w:t>Coefficient</w:t>
            </w:r>
          </w:p>
        </w:tc>
        <w:tc>
          <w:tcPr>
            <w:tcW w:w="1803" w:type="dxa"/>
          </w:tcPr>
          <w:p w14:paraId="140A355C" w14:textId="77777777" w:rsidR="00543AB4" w:rsidRPr="004543DB" w:rsidRDefault="00543AB4" w:rsidP="00596328">
            <w:pPr>
              <w:rPr>
                <w:rFonts w:eastAsia="Calibri" w:cs="Times New Roman"/>
              </w:rPr>
            </w:pPr>
            <w:r w:rsidRPr="004543DB">
              <w:rPr>
                <w:rFonts w:eastAsia="Calibri" w:cs="Times New Roman"/>
              </w:rPr>
              <w:t>Std. Error</w:t>
            </w:r>
          </w:p>
        </w:tc>
        <w:tc>
          <w:tcPr>
            <w:tcW w:w="1803" w:type="dxa"/>
          </w:tcPr>
          <w:p w14:paraId="66ADD520" w14:textId="77777777" w:rsidR="00543AB4" w:rsidRPr="004543DB" w:rsidRDefault="00543AB4" w:rsidP="00596328">
            <w:pPr>
              <w:rPr>
                <w:rFonts w:eastAsia="Calibri" w:cs="Times New Roman"/>
              </w:rPr>
            </w:pPr>
            <w:r w:rsidRPr="004543DB">
              <w:rPr>
                <w:rFonts w:eastAsia="Calibri" w:cs="Times New Roman"/>
              </w:rPr>
              <w:t>t-Statistic</w:t>
            </w:r>
          </w:p>
        </w:tc>
        <w:tc>
          <w:tcPr>
            <w:tcW w:w="1804" w:type="dxa"/>
          </w:tcPr>
          <w:p w14:paraId="35D60A23" w14:textId="77777777" w:rsidR="00543AB4" w:rsidRPr="004543DB" w:rsidRDefault="00543AB4" w:rsidP="00596328">
            <w:pPr>
              <w:rPr>
                <w:rFonts w:eastAsia="Calibri" w:cs="Times New Roman"/>
              </w:rPr>
            </w:pPr>
            <w:r w:rsidRPr="004543DB">
              <w:rPr>
                <w:rFonts w:eastAsia="Calibri" w:cs="Times New Roman"/>
              </w:rPr>
              <w:t xml:space="preserve">Prob.   </w:t>
            </w:r>
          </w:p>
        </w:tc>
      </w:tr>
      <w:tr w:rsidR="00543AB4" w14:paraId="063F3624" w14:textId="77777777" w:rsidTr="00C44B87">
        <w:tc>
          <w:tcPr>
            <w:tcW w:w="1803" w:type="dxa"/>
          </w:tcPr>
          <w:p w14:paraId="5EE8BFF3" w14:textId="1454F2B3" w:rsidR="00543AB4" w:rsidRDefault="00543AB4" w:rsidP="00596328">
            <w:pPr>
              <w:rPr>
                <w:rFonts w:eastAsia="Calibri" w:cs="Times New Roman"/>
                <w:b/>
                <w:bCs/>
              </w:rPr>
            </w:pPr>
            <w:r>
              <w:rPr>
                <w:rFonts w:eastAsia="Calibri" w:cs="Times New Roman"/>
                <w:bCs/>
              </w:rPr>
              <w:t>M1</w:t>
            </w:r>
            <w:r w:rsidR="00CC627D">
              <w:rPr>
                <w:rFonts w:eastAsia="Calibri" w:cs="Times New Roman"/>
                <w:bCs/>
              </w:rPr>
              <w:t xml:space="preserve"> </w:t>
            </w:r>
            <w:r w:rsidR="00EA1900">
              <w:rPr>
                <w:rFonts w:eastAsia="Calibri" w:cs="Times New Roman"/>
                <w:bCs/>
              </w:rPr>
              <w:t>(-1)</w:t>
            </w:r>
          </w:p>
        </w:tc>
        <w:tc>
          <w:tcPr>
            <w:tcW w:w="1803" w:type="dxa"/>
          </w:tcPr>
          <w:p w14:paraId="2218AE03" w14:textId="7B45974F" w:rsidR="00543AB4" w:rsidRPr="004543DB" w:rsidRDefault="00AD4D53" w:rsidP="00596328">
            <w:pPr>
              <w:rPr>
                <w:rFonts w:eastAsia="Calibri" w:cs="Times New Roman"/>
              </w:rPr>
            </w:pPr>
            <w:r>
              <w:rPr>
                <w:rFonts w:eastAsia="Calibri" w:cs="Times New Roman"/>
              </w:rPr>
              <w:t>3.40E-06</w:t>
            </w:r>
          </w:p>
        </w:tc>
        <w:tc>
          <w:tcPr>
            <w:tcW w:w="1803" w:type="dxa"/>
          </w:tcPr>
          <w:p w14:paraId="27D86FAD" w14:textId="79D31CEA" w:rsidR="00543AB4" w:rsidRPr="004543DB" w:rsidRDefault="002F270F" w:rsidP="00596328">
            <w:pPr>
              <w:rPr>
                <w:rFonts w:eastAsia="Calibri" w:cs="Times New Roman"/>
              </w:rPr>
            </w:pPr>
            <w:r>
              <w:rPr>
                <w:rFonts w:eastAsia="Calibri" w:cs="Times New Roman"/>
              </w:rPr>
              <w:t>6.16E-0</w:t>
            </w:r>
            <w:r w:rsidR="00974C0B">
              <w:rPr>
                <w:rFonts w:eastAsia="Calibri" w:cs="Times New Roman"/>
              </w:rPr>
              <w:t>7</w:t>
            </w:r>
          </w:p>
        </w:tc>
        <w:tc>
          <w:tcPr>
            <w:tcW w:w="1803" w:type="dxa"/>
          </w:tcPr>
          <w:p w14:paraId="3540F75F" w14:textId="5B348428" w:rsidR="00543AB4" w:rsidRPr="004543DB" w:rsidRDefault="00F62B55" w:rsidP="00596328">
            <w:pPr>
              <w:rPr>
                <w:rFonts w:eastAsia="Calibri" w:cs="Times New Roman"/>
              </w:rPr>
            </w:pPr>
            <w:r>
              <w:rPr>
                <w:rFonts w:eastAsia="Calibri" w:cs="Times New Roman"/>
              </w:rPr>
              <w:t>5.528779</w:t>
            </w:r>
          </w:p>
        </w:tc>
        <w:tc>
          <w:tcPr>
            <w:tcW w:w="1804" w:type="dxa"/>
          </w:tcPr>
          <w:p w14:paraId="185EC1D8" w14:textId="6A86D030" w:rsidR="00543AB4" w:rsidRPr="009E7195" w:rsidRDefault="00D73FC5" w:rsidP="00596328">
            <w:pPr>
              <w:rPr>
                <w:rFonts w:eastAsia="Calibri" w:cs="Times New Roman"/>
              </w:rPr>
            </w:pPr>
            <w:r>
              <w:rPr>
                <w:rFonts w:eastAsia="Calibri" w:cs="Times New Roman"/>
              </w:rPr>
              <w:t>0.0000</w:t>
            </w:r>
          </w:p>
        </w:tc>
      </w:tr>
      <w:tr w:rsidR="00543AB4" w14:paraId="01A54CB6" w14:textId="77777777" w:rsidTr="00C44B87">
        <w:tc>
          <w:tcPr>
            <w:tcW w:w="1803" w:type="dxa"/>
          </w:tcPr>
          <w:p w14:paraId="420CBF2C" w14:textId="4507DC00" w:rsidR="00543AB4" w:rsidRDefault="00A307A7" w:rsidP="00596328">
            <w:pPr>
              <w:rPr>
                <w:rFonts w:eastAsia="Calibri" w:cs="Times New Roman"/>
                <w:b/>
                <w:bCs/>
              </w:rPr>
            </w:pPr>
            <w:r>
              <w:rPr>
                <w:rFonts w:eastAsia="Calibri" w:cs="Times New Roman"/>
                <w:bCs/>
              </w:rPr>
              <w:t>INB</w:t>
            </w:r>
          </w:p>
        </w:tc>
        <w:tc>
          <w:tcPr>
            <w:tcW w:w="1803" w:type="dxa"/>
          </w:tcPr>
          <w:p w14:paraId="7E0EC862" w14:textId="5986B2F2" w:rsidR="00543AB4" w:rsidRPr="004543DB" w:rsidRDefault="009270DD" w:rsidP="00596328">
            <w:pPr>
              <w:rPr>
                <w:rFonts w:eastAsia="Calibri" w:cs="Times New Roman"/>
              </w:rPr>
            </w:pPr>
            <w:r>
              <w:rPr>
                <w:rFonts w:eastAsia="Calibri" w:cs="Times New Roman"/>
              </w:rPr>
              <w:t>-0.121705</w:t>
            </w:r>
          </w:p>
        </w:tc>
        <w:tc>
          <w:tcPr>
            <w:tcW w:w="1803" w:type="dxa"/>
          </w:tcPr>
          <w:p w14:paraId="182A49CC" w14:textId="0C0E2C3A" w:rsidR="00543AB4" w:rsidRPr="004543DB" w:rsidRDefault="00974C0B" w:rsidP="00596328">
            <w:pPr>
              <w:rPr>
                <w:rFonts w:eastAsia="Calibri" w:cs="Times New Roman"/>
              </w:rPr>
            </w:pPr>
            <w:r>
              <w:rPr>
                <w:rFonts w:eastAsia="Calibri" w:cs="Times New Roman"/>
              </w:rPr>
              <w:t>0.122913</w:t>
            </w:r>
          </w:p>
        </w:tc>
        <w:tc>
          <w:tcPr>
            <w:tcW w:w="1803" w:type="dxa"/>
          </w:tcPr>
          <w:p w14:paraId="295DC3B2" w14:textId="7281F668" w:rsidR="00543AB4" w:rsidRPr="004543DB" w:rsidRDefault="00F62B55" w:rsidP="00596328">
            <w:pPr>
              <w:rPr>
                <w:rFonts w:eastAsia="Calibri" w:cs="Times New Roman"/>
              </w:rPr>
            </w:pPr>
            <w:r>
              <w:rPr>
                <w:rFonts w:eastAsia="Calibri" w:cs="Times New Roman"/>
              </w:rPr>
              <w:t>-0.990</w:t>
            </w:r>
            <w:r w:rsidR="00B9369F">
              <w:rPr>
                <w:rFonts w:eastAsia="Calibri" w:cs="Times New Roman"/>
              </w:rPr>
              <w:t>176</w:t>
            </w:r>
          </w:p>
        </w:tc>
        <w:tc>
          <w:tcPr>
            <w:tcW w:w="1804" w:type="dxa"/>
          </w:tcPr>
          <w:p w14:paraId="0D293A11" w14:textId="38F1B38B" w:rsidR="00543AB4" w:rsidRPr="009E7195" w:rsidRDefault="00D73FC5" w:rsidP="00596328">
            <w:pPr>
              <w:rPr>
                <w:rFonts w:eastAsia="Calibri" w:cs="Times New Roman"/>
              </w:rPr>
            </w:pPr>
            <w:r>
              <w:rPr>
                <w:rFonts w:eastAsia="Calibri" w:cs="Times New Roman"/>
              </w:rPr>
              <w:t>0.3234</w:t>
            </w:r>
          </w:p>
        </w:tc>
      </w:tr>
      <w:tr w:rsidR="00543AB4" w14:paraId="529B806C" w14:textId="77777777" w:rsidTr="00C44B87">
        <w:tc>
          <w:tcPr>
            <w:tcW w:w="1803" w:type="dxa"/>
          </w:tcPr>
          <w:p w14:paraId="3D7C8DE0" w14:textId="0FDD09BD" w:rsidR="00543AB4" w:rsidRDefault="0075346B" w:rsidP="00596328">
            <w:pPr>
              <w:rPr>
                <w:rFonts w:eastAsia="Calibri" w:cs="Times New Roman"/>
                <w:b/>
                <w:bCs/>
              </w:rPr>
            </w:pPr>
            <w:r>
              <w:rPr>
                <w:rFonts w:eastAsia="Calibri" w:cs="Times New Roman"/>
                <w:bCs/>
              </w:rPr>
              <w:t>TC</w:t>
            </w:r>
          </w:p>
        </w:tc>
        <w:tc>
          <w:tcPr>
            <w:tcW w:w="1803" w:type="dxa"/>
          </w:tcPr>
          <w:p w14:paraId="6E5BA736" w14:textId="2A8321C9" w:rsidR="00543AB4" w:rsidRPr="004543DB" w:rsidRDefault="009270DD" w:rsidP="00596328">
            <w:pPr>
              <w:rPr>
                <w:rFonts w:eastAsia="Calibri" w:cs="Times New Roman"/>
              </w:rPr>
            </w:pPr>
            <w:r>
              <w:rPr>
                <w:rFonts w:eastAsia="Calibri" w:cs="Times New Roman"/>
              </w:rPr>
              <w:t>9.19</w:t>
            </w:r>
            <w:r w:rsidR="004A12F4">
              <w:rPr>
                <w:rFonts w:eastAsia="Calibri" w:cs="Times New Roman"/>
              </w:rPr>
              <w:t>E-07</w:t>
            </w:r>
          </w:p>
        </w:tc>
        <w:tc>
          <w:tcPr>
            <w:tcW w:w="1803" w:type="dxa"/>
          </w:tcPr>
          <w:p w14:paraId="4D2AA9F1" w14:textId="07C99224" w:rsidR="00543AB4" w:rsidRPr="004543DB" w:rsidRDefault="00F9672A" w:rsidP="00596328">
            <w:pPr>
              <w:rPr>
                <w:rFonts w:eastAsia="Calibri" w:cs="Times New Roman"/>
              </w:rPr>
            </w:pPr>
            <w:r>
              <w:rPr>
                <w:rFonts w:eastAsia="Calibri" w:cs="Times New Roman"/>
              </w:rPr>
              <w:t>5.50E-07</w:t>
            </w:r>
          </w:p>
        </w:tc>
        <w:tc>
          <w:tcPr>
            <w:tcW w:w="1803" w:type="dxa"/>
          </w:tcPr>
          <w:p w14:paraId="78C66EF8" w14:textId="6671A75C" w:rsidR="00543AB4" w:rsidRPr="004543DB" w:rsidRDefault="00B9369F" w:rsidP="00596328">
            <w:pPr>
              <w:rPr>
                <w:rFonts w:eastAsia="Calibri" w:cs="Times New Roman"/>
              </w:rPr>
            </w:pPr>
            <w:r>
              <w:rPr>
                <w:rFonts w:eastAsia="Calibri" w:cs="Times New Roman"/>
              </w:rPr>
              <w:t>1.672161</w:t>
            </w:r>
          </w:p>
        </w:tc>
        <w:tc>
          <w:tcPr>
            <w:tcW w:w="1804" w:type="dxa"/>
          </w:tcPr>
          <w:p w14:paraId="6F9C19ED" w14:textId="75171557" w:rsidR="00543AB4" w:rsidRPr="009E7195" w:rsidRDefault="00D73FC5" w:rsidP="00596328">
            <w:pPr>
              <w:rPr>
                <w:rFonts w:eastAsia="Calibri" w:cs="Times New Roman"/>
              </w:rPr>
            </w:pPr>
            <w:r>
              <w:rPr>
                <w:rFonts w:eastAsia="Calibri" w:cs="Times New Roman"/>
              </w:rPr>
              <w:t>0.09</w:t>
            </w:r>
            <w:r w:rsidR="00803BB7">
              <w:rPr>
                <w:rFonts w:eastAsia="Calibri" w:cs="Times New Roman"/>
              </w:rPr>
              <w:t>62</w:t>
            </w:r>
          </w:p>
        </w:tc>
      </w:tr>
      <w:tr w:rsidR="00543AB4" w14:paraId="42580A48" w14:textId="77777777" w:rsidTr="00C44B87">
        <w:tc>
          <w:tcPr>
            <w:tcW w:w="1803" w:type="dxa"/>
          </w:tcPr>
          <w:p w14:paraId="329A9BA8" w14:textId="029480DF" w:rsidR="00543AB4" w:rsidRDefault="00CC627D" w:rsidP="00596328">
            <w:pPr>
              <w:rPr>
                <w:rFonts w:eastAsia="Calibri" w:cs="Times New Roman"/>
                <w:b/>
                <w:bCs/>
              </w:rPr>
            </w:pPr>
            <w:r>
              <w:rPr>
                <w:rFonts w:eastAsia="Calibri" w:cs="Times New Roman"/>
                <w:bCs/>
              </w:rPr>
              <w:t>NTBS (-1)</w:t>
            </w:r>
          </w:p>
        </w:tc>
        <w:tc>
          <w:tcPr>
            <w:tcW w:w="1803" w:type="dxa"/>
          </w:tcPr>
          <w:p w14:paraId="70524F80" w14:textId="584DFB0B" w:rsidR="00543AB4" w:rsidRPr="004543DB" w:rsidRDefault="004A12F4" w:rsidP="00596328">
            <w:pPr>
              <w:rPr>
                <w:rFonts w:eastAsia="Calibri" w:cs="Times New Roman"/>
              </w:rPr>
            </w:pPr>
            <w:r>
              <w:rPr>
                <w:rFonts w:eastAsia="Calibri" w:cs="Times New Roman"/>
              </w:rPr>
              <w:t>-0.27</w:t>
            </w:r>
            <w:r w:rsidR="000974A2">
              <w:rPr>
                <w:rFonts w:eastAsia="Calibri" w:cs="Times New Roman"/>
              </w:rPr>
              <w:t>8358</w:t>
            </w:r>
          </w:p>
        </w:tc>
        <w:tc>
          <w:tcPr>
            <w:tcW w:w="1803" w:type="dxa"/>
          </w:tcPr>
          <w:p w14:paraId="20C0C8AE" w14:textId="3B21A42E" w:rsidR="00543AB4" w:rsidRPr="004543DB" w:rsidRDefault="005F2083" w:rsidP="00596328">
            <w:pPr>
              <w:rPr>
                <w:rFonts w:eastAsia="Calibri" w:cs="Times New Roman"/>
              </w:rPr>
            </w:pPr>
            <w:r>
              <w:rPr>
                <w:rFonts w:eastAsia="Calibri" w:cs="Times New Roman"/>
              </w:rPr>
              <w:t>0.342054</w:t>
            </w:r>
          </w:p>
        </w:tc>
        <w:tc>
          <w:tcPr>
            <w:tcW w:w="1803" w:type="dxa"/>
          </w:tcPr>
          <w:p w14:paraId="1EDF7356" w14:textId="417207CD" w:rsidR="00543AB4" w:rsidRPr="00A94B3F" w:rsidRDefault="00E42F20" w:rsidP="00596328">
            <w:pPr>
              <w:rPr>
                <w:rFonts w:eastAsia="Calibri" w:cs="Times New Roman"/>
              </w:rPr>
            </w:pPr>
            <w:r>
              <w:rPr>
                <w:rFonts w:eastAsia="Calibri" w:cs="Times New Roman"/>
              </w:rPr>
              <w:t>-0.813783</w:t>
            </w:r>
          </w:p>
        </w:tc>
        <w:tc>
          <w:tcPr>
            <w:tcW w:w="1804" w:type="dxa"/>
          </w:tcPr>
          <w:p w14:paraId="7D585F96" w14:textId="047FA655" w:rsidR="00543AB4" w:rsidRPr="009E7195" w:rsidRDefault="00803BB7" w:rsidP="00596328">
            <w:pPr>
              <w:rPr>
                <w:rFonts w:eastAsia="Calibri" w:cs="Times New Roman"/>
              </w:rPr>
            </w:pPr>
            <w:r>
              <w:rPr>
                <w:rFonts w:eastAsia="Calibri" w:cs="Times New Roman"/>
              </w:rPr>
              <w:t>0.4168</w:t>
            </w:r>
          </w:p>
        </w:tc>
      </w:tr>
      <w:tr w:rsidR="00543AB4" w14:paraId="5B7C43C7" w14:textId="77777777" w:rsidTr="00C44B87">
        <w:tc>
          <w:tcPr>
            <w:tcW w:w="1803" w:type="dxa"/>
          </w:tcPr>
          <w:p w14:paraId="468F51AF" w14:textId="5DFED597" w:rsidR="00543AB4" w:rsidRDefault="00CC627D" w:rsidP="00596328">
            <w:pPr>
              <w:rPr>
                <w:rFonts w:eastAsia="Calibri" w:cs="Times New Roman"/>
                <w:b/>
                <w:bCs/>
              </w:rPr>
            </w:pPr>
            <w:r w:rsidRPr="00AE0453">
              <w:rPr>
                <w:rFonts w:eastAsia="Calibri" w:cs="Times New Roman"/>
                <w:bCs/>
              </w:rPr>
              <w:t>WAMA</w:t>
            </w:r>
            <w:r>
              <w:rPr>
                <w:rFonts w:eastAsia="Calibri" w:cs="Times New Roman"/>
                <w:bCs/>
              </w:rPr>
              <w:t xml:space="preserve"> (-1)</w:t>
            </w:r>
          </w:p>
        </w:tc>
        <w:tc>
          <w:tcPr>
            <w:tcW w:w="1803" w:type="dxa"/>
          </w:tcPr>
          <w:p w14:paraId="033D8523" w14:textId="746A0E97" w:rsidR="00543AB4" w:rsidRPr="004543DB" w:rsidRDefault="000974A2" w:rsidP="00596328">
            <w:pPr>
              <w:rPr>
                <w:rFonts w:eastAsia="Calibri" w:cs="Times New Roman"/>
              </w:rPr>
            </w:pPr>
            <w:r>
              <w:rPr>
                <w:rFonts w:eastAsia="Calibri" w:cs="Times New Roman"/>
              </w:rPr>
              <w:t>4.39E-07</w:t>
            </w:r>
          </w:p>
        </w:tc>
        <w:tc>
          <w:tcPr>
            <w:tcW w:w="1803" w:type="dxa"/>
          </w:tcPr>
          <w:p w14:paraId="6A294C08" w14:textId="66D76A12" w:rsidR="00543AB4" w:rsidRPr="004543DB" w:rsidRDefault="005F2083" w:rsidP="00596328">
            <w:pPr>
              <w:rPr>
                <w:rFonts w:eastAsia="Calibri" w:cs="Times New Roman"/>
              </w:rPr>
            </w:pPr>
            <w:r>
              <w:rPr>
                <w:rFonts w:eastAsia="Calibri" w:cs="Times New Roman"/>
              </w:rPr>
              <w:t>2.71E</w:t>
            </w:r>
            <w:r w:rsidR="00825FD4">
              <w:rPr>
                <w:rFonts w:eastAsia="Calibri" w:cs="Times New Roman"/>
              </w:rPr>
              <w:t>-07</w:t>
            </w:r>
          </w:p>
        </w:tc>
        <w:tc>
          <w:tcPr>
            <w:tcW w:w="1803" w:type="dxa"/>
          </w:tcPr>
          <w:p w14:paraId="4D56B137" w14:textId="01685443" w:rsidR="00543AB4" w:rsidRPr="009E7195" w:rsidRDefault="00E42F20" w:rsidP="00596328">
            <w:pPr>
              <w:rPr>
                <w:rFonts w:eastAsia="Calibri" w:cs="Times New Roman"/>
              </w:rPr>
            </w:pPr>
            <w:r>
              <w:rPr>
                <w:rFonts w:eastAsia="Calibri" w:cs="Times New Roman"/>
              </w:rPr>
              <w:t>1.619</w:t>
            </w:r>
            <w:r w:rsidR="000F230A">
              <w:rPr>
                <w:rFonts w:eastAsia="Calibri" w:cs="Times New Roman"/>
              </w:rPr>
              <w:t>116</w:t>
            </w:r>
          </w:p>
        </w:tc>
        <w:tc>
          <w:tcPr>
            <w:tcW w:w="1804" w:type="dxa"/>
          </w:tcPr>
          <w:p w14:paraId="11D96173" w14:textId="478E60DB" w:rsidR="00543AB4" w:rsidRPr="009E7195" w:rsidRDefault="00803BB7" w:rsidP="00596328">
            <w:pPr>
              <w:rPr>
                <w:rFonts w:eastAsia="Calibri" w:cs="Times New Roman"/>
              </w:rPr>
            </w:pPr>
            <w:r>
              <w:rPr>
                <w:rFonts w:eastAsia="Calibri" w:cs="Times New Roman"/>
              </w:rPr>
              <w:t>0.1072</w:t>
            </w:r>
          </w:p>
        </w:tc>
      </w:tr>
      <w:tr w:rsidR="00EA1900" w14:paraId="73CAAAEC" w14:textId="77777777" w:rsidTr="00C44B87">
        <w:tc>
          <w:tcPr>
            <w:tcW w:w="1803" w:type="dxa"/>
          </w:tcPr>
          <w:p w14:paraId="643B78AF" w14:textId="53A8B9C9" w:rsidR="00EA1900" w:rsidRPr="004543DB" w:rsidRDefault="00EA1900" w:rsidP="00596328">
            <w:pPr>
              <w:rPr>
                <w:rFonts w:eastAsia="Calibri" w:cs="Times New Roman"/>
              </w:rPr>
            </w:pPr>
            <w:r>
              <w:rPr>
                <w:rFonts w:eastAsia="Calibri" w:cs="Times New Roman"/>
              </w:rPr>
              <w:t>AEXR</w:t>
            </w:r>
          </w:p>
        </w:tc>
        <w:tc>
          <w:tcPr>
            <w:tcW w:w="1803" w:type="dxa"/>
          </w:tcPr>
          <w:p w14:paraId="5891C38A" w14:textId="62467C94" w:rsidR="00EA1900" w:rsidRPr="004543DB" w:rsidRDefault="002F270F" w:rsidP="00596328">
            <w:pPr>
              <w:rPr>
                <w:rFonts w:eastAsia="Calibri" w:cs="Times New Roman"/>
              </w:rPr>
            </w:pPr>
            <w:r>
              <w:rPr>
                <w:rFonts w:eastAsia="Calibri" w:cs="Times New Roman"/>
              </w:rPr>
              <w:t>0.048784</w:t>
            </w:r>
          </w:p>
        </w:tc>
        <w:tc>
          <w:tcPr>
            <w:tcW w:w="1803" w:type="dxa"/>
          </w:tcPr>
          <w:p w14:paraId="6B076989" w14:textId="61BF9A08" w:rsidR="00EA1900" w:rsidRPr="004543DB" w:rsidRDefault="00825FD4" w:rsidP="00596328">
            <w:pPr>
              <w:rPr>
                <w:rFonts w:eastAsia="Calibri" w:cs="Times New Roman"/>
              </w:rPr>
            </w:pPr>
            <w:r>
              <w:rPr>
                <w:rFonts w:eastAsia="Calibri" w:cs="Times New Roman"/>
              </w:rPr>
              <w:t>0.022073</w:t>
            </w:r>
          </w:p>
        </w:tc>
        <w:tc>
          <w:tcPr>
            <w:tcW w:w="1803" w:type="dxa"/>
          </w:tcPr>
          <w:p w14:paraId="166895E6" w14:textId="2CFE8282" w:rsidR="00EA1900" w:rsidRPr="009E7195" w:rsidRDefault="000F230A" w:rsidP="00596328">
            <w:pPr>
              <w:rPr>
                <w:rFonts w:eastAsia="Calibri" w:cs="Times New Roman"/>
              </w:rPr>
            </w:pPr>
            <w:r>
              <w:rPr>
                <w:rFonts w:eastAsia="Calibri" w:cs="Times New Roman"/>
              </w:rPr>
              <w:t>2.210108</w:t>
            </w:r>
          </w:p>
        </w:tc>
        <w:tc>
          <w:tcPr>
            <w:tcW w:w="1804" w:type="dxa"/>
          </w:tcPr>
          <w:p w14:paraId="454B4609" w14:textId="64D7C066" w:rsidR="00EA1900" w:rsidRPr="009E7195" w:rsidRDefault="00EA1EB3" w:rsidP="00596328">
            <w:pPr>
              <w:rPr>
                <w:rFonts w:eastAsia="Calibri" w:cs="Times New Roman"/>
              </w:rPr>
            </w:pPr>
            <w:r>
              <w:rPr>
                <w:rFonts w:eastAsia="Calibri" w:cs="Times New Roman"/>
              </w:rPr>
              <w:t>0.0283</w:t>
            </w:r>
          </w:p>
        </w:tc>
      </w:tr>
    </w:tbl>
    <w:p w14:paraId="6D328DFB" w14:textId="6285F53A" w:rsidR="00543AB4" w:rsidRPr="00543AB4" w:rsidRDefault="00543AB4" w:rsidP="00596328">
      <w:pPr>
        <w:spacing w:after="0" w:line="240" w:lineRule="auto"/>
        <w:rPr>
          <w:rFonts w:cs="Times New Roman"/>
          <w:i/>
          <w:iCs/>
          <w:color w:val="000000"/>
        </w:rPr>
      </w:pPr>
      <w:r w:rsidRPr="00543AB4">
        <w:rPr>
          <w:rFonts w:cs="Times New Roman"/>
          <w:i/>
          <w:iCs/>
          <w:color w:val="000000"/>
        </w:rPr>
        <w:t>Source: Computed by author using EViews 13</w:t>
      </w:r>
    </w:p>
    <w:p w14:paraId="5666786A" w14:textId="77777777" w:rsidR="008F26DA" w:rsidRDefault="008F26DA" w:rsidP="00596328">
      <w:pPr>
        <w:spacing w:after="0" w:line="240" w:lineRule="auto"/>
        <w:rPr>
          <w:rFonts w:cs="Times New Roman"/>
          <w:color w:val="000000"/>
        </w:rPr>
      </w:pPr>
    </w:p>
    <w:p w14:paraId="3CD319AB" w14:textId="63F202E8" w:rsidR="00C17EEA" w:rsidRDefault="00227A1C" w:rsidP="00596328">
      <w:pPr>
        <w:spacing w:after="0" w:line="240" w:lineRule="auto"/>
        <w:rPr>
          <w:rFonts w:cs="Times New Roman"/>
          <w:color w:val="000000"/>
        </w:rPr>
      </w:pPr>
      <w:r w:rsidRPr="00227A1C">
        <w:rPr>
          <w:rFonts w:cs="Times New Roman"/>
          <w:color w:val="000000"/>
        </w:rPr>
        <w:t>The coefficient of M</w:t>
      </w:r>
      <w:r w:rsidR="00EE371B">
        <w:rPr>
          <w:rFonts w:cs="Times New Roman"/>
          <w:color w:val="000000"/>
        </w:rPr>
        <w:t>1 at lag</w:t>
      </w:r>
      <w:r w:rsidR="0037595E">
        <w:rPr>
          <w:rFonts w:cs="Times New Roman"/>
          <w:color w:val="000000"/>
        </w:rPr>
        <w:t xml:space="preserve"> 1</w:t>
      </w:r>
      <w:r w:rsidRPr="00227A1C">
        <w:rPr>
          <w:rFonts w:cs="Times New Roman"/>
          <w:color w:val="000000"/>
        </w:rPr>
        <w:t xml:space="preserve"> is positive (</w:t>
      </w:r>
      <w:r w:rsidR="0037595E">
        <w:rPr>
          <w:rFonts w:cs="Times New Roman"/>
          <w:color w:val="000000"/>
        </w:rPr>
        <w:t>3</w:t>
      </w:r>
      <w:r w:rsidRPr="00227A1C">
        <w:rPr>
          <w:rFonts w:cs="Times New Roman"/>
          <w:color w:val="000000"/>
        </w:rPr>
        <w:t>.</w:t>
      </w:r>
      <w:r w:rsidR="0037595E">
        <w:rPr>
          <w:rFonts w:cs="Times New Roman"/>
          <w:color w:val="000000"/>
        </w:rPr>
        <w:t>4</w:t>
      </w:r>
      <w:r w:rsidRPr="00227A1C">
        <w:rPr>
          <w:rFonts w:cs="Times New Roman"/>
          <w:color w:val="000000"/>
        </w:rPr>
        <w:t>0</w:t>
      </w:r>
      <w:r w:rsidR="0037595E">
        <w:rPr>
          <w:rFonts w:cs="Times New Roman"/>
          <w:color w:val="000000"/>
        </w:rPr>
        <w:t>E</w:t>
      </w:r>
      <w:r w:rsidR="00B304C4">
        <w:rPr>
          <w:rFonts w:cs="Times New Roman"/>
          <w:color w:val="000000"/>
        </w:rPr>
        <w:t>-07</w:t>
      </w:r>
      <w:r w:rsidRPr="00227A1C">
        <w:rPr>
          <w:rFonts w:cs="Times New Roman"/>
          <w:color w:val="000000"/>
        </w:rPr>
        <w:t xml:space="preserve">), </w:t>
      </w:r>
      <w:r w:rsidR="00752586" w:rsidRPr="00752586">
        <w:rPr>
          <w:rFonts w:cs="Times New Roman"/>
          <w:color w:val="000000"/>
        </w:rPr>
        <w:t>highly significant</w:t>
      </w:r>
      <w:r w:rsidR="00752586">
        <w:rPr>
          <w:rFonts w:cs="Times New Roman"/>
          <w:color w:val="000000"/>
        </w:rPr>
        <w:t xml:space="preserve">, </w:t>
      </w:r>
      <w:r w:rsidRPr="00227A1C">
        <w:rPr>
          <w:rFonts w:cs="Times New Roman"/>
          <w:color w:val="000000"/>
        </w:rPr>
        <w:t>suggesting that an increase in money supply contributes to higher inflation in the long run.</w:t>
      </w:r>
      <w:r w:rsidR="00D67AC5">
        <w:rPr>
          <w:rFonts w:cs="Times New Roman"/>
          <w:color w:val="000000"/>
        </w:rPr>
        <w:t xml:space="preserve"> T</w:t>
      </w:r>
      <w:r w:rsidRPr="00227A1C">
        <w:rPr>
          <w:rFonts w:cs="Times New Roman"/>
          <w:color w:val="000000"/>
        </w:rPr>
        <w:t>he t-statistic (</w:t>
      </w:r>
      <w:r w:rsidR="00D67AC5">
        <w:rPr>
          <w:rFonts w:cs="Times New Roman"/>
          <w:color w:val="000000"/>
        </w:rPr>
        <w:t>5</w:t>
      </w:r>
      <w:r w:rsidRPr="00227A1C">
        <w:rPr>
          <w:rFonts w:cs="Times New Roman"/>
          <w:color w:val="000000"/>
        </w:rPr>
        <w:t>.</w:t>
      </w:r>
      <w:r w:rsidR="00022E5E">
        <w:rPr>
          <w:rFonts w:cs="Times New Roman"/>
          <w:color w:val="000000"/>
        </w:rPr>
        <w:t>52</w:t>
      </w:r>
      <w:r w:rsidRPr="00227A1C">
        <w:rPr>
          <w:rFonts w:cs="Times New Roman"/>
          <w:color w:val="000000"/>
        </w:rPr>
        <w:t xml:space="preserve">) is relatively </w:t>
      </w:r>
      <w:r w:rsidR="00FE1B61">
        <w:rPr>
          <w:rFonts w:cs="Times New Roman"/>
          <w:color w:val="000000"/>
        </w:rPr>
        <w:t>strong</w:t>
      </w:r>
      <w:r w:rsidRPr="00227A1C">
        <w:rPr>
          <w:rFonts w:cs="Times New Roman"/>
          <w:color w:val="000000"/>
        </w:rPr>
        <w:t>, the significance level (p = 0.000) indicates that the effect is statistically meaningful. This supports the monetarist proposition that “inflation is always and everywhere a monetary phenomenon” (Friedman, 1963). Expansion in narrow money directly increases liquidity in the economy, raising aggregate demand beyond available supply, and thereby fueling inflationary pressures.</w:t>
      </w:r>
    </w:p>
    <w:p w14:paraId="13145BA5" w14:textId="6745163F" w:rsidR="00773DAD" w:rsidRDefault="00773DAD" w:rsidP="00596328">
      <w:pPr>
        <w:spacing w:after="0" w:line="240" w:lineRule="auto"/>
        <w:rPr>
          <w:rFonts w:cs="Times New Roman"/>
          <w:color w:val="000000"/>
        </w:rPr>
      </w:pPr>
      <w:r w:rsidRPr="00773DAD">
        <w:rPr>
          <w:rFonts w:cs="Times New Roman"/>
          <w:color w:val="000000"/>
        </w:rPr>
        <w:t xml:space="preserve">The coefficient of </w:t>
      </w:r>
      <w:r w:rsidR="00BA63ED">
        <w:rPr>
          <w:rFonts w:cs="Times New Roman"/>
          <w:color w:val="000000"/>
        </w:rPr>
        <w:t xml:space="preserve">inter-bank rates </w:t>
      </w:r>
      <w:r w:rsidRPr="00773DAD">
        <w:rPr>
          <w:rFonts w:cs="Times New Roman"/>
          <w:color w:val="000000"/>
        </w:rPr>
        <w:t>(</w:t>
      </w:r>
      <w:r w:rsidR="00F20D1A">
        <w:rPr>
          <w:rFonts w:cs="Times New Roman"/>
          <w:color w:val="000000"/>
        </w:rPr>
        <w:t>-0</w:t>
      </w:r>
      <w:r w:rsidRPr="00773DAD">
        <w:rPr>
          <w:rFonts w:cs="Times New Roman"/>
          <w:color w:val="000000"/>
        </w:rPr>
        <w:t>.</w:t>
      </w:r>
      <w:r w:rsidR="00F20D1A">
        <w:rPr>
          <w:rFonts w:cs="Times New Roman"/>
          <w:color w:val="000000"/>
        </w:rPr>
        <w:t>121705</w:t>
      </w:r>
      <w:r w:rsidRPr="00773DAD">
        <w:rPr>
          <w:rFonts w:cs="Times New Roman"/>
          <w:color w:val="000000"/>
        </w:rPr>
        <w:t xml:space="preserve">) is </w:t>
      </w:r>
      <w:r w:rsidR="007A3EF9">
        <w:rPr>
          <w:rFonts w:cs="Times New Roman"/>
          <w:color w:val="000000"/>
        </w:rPr>
        <w:t>negat</w:t>
      </w:r>
      <w:r w:rsidRPr="00773DAD">
        <w:rPr>
          <w:rFonts w:cs="Times New Roman"/>
          <w:color w:val="000000"/>
        </w:rPr>
        <w:t xml:space="preserve">ive and insignificant at </w:t>
      </w:r>
      <w:r w:rsidR="00B0588F">
        <w:rPr>
          <w:rFonts w:cs="Times New Roman"/>
          <w:color w:val="000000"/>
        </w:rPr>
        <w:t>thirty-two</w:t>
      </w:r>
      <w:r w:rsidR="00F4395D">
        <w:rPr>
          <w:rFonts w:cs="Times New Roman"/>
          <w:color w:val="000000"/>
        </w:rPr>
        <w:t xml:space="preserve"> </w:t>
      </w:r>
      <w:r w:rsidRPr="00773DAD">
        <w:rPr>
          <w:rFonts w:cs="Times New Roman"/>
          <w:color w:val="000000"/>
        </w:rPr>
        <w:t>per cent</w:t>
      </w:r>
      <w:r w:rsidR="00F4395D">
        <w:rPr>
          <w:rFonts w:cs="Times New Roman"/>
          <w:color w:val="000000"/>
        </w:rPr>
        <w:t xml:space="preserve"> </w:t>
      </w:r>
      <w:r w:rsidRPr="00773DAD">
        <w:rPr>
          <w:rFonts w:cs="Times New Roman"/>
          <w:color w:val="000000"/>
        </w:rPr>
        <w:t xml:space="preserve">(t = </w:t>
      </w:r>
      <w:r w:rsidR="00A3713B">
        <w:rPr>
          <w:rFonts w:cs="Times New Roman"/>
          <w:color w:val="000000"/>
        </w:rPr>
        <w:t>-0.99017</w:t>
      </w:r>
      <w:r w:rsidRPr="00773DAD">
        <w:rPr>
          <w:rFonts w:cs="Times New Roman"/>
          <w:color w:val="000000"/>
        </w:rPr>
        <w:t>; p = 0.</w:t>
      </w:r>
      <w:r w:rsidR="00854D33">
        <w:rPr>
          <w:rFonts w:cs="Times New Roman"/>
          <w:color w:val="000000"/>
        </w:rPr>
        <w:t>3</w:t>
      </w:r>
      <w:r w:rsidRPr="00773DAD">
        <w:rPr>
          <w:rFonts w:cs="Times New Roman"/>
          <w:color w:val="000000"/>
        </w:rPr>
        <w:t>2</w:t>
      </w:r>
      <w:r w:rsidR="00854D33">
        <w:rPr>
          <w:rFonts w:cs="Times New Roman"/>
          <w:color w:val="000000"/>
        </w:rPr>
        <w:t>34</w:t>
      </w:r>
      <w:r w:rsidRPr="00773DAD">
        <w:rPr>
          <w:rFonts w:cs="Times New Roman"/>
          <w:color w:val="000000"/>
        </w:rPr>
        <w:t xml:space="preserve">). </w:t>
      </w:r>
      <w:r w:rsidR="00F46622" w:rsidRPr="00F46622">
        <w:rPr>
          <w:rFonts w:cs="Times New Roman"/>
          <w:color w:val="000000"/>
        </w:rPr>
        <w:t>This finding suggests a weak long‑run interest‑rate transmission to consumer prices in Nigeria within the present specification, consistent with the prominence of cost‑push and external drivers of inflation and with potential attenuation from financial‑intermediation frictions.</w:t>
      </w:r>
      <w:r w:rsidR="00F46622">
        <w:rPr>
          <w:rFonts w:cs="Times New Roman"/>
          <w:color w:val="000000"/>
        </w:rPr>
        <w:t xml:space="preserve"> </w:t>
      </w:r>
      <w:r w:rsidR="00F46622" w:rsidRPr="00F46622">
        <w:rPr>
          <w:rFonts w:cs="Times New Roman"/>
          <w:color w:val="000000"/>
        </w:rPr>
        <w:t>This suggests that inter-bank rates do not influence inflation in the long run.</w:t>
      </w:r>
    </w:p>
    <w:p w14:paraId="34F7D49C" w14:textId="20E45835" w:rsidR="00FF4D94" w:rsidRDefault="00FF4D94" w:rsidP="00596328">
      <w:pPr>
        <w:spacing w:after="0" w:line="240" w:lineRule="auto"/>
        <w:rPr>
          <w:rFonts w:cs="Times New Roman"/>
          <w:color w:val="000000"/>
        </w:rPr>
      </w:pPr>
      <w:r w:rsidRPr="00FF4D94">
        <w:rPr>
          <w:rFonts w:cs="Times New Roman"/>
          <w:color w:val="000000"/>
        </w:rPr>
        <w:t>The coefficient of TC (</w:t>
      </w:r>
      <w:r w:rsidR="00406CB0">
        <w:rPr>
          <w:rFonts w:cs="Times New Roman"/>
          <w:color w:val="000000"/>
        </w:rPr>
        <w:t>9</w:t>
      </w:r>
      <w:r w:rsidRPr="00FF4D94">
        <w:rPr>
          <w:rFonts w:cs="Times New Roman"/>
          <w:color w:val="000000"/>
        </w:rPr>
        <w:t>.</w:t>
      </w:r>
      <w:r w:rsidR="0078373D">
        <w:rPr>
          <w:rFonts w:cs="Times New Roman"/>
          <w:color w:val="000000"/>
        </w:rPr>
        <w:t>19E-07</w:t>
      </w:r>
      <w:r w:rsidRPr="00FF4D94">
        <w:rPr>
          <w:rFonts w:cs="Times New Roman"/>
          <w:color w:val="000000"/>
        </w:rPr>
        <w:t xml:space="preserve">) is positive and </w:t>
      </w:r>
      <w:r w:rsidR="00BC4FFE">
        <w:rPr>
          <w:rFonts w:cs="Times New Roman"/>
          <w:color w:val="000000"/>
        </w:rPr>
        <w:t>in</w:t>
      </w:r>
      <w:r w:rsidRPr="00FF4D94">
        <w:rPr>
          <w:rFonts w:cs="Times New Roman"/>
          <w:color w:val="000000"/>
        </w:rPr>
        <w:t xml:space="preserve">significant </w:t>
      </w:r>
      <w:r w:rsidR="00516CE9">
        <w:rPr>
          <w:rFonts w:cs="Times New Roman"/>
          <w:color w:val="000000"/>
        </w:rPr>
        <w:t xml:space="preserve">at </w:t>
      </w:r>
      <w:r w:rsidR="000E651C">
        <w:rPr>
          <w:rFonts w:cs="Times New Roman"/>
          <w:color w:val="000000"/>
        </w:rPr>
        <w:t xml:space="preserve">five per cent level </w:t>
      </w:r>
      <w:r w:rsidRPr="00FF4D94">
        <w:rPr>
          <w:rFonts w:cs="Times New Roman"/>
          <w:color w:val="000000"/>
        </w:rPr>
        <w:t xml:space="preserve">(t = </w:t>
      </w:r>
      <w:r w:rsidR="00BC4FFE">
        <w:rPr>
          <w:rFonts w:cs="Times New Roman"/>
          <w:color w:val="000000"/>
        </w:rPr>
        <w:t>1</w:t>
      </w:r>
      <w:r w:rsidRPr="00FF4D94">
        <w:rPr>
          <w:rFonts w:cs="Times New Roman"/>
          <w:color w:val="000000"/>
        </w:rPr>
        <w:t>.</w:t>
      </w:r>
      <w:r w:rsidR="00BC4FFE">
        <w:rPr>
          <w:rFonts w:cs="Times New Roman"/>
          <w:color w:val="000000"/>
        </w:rPr>
        <w:t>67</w:t>
      </w:r>
      <w:r w:rsidRPr="00FF4D94">
        <w:rPr>
          <w:rFonts w:cs="Times New Roman"/>
          <w:color w:val="000000"/>
        </w:rPr>
        <w:t>; p = 0.0</w:t>
      </w:r>
      <w:r w:rsidR="00516CE9">
        <w:rPr>
          <w:rFonts w:cs="Times New Roman"/>
          <w:color w:val="000000"/>
        </w:rPr>
        <w:t>962</w:t>
      </w:r>
      <w:r w:rsidRPr="00FF4D94">
        <w:rPr>
          <w:rFonts w:cs="Times New Roman"/>
          <w:color w:val="000000"/>
        </w:rPr>
        <w:t xml:space="preserve">). This suggests that Treasury Certificates, another short-term financing instrument, </w:t>
      </w:r>
      <w:r w:rsidR="00D445AE">
        <w:rPr>
          <w:rFonts w:cs="Times New Roman"/>
          <w:color w:val="000000"/>
        </w:rPr>
        <w:t>do not</w:t>
      </w:r>
      <w:r w:rsidRPr="00FF4D94">
        <w:rPr>
          <w:rFonts w:cs="Times New Roman"/>
          <w:color w:val="000000"/>
        </w:rPr>
        <w:t xml:space="preserve"> </w:t>
      </w:r>
      <w:r w:rsidR="00F46479">
        <w:rPr>
          <w:rFonts w:cs="Times New Roman"/>
          <w:color w:val="000000"/>
        </w:rPr>
        <w:t xml:space="preserve">influence </w:t>
      </w:r>
      <w:r w:rsidRPr="00FF4D94">
        <w:rPr>
          <w:rFonts w:cs="Times New Roman"/>
          <w:color w:val="000000"/>
        </w:rPr>
        <w:t>inflation</w:t>
      </w:r>
      <w:r w:rsidR="00FF577F">
        <w:rPr>
          <w:rFonts w:cs="Times New Roman"/>
          <w:color w:val="000000"/>
        </w:rPr>
        <w:t xml:space="preserve"> in the </w:t>
      </w:r>
      <w:r w:rsidR="002B3D27">
        <w:rPr>
          <w:rFonts w:cs="Times New Roman"/>
          <w:color w:val="000000"/>
        </w:rPr>
        <w:t>long run</w:t>
      </w:r>
      <w:r w:rsidRPr="00FF4D94">
        <w:rPr>
          <w:rFonts w:cs="Times New Roman"/>
          <w:color w:val="000000"/>
        </w:rPr>
        <w:t xml:space="preserve">. </w:t>
      </w:r>
    </w:p>
    <w:p w14:paraId="5B722218" w14:textId="1A69F50D" w:rsidR="00EA1837" w:rsidRDefault="00EA1837" w:rsidP="00596328">
      <w:pPr>
        <w:spacing w:after="0" w:line="240" w:lineRule="auto"/>
        <w:rPr>
          <w:rFonts w:cs="Times New Roman"/>
          <w:color w:val="000000"/>
        </w:rPr>
      </w:pPr>
      <w:r w:rsidRPr="00EA1837">
        <w:rPr>
          <w:rFonts w:cs="Times New Roman"/>
          <w:color w:val="000000"/>
        </w:rPr>
        <w:t xml:space="preserve">NTBs </w:t>
      </w:r>
      <w:r>
        <w:rPr>
          <w:rFonts w:cs="Times New Roman"/>
          <w:color w:val="000000"/>
        </w:rPr>
        <w:t xml:space="preserve">at lag 1 </w:t>
      </w:r>
      <w:r w:rsidRPr="00EA1837">
        <w:rPr>
          <w:rFonts w:cs="Times New Roman"/>
          <w:color w:val="000000"/>
        </w:rPr>
        <w:t xml:space="preserve">exhibit a </w:t>
      </w:r>
      <w:r w:rsidR="008A4497">
        <w:rPr>
          <w:rFonts w:cs="Times New Roman"/>
          <w:color w:val="000000"/>
        </w:rPr>
        <w:t>negat</w:t>
      </w:r>
      <w:r w:rsidRPr="00EA1837">
        <w:rPr>
          <w:rFonts w:cs="Times New Roman"/>
          <w:color w:val="000000"/>
        </w:rPr>
        <w:t>ive coefficient (</w:t>
      </w:r>
      <w:r w:rsidR="008A4497">
        <w:rPr>
          <w:rFonts w:cs="Times New Roman"/>
          <w:color w:val="000000"/>
        </w:rPr>
        <w:t>-0.27</w:t>
      </w:r>
      <w:r w:rsidR="00EB1E21">
        <w:rPr>
          <w:rFonts w:cs="Times New Roman"/>
          <w:color w:val="000000"/>
        </w:rPr>
        <w:t>8358</w:t>
      </w:r>
      <w:r w:rsidRPr="00EA1837">
        <w:rPr>
          <w:rFonts w:cs="Times New Roman"/>
          <w:color w:val="000000"/>
        </w:rPr>
        <w:t xml:space="preserve">) with </w:t>
      </w:r>
      <w:r w:rsidR="00DC7B7A">
        <w:rPr>
          <w:rFonts w:cs="Times New Roman"/>
          <w:color w:val="000000"/>
        </w:rPr>
        <w:t>weak</w:t>
      </w:r>
      <w:r w:rsidRPr="00EA1837">
        <w:rPr>
          <w:rFonts w:cs="Times New Roman"/>
          <w:color w:val="000000"/>
        </w:rPr>
        <w:t xml:space="preserve"> </w:t>
      </w:r>
      <w:r w:rsidR="00DC7B7A">
        <w:rPr>
          <w:rFonts w:cs="Times New Roman"/>
          <w:color w:val="000000"/>
        </w:rPr>
        <w:t>in</w:t>
      </w:r>
      <w:r w:rsidRPr="00EA1837">
        <w:rPr>
          <w:rFonts w:cs="Times New Roman"/>
          <w:color w:val="000000"/>
        </w:rPr>
        <w:t xml:space="preserve">significance (t = </w:t>
      </w:r>
      <w:r w:rsidR="00242C25">
        <w:rPr>
          <w:rFonts w:cs="Times New Roman"/>
          <w:color w:val="000000"/>
        </w:rPr>
        <w:t>-0.813</w:t>
      </w:r>
      <w:r w:rsidR="00DC7B7A">
        <w:rPr>
          <w:rFonts w:cs="Times New Roman"/>
          <w:color w:val="000000"/>
        </w:rPr>
        <w:t>783</w:t>
      </w:r>
      <w:r w:rsidRPr="00EA1837">
        <w:rPr>
          <w:rFonts w:cs="Times New Roman"/>
          <w:color w:val="000000"/>
        </w:rPr>
        <w:t>; p = 0.</w:t>
      </w:r>
      <w:r w:rsidR="003D3C86">
        <w:rPr>
          <w:rFonts w:cs="Times New Roman"/>
          <w:color w:val="000000"/>
        </w:rPr>
        <w:t>4</w:t>
      </w:r>
      <w:r w:rsidRPr="00EA1837">
        <w:rPr>
          <w:rFonts w:cs="Times New Roman"/>
          <w:color w:val="000000"/>
        </w:rPr>
        <w:t>1</w:t>
      </w:r>
      <w:r w:rsidR="003D3C86">
        <w:rPr>
          <w:rFonts w:cs="Times New Roman"/>
          <w:color w:val="000000"/>
        </w:rPr>
        <w:t>68</w:t>
      </w:r>
      <w:r w:rsidRPr="00EA1837">
        <w:rPr>
          <w:rFonts w:cs="Times New Roman"/>
          <w:color w:val="000000"/>
        </w:rPr>
        <w:t>). This finding suggests that Treasury bill issuance</w:t>
      </w:r>
      <w:r w:rsidR="00E10FA2">
        <w:rPr>
          <w:rFonts w:cs="Times New Roman"/>
          <w:color w:val="000000"/>
        </w:rPr>
        <w:t xml:space="preserve"> is </w:t>
      </w:r>
      <w:r w:rsidRPr="00EA1837">
        <w:rPr>
          <w:rFonts w:cs="Times New Roman"/>
          <w:color w:val="000000"/>
        </w:rPr>
        <w:t xml:space="preserve">intended </w:t>
      </w:r>
      <w:r w:rsidR="00E10FA2">
        <w:rPr>
          <w:rFonts w:cs="Times New Roman"/>
          <w:color w:val="000000"/>
        </w:rPr>
        <w:t>for</w:t>
      </w:r>
      <w:r w:rsidRPr="00EA1837">
        <w:rPr>
          <w:rFonts w:cs="Times New Roman"/>
          <w:color w:val="000000"/>
        </w:rPr>
        <w:t xml:space="preserve"> liquidity management instrument</w:t>
      </w:r>
      <w:r w:rsidR="00E10FA2">
        <w:rPr>
          <w:rFonts w:cs="Times New Roman"/>
          <w:color w:val="000000"/>
        </w:rPr>
        <w:t xml:space="preserve"> </w:t>
      </w:r>
      <w:r w:rsidRPr="00EA1837">
        <w:rPr>
          <w:rFonts w:cs="Times New Roman"/>
          <w:color w:val="000000"/>
        </w:rPr>
        <w:t xml:space="preserve">in Nigeria. This could be due to the </w:t>
      </w:r>
      <w:r w:rsidR="00955BA4">
        <w:rPr>
          <w:rFonts w:cs="Times New Roman"/>
          <w:color w:val="000000"/>
        </w:rPr>
        <w:t>con</w:t>
      </w:r>
      <w:r w:rsidR="0009106B">
        <w:rPr>
          <w:rFonts w:cs="Times New Roman"/>
          <w:color w:val="000000"/>
        </w:rPr>
        <w:t>tract</w:t>
      </w:r>
      <w:r w:rsidRPr="00EA1837">
        <w:rPr>
          <w:rFonts w:cs="Times New Roman"/>
          <w:color w:val="000000"/>
        </w:rPr>
        <w:t xml:space="preserve">ionary effect of short-term debt financing when proceeds are used to </w:t>
      </w:r>
      <w:r w:rsidR="00920719" w:rsidRPr="00EA1837">
        <w:rPr>
          <w:rFonts w:cs="Times New Roman"/>
          <w:color w:val="000000"/>
        </w:rPr>
        <w:t>sterilize</w:t>
      </w:r>
      <w:r w:rsidRPr="00EA1837">
        <w:rPr>
          <w:rFonts w:cs="Times New Roman"/>
          <w:color w:val="000000"/>
        </w:rPr>
        <w:t xml:space="preserve"> liquidity. </w:t>
      </w:r>
    </w:p>
    <w:p w14:paraId="7CAEAB26" w14:textId="2C899EF3" w:rsidR="007F065D" w:rsidRDefault="007F065D" w:rsidP="00596328">
      <w:pPr>
        <w:spacing w:after="0" w:line="240" w:lineRule="auto"/>
        <w:rPr>
          <w:rFonts w:cs="Times New Roman"/>
          <w:color w:val="000000"/>
        </w:rPr>
      </w:pPr>
      <w:r w:rsidRPr="007F065D">
        <w:rPr>
          <w:rFonts w:cs="Times New Roman"/>
          <w:color w:val="000000"/>
        </w:rPr>
        <w:t xml:space="preserve">The coefficient of WAMA </w:t>
      </w:r>
      <w:r w:rsidR="009858F1">
        <w:rPr>
          <w:rFonts w:cs="Times New Roman"/>
          <w:color w:val="000000"/>
        </w:rPr>
        <w:t xml:space="preserve">at lag 1 </w:t>
      </w:r>
      <w:r w:rsidRPr="007F065D">
        <w:rPr>
          <w:rFonts w:cs="Times New Roman"/>
          <w:color w:val="000000"/>
        </w:rPr>
        <w:t>(</w:t>
      </w:r>
      <w:r w:rsidR="009858F1" w:rsidRPr="009858F1">
        <w:rPr>
          <w:rFonts w:cs="Times New Roman"/>
          <w:color w:val="000000"/>
        </w:rPr>
        <w:t>4.39E-07</w:t>
      </w:r>
      <w:r w:rsidRPr="007F065D">
        <w:rPr>
          <w:rFonts w:cs="Times New Roman"/>
          <w:color w:val="000000"/>
        </w:rPr>
        <w:t xml:space="preserve">) is positive and statistically </w:t>
      </w:r>
      <w:r w:rsidR="00227463">
        <w:rPr>
          <w:rFonts w:cs="Times New Roman"/>
          <w:color w:val="000000"/>
        </w:rPr>
        <w:t>in</w:t>
      </w:r>
      <w:r w:rsidRPr="007F065D">
        <w:rPr>
          <w:rFonts w:cs="Times New Roman"/>
          <w:color w:val="000000"/>
        </w:rPr>
        <w:t xml:space="preserve">significant (t = </w:t>
      </w:r>
      <w:r w:rsidR="00227463" w:rsidRPr="00227463">
        <w:rPr>
          <w:rFonts w:cs="Times New Roman"/>
          <w:color w:val="000000"/>
        </w:rPr>
        <w:t>1.619116</w:t>
      </w:r>
      <w:r w:rsidRPr="007F065D">
        <w:rPr>
          <w:rFonts w:cs="Times New Roman"/>
          <w:color w:val="000000"/>
        </w:rPr>
        <w:t xml:space="preserve">; p = </w:t>
      </w:r>
      <w:r w:rsidR="00227463" w:rsidRPr="00227463">
        <w:rPr>
          <w:rFonts w:cs="Times New Roman"/>
          <w:color w:val="000000"/>
        </w:rPr>
        <w:t>0.1072</w:t>
      </w:r>
      <w:r w:rsidRPr="007F065D">
        <w:rPr>
          <w:rFonts w:cs="Times New Roman"/>
          <w:color w:val="000000"/>
        </w:rPr>
        <w:t xml:space="preserve">). This finding implies that fiscal deficit financing through Central Bank overdrafts exerts a </w:t>
      </w:r>
      <w:r w:rsidR="00830E7F">
        <w:rPr>
          <w:rFonts w:cs="Times New Roman"/>
          <w:color w:val="000000"/>
        </w:rPr>
        <w:t>weak</w:t>
      </w:r>
      <w:r w:rsidRPr="007F065D">
        <w:rPr>
          <w:rFonts w:cs="Times New Roman"/>
          <w:color w:val="000000"/>
        </w:rPr>
        <w:t xml:space="preserve"> inflationary effect in Nigeria. </w:t>
      </w:r>
      <w:r w:rsidR="00F773FC">
        <w:rPr>
          <w:rFonts w:cs="Times New Roman"/>
          <w:color w:val="000000"/>
        </w:rPr>
        <w:t xml:space="preserve">This </w:t>
      </w:r>
      <w:r w:rsidR="00E83ADD">
        <w:rPr>
          <w:rFonts w:cs="Times New Roman"/>
          <w:color w:val="000000"/>
        </w:rPr>
        <w:t xml:space="preserve">study is in contrast with </w:t>
      </w:r>
      <w:r w:rsidR="00411DD3">
        <w:rPr>
          <w:rFonts w:cs="Times New Roman"/>
          <w:color w:val="000000"/>
        </w:rPr>
        <w:t>the popular</w:t>
      </w:r>
      <w:r w:rsidRPr="007F065D">
        <w:rPr>
          <w:rFonts w:cs="Times New Roman"/>
          <w:color w:val="000000"/>
        </w:rPr>
        <w:t xml:space="preserve"> fiscal dominance hypothesis (Sargent &amp; Wallace, 1981)</w:t>
      </w:r>
      <w:r w:rsidR="00411DD3">
        <w:rPr>
          <w:rFonts w:cs="Times New Roman"/>
          <w:color w:val="000000"/>
        </w:rPr>
        <w:t xml:space="preserve">. </w:t>
      </w:r>
      <w:r w:rsidR="005612E6">
        <w:rPr>
          <w:rFonts w:cs="Times New Roman"/>
          <w:color w:val="000000"/>
        </w:rPr>
        <w:t>Th</w:t>
      </w:r>
      <w:r w:rsidR="00F317A4">
        <w:rPr>
          <w:rFonts w:cs="Times New Roman"/>
          <w:color w:val="000000"/>
        </w:rPr>
        <w:t>ough</w:t>
      </w:r>
      <w:r w:rsidRPr="007F065D">
        <w:rPr>
          <w:rFonts w:cs="Times New Roman"/>
          <w:color w:val="000000"/>
        </w:rPr>
        <w:t xml:space="preserve"> monetization of fiscal deficits expands money supply outside the regular monetary control framework,</w:t>
      </w:r>
      <w:r w:rsidR="001F6FC1">
        <w:rPr>
          <w:rFonts w:cs="Times New Roman"/>
          <w:color w:val="000000"/>
        </w:rPr>
        <w:t xml:space="preserve"> however, it does </w:t>
      </w:r>
      <w:r w:rsidR="002A32EC">
        <w:rPr>
          <w:rFonts w:cs="Times New Roman"/>
          <w:color w:val="000000"/>
        </w:rPr>
        <w:t xml:space="preserve">not </w:t>
      </w:r>
      <w:r w:rsidR="002A32EC" w:rsidRPr="007F065D">
        <w:rPr>
          <w:rFonts w:cs="Times New Roman"/>
          <w:color w:val="000000"/>
        </w:rPr>
        <w:t>weaken</w:t>
      </w:r>
      <w:r w:rsidRPr="007F065D">
        <w:rPr>
          <w:rFonts w:cs="Times New Roman"/>
          <w:color w:val="000000"/>
        </w:rPr>
        <w:t xml:space="preserve"> the efficacy of monetary policy </w:t>
      </w:r>
      <w:r w:rsidR="009C5D74">
        <w:rPr>
          <w:rFonts w:cs="Times New Roman"/>
          <w:color w:val="000000"/>
        </w:rPr>
        <w:t xml:space="preserve">transmission mechanism </w:t>
      </w:r>
      <w:r w:rsidRPr="007F065D">
        <w:rPr>
          <w:rFonts w:cs="Times New Roman"/>
          <w:color w:val="000000"/>
        </w:rPr>
        <w:t xml:space="preserve">and </w:t>
      </w:r>
      <w:r w:rsidR="00B03392">
        <w:rPr>
          <w:rFonts w:cs="Times New Roman"/>
          <w:color w:val="000000"/>
        </w:rPr>
        <w:t>ultimately</w:t>
      </w:r>
      <w:r w:rsidR="007B039D">
        <w:rPr>
          <w:rFonts w:cs="Times New Roman"/>
          <w:color w:val="000000"/>
        </w:rPr>
        <w:t>, WAMA does not influ</w:t>
      </w:r>
      <w:r w:rsidR="00676213">
        <w:rPr>
          <w:rFonts w:cs="Times New Roman"/>
          <w:color w:val="000000"/>
        </w:rPr>
        <w:t xml:space="preserve">ence </w:t>
      </w:r>
      <w:r w:rsidRPr="007F065D">
        <w:rPr>
          <w:rFonts w:cs="Times New Roman"/>
          <w:color w:val="000000"/>
        </w:rPr>
        <w:t>inflation</w:t>
      </w:r>
      <w:r w:rsidR="00676213">
        <w:rPr>
          <w:rFonts w:cs="Times New Roman"/>
          <w:color w:val="000000"/>
        </w:rPr>
        <w:t xml:space="preserve"> in the long run</w:t>
      </w:r>
      <w:r w:rsidRPr="007F065D">
        <w:rPr>
          <w:rFonts w:cs="Times New Roman"/>
          <w:color w:val="000000"/>
        </w:rPr>
        <w:t>.</w:t>
      </w:r>
    </w:p>
    <w:p w14:paraId="5858BAB1" w14:textId="4EEB4669" w:rsidR="002A32EC" w:rsidRDefault="002A32EC" w:rsidP="00596328">
      <w:pPr>
        <w:spacing w:after="0" w:line="240" w:lineRule="auto"/>
        <w:rPr>
          <w:rFonts w:cs="Times New Roman"/>
          <w:color w:val="000000"/>
        </w:rPr>
      </w:pPr>
      <w:r w:rsidRPr="002A32EC">
        <w:rPr>
          <w:rFonts w:cs="Times New Roman"/>
          <w:color w:val="000000"/>
        </w:rPr>
        <w:t>The coefficient of AEXR (</w:t>
      </w:r>
      <w:r w:rsidR="003E00AE" w:rsidRPr="003E00AE">
        <w:rPr>
          <w:rFonts w:cs="Times New Roman"/>
          <w:color w:val="000000"/>
        </w:rPr>
        <w:t>0.048784</w:t>
      </w:r>
      <w:r w:rsidRPr="002A32EC">
        <w:rPr>
          <w:rFonts w:cs="Times New Roman"/>
          <w:color w:val="000000"/>
        </w:rPr>
        <w:t xml:space="preserve">) is positive, highly significant (t = </w:t>
      </w:r>
      <w:r w:rsidR="003E00AE" w:rsidRPr="003E00AE">
        <w:rPr>
          <w:rFonts w:cs="Times New Roman"/>
          <w:color w:val="000000"/>
        </w:rPr>
        <w:t>2.210108</w:t>
      </w:r>
      <w:r w:rsidRPr="002A32EC">
        <w:rPr>
          <w:rFonts w:cs="Times New Roman"/>
          <w:color w:val="000000"/>
        </w:rPr>
        <w:t xml:space="preserve">; p = </w:t>
      </w:r>
      <w:r w:rsidR="004B14CD" w:rsidRPr="004B14CD">
        <w:rPr>
          <w:rFonts w:cs="Times New Roman"/>
          <w:color w:val="000000"/>
        </w:rPr>
        <w:t>0.0283</w:t>
      </w:r>
      <w:r w:rsidRPr="002A32EC">
        <w:rPr>
          <w:rFonts w:cs="Times New Roman"/>
          <w:color w:val="000000"/>
        </w:rPr>
        <w:t>), and economically important. This result highlights the strong pass-through effect of exchange rate depreciation on domestic prices in Nigeria. Given the country’s import dependence, especially on consumer and intermediate goods, a depreciation of the naira increases the cost of imports, which is transmitted into general price levels. This aligns with exchange rate pass-through theories (Goldberg &amp; Knetter, 1997), which emphasize the inflationary consequences of exchange rate instability in open economies</w:t>
      </w:r>
      <w:r w:rsidR="0024337E">
        <w:rPr>
          <w:rFonts w:cs="Times New Roman"/>
          <w:color w:val="000000"/>
        </w:rPr>
        <w:t>.</w:t>
      </w:r>
    </w:p>
    <w:p w14:paraId="17CCB8B1" w14:textId="6B69E0A7" w:rsidR="0024337E" w:rsidRDefault="0024337E" w:rsidP="00596328">
      <w:pPr>
        <w:spacing w:after="0" w:line="240" w:lineRule="auto"/>
        <w:rPr>
          <w:rFonts w:cs="Times New Roman"/>
          <w:color w:val="000000"/>
        </w:rPr>
      </w:pPr>
      <w:r w:rsidRPr="0024337E">
        <w:rPr>
          <w:rFonts w:cs="Times New Roman"/>
          <w:color w:val="000000"/>
        </w:rPr>
        <w:t xml:space="preserve">The </w:t>
      </w:r>
      <w:r w:rsidR="005C548C">
        <w:rPr>
          <w:rFonts w:cs="Times New Roman"/>
          <w:color w:val="000000"/>
        </w:rPr>
        <w:t>ARDL</w:t>
      </w:r>
      <w:r w:rsidRPr="0024337E">
        <w:rPr>
          <w:rFonts w:cs="Times New Roman"/>
          <w:color w:val="000000"/>
        </w:rPr>
        <w:t xml:space="preserve"> regression confirms the existence of a long-run equilibrium relationship between inflation and the monetary and </w:t>
      </w:r>
      <w:r w:rsidR="006C332E">
        <w:rPr>
          <w:rFonts w:cs="Times New Roman"/>
          <w:color w:val="000000"/>
        </w:rPr>
        <w:t>exchange ra</w:t>
      </w:r>
      <w:r w:rsidR="000F6F12">
        <w:rPr>
          <w:rFonts w:cs="Times New Roman"/>
          <w:color w:val="000000"/>
        </w:rPr>
        <w:t>te pass-through</w:t>
      </w:r>
      <w:r w:rsidRPr="0024337E">
        <w:rPr>
          <w:rFonts w:cs="Times New Roman"/>
          <w:color w:val="000000"/>
        </w:rPr>
        <w:t xml:space="preserve"> variables in Nigeria. The results suggest that both monetary expansion via M1 and exchange rate depreciation, significantly contribute to inflationary pressures. This implies that inflation in Nigeria is not driven by a single factor but emerges from the interaction of monetary growth, and external vulnerabilities.</w:t>
      </w:r>
    </w:p>
    <w:p w14:paraId="5A611E3D" w14:textId="383E4555" w:rsidR="00EC3BAD" w:rsidRDefault="00121AA5" w:rsidP="00596328">
      <w:pPr>
        <w:spacing w:after="0" w:line="240" w:lineRule="auto"/>
        <w:rPr>
          <w:rFonts w:cs="Times New Roman"/>
          <w:color w:val="000000"/>
        </w:rPr>
      </w:pPr>
      <w:r w:rsidRPr="00121AA5">
        <w:rPr>
          <w:rFonts w:cs="Times New Roman"/>
          <w:color w:val="000000"/>
        </w:rPr>
        <w:t>The strong role of exchange rate pass-through reflects Nigeria’s structural import dependence</w:t>
      </w:r>
      <w:r w:rsidR="007640DD">
        <w:rPr>
          <w:rFonts w:cs="Times New Roman"/>
          <w:color w:val="000000"/>
        </w:rPr>
        <w:t>.</w:t>
      </w:r>
      <w:r w:rsidRPr="00121AA5">
        <w:rPr>
          <w:rFonts w:cs="Times New Roman"/>
          <w:color w:val="000000"/>
        </w:rPr>
        <w:t xml:space="preserve"> Thus, the long-run determinants of inflation in Nigeria are both demand-side (money supply) and cost-push (exchange rate depreciation).</w:t>
      </w:r>
    </w:p>
    <w:p w14:paraId="668D558F" w14:textId="4D6F1BAB" w:rsidR="00437D8D" w:rsidRPr="00674582" w:rsidRDefault="00437D8D" w:rsidP="00596328">
      <w:pPr>
        <w:pStyle w:val="Heading3"/>
        <w:spacing w:line="240" w:lineRule="auto"/>
      </w:pPr>
      <w:bookmarkStart w:id="28" w:name="_Toc227924565"/>
      <w:r w:rsidRPr="00674582">
        <w:t>4.</w:t>
      </w:r>
      <w:r w:rsidR="008F26DA">
        <w:t xml:space="preserve">4.4 </w:t>
      </w:r>
      <w:r w:rsidRPr="00674582">
        <w:t xml:space="preserve">Autoregressive Distributed Lag </w:t>
      </w:r>
      <w:r w:rsidR="008C5C40" w:rsidRPr="00674582">
        <w:t>Short</w:t>
      </w:r>
      <w:r w:rsidRPr="00674582">
        <w:t xml:space="preserve"> Run</w:t>
      </w:r>
      <w:bookmarkEnd w:id="28"/>
    </w:p>
    <w:p w14:paraId="56854C2C" w14:textId="27E27521" w:rsidR="00437D8D" w:rsidRPr="00674582" w:rsidRDefault="00227DC9" w:rsidP="00596328">
      <w:pPr>
        <w:spacing w:after="0" w:line="240" w:lineRule="auto"/>
        <w:ind w:right="-660"/>
        <w:rPr>
          <w:rFonts w:cs="Times New Roman"/>
          <w:b/>
        </w:rPr>
      </w:pPr>
      <w:r w:rsidRPr="00674582">
        <w:rPr>
          <w:rFonts w:cs="Times New Roman"/>
          <w:b/>
        </w:rPr>
        <w:t>Table 4.</w:t>
      </w:r>
      <w:r w:rsidR="00776F64">
        <w:rPr>
          <w:rFonts w:cs="Times New Roman"/>
          <w:b/>
        </w:rPr>
        <w:t>5</w:t>
      </w:r>
      <w:r w:rsidRPr="00674582">
        <w:rPr>
          <w:rFonts w:cs="Times New Roman"/>
          <w:b/>
        </w:rPr>
        <w:t>: Error Correction Model</w:t>
      </w:r>
    </w:p>
    <w:tbl>
      <w:tblPr>
        <w:tblStyle w:val="TableGrid"/>
        <w:tblW w:w="0" w:type="auto"/>
        <w:tblLook w:val="04A0" w:firstRow="1" w:lastRow="0" w:firstColumn="1" w:lastColumn="0" w:noHBand="0" w:noVBand="1"/>
      </w:tblPr>
      <w:tblGrid>
        <w:gridCol w:w="1803"/>
        <w:gridCol w:w="1803"/>
        <w:gridCol w:w="1803"/>
        <w:gridCol w:w="1803"/>
        <w:gridCol w:w="1804"/>
      </w:tblGrid>
      <w:tr w:rsidR="003B0EE2" w14:paraId="7AAD672C" w14:textId="77777777" w:rsidTr="00C44B87">
        <w:tc>
          <w:tcPr>
            <w:tcW w:w="1803" w:type="dxa"/>
          </w:tcPr>
          <w:p w14:paraId="7CBB9710" w14:textId="77777777" w:rsidR="003B0EE2" w:rsidRDefault="003B0EE2" w:rsidP="00596328">
            <w:pPr>
              <w:rPr>
                <w:rFonts w:eastAsia="Calibri" w:cs="Times New Roman"/>
              </w:rPr>
            </w:pPr>
            <w:r w:rsidRPr="004543DB">
              <w:rPr>
                <w:rFonts w:eastAsia="Calibri" w:cs="Times New Roman"/>
              </w:rPr>
              <w:t>Variable</w:t>
            </w:r>
          </w:p>
        </w:tc>
        <w:tc>
          <w:tcPr>
            <w:tcW w:w="1803" w:type="dxa"/>
          </w:tcPr>
          <w:p w14:paraId="439F3879" w14:textId="77777777" w:rsidR="003B0EE2" w:rsidRDefault="003B0EE2" w:rsidP="00596328">
            <w:pPr>
              <w:rPr>
                <w:rFonts w:eastAsia="Calibri" w:cs="Times New Roman"/>
              </w:rPr>
            </w:pPr>
            <w:r w:rsidRPr="004543DB">
              <w:rPr>
                <w:rFonts w:eastAsia="Calibri" w:cs="Times New Roman"/>
              </w:rPr>
              <w:t>Coefficient</w:t>
            </w:r>
          </w:p>
        </w:tc>
        <w:tc>
          <w:tcPr>
            <w:tcW w:w="1803" w:type="dxa"/>
          </w:tcPr>
          <w:p w14:paraId="4E4656F1" w14:textId="77777777" w:rsidR="003B0EE2" w:rsidRDefault="003B0EE2" w:rsidP="00596328">
            <w:pPr>
              <w:rPr>
                <w:rFonts w:eastAsia="Calibri" w:cs="Times New Roman"/>
              </w:rPr>
            </w:pPr>
            <w:r w:rsidRPr="004543DB">
              <w:rPr>
                <w:rFonts w:eastAsia="Calibri" w:cs="Times New Roman"/>
              </w:rPr>
              <w:t>Std. Error</w:t>
            </w:r>
          </w:p>
        </w:tc>
        <w:tc>
          <w:tcPr>
            <w:tcW w:w="1803" w:type="dxa"/>
          </w:tcPr>
          <w:p w14:paraId="7B824559" w14:textId="77777777" w:rsidR="003B0EE2" w:rsidRDefault="003B0EE2" w:rsidP="00596328">
            <w:pPr>
              <w:rPr>
                <w:rFonts w:eastAsia="Calibri" w:cs="Times New Roman"/>
              </w:rPr>
            </w:pPr>
            <w:r w:rsidRPr="004543DB">
              <w:rPr>
                <w:rFonts w:eastAsia="Calibri" w:cs="Times New Roman"/>
              </w:rPr>
              <w:t>t-Statistic</w:t>
            </w:r>
          </w:p>
        </w:tc>
        <w:tc>
          <w:tcPr>
            <w:tcW w:w="1804" w:type="dxa"/>
          </w:tcPr>
          <w:p w14:paraId="4FAB5374" w14:textId="77777777" w:rsidR="003B0EE2" w:rsidRDefault="003B0EE2" w:rsidP="00596328">
            <w:pPr>
              <w:rPr>
                <w:rFonts w:eastAsia="Calibri" w:cs="Times New Roman"/>
              </w:rPr>
            </w:pPr>
            <w:r w:rsidRPr="004543DB">
              <w:rPr>
                <w:rFonts w:eastAsia="Calibri" w:cs="Times New Roman"/>
              </w:rPr>
              <w:t xml:space="preserve">Prob.   </w:t>
            </w:r>
          </w:p>
        </w:tc>
      </w:tr>
      <w:tr w:rsidR="003B0EE2" w14:paraId="71605A24" w14:textId="77777777" w:rsidTr="00C44B87">
        <w:tc>
          <w:tcPr>
            <w:tcW w:w="1803" w:type="dxa"/>
          </w:tcPr>
          <w:p w14:paraId="695C019C" w14:textId="4FE5D793" w:rsidR="003B0EE2" w:rsidRPr="0007693A" w:rsidRDefault="00566403" w:rsidP="00596328">
            <w:pPr>
              <w:rPr>
                <w:rFonts w:eastAsia="Calibri" w:cs="Times New Roman"/>
              </w:rPr>
            </w:pPr>
            <w:r w:rsidRPr="0007693A">
              <w:rPr>
                <w:rFonts w:eastAsia="Calibri" w:cs="Times New Roman"/>
              </w:rPr>
              <w:t>D (CPI (</w:t>
            </w:r>
            <w:r w:rsidR="003B0EE2" w:rsidRPr="0007693A">
              <w:rPr>
                <w:rFonts w:eastAsia="Calibri" w:cs="Times New Roman"/>
              </w:rPr>
              <w:t>-1))</w:t>
            </w:r>
          </w:p>
        </w:tc>
        <w:tc>
          <w:tcPr>
            <w:tcW w:w="1803" w:type="dxa"/>
          </w:tcPr>
          <w:p w14:paraId="09B6BCFB" w14:textId="27920A4B" w:rsidR="003B0EE2" w:rsidRDefault="00FE1B23" w:rsidP="00596328">
            <w:pPr>
              <w:rPr>
                <w:rFonts w:eastAsia="Calibri" w:cs="Times New Roman"/>
              </w:rPr>
            </w:pPr>
            <w:r>
              <w:rPr>
                <w:rFonts w:eastAsia="Calibri" w:cs="Times New Roman"/>
              </w:rPr>
              <w:t>-0.017</w:t>
            </w:r>
            <w:r w:rsidR="00DC536F">
              <w:rPr>
                <w:rFonts w:eastAsia="Calibri" w:cs="Times New Roman"/>
              </w:rPr>
              <w:t>709</w:t>
            </w:r>
          </w:p>
        </w:tc>
        <w:tc>
          <w:tcPr>
            <w:tcW w:w="1803" w:type="dxa"/>
          </w:tcPr>
          <w:p w14:paraId="427C8D99" w14:textId="5E6A40F1" w:rsidR="003B0EE2" w:rsidRDefault="00052680" w:rsidP="00596328">
            <w:pPr>
              <w:rPr>
                <w:rFonts w:eastAsia="Calibri" w:cs="Times New Roman"/>
              </w:rPr>
            </w:pPr>
            <w:r>
              <w:rPr>
                <w:rFonts w:eastAsia="Calibri" w:cs="Times New Roman"/>
              </w:rPr>
              <w:t>0.06</w:t>
            </w:r>
            <w:r w:rsidR="00C96F3F">
              <w:rPr>
                <w:rFonts w:eastAsia="Calibri" w:cs="Times New Roman"/>
              </w:rPr>
              <w:t>43</w:t>
            </w:r>
            <w:r w:rsidR="00C079B3">
              <w:rPr>
                <w:rFonts w:eastAsia="Calibri" w:cs="Times New Roman"/>
              </w:rPr>
              <w:t>43</w:t>
            </w:r>
          </w:p>
        </w:tc>
        <w:tc>
          <w:tcPr>
            <w:tcW w:w="1803" w:type="dxa"/>
          </w:tcPr>
          <w:p w14:paraId="3F510B10" w14:textId="0556DA42" w:rsidR="003B0EE2" w:rsidRDefault="00371274" w:rsidP="00596328">
            <w:pPr>
              <w:rPr>
                <w:rFonts w:eastAsia="Calibri" w:cs="Times New Roman"/>
              </w:rPr>
            </w:pPr>
            <w:r>
              <w:rPr>
                <w:rFonts w:eastAsia="Calibri" w:cs="Times New Roman"/>
              </w:rPr>
              <w:t>-0.2</w:t>
            </w:r>
            <w:r w:rsidR="00C079B3">
              <w:rPr>
                <w:rFonts w:eastAsia="Calibri" w:cs="Times New Roman"/>
              </w:rPr>
              <w:t>752</w:t>
            </w:r>
            <w:r w:rsidR="00F91B61">
              <w:rPr>
                <w:rFonts w:eastAsia="Calibri" w:cs="Times New Roman"/>
              </w:rPr>
              <w:t>37</w:t>
            </w:r>
          </w:p>
        </w:tc>
        <w:tc>
          <w:tcPr>
            <w:tcW w:w="1804" w:type="dxa"/>
          </w:tcPr>
          <w:p w14:paraId="23222E8B" w14:textId="60AFF361" w:rsidR="003B0EE2" w:rsidRDefault="00095A20" w:rsidP="00596328">
            <w:pPr>
              <w:rPr>
                <w:rFonts w:eastAsia="Calibri" w:cs="Times New Roman"/>
              </w:rPr>
            </w:pPr>
            <w:r>
              <w:rPr>
                <w:rFonts w:eastAsia="Calibri" w:cs="Times New Roman"/>
              </w:rPr>
              <w:t>0.7</w:t>
            </w:r>
            <w:r w:rsidR="00F91B61">
              <w:rPr>
                <w:rFonts w:eastAsia="Calibri" w:cs="Times New Roman"/>
              </w:rPr>
              <w:t>83</w:t>
            </w:r>
            <w:r>
              <w:rPr>
                <w:rFonts w:eastAsia="Calibri" w:cs="Times New Roman"/>
              </w:rPr>
              <w:t>5</w:t>
            </w:r>
          </w:p>
        </w:tc>
      </w:tr>
      <w:tr w:rsidR="003B0EE2" w14:paraId="3F392228" w14:textId="77777777" w:rsidTr="00C44B87">
        <w:tc>
          <w:tcPr>
            <w:tcW w:w="1803" w:type="dxa"/>
          </w:tcPr>
          <w:p w14:paraId="186F1A81" w14:textId="05FA0E17" w:rsidR="003B0EE2" w:rsidRPr="0007693A" w:rsidRDefault="00566403" w:rsidP="00596328">
            <w:pPr>
              <w:rPr>
                <w:rFonts w:eastAsia="Calibri" w:cs="Times New Roman"/>
              </w:rPr>
            </w:pPr>
            <w:r w:rsidRPr="0007693A">
              <w:rPr>
                <w:rFonts w:eastAsia="Calibri" w:cs="Times New Roman"/>
              </w:rPr>
              <w:t>D (CPI (</w:t>
            </w:r>
            <w:r w:rsidR="003B0EE2" w:rsidRPr="0007693A">
              <w:rPr>
                <w:rFonts w:eastAsia="Calibri" w:cs="Times New Roman"/>
              </w:rPr>
              <w:t>-2))</w:t>
            </w:r>
          </w:p>
        </w:tc>
        <w:tc>
          <w:tcPr>
            <w:tcW w:w="1803" w:type="dxa"/>
          </w:tcPr>
          <w:p w14:paraId="7958916A" w14:textId="1990A5C0" w:rsidR="003B0EE2" w:rsidRDefault="00DC536F" w:rsidP="00596328">
            <w:pPr>
              <w:rPr>
                <w:rFonts w:eastAsia="Calibri" w:cs="Times New Roman"/>
              </w:rPr>
            </w:pPr>
            <w:r>
              <w:rPr>
                <w:rFonts w:eastAsia="Calibri" w:cs="Times New Roman"/>
              </w:rPr>
              <w:t>-0.4472</w:t>
            </w:r>
            <w:r w:rsidR="00693B97">
              <w:rPr>
                <w:rFonts w:eastAsia="Calibri" w:cs="Times New Roman"/>
              </w:rPr>
              <w:t>07</w:t>
            </w:r>
          </w:p>
        </w:tc>
        <w:tc>
          <w:tcPr>
            <w:tcW w:w="1803" w:type="dxa"/>
          </w:tcPr>
          <w:p w14:paraId="55CF8572" w14:textId="422795C4" w:rsidR="003B0EE2" w:rsidRDefault="006C6946" w:rsidP="00596328">
            <w:pPr>
              <w:rPr>
                <w:rFonts w:eastAsia="Calibri" w:cs="Times New Roman"/>
              </w:rPr>
            </w:pPr>
            <w:r>
              <w:rPr>
                <w:rFonts w:eastAsia="Calibri" w:cs="Times New Roman"/>
              </w:rPr>
              <w:t>0.06</w:t>
            </w:r>
            <w:r w:rsidR="00CB0926">
              <w:rPr>
                <w:rFonts w:eastAsia="Calibri" w:cs="Times New Roman"/>
              </w:rPr>
              <w:t>8661</w:t>
            </w:r>
          </w:p>
        </w:tc>
        <w:tc>
          <w:tcPr>
            <w:tcW w:w="1803" w:type="dxa"/>
          </w:tcPr>
          <w:p w14:paraId="153F3CA9" w14:textId="468FF3DD" w:rsidR="003B0EE2" w:rsidRDefault="007C4523" w:rsidP="00596328">
            <w:pPr>
              <w:rPr>
                <w:rFonts w:eastAsia="Calibri" w:cs="Times New Roman"/>
              </w:rPr>
            </w:pPr>
            <w:r>
              <w:rPr>
                <w:rFonts w:eastAsia="Calibri" w:cs="Times New Roman"/>
              </w:rPr>
              <w:t>-6.</w:t>
            </w:r>
            <w:r w:rsidR="00A80515">
              <w:rPr>
                <w:rFonts w:eastAsia="Calibri" w:cs="Times New Roman"/>
              </w:rPr>
              <w:t>513305</w:t>
            </w:r>
          </w:p>
        </w:tc>
        <w:tc>
          <w:tcPr>
            <w:tcW w:w="1804" w:type="dxa"/>
          </w:tcPr>
          <w:p w14:paraId="3606D57E" w14:textId="0C6A08A0" w:rsidR="003B0EE2" w:rsidRDefault="00095A20" w:rsidP="00596328">
            <w:pPr>
              <w:rPr>
                <w:rFonts w:eastAsia="Calibri" w:cs="Times New Roman"/>
              </w:rPr>
            </w:pPr>
            <w:r w:rsidRPr="00095A20">
              <w:rPr>
                <w:rFonts w:eastAsia="Calibri" w:cs="Times New Roman"/>
              </w:rPr>
              <w:t>0.0000</w:t>
            </w:r>
          </w:p>
        </w:tc>
      </w:tr>
      <w:tr w:rsidR="006C46A9" w14:paraId="6F03B6E1" w14:textId="77777777" w:rsidTr="00C44B87">
        <w:tc>
          <w:tcPr>
            <w:tcW w:w="1803" w:type="dxa"/>
          </w:tcPr>
          <w:p w14:paraId="202A2C11" w14:textId="62DBFD5C" w:rsidR="006C46A9" w:rsidRPr="0007693A" w:rsidRDefault="006C46A9" w:rsidP="00596328">
            <w:pPr>
              <w:rPr>
                <w:rFonts w:eastAsia="Calibri" w:cs="Times New Roman"/>
              </w:rPr>
            </w:pPr>
            <w:r>
              <w:rPr>
                <w:rFonts w:eastAsia="Calibri" w:cs="Times New Roman"/>
              </w:rPr>
              <w:t>D(M1</w:t>
            </w:r>
            <w:r w:rsidR="00D345B5">
              <w:rPr>
                <w:rFonts w:eastAsia="Calibri" w:cs="Times New Roman"/>
              </w:rPr>
              <w:t>(</w:t>
            </w:r>
            <w:r w:rsidR="001F59C1">
              <w:rPr>
                <w:rFonts w:eastAsia="Calibri" w:cs="Times New Roman"/>
              </w:rPr>
              <w:t>-3))</w:t>
            </w:r>
          </w:p>
        </w:tc>
        <w:tc>
          <w:tcPr>
            <w:tcW w:w="1803" w:type="dxa"/>
          </w:tcPr>
          <w:p w14:paraId="0CE95E59" w14:textId="6656DC55" w:rsidR="006C46A9" w:rsidRDefault="001F59C1" w:rsidP="00596328">
            <w:pPr>
              <w:rPr>
                <w:rFonts w:eastAsia="Calibri" w:cs="Times New Roman"/>
              </w:rPr>
            </w:pPr>
            <w:r>
              <w:rPr>
                <w:rFonts w:eastAsia="Calibri" w:cs="Times New Roman"/>
              </w:rPr>
              <w:t>1.55E-</w:t>
            </w:r>
            <w:r w:rsidR="0029571B">
              <w:rPr>
                <w:rFonts w:eastAsia="Calibri" w:cs="Times New Roman"/>
              </w:rPr>
              <w:t>07</w:t>
            </w:r>
          </w:p>
        </w:tc>
        <w:tc>
          <w:tcPr>
            <w:tcW w:w="1803" w:type="dxa"/>
          </w:tcPr>
          <w:p w14:paraId="6FD52B76" w14:textId="2A3C5C62" w:rsidR="006C46A9" w:rsidRDefault="00E854A5" w:rsidP="00596328">
            <w:pPr>
              <w:rPr>
                <w:rFonts w:eastAsia="Calibri" w:cs="Times New Roman"/>
              </w:rPr>
            </w:pPr>
            <w:r>
              <w:rPr>
                <w:rFonts w:eastAsia="Calibri" w:cs="Times New Roman"/>
              </w:rPr>
              <w:t>6</w:t>
            </w:r>
            <w:r w:rsidR="0029571B">
              <w:rPr>
                <w:rFonts w:eastAsia="Calibri" w:cs="Times New Roman"/>
              </w:rPr>
              <w:t>.</w:t>
            </w:r>
            <w:r w:rsidR="008C125B">
              <w:rPr>
                <w:rFonts w:eastAsia="Calibri" w:cs="Times New Roman"/>
              </w:rPr>
              <w:t>66</w:t>
            </w:r>
            <w:r w:rsidR="0029571B">
              <w:rPr>
                <w:rFonts w:eastAsia="Calibri" w:cs="Times New Roman"/>
              </w:rPr>
              <w:t>E-0</w:t>
            </w:r>
            <w:r w:rsidR="00AA5897">
              <w:rPr>
                <w:rFonts w:eastAsia="Calibri" w:cs="Times New Roman"/>
              </w:rPr>
              <w:t>8</w:t>
            </w:r>
          </w:p>
        </w:tc>
        <w:tc>
          <w:tcPr>
            <w:tcW w:w="1803" w:type="dxa"/>
          </w:tcPr>
          <w:p w14:paraId="5FF1315F" w14:textId="04C93BF4" w:rsidR="006C46A9" w:rsidRDefault="00AA5897" w:rsidP="00596328">
            <w:pPr>
              <w:rPr>
                <w:rFonts w:eastAsia="Calibri" w:cs="Times New Roman"/>
              </w:rPr>
            </w:pPr>
            <w:r>
              <w:rPr>
                <w:rFonts w:eastAsia="Calibri" w:cs="Times New Roman"/>
              </w:rPr>
              <w:t>2.</w:t>
            </w:r>
            <w:r w:rsidR="008C125B">
              <w:rPr>
                <w:rFonts w:eastAsia="Calibri" w:cs="Times New Roman"/>
              </w:rPr>
              <w:t>324</w:t>
            </w:r>
            <w:r w:rsidR="007C700E">
              <w:rPr>
                <w:rFonts w:eastAsia="Calibri" w:cs="Times New Roman"/>
              </w:rPr>
              <w:t>940</w:t>
            </w:r>
          </w:p>
        </w:tc>
        <w:tc>
          <w:tcPr>
            <w:tcW w:w="1804" w:type="dxa"/>
          </w:tcPr>
          <w:p w14:paraId="42FFEBBE" w14:textId="5E75FCF3" w:rsidR="006C46A9" w:rsidRPr="00095A20" w:rsidRDefault="00752B57" w:rsidP="00596328">
            <w:pPr>
              <w:rPr>
                <w:rFonts w:eastAsia="Calibri" w:cs="Times New Roman"/>
              </w:rPr>
            </w:pPr>
            <w:r>
              <w:rPr>
                <w:rFonts w:eastAsia="Calibri" w:cs="Times New Roman"/>
              </w:rPr>
              <w:t>0.0</w:t>
            </w:r>
            <w:r w:rsidR="007C700E">
              <w:rPr>
                <w:rFonts w:eastAsia="Calibri" w:cs="Times New Roman"/>
              </w:rPr>
              <w:t>2</w:t>
            </w:r>
            <w:r w:rsidR="00222E53">
              <w:rPr>
                <w:rFonts w:eastAsia="Calibri" w:cs="Times New Roman"/>
              </w:rPr>
              <w:t>13</w:t>
            </w:r>
          </w:p>
        </w:tc>
      </w:tr>
      <w:tr w:rsidR="005E2C08" w14:paraId="1ECF9B86" w14:textId="77777777" w:rsidTr="00C44B87">
        <w:tc>
          <w:tcPr>
            <w:tcW w:w="1803" w:type="dxa"/>
          </w:tcPr>
          <w:p w14:paraId="4838B2D1" w14:textId="01DED007" w:rsidR="005E2C08" w:rsidRDefault="005E2C08" w:rsidP="00596328">
            <w:pPr>
              <w:rPr>
                <w:rFonts w:eastAsia="Calibri" w:cs="Times New Roman"/>
              </w:rPr>
            </w:pPr>
            <w:r>
              <w:rPr>
                <w:rFonts w:eastAsia="Calibri" w:cs="Times New Roman"/>
              </w:rPr>
              <w:t>INB</w:t>
            </w:r>
          </w:p>
        </w:tc>
        <w:tc>
          <w:tcPr>
            <w:tcW w:w="1803" w:type="dxa"/>
          </w:tcPr>
          <w:p w14:paraId="4230D82A" w14:textId="60DD6C04" w:rsidR="005E2C08" w:rsidRDefault="00FC349A" w:rsidP="00596328">
            <w:pPr>
              <w:rPr>
                <w:rFonts w:eastAsia="Calibri" w:cs="Times New Roman"/>
              </w:rPr>
            </w:pPr>
            <w:r>
              <w:rPr>
                <w:rFonts w:eastAsia="Calibri" w:cs="Times New Roman"/>
              </w:rPr>
              <w:t>-0.004</w:t>
            </w:r>
            <w:r w:rsidR="008459FE">
              <w:rPr>
                <w:rFonts w:eastAsia="Calibri" w:cs="Times New Roman"/>
              </w:rPr>
              <w:t>688</w:t>
            </w:r>
          </w:p>
        </w:tc>
        <w:tc>
          <w:tcPr>
            <w:tcW w:w="1803" w:type="dxa"/>
          </w:tcPr>
          <w:p w14:paraId="66E18DBC" w14:textId="58344867" w:rsidR="005E2C08" w:rsidRDefault="008459FE" w:rsidP="00596328">
            <w:pPr>
              <w:rPr>
                <w:rFonts w:eastAsia="Calibri" w:cs="Times New Roman"/>
              </w:rPr>
            </w:pPr>
            <w:r>
              <w:rPr>
                <w:rFonts w:eastAsia="Calibri" w:cs="Times New Roman"/>
              </w:rPr>
              <w:t>0.0045</w:t>
            </w:r>
            <w:r w:rsidR="00702171">
              <w:rPr>
                <w:rFonts w:eastAsia="Calibri" w:cs="Times New Roman"/>
              </w:rPr>
              <w:t>2</w:t>
            </w:r>
            <w:r>
              <w:rPr>
                <w:rFonts w:eastAsia="Calibri" w:cs="Times New Roman"/>
              </w:rPr>
              <w:t>7</w:t>
            </w:r>
          </w:p>
        </w:tc>
        <w:tc>
          <w:tcPr>
            <w:tcW w:w="1803" w:type="dxa"/>
          </w:tcPr>
          <w:p w14:paraId="76075443" w14:textId="61037730" w:rsidR="005E2C08" w:rsidRDefault="00702171" w:rsidP="00596328">
            <w:pPr>
              <w:rPr>
                <w:rFonts w:eastAsia="Calibri" w:cs="Times New Roman"/>
              </w:rPr>
            </w:pPr>
            <w:r>
              <w:rPr>
                <w:rFonts w:eastAsia="Calibri" w:cs="Times New Roman"/>
              </w:rPr>
              <w:t>-1.035</w:t>
            </w:r>
            <w:r w:rsidR="008E13B8">
              <w:rPr>
                <w:rFonts w:eastAsia="Calibri" w:cs="Times New Roman"/>
              </w:rPr>
              <w:t>488</w:t>
            </w:r>
          </w:p>
        </w:tc>
        <w:tc>
          <w:tcPr>
            <w:tcW w:w="1804" w:type="dxa"/>
          </w:tcPr>
          <w:p w14:paraId="12388EEB" w14:textId="7F212EFA" w:rsidR="005E2C08" w:rsidRDefault="006F137A" w:rsidP="00596328">
            <w:pPr>
              <w:rPr>
                <w:rFonts w:eastAsia="Calibri" w:cs="Times New Roman"/>
              </w:rPr>
            </w:pPr>
            <w:r>
              <w:rPr>
                <w:rFonts w:eastAsia="Calibri" w:cs="Times New Roman"/>
              </w:rPr>
              <w:t>0.3019</w:t>
            </w:r>
          </w:p>
        </w:tc>
      </w:tr>
      <w:tr w:rsidR="00CC7A05" w14:paraId="215C69E1" w14:textId="77777777" w:rsidTr="00C44B87">
        <w:tc>
          <w:tcPr>
            <w:tcW w:w="1803" w:type="dxa"/>
          </w:tcPr>
          <w:p w14:paraId="32860403" w14:textId="255F6C2F" w:rsidR="00CC7A05" w:rsidRDefault="00CC7A05" w:rsidP="00596328">
            <w:pPr>
              <w:rPr>
                <w:rFonts w:eastAsia="Calibri" w:cs="Times New Roman"/>
              </w:rPr>
            </w:pPr>
            <w:r>
              <w:rPr>
                <w:rFonts w:eastAsia="Calibri" w:cs="Times New Roman"/>
              </w:rPr>
              <w:t>TC</w:t>
            </w:r>
          </w:p>
        </w:tc>
        <w:tc>
          <w:tcPr>
            <w:tcW w:w="1803" w:type="dxa"/>
          </w:tcPr>
          <w:p w14:paraId="5A54B790" w14:textId="4896798D" w:rsidR="00CC7A05" w:rsidRDefault="00B06A83" w:rsidP="00596328">
            <w:pPr>
              <w:rPr>
                <w:rFonts w:eastAsia="Calibri" w:cs="Times New Roman"/>
              </w:rPr>
            </w:pPr>
            <w:r>
              <w:rPr>
                <w:rFonts w:eastAsia="Calibri" w:cs="Times New Roman"/>
              </w:rPr>
              <w:t>3.54</w:t>
            </w:r>
            <w:r w:rsidR="00956551">
              <w:rPr>
                <w:rFonts w:eastAsia="Calibri" w:cs="Times New Roman"/>
              </w:rPr>
              <w:t>E-08</w:t>
            </w:r>
          </w:p>
        </w:tc>
        <w:tc>
          <w:tcPr>
            <w:tcW w:w="1803" w:type="dxa"/>
          </w:tcPr>
          <w:p w14:paraId="7F12EC4C" w14:textId="7DC019E7" w:rsidR="00CC7A05" w:rsidRDefault="00956551" w:rsidP="00596328">
            <w:pPr>
              <w:rPr>
                <w:rFonts w:eastAsia="Calibri" w:cs="Times New Roman"/>
              </w:rPr>
            </w:pPr>
            <w:r>
              <w:rPr>
                <w:rFonts w:eastAsia="Calibri" w:cs="Times New Roman"/>
              </w:rPr>
              <w:t>3.02E-</w:t>
            </w:r>
            <w:r w:rsidR="004A058B">
              <w:rPr>
                <w:rFonts w:eastAsia="Calibri" w:cs="Times New Roman"/>
              </w:rPr>
              <w:t>08</w:t>
            </w:r>
          </w:p>
        </w:tc>
        <w:tc>
          <w:tcPr>
            <w:tcW w:w="1803" w:type="dxa"/>
          </w:tcPr>
          <w:p w14:paraId="14000969" w14:textId="6264ACA3" w:rsidR="00CC7A05" w:rsidRDefault="004A058B" w:rsidP="00596328">
            <w:pPr>
              <w:rPr>
                <w:rFonts w:eastAsia="Calibri" w:cs="Times New Roman"/>
              </w:rPr>
            </w:pPr>
            <w:r>
              <w:rPr>
                <w:rFonts w:eastAsia="Calibri" w:cs="Times New Roman"/>
              </w:rPr>
              <w:t>1.171</w:t>
            </w:r>
            <w:r w:rsidR="00775425">
              <w:rPr>
                <w:rFonts w:eastAsia="Calibri" w:cs="Times New Roman"/>
              </w:rPr>
              <w:t>612</w:t>
            </w:r>
          </w:p>
        </w:tc>
        <w:tc>
          <w:tcPr>
            <w:tcW w:w="1804" w:type="dxa"/>
          </w:tcPr>
          <w:p w14:paraId="6075C6E7" w14:textId="66F796B2" w:rsidR="00CC7A05" w:rsidRDefault="00775425" w:rsidP="00596328">
            <w:pPr>
              <w:rPr>
                <w:rFonts w:eastAsia="Calibri" w:cs="Times New Roman"/>
              </w:rPr>
            </w:pPr>
            <w:r>
              <w:rPr>
                <w:rFonts w:eastAsia="Calibri" w:cs="Times New Roman"/>
              </w:rPr>
              <w:t>0.2430</w:t>
            </w:r>
          </w:p>
        </w:tc>
      </w:tr>
      <w:tr w:rsidR="00697873" w14:paraId="19ED8D82" w14:textId="77777777" w:rsidTr="00C44B87">
        <w:tc>
          <w:tcPr>
            <w:tcW w:w="1803" w:type="dxa"/>
          </w:tcPr>
          <w:p w14:paraId="03F3794C" w14:textId="6F3E6AB9" w:rsidR="00697873" w:rsidRDefault="00E6431B" w:rsidP="00596328">
            <w:pPr>
              <w:rPr>
                <w:rFonts w:eastAsia="Calibri" w:cs="Times New Roman"/>
              </w:rPr>
            </w:pPr>
            <w:r w:rsidRPr="00E6431B">
              <w:rPr>
                <w:rFonts w:eastAsia="Calibri" w:cs="Times New Roman"/>
              </w:rPr>
              <w:t>D(</w:t>
            </w:r>
            <w:r w:rsidR="00371590">
              <w:rPr>
                <w:rFonts w:eastAsia="Calibri" w:cs="Times New Roman"/>
              </w:rPr>
              <w:t>NTBs</w:t>
            </w:r>
            <w:r w:rsidRPr="00E6431B">
              <w:rPr>
                <w:rFonts w:eastAsia="Calibri" w:cs="Times New Roman"/>
              </w:rPr>
              <w:t>)</w:t>
            </w:r>
          </w:p>
        </w:tc>
        <w:tc>
          <w:tcPr>
            <w:tcW w:w="1803" w:type="dxa"/>
          </w:tcPr>
          <w:p w14:paraId="2E811A79" w14:textId="7E2484DD" w:rsidR="00697873" w:rsidRDefault="00371590" w:rsidP="00596328">
            <w:pPr>
              <w:rPr>
                <w:rFonts w:eastAsia="Calibri" w:cs="Times New Roman"/>
              </w:rPr>
            </w:pPr>
            <w:r>
              <w:rPr>
                <w:rFonts w:eastAsia="Calibri" w:cs="Times New Roman"/>
              </w:rPr>
              <w:t>0.068</w:t>
            </w:r>
            <w:r w:rsidR="00D97043">
              <w:rPr>
                <w:rFonts w:eastAsia="Calibri" w:cs="Times New Roman"/>
              </w:rPr>
              <w:t>547</w:t>
            </w:r>
          </w:p>
        </w:tc>
        <w:tc>
          <w:tcPr>
            <w:tcW w:w="1803" w:type="dxa"/>
          </w:tcPr>
          <w:p w14:paraId="29E160D6" w14:textId="04B6AB71" w:rsidR="00697873" w:rsidRDefault="0041713F" w:rsidP="00596328">
            <w:pPr>
              <w:rPr>
                <w:rFonts w:eastAsia="Calibri" w:cs="Times New Roman"/>
              </w:rPr>
            </w:pPr>
            <w:r>
              <w:rPr>
                <w:rFonts w:eastAsia="Calibri" w:cs="Times New Roman"/>
              </w:rPr>
              <w:t>0.022474</w:t>
            </w:r>
          </w:p>
        </w:tc>
        <w:tc>
          <w:tcPr>
            <w:tcW w:w="1803" w:type="dxa"/>
          </w:tcPr>
          <w:p w14:paraId="464CB328" w14:textId="3EBFE984" w:rsidR="00697873" w:rsidRDefault="00D159DC" w:rsidP="00596328">
            <w:pPr>
              <w:rPr>
                <w:rFonts w:eastAsia="Calibri" w:cs="Times New Roman"/>
              </w:rPr>
            </w:pPr>
            <w:r>
              <w:rPr>
                <w:rFonts w:eastAsia="Calibri" w:cs="Times New Roman"/>
              </w:rPr>
              <w:t>3.050011</w:t>
            </w:r>
          </w:p>
        </w:tc>
        <w:tc>
          <w:tcPr>
            <w:tcW w:w="1804" w:type="dxa"/>
          </w:tcPr>
          <w:p w14:paraId="0781CEF7" w14:textId="0AF249DF" w:rsidR="00697873" w:rsidRDefault="00D159DC" w:rsidP="00596328">
            <w:pPr>
              <w:rPr>
                <w:rFonts w:eastAsia="Calibri" w:cs="Times New Roman"/>
              </w:rPr>
            </w:pPr>
            <w:r>
              <w:rPr>
                <w:rFonts w:eastAsia="Calibri" w:cs="Times New Roman"/>
              </w:rPr>
              <w:t>0.0026</w:t>
            </w:r>
          </w:p>
        </w:tc>
      </w:tr>
      <w:tr w:rsidR="00BD3404" w14:paraId="72D34851" w14:textId="77777777" w:rsidTr="00C44B87">
        <w:tc>
          <w:tcPr>
            <w:tcW w:w="1803" w:type="dxa"/>
          </w:tcPr>
          <w:p w14:paraId="369B9D46" w14:textId="736D8EE0" w:rsidR="00BD3404" w:rsidRPr="00E6431B" w:rsidRDefault="00BD3404" w:rsidP="00596328">
            <w:pPr>
              <w:rPr>
                <w:rFonts w:eastAsia="Calibri" w:cs="Times New Roman"/>
              </w:rPr>
            </w:pPr>
            <w:r w:rsidRPr="00BD3404">
              <w:rPr>
                <w:rFonts w:eastAsia="Calibri" w:cs="Times New Roman"/>
              </w:rPr>
              <w:t>D (</w:t>
            </w:r>
            <w:r>
              <w:rPr>
                <w:rFonts w:eastAsia="Calibri" w:cs="Times New Roman"/>
              </w:rPr>
              <w:t>WAMA</w:t>
            </w:r>
            <w:r w:rsidRPr="00BD3404">
              <w:rPr>
                <w:rFonts w:eastAsia="Calibri" w:cs="Times New Roman"/>
              </w:rPr>
              <w:t xml:space="preserve"> (-2))</w:t>
            </w:r>
          </w:p>
        </w:tc>
        <w:tc>
          <w:tcPr>
            <w:tcW w:w="1803" w:type="dxa"/>
          </w:tcPr>
          <w:p w14:paraId="0AED5CAD" w14:textId="7065810B" w:rsidR="00BD3404" w:rsidRDefault="00CE334A" w:rsidP="00596328">
            <w:pPr>
              <w:rPr>
                <w:rFonts w:eastAsia="Calibri" w:cs="Times New Roman"/>
              </w:rPr>
            </w:pPr>
            <w:r>
              <w:rPr>
                <w:rFonts w:eastAsia="Calibri" w:cs="Times New Roman"/>
              </w:rPr>
              <w:t>-8.51E-08</w:t>
            </w:r>
          </w:p>
        </w:tc>
        <w:tc>
          <w:tcPr>
            <w:tcW w:w="1803" w:type="dxa"/>
          </w:tcPr>
          <w:p w14:paraId="4F090EF2" w14:textId="6DF27EB4" w:rsidR="00BD3404" w:rsidRDefault="00D155F0" w:rsidP="00596328">
            <w:pPr>
              <w:rPr>
                <w:rFonts w:eastAsia="Calibri" w:cs="Times New Roman"/>
              </w:rPr>
            </w:pPr>
            <w:r>
              <w:rPr>
                <w:rFonts w:eastAsia="Calibri" w:cs="Times New Roman"/>
              </w:rPr>
              <w:t>1.89E-08</w:t>
            </w:r>
          </w:p>
        </w:tc>
        <w:tc>
          <w:tcPr>
            <w:tcW w:w="1803" w:type="dxa"/>
          </w:tcPr>
          <w:p w14:paraId="298F394D" w14:textId="735D722D" w:rsidR="00BD3404" w:rsidRDefault="004A2264" w:rsidP="00596328">
            <w:pPr>
              <w:rPr>
                <w:rFonts w:eastAsia="Calibri" w:cs="Times New Roman"/>
              </w:rPr>
            </w:pPr>
            <w:r>
              <w:rPr>
                <w:rFonts w:eastAsia="Calibri" w:cs="Times New Roman"/>
              </w:rPr>
              <w:t>-4.5022</w:t>
            </w:r>
            <w:r w:rsidR="0055474A">
              <w:rPr>
                <w:rFonts w:eastAsia="Calibri" w:cs="Times New Roman"/>
              </w:rPr>
              <w:t>98</w:t>
            </w:r>
          </w:p>
        </w:tc>
        <w:tc>
          <w:tcPr>
            <w:tcW w:w="1804" w:type="dxa"/>
          </w:tcPr>
          <w:p w14:paraId="7695FB36" w14:textId="7A770340" w:rsidR="00BD3404" w:rsidRDefault="004E407B" w:rsidP="00596328">
            <w:pPr>
              <w:rPr>
                <w:rFonts w:eastAsia="Calibri" w:cs="Times New Roman"/>
              </w:rPr>
            </w:pPr>
            <w:r>
              <w:rPr>
                <w:rFonts w:eastAsia="Calibri" w:cs="Times New Roman"/>
              </w:rPr>
              <w:t>0.0000</w:t>
            </w:r>
          </w:p>
        </w:tc>
      </w:tr>
      <w:tr w:rsidR="004E407B" w14:paraId="6F1D522D" w14:textId="77777777" w:rsidTr="00C44B87">
        <w:tc>
          <w:tcPr>
            <w:tcW w:w="1803" w:type="dxa"/>
          </w:tcPr>
          <w:p w14:paraId="7588E3E9" w14:textId="2CC65F05" w:rsidR="004E407B" w:rsidRPr="00BD3404" w:rsidRDefault="006F2EAB" w:rsidP="00596328">
            <w:pPr>
              <w:rPr>
                <w:rFonts w:eastAsia="Calibri" w:cs="Times New Roman"/>
              </w:rPr>
            </w:pPr>
            <w:r>
              <w:rPr>
                <w:rFonts w:eastAsia="Calibri" w:cs="Times New Roman"/>
              </w:rPr>
              <w:t>AEXR</w:t>
            </w:r>
          </w:p>
        </w:tc>
        <w:tc>
          <w:tcPr>
            <w:tcW w:w="1803" w:type="dxa"/>
          </w:tcPr>
          <w:p w14:paraId="1F9C637F" w14:textId="51815B5B" w:rsidR="004E407B" w:rsidRDefault="00496326" w:rsidP="00596328">
            <w:pPr>
              <w:rPr>
                <w:rFonts w:eastAsia="Calibri" w:cs="Times New Roman"/>
              </w:rPr>
            </w:pPr>
            <w:r>
              <w:rPr>
                <w:rFonts w:eastAsia="Calibri" w:cs="Times New Roman"/>
              </w:rPr>
              <w:t>0.0018</w:t>
            </w:r>
            <w:r w:rsidR="00EE46D9">
              <w:rPr>
                <w:rFonts w:eastAsia="Calibri" w:cs="Times New Roman"/>
              </w:rPr>
              <w:t>79</w:t>
            </w:r>
          </w:p>
        </w:tc>
        <w:tc>
          <w:tcPr>
            <w:tcW w:w="1803" w:type="dxa"/>
          </w:tcPr>
          <w:p w14:paraId="4DA1D0BC" w14:textId="366FB5AD" w:rsidR="004E407B" w:rsidRDefault="004B3985" w:rsidP="00596328">
            <w:pPr>
              <w:rPr>
                <w:rFonts w:eastAsia="Calibri" w:cs="Times New Roman"/>
              </w:rPr>
            </w:pPr>
            <w:r>
              <w:rPr>
                <w:rFonts w:eastAsia="Calibri" w:cs="Times New Roman"/>
              </w:rPr>
              <w:t>0.00049</w:t>
            </w:r>
            <w:r w:rsidR="00365662">
              <w:rPr>
                <w:rFonts w:eastAsia="Calibri" w:cs="Times New Roman"/>
              </w:rPr>
              <w:t>8</w:t>
            </w:r>
          </w:p>
        </w:tc>
        <w:tc>
          <w:tcPr>
            <w:tcW w:w="1803" w:type="dxa"/>
          </w:tcPr>
          <w:p w14:paraId="53D18EB8" w14:textId="22CA5152" w:rsidR="004E407B" w:rsidRDefault="00365662" w:rsidP="00596328">
            <w:pPr>
              <w:rPr>
                <w:rFonts w:eastAsia="Calibri" w:cs="Times New Roman"/>
              </w:rPr>
            </w:pPr>
            <w:r>
              <w:rPr>
                <w:rFonts w:eastAsia="Calibri" w:cs="Times New Roman"/>
              </w:rPr>
              <w:t>3.773982</w:t>
            </w:r>
          </w:p>
        </w:tc>
        <w:tc>
          <w:tcPr>
            <w:tcW w:w="1804" w:type="dxa"/>
          </w:tcPr>
          <w:p w14:paraId="295CFB31" w14:textId="1A9CF825" w:rsidR="004E407B" w:rsidRDefault="00C92CFD" w:rsidP="00596328">
            <w:pPr>
              <w:rPr>
                <w:rFonts w:eastAsia="Calibri" w:cs="Times New Roman"/>
              </w:rPr>
            </w:pPr>
            <w:r>
              <w:rPr>
                <w:rFonts w:eastAsia="Calibri" w:cs="Times New Roman"/>
              </w:rPr>
              <w:t>0.0002</w:t>
            </w:r>
          </w:p>
        </w:tc>
      </w:tr>
      <w:tr w:rsidR="00894972" w14:paraId="156994EB" w14:textId="77777777" w:rsidTr="00C44B87">
        <w:tc>
          <w:tcPr>
            <w:tcW w:w="1803" w:type="dxa"/>
          </w:tcPr>
          <w:p w14:paraId="4A3D183E" w14:textId="006BF7E9" w:rsidR="00894972" w:rsidRPr="0007693A" w:rsidRDefault="006152E9" w:rsidP="00596328">
            <w:pPr>
              <w:rPr>
                <w:rFonts w:eastAsia="Calibri" w:cs="Times New Roman"/>
              </w:rPr>
            </w:pPr>
            <w:r>
              <w:rPr>
                <w:rFonts w:eastAsia="Calibri" w:cs="Times New Roman"/>
              </w:rPr>
              <w:t>C</w:t>
            </w:r>
          </w:p>
        </w:tc>
        <w:tc>
          <w:tcPr>
            <w:tcW w:w="1803" w:type="dxa"/>
          </w:tcPr>
          <w:p w14:paraId="24D7D279" w14:textId="1A6CBE73" w:rsidR="00894972" w:rsidRDefault="006152E9" w:rsidP="00596328">
            <w:pPr>
              <w:rPr>
                <w:rFonts w:eastAsia="Calibri" w:cs="Times New Roman"/>
              </w:rPr>
            </w:pPr>
            <w:r>
              <w:rPr>
                <w:rFonts w:eastAsia="Calibri" w:cs="Times New Roman"/>
              </w:rPr>
              <w:t>-0.153748</w:t>
            </w:r>
          </w:p>
        </w:tc>
        <w:tc>
          <w:tcPr>
            <w:tcW w:w="1803" w:type="dxa"/>
          </w:tcPr>
          <w:p w14:paraId="06B23E88" w14:textId="1493B62D" w:rsidR="00894972" w:rsidRDefault="00845077" w:rsidP="00596328">
            <w:pPr>
              <w:rPr>
                <w:rFonts w:eastAsia="Calibri" w:cs="Times New Roman"/>
              </w:rPr>
            </w:pPr>
            <w:r>
              <w:rPr>
                <w:rFonts w:eastAsia="Calibri" w:cs="Times New Roman"/>
              </w:rPr>
              <w:t>0.048505</w:t>
            </w:r>
          </w:p>
        </w:tc>
        <w:tc>
          <w:tcPr>
            <w:tcW w:w="1803" w:type="dxa"/>
          </w:tcPr>
          <w:p w14:paraId="7F15A153" w14:textId="2F73C1F2" w:rsidR="00894972" w:rsidRDefault="00EA53D7" w:rsidP="00596328">
            <w:pPr>
              <w:rPr>
                <w:rFonts w:eastAsia="Calibri" w:cs="Times New Roman"/>
              </w:rPr>
            </w:pPr>
            <w:r>
              <w:rPr>
                <w:rFonts w:eastAsia="Calibri" w:cs="Times New Roman"/>
              </w:rPr>
              <w:t>-3.1697</w:t>
            </w:r>
            <w:r w:rsidR="00B350B9">
              <w:rPr>
                <w:rFonts w:eastAsia="Calibri" w:cs="Times New Roman"/>
              </w:rPr>
              <w:t>31</w:t>
            </w:r>
          </w:p>
        </w:tc>
        <w:tc>
          <w:tcPr>
            <w:tcW w:w="1804" w:type="dxa"/>
          </w:tcPr>
          <w:p w14:paraId="7BDAD6A6" w14:textId="5E0A11F1" w:rsidR="00894972" w:rsidRPr="00095A20" w:rsidRDefault="00B350B9" w:rsidP="00596328">
            <w:pPr>
              <w:rPr>
                <w:rFonts w:eastAsia="Calibri" w:cs="Times New Roman"/>
              </w:rPr>
            </w:pPr>
            <w:r>
              <w:rPr>
                <w:rFonts w:eastAsia="Calibri" w:cs="Times New Roman"/>
              </w:rPr>
              <w:t>0.0018</w:t>
            </w:r>
          </w:p>
        </w:tc>
      </w:tr>
      <w:tr w:rsidR="003B0EE2" w14:paraId="00114195" w14:textId="77777777" w:rsidTr="00C44B87">
        <w:tc>
          <w:tcPr>
            <w:tcW w:w="1803" w:type="dxa"/>
          </w:tcPr>
          <w:p w14:paraId="56149600" w14:textId="77777777" w:rsidR="003B0EE2" w:rsidRPr="0007693A" w:rsidRDefault="003B0EE2" w:rsidP="00596328">
            <w:pPr>
              <w:rPr>
                <w:rFonts w:eastAsia="Calibri" w:cs="Times New Roman"/>
              </w:rPr>
            </w:pPr>
            <w:r w:rsidRPr="0007693A">
              <w:rPr>
                <w:rFonts w:eastAsia="Calibri" w:cs="Times New Roman"/>
              </w:rPr>
              <w:t>CointEq(-1)*</w:t>
            </w:r>
          </w:p>
        </w:tc>
        <w:tc>
          <w:tcPr>
            <w:tcW w:w="1803" w:type="dxa"/>
          </w:tcPr>
          <w:p w14:paraId="6ECB56F0" w14:textId="18635383" w:rsidR="003B0EE2" w:rsidRDefault="00693B97" w:rsidP="00596328">
            <w:pPr>
              <w:rPr>
                <w:rFonts w:eastAsia="Calibri" w:cs="Times New Roman"/>
              </w:rPr>
            </w:pPr>
            <w:r>
              <w:rPr>
                <w:rFonts w:eastAsia="Calibri" w:cs="Times New Roman"/>
              </w:rPr>
              <w:t>-0.03</w:t>
            </w:r>
            <w:r w:rsidR="00567E72">
              <w:rPr>
                <w:rFonts w:eastAsia="Calibri" w:cs="Times New Roman"/>
              </w:rPr>
              <w:t>8517</w:t>
            </w:r>
          </w:p>
        </w:tc>
        <w:tc>
          <w:tcPr>
            <w:tcW w:w="1803" w:type="dxa"/>
          </w:tcPr>
          <w:p w14:paraId="09D32655" w14:textId="7A7A7FF2" w:rsidR="003B0EE2" w:rsidRDefault="000C3AFD" w:rsidP="00596328">
            <w:pPr>
              <w:rPr>
                <w:rFonts w:eastAsia="Calibri" w:cs="Times New Roman"/>
              </w:rPr>
            </w:pPr>
            <w:r>
              <w:rPr>
                <w:rFonts w:eastAsia="Calibri" w:cs="Times New Roman"/>
              </w:rPr>
              <w:t>0.0029</w:t>
            </w:r>
            <w:r w:rsidR="00052680">
              <w:rPr>
                <w:rFonts w:eastAsia="Calibri" w:cs="Times New Roman"/>
              </w:rPr>
              <w:t>75</w:t>
            </w:r>
          </w:p>
        </w:tc>
        <w:tc>
          <w:tcPr>
            <w:tcW w:w="1803" w:type="dxa"/>
          </w:tcPr>
          <w:p w14:paraId="04724926" w14:textId="33EAB2B7" w:rsidR="003B0EE2" w:rsidRDefault="007B7476" w:rsidP="00596328">
            <w:pPr>
              <w:rPr>
                <w:rFonts w:eastAsia="Calibri" w:cs="Times New Roman"/>
              </w:rPr>
            </w:pPr>
            <w:r>
              <w:rPr>
                <w:rFonts w:eastAsia="Calibri" w:cs="Times New Roman"/>
              </w:rPr>
              <w:t>-12.94772</w:t>
            </w:r>
          </w:p>
        </w:tc>
        <w:tc>
          <w:tcPr>
            <w:tcW w:w="1804" w:type="dxa"/>
          </w:tcPr>
          <w:p w14:paraId="2F6CE81C" w14:textId="2FCED438" w:rsidR="003B0EE2" w:rsidRDefault="007460A5" w:rsidP="00596328">
            <w:pPr>
              <w:rPr>
                <w:rFonts w:eastAsia="Calibri" w:cs="Times New Roman"/>
              </w:rPr>
            </w:pPr>
            <w:r w:rsidRPr="007460A5">
              <w:rPr>
                <w:rFonts w:eastAsia="Calibri" w:cs="Times New Roman"/>
              </w:rPr>
              <w:t>0.0000</w:t>
            </w:r>
          </w:p>
        </w:tc>
      </w:tr>
      <w:tr w:rsidR="003B0EE2" w14:paraId="7408F920" w14:textId="77777777" w:rsidTr="00C44B87">
        <w:tc>
          <w:tcPr>
            <w:tcW w:w="9016" w:type="dxa"/>
            <w:gridSpan w:val="5"/>
          </w:tcPr>
          <w:p w14:paraId="310DA894" w14:textId="77777777" w:rsidR="003B0EE2" w:rsidRDefault="003B0EE2" w:rsidP="00596328">
            <w:pPr>
              <w:rPr>
                <w:rFonts w:eastAsia="Calibri" w:cs="Times New Roman"/>
              </w:rPr>
            </w:pPr>
          </w:p>
        </w:tc>
      </w:tr>
    </w:tbl>
    <w:p w14:paraId="64E3DDF8" w14:textId="50D9D98A" w:rsidR="004057ED" w:rsidRPr="00590291" w:rsidRDefault="00027FF9" w:rsidP="00596328">
      <w:pPr>
        <w:spacing w:after="0" w:line="240" w:lineRule="auto"/>
        <w:ind w:right="-660"/>
        <w:rPr>
          <w:rFonts w:cs="Times New Roman"/>
          <w:bCs/>
          <w:i/>
          <w:iCs/>
        </w:rPr>
      </w:pPr>
      <w:r w:rsidRPr="00027FF9">
        <w:rPr>
          <w:rFonts w:cs="Times New Roman"/>
          <w:bCs/>
          <w:i/>
          <w:iCs/>
        </w:rPr>
        <w:t>Source: Computed by author using EViews 13</w:t>
      </w:r>
    </w:p>
    <w:p w14:paraId="51FE1978" w14:textId="14797DB7" w:rsidR="009B658D" w:rsidRPr="00BC6E99" w:rsidRDefault="009B658D" w:rsidP="00596328">
      <w:pPr>
        <w:pStyle w:val="NormalWeb"/>
        <w:spacing w:after="0" w:afterAutospacing="0"/>
      </w:pPr>
      <w:r w:rsidRPr="00BC6E99">
        <w:t xml:space="preserve">The </w:t>
      </w:r>
      <w:r w:rsidR="00A9639E">
        <w:t>ARDL</w:t>
      </w:r>
      <w:r w:rsidR="00321030">
        <w:t xml:space="preserve"> </w:t>
      </w:r>
      <w:r w:rsidRPr="00BC6E99">
        <w:t>regression</w:t>
      </w:r>
      <w:r w:rsidR="00E466E7">
        <w:t xml:space="preserve"> model</w:t>
      </w:r>
      <w:r w:rsidRPr="00BC6E99">
        <w:t xml:space="preserve"> incorporating the error correction mechanism (ECM) was estimated to capture both the short–run dynamics and the long–run adjustment of inflation in response to changes in selected monetary and fiscal policy variables in Nigeria. The dependent variable is the </w:t>
      </w:r>
      <w:r w:rsidR="002740E7">
        <w:t xml:space="preserve">Consumer </w:t>
      </w:r>
      <w:r w:rsidR="009E65CD">
        <w:t>Price Index (CPI</w:t>
      </w:r>
      <w:r w:rsidR="00EA1E06">
        <w:t>)</w:t>
      </w:r>
      <w:r w:rsidR="00EA1E06" w:rsidRPr="00BC6E99">
        <w:t>,</w:t>
      </w:r>
      <w:r w:rsidRPr="00BC6E99">
        <w:t xml:space="preserve"> while the explanatory variables include the Narrow Money (M1),</w:t>
      </w:r>
      <w:r w:rsidR="0048584C">
        <w:t xml:space="preserve"> Inter-bank Rates (INB),</w:t>
      </w:r>
      <w:r w:rsidRPr="00BC6E99">
        <w:t xml:space="preserve"> </w:t>
      </w:r>
      <w:r w:rsidR="00235134" w:rsidRPr="00235134">
        <w:t>Treasury Certificates (TC)</w:t>
      </w:r>
      <w:r w:rsidR="00C2654E">
        <w:t xml:space="preserve">, </w:t>
      </w:r>
      <w:r w:rsidR="00C2654E" w:rsidRPr="00C2654E">
        <w:t>Nigerian Treasury Bills (NTBs),</w:t>
      </w:r>
      <w:r w:rsidR="00C2654E">
        <w:t xml:space="preserve"> </w:t>
      </w:r>
      <w:r w:rsidRPr="00BC6E99">
        <w:t xml:space="preserve">Ways and Means Advances (WAMA), </w:t>
      </w:r>
      <w:r w:rsidR="00C2654E">
        <w:t xml:space="preserve">and </w:t>
      </w:r>
      <w:r w:rsidRPr="00BC6E99">
        <w:t>Bureau de Change Average Exchange Rate (AEXR), and the error correction term [</w:t>
      </w:r>
      <w:r w:rsidR="00007DC8" w:rsidRPr="00BC6E99">
        <w:t>ECM (</w:t>
      </w:r>
      <w:r w:rsidRPr="00BC6E99">
        <w:t>–1)].</w:t>
      </w:r>
    </w:p>
    <w:p w14:paraId="278F6563" w14:textId="5CD82205" w:rsidR="009B658D" w:rsidRDefault="009B658D" w:rsidP="00596328">
      <w:pPr>
        <w:pStyle w:val="NormalWeb"/>
        <w:spacing w:after="0" w:afterAutospacing="0"/>
      </w:pPr>
      <w:r w:rsidRPr="00BC6E99">
        <w:t>The coefficient of the constant term (</w:t>
      </w:r>
      <w:r w:rsidR="00EA1E06">
        <w:t>-</w:t>
      </w:r>
      <w:r w:rsidRPr="00BC6E99">
        <w:t>0.</w:t>
      </w:r>
      <w:r w:rsidR="00EA1E06">
        <w:t>1537</w:t>
      </w:r>
      <w:r w:rsidR="00007DC8">
        <w:t>48</w:t>
      </w:r>
      <w:r w:rsidRPr="00BC6E99">
        <w:t xml:space="preserve">) is </w:t>
      </w:r>
      <w:r w:rsidR="00007DC8">
        <w:t>negative</w:t>
      </w:r>
      <w:r w:rsidRPr="00BC6E99">
        <w:t xml:space="preserve"> and statistically significant at the 5 per cent level, suggesting that even in the absence of changes in the selected policy variables, there exists a baseline upward pressure on inflation in Nigeria. This outcome is indicative of structural or inertial inflationary tendencies that persist within the economy.</w:t>
      </w:r>
      <w:r w:rsidR="00776F64">
        <w:t xml:space="preserve"> </w:t>
      </w:r>
      <w:r w:rsidRPr="00BC6E99">
        <w:t>The coefficient of Narrow Money [D–M1(–</w:t>
      </w:r>
      <w:r w:rsidR="00043793">
        <w:t>3</w:t>
      </w:r>
      <w:r w:rsidRPr="00BC6E99">
        <w:t>)] is positive (</w:t>
      </w:r>
      <w:r w:rsidR="00541CCF">
        <w:t>1</w:t>
      </w:r>
      <w:r w:rsidRPr="00BC6E99">
        <w:t>.</w:t>
      </w:r>
      <w:r w:rsidR="00541CCF">
        <w:t>55E-07</w:t>
      </w:r>
      <w:r w:rsidRPr="00BC6E99">
        <w:t>) and statistically significant (p</w:t>
      </w:r>
      <w:r w:rsidR="005616E4">
        <w:t>=</w:t>
      </w:r>
      <w:r w:rsidRPr="00BC6E99">
        <w:t>0.00</w:t>
      </w:r>
      <w:r w:rsidR="005616E4">
        <w:t>80</w:t>
      </w:r>
      <w:r w:rsidRPr="00BC6E99">
        <w:t>). This implies that growth in the money supply contributes to inflationary pressures in the short run. The result is consistent with the monetarist proposition that an expansion of money supply, when not accompanied by a corresponding increase in productive output, translates into excess demand which raises the general price level.</w:t>
      </w:r>
    </w:p>
    <w:p w14:paraId="3FD5FE68" w14:textId="2AA2D32C" w:rsidR="00D844D4" w:rsidRDefault="00D844D4" w:rsidP="00596328">
      <w:pPr>
        <w:pStyle w:val="NormalWeb"/>
        <w:spacing w:after="0" w:afterAutospacing="0"/>
      </w:pPr>
      <w:r>
        <w:t>In the short run, the ARDL estimation reveals that the inter‑bank rate (I</w:t>
      </w:r>
      <w:r w:rsidR="004E6891">
        <w:t>NB</w:t>
      </w:r>
      <w:r>
        <w:t xml:space="preserve">) carries a negative but statistically insignificant coefficient (–0.004688; t = –1.035488; p = 0.3019), indicating that variations in money market rates exert no meaningful immediate impact on consumer price movements in Nigeria. Although the negative sign aligns with theoretical expectations that tighter short‑term funding conditions could momentarily dampen demand‑driven inflation, the absence of statistical significance suggests that short‑run price </w:t>
      </w:r>
      <w:r w:rsidR="00773FCC">
        <w:t>behavior</w:t>
      </w:r>
      <w:r>
        <w:t xml:space="preserve"> is predominantly shaped by other factors beyond interest‑rate fluctuations. This result is consistent with structural characteristics of the Nigerian economy</w:t>
      </w:r>
      <w:r w:rsidR="004A233A">
        <w:t xml:space="preserve">, </w:t>
      </w:r>
      <w:r>
        <w:t>such as weak monetary transmission mechanisms, cost‑push pressures, and a high degree of import dependence</w:t>
      </w:r>
      <w:r w:rsidR="004A233A">
        <w:t xml:space="preserve">, </w:t>
      </w:r>
      <w:r>
        <w:t>where short-run inflation dynamics are typically driven by exchange rate movements, supply disruptions, and administrative pricing rather than by inter‑bank market conditions. Consequently, the finding implies that the inter‑bank rate does not serve as an effective short‑run policy lever for stabilizing consumer prices within the period under review.</w:t>
      </w:r>
    </w:p>
    <w:p w14:paraId="4331580A" w14:textId="37041730" w:rsidR="009B658D" w:rsidRPr="00BC6E99" w:rsidRDefault="009B658D" w:rsidP="00596328">
      <w:pPr>
        <w:pStyle w:val="NormalWeb"/>
        <w:spacing w:after="0" w:afterAutospacing="0"/>
      </w:pPr>
      <w:r w:rsidRPr="00BC6E99">
        <w:t>Ways and Means Advances [D–</w:t>
      </w:r>
      <w:r w:rsidR="00641F72" w:rsidRPr="00BC6E99">
        <w:t>WAMA (</w:t>
      </w:r>
      <w:r w:rsidRPr="00BC6E99">
        <w:t>–</w:t>
      </w:r>
      <w:r w:rsidR="00B46CBD">
        <w:t>2</w:t>
      </w:r>
      <w:r w:rsidRPr="00BC6E99">
        <w:t xml:space="preserve">)] exert </w:t>
      </w:r>
      <w:r w:rsidR="00C0756D">
        <w:t>an</w:t>
      </w:r>
      <w:r w:rsidR="00A62E7F">
        <w:t xml:space="preserve"> inverse relationship with CPI in the short-run</w:t>
      </w:r>
      <w:r w:rsidR="004E39EC">
        <w:t xml:space="preserve"> during the review period, however, it</w:t>
      </w:r>
      <w:r w:rsidR="00DB4E40">
        <w:t xml:space="preserve"> has</w:t>
      </w:r>
      <w:r w:rsidRPr="00BC6E99">
        <w:t xml:space="preserve"> statistically significant effect on inflation (coefficient = </w:t>
      </w:r>
      <w:r w:rsidR="00A47371">
        <w:t>-</w:t>
      </w:r>
      <w:r w:rsidR="00E05B58">
        <w:t>8</w:t>
      </w:r>
      <w:r w:rsidRPr="00BC6E99">
        <w:t>.51</w:t>
      </w:r>
      <w:r w:rsidR="00E05B58">
        <w:t>E-08</w:t>
      </w:r>
      <w:r w:rsidRPr="00BC6E99">
        <w:t>; p = 0.00</w:t>
      </w:r>
      <w:r w:rsidR="006E6C34">
        <w:t>0</w:t>
      </w:r>
      <w:r w:rsidRPr="00BC6E99">
        <w:t xml:space="preserve">). </w:t>
      </w:r>
      <w:r w:rsidR="00B463FF" w:rsidRPr="00B463FF">
        <w:t xml:space="preserve">This result is somewhat counterintuitive, as </w:t>
      </w:r>
      <w:r w:rsidR="00831D25">
        <w:t>ways and means advances</w:t>
      </w:r>
      <w:r w:rsidR="00B463FF" w:rsidRPr="00B463FF">
        <w:t xml:space="preserve"> is typically expected to worsen inflation through </w:t>
      </w:r>
      <w:r w:rsidR="00D93201">
        <w:t xml:space="preserve">the </w:t>
      </w:r>
      <w:r w:rsidR="00940466">
        <w:t>growth of money supply</w:t>
      </w:r>
      <w:r w:rsidR="00B463FF" w:rsidRPr="00B463FF">
        <w:t xml:space="preserve"> and </w:t>
      </w:r>
      <w:r w:rsidR="00591FDB">
        <w:t>budget deficit financing</w:t>
      </w:r>
      <w:r w:rsidR="00B463FF" w:rsidRPr="00B463FF">
        <w:t>.</w:t>
      </w:r>
      <w:r w:rsidR="00831D25">
        <w:t xml:space="preserve"> </w:t>
      </w:r>
      <w:r w:rsidR="00080BA8" w:rsidRPr="00080BA8">
        <w:t xml:space="preserve">The negative relationship observed here may suggest that, during the period under study, </w:t>
      </w:r>
      <w:r w:rsidR="00097479">
        <w:t>ways and means advances</w:t>
      </w:r>
      <w:r w:rsidR="00080BA8" w:rsidRPr="00080BA8">
        <w:t xml:space="preserve"> coincided with</w:t>
      </w:r>
      <w:r w:rsidR="00097479">
        <w:t xml:space="preserve"> contractionary monetary policy of the Central Bank</w:t>
      </w:r>
      <w:r w:rsidR="00D32E63">
        <w:t xml:space="preserve">, this </w:t>
      </w:r>
      <w:r w:rsidR="00E035F6">
        <w:t xml:space="preserve">has </w:t>
      </w:r>
      <w:r w:rsidR="00080BA8" w:rsidRPr="00080BA8">
        <w:t>moderated</w:t>
      </w:r>
      <w:r w:rsidR="00E035F6">
        <w:t xml:space="preserve"> the effect </w:t>
      </w:r>
      <w:r w:rsidR="0009385A">
        <w:t>of increased</w:t>
      </w:r>
      <w:r w:rsidR="00374405">
        <w:t xml:space="preserve"> money</w:t>
      </w:r>
      <w:r w:rsidR="0009385A">
        <w:t xml:space="preserve"> supply</w:t>
      </w:r>
      <w:r w:rsidR="00374405">
        <w:t xml:space="preserve"> in the economy</w:t>
      </w:r>
      <w:r w:rsidR="00080BA8" w:rsidRPr="00080BA8">
        <w:t>.</w:t>
      </w:r>
      <w:r w:rsidR="00D32E63">
        <w:t xml:space="preserve"> </w:t>
      </w:r>
    </w:p>
    <w:p w14:paraId="4406D85F" w14:textId="77777777" w:rsidR="00517A39" w:rsidRDefault="00517A39" w:rsidP="00596328">
      <w:pPr>
        <w:pStyle w:val="NormalWeb"/>
        <w:spacing w:after="0" w:afterAutospacing="0"/>
      </w:pPr>
      <w:r w:rsidRPr="00517A39">
        <w:t>The Bureau de Change Average Exchange Rate (AEXR) displays a positive and statistically significant long‑run coefficient (0.001879; p = 0.002). This outcome aligns with expectations for an import‑dependent economy such as Nigeria, where episodes of exchange rate depreciation typically intensify inflationary pressures through imported inflation and the exchange rate pass‑through mechanism. The positive coefficient therefore indicates that, over the study period, exchange rate depreciation contributed to higher consumer prices, reinforcing the role of external cost shocks in domestic inflation dynamics.</w:t>
      </w:r>
    </w:p>
    <w:p w14:paraId="29AE67E7" w14:textId="4A59B187" w:rsidR="009B658D" w:rsidRPr="00BC6E99" w:rsidRDefault="009B658D" w:rsidP="00596328">
      <w:pPr>
        <w:pStyle w:val="NormalWeb"/>
        <w:spacing w:after="0" w:afterAutospacing="0"/>
      </w:pPr>
      <w:r w:rsidRPr="00BC6E99">
        <w:t>The coefficient of Nigerian Treasury Bills D</w:t>
      </w:r>
      <w:r w:rsidR="00C2110B">
        <w:t>(</w:t>
      </w:r>
      <w:r w:rsidRPr="00BC6E99">
        <w:t>NTBs</w:t>
      </w:r>
      <w:r w:rsidR="00C2110B">
        <w:t>)</w:t>
      </w:r>
      <w:r w:rsidRPr="00BC6E99">
        <w:t xml:space="preserve"> is positive (</w:t>
      </w:r>
      <w:r w:rsidR="00736F9A">
        <w:t>0</w:t>
      </w:r>
      <w:r w:rsidRPr="00BC6E99">
        <w:t>.0</w:t>
      </w:r>
      <w:r w:rsidR="00EB6E09">
        <w:t>6</w:t>
      </w:r>
      <w:r w:rsidRPr="00BC6E99">
        <w:t>8</w:t>
      </w:r>
      <w:r w:rsidR="00EB6E09">
        <w:t>547</w:t>
      </w:r>
      <w:r w:rsidRPr="00BC6E99">
        <w:t>) and statistically significant (p = 0.0</w:t>
      </w:r>
      <w:r w:rsidR="00EB6E09">
        <w:t>02</w:t>
      </w:r>
      <w:r w:rsidR="00EC7FFC">
        <w:t>6</w:t>
      </w:r>
      <w:r w:rsidRPr="00BC6E99">
        <w:t>). Theoretically, Treasury Bills serve as an instrument for absorbing excess liquidity and controlling inflation. However, the positive association found in this study suggests that Treasury Bill operations may have been insufficient to curtail inflationary pressures, possibly due to the fiscal–monetary interplay in Nigeria where reliance on domestic debt issuance contributes indirectly to inflation.</w:t>
      </w:r>
      <w:r w:rsidR="00776F64">
        <w:t xml:space="preserve"> </w:t>
      </w:r>
      <w:r w:rsidRPr="00BC6E99">
        <w:t xml:space="preserve">Treasury Certificates </w:t>
      </w:r>
      <w:r w:rsidR="00E2572F">
        <w:t>(</w:t>
      </w:r>
      <w:r w:rsidRPr="00BC6E99">
        <w:t xml:space="preserve">TC)] also have a positive and statistically </w:t>
      </w:r>
      <w:r w:rsidR="00E2572F">
        <w:t>in</w:t>
      </w:r>
      <w:r w:rsidRPr="00BC6E99">
        <w:t xml:space="preserve">significant effect on inflation (coefficient = </w:t>
      </w:r>
      <w:r w:rsidR="0077468A">
        <w:t>3</w:t>
      </w:r>
      <w:r w:rsidRPr="00BC6E99">
        <w:t>.</w:t>
      </w:r>
      <w:r w:rsidR="0077468A">
        <w:t>5</w:t>
      </w:r>
      <w:r w:rsidRPr="00BC6E99">
        <w:t>4</w:t>
      </w:r>
      <w:r w:rsidR="0077468A">
        <w:t>E-08</w:t>
      </w:r>
      <w:r w:rsidRPr="00BC6E99">
        <w:t>; p = 0.</w:t>
      </w:r>
      <w:r w:rsidR="0077468A">
        <w:t>2430</w:t>
      </w:r>
      <w:r w:rsidRPr="00BC6E99">
        <w:t>). The relatively l</w:t>
      </w:r>
      <w:r w:rsidR="00405D09">
        <w:t>ow</w:t>
      </w:r>
      <w:r w:rsidRPr="00BC6E99">
        <w:t xml:space="preserve"> coefficient indicates that changes in Treasury Certificates exert </w:t>
      </w:r>
      <w:r w:rsidR="00AA27EA">
        <w:t>no</w:t>
      </w:r>
      <w:r w:rsidRPr="00BC6E99">
        <w:t xml:space="preserve"> influence on inflation dynamics in the short run. This finding highlights th</w:t>
      </w:r>
      <w:r w:rsidR="00917382">
        <w:t>at</w:t>
      </w:r>
      <w:r w:rsidR="00060514">
        <w:t xml:space="preserve"> TC does not influence</w:t>
      </w:r>
      <w:r w:rsidRPr="00BC6E99">
        <w:t xml:space="preserve"> inflation</w:t>
      </w:r>
      <w:r w:rsidR="00060514">
        <w:t xml:space="preserve"> in the short</w:t>
      </w:r>
      <w:r w:rsidR="00995A62">
        <w:t>-run,</w:t>
      </w:r>
      <w:r w:rsidR="005B5C34">
        <w:t xml:space="preserve"> as</w:t>
      </w:r>
      <w:r w:rsidRPr="00BC6E99">
        <w:t xml:space="preserve"> fiscal financing through such instruments may</w:t>
      </w:r>
      <w:r w:rsidR="005B5C34">
        <w:t xml:space="preserve"> not</w:t>
      </w:r>
      <w:r w:rsidRPr="00BC6E99">
        <w:t xml:space="preserve"> increase money supply </w:t>
      </w:r>
      <w:r w:rsidR="00ED1453">
        <w:t>as well as</w:t>
      </w:r>
      <w:r w:rsidRPr="00BC6E99">
        <w:t xml:space="preserve"> drive up the price level.</w:t>
      </w:r>
    </w:p>
    <w:p w14:paraId="20DBDA0C" w14:textId="07971D84" w:rsidR="004057ED" w:rsidRDefault="009B658D" w:rsidP="00596328">
      <w:pPr>
        <w:pStyle w:val="NormalWeb"/>
        <w:spacing w:after="0" w:afterAutospacing="0"/>
      </w:pPr>
      <w:r w:rsidRPr="00BC6E99">
        <w:t>Finally, the error correction term [ECM</w:t>
      </w:r>
      <w:r w:rsidR="00064298">
        <w:t xml:space="preserve"> </w:t>
      </w:r>
      <w:r w:rsidRPr="00BC6E99">
        <w:t>(–1)] is negative (–0.</w:t>
      </w:r>
      <w:r w:rsidR="00C95E9B">
        <w:t>0</w:t>
      </w:r>
      <w:r w:rsidR="00D738E0">
        <w:t>3</w:t>
      </w:r>
      <w:r w:rsidR="00C95E9B">
        <w:t>8</w:t>
      </w:r>
      <w:r w:rsidR="00D738E0">
        <w:t>517</w:t>
      </w:r>
      <w:r w:rsidRPr="00BC6E99">
        <w:t>) and statistically significant (p = 0.0</w:t>
      </w:r>
      <w:r w:rsidR="00036D35">
        <w:t>000</w:t>
      </w:r>
      <w:r w:rsidRPr="00BC6E99">
        <w:t xml:space="preserve">), thereby confirming the existence of a long–run equilibrium relationship among the variables. The coefficient implies that approximately </w:t>
      </w:r>
      <w:r w:rsidR="00304C6F">
        <w:t>3.8</w:t>
      </w:r>
      <w:r w:rsidRPr="00BC6E99">
        <w:t xml:space="preserve"> per cent of the disequilibrium in inflation is corrected within each period. This speed of adjustment is relatively slow, indicating that inflationary shocks in Nigeria persist for some time before convergence towards the long–run equilibrium path is achieved.</w:t>
      </w:r>
      <w:r w:rsidR="00776F64">
        <w:t xml:space="preserve"> </w:t>
      </w:r>
      <w:r w:rsidRPr="00BC6E99">
        <w:t xml:space="preserve">In summary, the findings reveal that both monetary and </w:t>
      </w:r>
      <w:r w:rsidR="001E6118" w:rsidRPr="001E6118">
        <w:t xml:space="preserve">exchange rate pass–through </w:t>
      </w:r>
      <w:r w:rsidRPr="00BC6E99">
        <w:t>variable</w:t>
      </w:r>
      <w:r w:rsidR="00D97FB1">
        <w:t>s</w:t>
      </w:r>
      <w:r w:rsidR="001B42DA">
        <w:t xml:space="preserve"> </w:t>
      </w:r>
      <w:r w:rsidRPr="00BC6E99">
        <w:t>exert significant short–run effects on inflation in Nigeria. Narrow money supply</w:t>
      </w:r>
      <w:r w:rsidR="00A849A2">
        <w:t xml:space="preserve"> and average exchange rate</w:t>
      </w:r>
      <w:r w:rsidR="00991A0F">
        <w:t xml:space="preserve"> depreciation</w:t>
      </w:r>
      <w:r w:rsidRPr="00BC6E99">
        <w:t xml:space="preserve"> contribute positively to inflationary pressures, while the </w:t>
      </w:r>
      <w:r w:rsidR="00B23570">
        <w:t>inter-bank rates</w:t>
      </w:r>
      <w:r w:rsidR="00DB78FB">
        <w:t>;</w:t>
      </w:r>
      <w:r w:rsidR="00B23570">
        <w:t xml:space="preserve"> </w:t>
      </w:r>
      <w:r w:rsidR="00851C08">
        <w:t>treasury certificate</w:t>
      </w:r>
      <w:r w:rsidR="00DB78FB">
        <w:t>;</w:t>
      </w:r>
      <w:r w:rsidR="00851C08">
        <w:t xml:space="preserve"> </w:t>
      </w:r>
      <w:r w:rsidR="00B23570">
        <w:t>Nigerian treasury bills</w:t>
      </w:r>
      <w:r w:rsidR="00DB78FB">
        <w:t>;</w:t>
      </w:r>
      <w:r w:rsidRPr="00BC6E99">
        <w:t xml:space="preserve"> </w:t>
      </w:r>
      <w:r w:rsidR="00DB78FB">
        <w:t>and ways and means advances</w:t>
      </w:r>
      <w:r w:rsidR="002405E1">
        <w:t xml:space="preserve"> </w:t>
      </w:r>
      <w:r w:rsidR="000E5618">
        <w:t xml:space="preserve">are either </w:t>
      </w:r>
      <w:r w:rsidRPr="00BC6E99">
        <w:t>exhibit</w:t>
      </w:r>
      <w:r w:rsidR="000E5618">
        <w:t>ing</w:t>
      </w:r>
      <w:r w:rsidRPr="00BC6E99">
        <w:t xml:space="preserve"> an unexpected negative relationship</w:t>
      </w:r>
      <w:r w:rsidR="000E5618">
        <w:t xml:space="preserve"> or </w:t>
      </w:r>
      <w:r w:rsidR="00C21C27">
        <w:t>are not statistically significant</w:t>
      </w:r>
      <w:r w:rsidRPr="00BC6E99">
        <w:t>. The significance and negativity of the error correction term further validate the presence of a long–run equilibrium adjustment process, albeit with a slow speed of correction.</w:t>
      </w:r>
      <w:r>
        <w:t xml:space="preserve"> </w:t>
      </w:r>
      <w:r w:rsidR="00B1527B" w:rsidRPr="00B1527B">
        <w:t>This finding reinforces the need for disciplined monetary policy, prudent fiscal management, and robust macroeconomic coordination to achieve price stability in Nigeria.</w:t>
      </w:r>
    </w:p>
    <w:p w14:paraId="7306ACF0" w14:textId="77777777" w:rsidR="00776F64" w:rsidRDefault="00776F64" w:rsidP="00596328">
      <w:pPr>
        <w:spacing w:after="0" w:line="240" w:lineRule="auto"/>
        <w:rPr>
          <w:rFonts w:eastAsia="Calibri" w:cs="Times New Roman"/>
          <w:b/>
        </w:rPr>
      </w:pPr>
    </w:p>
    <w:p w14:paraId="6C5911C2" w14:textId="77777777" w:rsidR="00776F64" w:rsidRDefault="00776F64" w:rsidP="00596328">
      <w:pPr>
        <w:spacing w:after="0" w:line="240" w:lineRule="auto"/>
        <w:rPr>
          <w:rFonts w:eastAsia="Calibri" w:cs="Times New Roman"/>
          <w:b/>
        </w:rPr>
      </w:pPr>
    </w:p>
    <w:p w14:paraId="3FBD09FC" w14:textId="26FDA96A" w:rsidR="006C5021" w:rsidRDefault="006C5021" w:rsidP="00596328">
      <w:pPr>
        <w:spacing w:after="0" w:line="240" w:lineRule="auto"/>
        <w:rPr>
          <w:rFonts w:eastAsia="Calibri" w:cs="Times New Roman"/>
          <w:b/>
        </w:rPr>
      </w:pPr>
      <w:r w:rsidRPr="00D22176">
        <w:rPr>
          <w:rFonts w:eastAsia="Calibri" w:cs="Times New Roman"/>
          <w:b/>
        </w:rPr>
        <w:t>4.</w:t>
      </w:r>
      <w:r w:rsidR="008F26DA">
        <w:rPr>
          <w:rFonts w:eastAsia="Calibri" w:cs="Times New Roman"/>
          <w:b/>
        </w:rPr>
        <w:t>5</w:t>
      </w:r>
      <w:r>
        <w:rPr>
          <w:rFonts w:eastAsia="Calibri" w:cs="Times New Roman"/>
          <w:b/>
        </w:rPr>
        <w:t xml:space="preserve"> </w:t>
      </w:r>
      <w:r w:rsidRPr="00D22176">
        <w:rPr>
          <w:rFonts w:eastAsia="Calibri" w:cs="Times New Roman"/>
          <w:b/>
        </w:rPr>
        <w:t>Post Estimation Diagnostics</w:t>
      </w:r>
    </w:p>
    <w:p w14:paraId="5234D067" w14:textId="60EDB8E4" w:rsidR="006C5021" w:rsidRDefault="006C5021" w:rsidP="00596328">
      <w:pPr>
        <w:spacing w:after="0" w:line="240" w:lineRule="auto"/>
        <w:rPr>
          <w:rFonts w:eastAsia="Calibri" w:cs="Times New Roman"/>
          <w:b/>
          <w:bCs/>
        </w:rPr>
      </w:pPr>
      <w:bookmarkStart w:id="29" w:name="_Toc108706799"/>
      <w:r w:rsidRPr="003F3409">
        <w:rPr>
          <w:rFonts w:eastAsia="Calibri" w:cs="Times New Roman"/>
          <w:b/>
          <w:bCs/>
        </w:rPr>
        <w:t>Residual Diagnostic</w:t>
      </w:r>
      <w:bookmarkEnd w:id="29"/>
    </w:p>
    <w:p w14:paraId="4F2BE0AD" w14:textId="175D7445" w:rsidR="006C5021" w:rsidRPr="003F3409" w:rsidRDefault="006C5021" w:rsidP="00596328">
      <w:pPr>
        <w:spacing w:after="0" w:line="240" w:lineRule="auto"/>
        <w:rPr>
          <w:rFonts w:eastAsia="Calibri" w:cs="Times New Roman"/>
          <w:bCs/>
        </w:rPr>
      </w:pPr>
      <w:r w:rsidRPr="003F3409">
        <w:rPr>
          <w:rFonts w:eastAsia="Calibri" w:cs="Times New Roman"/>
          <w:bCs/>
        </w:rPr>
        <w:t>Residual diagnostic tests result help to confirm if the assumption of the Ordinary Least square estimates is satisfied. The error term must not be serially correlated, not heteroscedastic, and normally distributed.</w:t>
      </w:r>
    </w:p>
    <w:p w14:paraId="61571DD8" w14:textId="3A9F67A5" w:rsidR="006C5021" w:rsidRDefault="006C5021" w:rsidP="00596328">
      <w:pPr>
        <w:spacing w:after="0" w:line="240" w:lineRule="auto"/>
        <w:rPr>
          <w:rFonts w:eastAsia="Calibri" w:cs="Times New Roman"/>
          <w:b/>
          <w:bCs/>
        </w:rPr>
      </w:pPr>
      <w:bookmarkStart w:id="30" w:name="_Toc96600750"/>
      <w:bookmarkStart w:id="31" w:name="_Toc96601248"/>
      <w:r w:rsidRPr="003F3409">
        <w:rPr>
          <w:rFonts w:eastAsia="Calibri" w:cs="Times New Roman"/>
          <w:b/>
          <w:bCs/>
        </w:rPr>
        <w:t>Table 4.</w:t>
      </w:r>
      <w:r w:rsidR="00776F64">
        <w:rPr>
          <w:rFonts w:eastAsia="Calibri" w:cs="Times New Roman"/>
          <w:b/>
          <w:bCs/>
        </w:rPr>
        <w:t>6</w:t>
      </w:r>
      <w:r w:rsidRPr="003F3409">
        <w:rPr>
          <w:rFonts w:eastAsia="Calibri" w:cs="Times New Roman"/>
          <w:b/>
          <w:bCs/>
        </w:rPr>
        <w:t>: Residual Diagnostic Result</w:t>
      </w:r>
      <w:bookmarkEnd w:id="30"/>
      <w:bookmarkEnd w:id="31"/>
    </w:p>
    <w:tbl>
      <w:tblPr>
        <w:tblStyle w:val="TableGrid"/>
        <w:tblW w:w="0" w:type="auto"/>
        <w:tblLook w:val="04A0" w:firstRow="1" w:lastRow="0" w:firstColumn="1" w:lastColumn="0" w:noHBand="0" w:noVBand="1"/>
      </w:tblPr>
      <w:tblGrid>
        <w:gridCol w:w="3005"/>
        <w:gridCol w:w="3005"/>
        <w:gridCol w:w="3006"/>
      </w:tblGrid>
      <w:tr w:rsidR="006C5021" w14:paraId="48E86ED8" w14:textId="77777777" w:rsidTr="00634675">
        <w:tc>
          <w:tcPr>
            <w:tcW w:w="3005" w:type="dxa"/>
          </w:tcPr>
          <w:p w14:paraId="6620CEDE" w14:textId="77777777" w:rsidR="006C5021" w:rsidRPr="002B0B7D" w:rsidRDefault="006C5021" w:rsidP="00596328">
            <w:pPr>
              <w:rPr>
                <w:rFonts w:eastAsia="Calibri" w:cs="Times New Roman"/>
              </w:rPr>
            </w:pPr>
            <w:r w:rsidRPr="002B0B7D">
              <w:rPr>
                <w:rFonts w:eastAsia="Calibri" w:cs="Times New Roman"/>
              </w:rPr>
              <w:t>Test</w:t>
            </w:r>
          </w:p>
        </w:tc>
        <w:tc>
          <w:tcPr>
            <w:tcW w:w="3005" w:type="dxa"/>
          </w:tcPr>
          <w:p w14:paraId="13AD0DF7" w14:textId="77777777" w:rsidR="006C5021" w:rsidRPr="002B0B7D" w:rsidRDefault="006C5021" w:rsidP="00596328">
            <w:pPr>
              <w:rPr>
                <w:rFonts w:eastAsia="Calibri" w:cs="Times New Roman"/>
              </w:rPr>
            </w:pPr>
            <w:r w:rsidRPr="002B0B7D">
              <w:rPr>
                <w:rFonts w:eastAsia="Calibri" w:cs="Times New Roman"/>
              </w:rPr>
              <w:t>Prob. F</w:t>
            </w:r>
            <w:r w:rsidRPr="002B0B7D">
              <w:rPr>
                <w:rFonts w:eastAsia="Calibri" w:cs="Times New Roman"/>
                <w:b/>
                <w:bCs/>
              </w:rPr>
              <w:t>.</w:t>
            </w:r>
          </w:p>
        </w:tc>
        <w:tc>
          <w:tcPr>
            <w:tcW w:w="3006" w:type="dxa"/>
          </w:tcPr>
          <w:p w14:paraId="70FD851C" w14:textId="77777777" w:rsidR="006C5021" w:rsidRPr="002B0B7D" w:rsidRDefault="006C5021" w:rsidP="00596328">
            <w:pPr>
              <w:rPr>
                <w:rFonts w:eastAsia="Calibri" w:cs="Times New Roman"/>
              </w:rPr>
            </w:pPr>
            <w:r w:rsidRPr="002B0B7D">
              <w:rPr>
                <w:rFonts w:eastAsia="Calibri" w:cs="Times New Roman"/>
              </w:rPr>
              <w:t>Chi-square Prob. Value</w:t>
            </w:r>
          </w:p>
        </w:tc>
      </w:tr>
      <w:tr w:rsidR="006C5021" w14:paraId="65CD22EC" w14:textId="77777777" w:rsidTr="00634675">
        <w:trPr>
          <w:trHeight w:val="710"/>
        </w:trPr>
        <w:tc>
          <w:tcPr>
            <w:tcW w:w="3005" w:type="dxa"/>
          </w:tcPr>
          <w:p w14:paraId="17F12F0F" w14:textId="77777777" w:rsidR="006C5021" w:rsidRDefault="006C5021" w:rsidP="00596328">
            <w:pPr>
              <w:autoSpaceDE w:val="0"/>
              <w:autoSpaceDN w:val="0"/>
              <w:adjustRightInd w:val="0"/>
              <w:rPr>
                <w:sz w:val="18"/>
                <w:szCs w:val="18"/>
              </w:rPr>
            </w:pPr>
          </w:p>
          <w:tbl>
            <w:tblPr>
              <w:tblW w:w="0" w:type="auto"/>
              <w:tblInd w:w="30" w:type="dxa"/>
              <w:tblCellMar>
                <w:left w:w="0" w:type="dxa"/>
                <w:right w:w="0" w:type="dxa"/>
              </w:tblCellMar>
              <w:tblLook w:val="0000" w:firstRow="0" w:lastRow="0" w:firstColumn="0" w:lastColumn="0" w:noHBand="0" w:noVBand="0"/>
            </w:tblPr>
            <w:tblGrid>
              <w:gridCol w:w="2759"/>
            </w:tblGrid>
            <w:tr w:rsidR="006C5021" w14:paraId="18135ED0" w14:textId="77777777" w:rsidTr="00634675">
              <w:trPr>
                <w:trHeight w:val="220"/>
              </w:trPr>
              <w:tc>
                <w:tcPr>
                  <w:tcW w:w="4120" w:type="dxa"/>
                  <w:tcBorders>
                    <w:top w:val="nil"/>
                    <w:left w:val="nil"/>
                    <w:bottom w:val="nil"/>
                    <w:right w:val="nil"/>
                  </w:tcBorders>
                  <w:vAlign w:val="bottom"/>
                </w:tcPr>
                <w:p w14:paraId="1AA71D15" w14:textId="77777777" w:rsidR="006C5021" w:rsidRDefault="006C5021" w:rsidP="00596328">
                  <w:pPr>
                    <w:autoSpaceDE w:val="0"/>
                    <w:autoSpaceDN w:val="0"/>
                    <w:adjustRightInd w:val="0"/>
                    <w:spacing w:after="0" w:line="240" w:lineRule="auto"/>
                    <w:rPr>
                      <w:color w:val="000000"/>
                      <w:sz w:val="18"/>
                      <w:szCs w:val="18"/>
                    </w:rPr>
                  </w:pPr>
                  <w:r>
                    <w:rPr>
                      <w:color w:val="000000"/>
                      <w:sz w:val="18"/>
                      <w:szCs w:val="18"/>
                    </w:rPr>
                    <w:t>Breusch-Godfrey Serial Correlation LM Test:</w:t>
                  </w:r>
                </w:p>
              </w:tc>
            </w:tr>
          </w:tbl>
          <w:p w14:paraId="3A28FD2C" w14:textId="77777777" w:rsidR="006C5021" w:rsidRDefault="006C5021" w:rsidP="00596328">
            <w:pPr>
              <w:rPr>
                <w:rFonts w:eastAsia="Calibri" w:cs="Times New Roman"/>
                <w:b/>
                <w:bCs/>
              </w:rPr>
            </w:pPr>
            <w:r>
              <w:rPr>
                <w:sz w:val="18"/>
                <w:szCs w:val="18"/>
              </w:rPr>
              <w:br/>
            </w:r>
          </w:p>
        </w:tc>
        <w:tc>
          <w:tcPr>
            <w:tcW w:w="3005" w:type="dxa"/>
          </w:tcPr>
          <w:p w14:paraId="51854FE2" w14:textId="77777777" w:rsidR="006C5021" w:rsidRDefault="006C5021" w:rsidP="00596328">
            <w:pPr>
              <w:autoSpaceDE w:val="0"/>
              <w:autoSpaceDN w:val="0"/>
              <w:adjustRightInd w:val="0"/>
              <w:rPr>
                <w:sz w:val="18"/>
                <w:szCs w:val="18"/>
              </w:rPr>
            </w:pPr>
          </w:p>
          <w:tbl>
            <w:tblPr>
              <w:tblW w:w="0" w:type="auto"/>
              <w:tblInd w:w="30" w:type="dxa"/>
              <w:tblCellMar>
                <w:left w:w="0" w:type="dxa"/>
                <w:right w:w="0" w:type="dxa"/>
              </w:tblCellMar>
              <w:tblLook w:val="0000" w:firstRow="0" w:lastRow="0" w:firstColumn="0" w:lastColumn="0" w:noHBand="0" w:noVBand="0"/>
            </w:tblPr>
            <w:tblGrid>
              <w:gridCol w:w="920"/>
            </w:tblGrid>
            <w:tr w:rsidR="006C5021" w14:paraId="49DB3F81" w14:textId="77777777" w:rsidTr="00634675">
              <w:trPr>
                <w:trHeight w:val="220"/>
              </w:trPr>
              <w:tc>
                <w:tcPr>
                  <w:tcW w:w="920" w:type="dxa"/>
                  <w:tcBorders>
                    <w:top w:val="nil"/>
                    <w:left w:val="nil"/>
                    <w:bottom w:val="nil"/>
                    <w:right w:val="nil"/>
                  </w:tcBorders>
                  <w:vAlign w:val="bottom"/>
                </w:tcPr>
                <w:p w14:paraId="02567536" w14:textId="77777777" w:rsidR="006C5021" w:rsidRDefault="006C5021" w:rsidP="00596328">
                  <w:pPr>
                    <w:autoSpaceDE w:val="0"/>
                    <w:autoSpaceDN w:val="0"/>
                    <w:adjustRightInd w:val="0"/>
                    <w:spacing w:after="0" w:line="240" w:lineRule="auto"/>
                    <w:ind w:right="20"/>
                    <w:jc w:val="right"/>
                    <w:rPr>
                      <w:color w:val="000000"/>
                      <w:sz w:val="18"/>
                      <w:szCs w:val="18"/>
                    </w:rPr>
                  </w:pPr>
                  <w:r>
                    <w:rPr>
                      <w:color w:val="000000"/>
                      <w:sz w:val="18"/>
                      <w:szCs w:val="18"/>
                    </w:rPr>
                    <w:t>0.8672</w:t>
                  </w:r>
                </w:p>
              </w:tc>
            </w:tr>
          </w:tbl>
          <w:p w14:paraId="7B201C1E" w14:textId="77777777" w:rsidR="006C5021" w:rsidRDefault="006C5021" w:rsidP="00596328">
            <w:pPr>
              <w:rPr>
                <w:rFonts w:eastAsia="Calibri" w:cs="Times New Roman"/>
                <w:b/>
                <w:bCs/>
              </w:rPr>
            </w:pPr>
            <w:r>
              <w:rPr>
                <w:sz w:val="18"/>
                <w:szCs w:val="18"/>
              </w:rPr>
              <w:br/>
            </w:r>
          </w:p>
        </w:tc>
        <w:tc>
          <w:tcPr>
            <w:tcW w:w="3006" w:type="dxa"/>
          </w:tcPr>
          <w:p w14:paraId="19E39D18" w14:textId="77777777" w:rsidR="006C5021" w:rsidRDefault="006C5021" w:rsidP="00596328">
            <w:pPr>
              <w:autoSpaceDE w:val="0"/>
              <w:autoSpaceDN w:val="0"/>
              <w:adjustRightInd w:val="0"/>
              <w:rPr>
                <w:sz w:val="18"/>
                <w:szCs w:val="18"/>
              </w:rPr>
            </w:pPr>
          </w:p>
          <w:tbl>
            <w:tblPr>
              <w:tblW w:w="0" w:type="auto"/>
              <w:tblInd w:w="30" w:type="dxa"/>
              <w:tblCellMar>
                <w:left w:w="0" w:type="dxa"/>
                <w:right w:w="0" w:type="dxa"/>
              </w:tblCellMar>
              <w:tblLook w:val="0000" w:firstRow="0" w:lastRow="0" w:firstColumn="0" w:lastColumn="0" w:noHBand="0" w:noVBand="0"/>
            </w:tblPr>
            <w:tblGrid>
              <w:gridCol w:w="920"/>
            </w:tblGrid>
            <w:tr w:rsidR="006C5021" w14:paraId="5BDEBCBC" w14:textId="77777777" w:rsidTr="00634675">
              <w:trPr>
                <w:trHeight w:val="220"/>
              </w:trPr>
              <w:tc>
                <w:tcPr>
                  <w:tcW w:w="920" w:type="dxa"/>
                  <w:tcBorders>
                    <w:top w:val="nil"/>
                    <w:left w:val="nil"/>
                    <w:bottom w:val="nil"/>
                    <w:right w:val="nil"/>
                  </w:tcBorders>
                  <w:vAlign w:val="bottom"/>
                </w:tcPr>
                <w:p w14:paraId="4C0E4E4D" w14:textId="77777777" w:rsidR="006C5021" w:rsidRDefault="006C5021" w:rsidP="00596328">
                  <w:pPr>
                    <w:autoSpaceDE w:val="0"/>
                    <w:autoSpaceDN w:val="0"/>
                    <w:adjustRightInd w:val="0"/>
                    <w:spacing w:after="0" w:line="240" w:lineRule="auto"/>
                    <w:ind w:right="20"/>
                    <w:jc w:val="right"/>
                    <w:rPr>
                      <w:color w:val="000000"/>
                      <w:sz w:val="18"/>
                      <w:szCs w:val="18"/>
                    </w:rPr>
                  </w:pPr>
                  <w:r>
                    <w:rPr>
                      <w:color w:val="000000"/>
                      <w:sz w:val="18"/>
                      <w:szCs w:val="18"/>
                    </w:rPr>
                    <w:t>0.8583</w:t>
                  </w:r>
                </w:p>
              </w:tc>
            </w:tr>
          </w:tbl>
          <w:p w14:paraId="0AFB4D32" w14:textId="77777777" w:rsidR="006C5021" w:rsidRDefault="006C5021" w:rsidP="00596328">
            <w:pPr>
              <w:rPr>
                <w:rFonts w:eastAsia="Calibri" w:cs="Times New Roman"/>
                <w:b/>
                <w:bCs/>
              </w:rPr>
            </w:pPr>
            <w:r>
              <w:rPr>
                <w:sz w:val="18"/>
                <w:szCs w:val="18"/>
              </w:rPr>
              <w:br/>
            </w:r>
          </w:p>
        </w:tc>
      </w:tr>
      <w:tr w:rsidR="006C5021" w14:paraId="2EE770A4" w14:textId="77777777" w:rsidTr="00634675">
        <w:tc>
          <w:tcPr>
            <w:tcW w:w="3005" w:type="dxa"/>
          </w:tcPr>
          <w:p w14:paraId="09C19493" w14:textId="77777777" w:rsidR="006C5021" w:rsidRDefault="006C5021" w:rsidP="00596328">
            <w:pPr>
              <w:autoSpaceDE w:val="0"/>
              <w:autoSpaceDN w:val="0"/>
              <w:adjustRightInd w:val="0"/>
              <w:rPr>
                <w:sz w:val="18"/>
                <w:szCs w:val="18"/>
              </w:rPr>
            </w:pPr>
          </w:p>
          <w:tbl>
            <w:tblPr>
              <w:tblW w:w="0" w:type="auto"/>
              <w:tblInd w:w="30" w:type="dxa"/>
              <w:tblCellMar>
                <w:left w:w="0" w:type="dxa"/>
                <w:right w:w="0" w:type="dxa"/>
              </w:tblCellMar>
              <w:tblLook w:val="0000" w:firstRow="0" w:lastRow="0" w:firstColumn="0" w:lastColumn="0" w:noHBand="0" w:noVBand="0"/>
            </w:tblPr>
            <w:tblGrid>
              <w:gridCol w:w="2759"/>
            </w:tblGrid>
            <w:tr w:rsidR="006C5021" w14:paraId="1DF6EBEC" w14:textId="77777777" w:rsidTr="00634675">
              <w:trPr>
                <w:trHeight w:val="220"/>
              </w:trPr>
              <w:tc>
                <w:tcPr>
                  <w:tcW w:w="2970" w:type="dxa"/>
                  <w:tcBorders>
                    <w:top w:val="nil"/>
                    <w:left w:val="nil"/>
                    <w:bottom w:val="nil"/>
                    <w:right w:val="nil"/>
                  </w:tcBorders>
                  <w:vAlign w:val="bottom"/>
                </w:tcPr>
                <w:p w14:paraId="626D80E6" w14:textId="77777777" w:rsidR="006C5021" w:rsidRDefault="006C5021" w:rsidP="00596328">
                  <w:pPr>
                    <w:autoSpaceDE w:val="0"/>
                    <w:autoSpaceDN w:val="0"/>
                    <w:adjustRightInd w:val="0"/>
                    <w:spacing w:after="0" w:line="240" w:lineRule="auto"/>
                    <w:rPr>
                      <w:color w:val="000000"/>
                      <w:sz w:val="18"/>
                      <w:szCs w:val="18"/>
                    </w:rPr>
                  </w:pPr>
                  <w:r>
                    <w:rPr>
                      <w:color w:val="000000"/>
                      <w:sz w:val="18"/>
                      <w:szCs w:val="18"/>
                    </w:rPr>
                    <w:t>Heteroskedasticity Test: ARCH</w:t>
                  </w:r>
                </w:p>
              </w:tc>
            </w:tr>
          </w:tbl>
          <w:p w14:paraId="24C57395" w14:textId="77777777" w:rsidR="006C5021" w:rsidRDefault="006C5021" w:rsidP="00596328">
            <w:pPr>
              <w:rPr>
                <w:rFonts w:eastAsia="Calibri" w:cs="Times New Roman"/>
                <w:b/>
                <w:bCs/>
              </w:rPr>
            </w:pPr>
            <w:r>
              <w:rPr>
                <w:sz w:val="18"/>
                <w:szCs w:val="18"/>
              </w:rPr>
              <w:br/>
            </w:r>
          </w:p>
        </w:tc>
        <w:tc>
          <w:tcPr>
            <w:tcW w:w="3005" w:type="dxa"/>
          </w:tcPr>
          <w:p w14:paraId="45EFF378" w14:textId="77777777" w:rsidR="006C5021" w:rsidRDefault="006C5021" w:rsidP="00596328">
            <w:pPr>
              <w:autoSpaceDE w:val="0"/>
              <w:autoSpaceDN w:val="0"/>
              <w:adjustRightInd w:val="0"/>
              <w:rPr>
                <w:sz w:val="18"/>
                <w:szCs w:val="18"/>
              </w:rPr>
            </w:pPr>
          </w:p>
          <w:tbl>
            <w:tblPr>
              <w:tblW w:w="0" w:type="auto"/>
              <w:tblInd w:w="30" w:type="dxa"/>
              <w:tblCellMar>
                <w:left w:w="0" w:type="dxa"/>
                <w:right w:w="0" w:type="dxa"/>
              </w:tblCellMar>
              <w:tblLook w:val="0000" w:firstRow="0" w:lastRow="0" w:firstColumn="0" w:lastColumn="0" w:noHBand="0" w:noVBand="0"/>
            </w:tblPr>
            <w:tblGrid>
              <w:gridCol w:w="920"/>
            </w:tblGrid>
            <w:tr w:rsidR="006C5021" w14:paraId="669EB5C7" w14:textId="77777777" w:rsidTr="00634675">
              <w:trPr>
                <w:trHeight w:val="220"/>
              </w:trPr>
              <w:tc>
                <w:tcPr>
                  <w:tcW w:w="920" w:type="dxa"/>
                  <w:tcBorders>
                    <w:top w:val="nil"/>
                    <w:left w:val="nil"/>
                    <w:bottom w:val="nil"/>
                    <w:right w:val="nil"/>
                  </w:tcBorders>
                  <w:vAlign w:val="bottom"/>
                </w:tcPr>
                <w:p w14:paraId="215C225B" w14:textId="77777777" w:rsidR="006C5021" w:rsidRDefault="006C5021" w:rsidP="00596328">
                  <w:pPr>
                    <w:autoSpaceDE w:val="0"/>
                    <w:autoSpaceDN w:val="0"/>
                    <w:adjustRightInd w:val="0"/>
                    <w:spacing w:after="0" w:line="240" w:lineRule="auto"/>
                    <w:ind w:right="20"/>
                    <w:jc w:val="right"/>
                    <w:rPr>
                      <w:color w:val="000000"/>
                      <w:sz w:val="18"/>
                      <w:szCs w:val="18"/>
                    </w:rPr>
                  </w:pPr>
                  <w:r>
                    <w:rPr>
                      <w:color w:val="000000"/>
                      <w:sz w:val="18"/>
                      <w:szCs w:val="18"/>
                    </w:rPr>
                    <w:t>0.003</w:t>
                  </w:r>
                </w:p>
              </w:tc>
            </w:tr>
          </w:tbl>
          <w:p w14:paraId="71B08063" w14:textId="77777777" w:rsidR="006C5021" w:rsidRDefault="006C5021" w:rsidP="00596328">
            <w:pPr>
              <w:rPr>
                <w:rFonts w:eastAsia="Calibri" w:cs="Times New Roman"/>
                <w:b/>
                <w:bCs/>
              </w:rPr>
            </w:pPr>
            <w:r>
              <w:rPr>
                <w:sz w:val="18"/>
                <w:szCs w:val="18"/>
              </w:rPr>
              <w:br/>
            </w:r>
          </w:p>
        </w:tc>
        <w:tc>
          <w:tcPr>
            <w:tcW w:w="3006" w:type="dxa"/>
          </w:tcPr>
          <w:p w14:paraId="1B3A41CA" w14:textId="77777777" w:rsidR="006C5021" w:rsidRDefault="006C5021" w:rsidP="00596328">
            <w:pPr>
              <w:autoSpaceDE w:val="0"/>
              <w:autoSpaceDN w:val="0"/>
              <w:adjustRightInd w:val="0"/>
              <w:rPr>
                <w:sz w:val="18"/>
                <w:szCs w:val="18"/>
              </w:rPr>
            </w:pPr>
          </w:p>
          <w:tbl>
            <w:tblPr>
              <w:tblW w:w="0" w:type="auto"/>
              <w:tblInd w:w="30" w:type="dxa"/>
              <w:tblCellMar>
                <w:left w:w="0" w:type="dxa"/>
                <w:right w:w="0" w:type="dxa"/>
              </w:tblCellMar>
              <w:tblLook w:val="0000" w:firstRow="0" w:lastRow="0" w:firstColumn="0" w:lastColumn="0" w:noHBand="0" w:noVBand="0"/>
            </w:tblPr>
            <w:tblGrid>
              <w:gridCol w:w="920"/>
            </w:tblGrid>
            <w:tr w:rsidR="006C5021" w14:paraId="3E87513F" w14:textId="77777777" w:rsidTr="00634675">
              <w:trPr>
                <w:trHeight w:val="220"/>
              </w:trPr>
              <w:tc>
                <w:tcPr>
                  <w:tcW w:w="920" w:type="dxa"/>
                  <w:tcBorders>
                    <w:top w:val="nil"/>
                    <w:left w:val="nil"/>
                    <w:bottom w:val="nil"/>
                    <w:right w:val="nil"/>
                  </w:tcBorders>
                  <w:vAlign w:val="bottom"/>
                </w:tcPr>
                <w:p w14:paraId="24FAA48C" w14:textId="77777777" w:rsidR="006C5021" w:rsidRDefault="006C5021" w:rsidP="00596328">
                  <w:pPr>
                    <w:autoSpaceDE w:val="0"/>
                    <w:autoSpaceDN w:val="0"/>
                    <w:adjustRightInd w:val="0"/>
                    <w:spacing w:after="0" w:line="240" w:lineRule="auto"/>
                    <w:ind w:right="20"/>
                    <w:jc w:val="right"/>
                    <w:rPr>
                      <w:color w:val="000000"/>
                      <w:sz w:val="18"/>
                      <w:szCs w:val="18"/>
                    </w:rPr>
                  </w:pPr>
                  <w:r>
                    <w:rPr>
                      <w:color w:val="000000"/>
                      <w:sz w:val="18"/>
                      <w:szCs w:val="18"/>
                    </w:rPr>
                    <w:t>0.003</w:t>
                  </w:r>
                </w:p>
              </w:tc>
            </w:tr>
          </w:tbl>
          <w:p w14:paraId="6844B52D" w14:textId="77777777" w:rsidR="006C5021" w:rsidRDefault="006C5021" w:rsidP="00596328">
            <w:pPr>
              <w:rPr>
                <w:rFonts w:eastAsia="Calibri" w:cs="Times New Roman"/>
                <w:b/>
                <w:bCs/>
              </w:rPr>
            </w:pPr>
            <w:r>
              <w:rPr>
                <w:sz w:val="18"/>
                <w:szCs w:val="18"/>
              </w:rPr>
              <w:br/>
            </w:r>
          </w:p>
        </w:tc>
      </w:tr>
      <w:tr w:rsidR="006C5021" w14:paraId="58C3811F" w14:textId="77777777" w:rsidTr="00634675">
        <w:tc>
          <w:tcPr>
            <w:tcW w:w="3005" w:type="dxa"/>
          </w:tcPr>
          <w:p w14:paraId="7FD90FA0" w14:textId="77777777" w:rsidR="006C5021" w:rsidRPr="002B0B7D" w:rsidRDefault="006C5021" w:rsidP="00596328">
            <w:pPr>
              <w:rPr>
                <w:rFonts w:eastAsia="Calibri" w:cs="Times New Roman"/>
              </w:rPr>
            </w:pPr>
            <w:r w:rsidRPr="002B0B7D">
              <w:rPr>
                <w:rFonts w:eastAsia="Calibri" w:cs="Times New Roman"/>
              </w:rPr>
              <w:t>Jarque-Bera Probability</w:t>
            </w:r>
          </w:p>
        </w:tc>
        <w:tc>
          <w:tcPr>
            <w:tcW w:w="3005" w:type="dxa"/>
          </w:tcPr>
          <w:p w14:paraId="45397B57" w14:textId="77777777" w:rsidR="006C5021" w:rsidRDefault="006C5021" w:rsidP="00596328">
            <w:pPr>
              <w:rPr>
                <w:rFonts w:eastAsia="Calibri" w:cs="Times New Roman"/>
                <w:b/>
                <w:bCs/>
              </w:rPr>
            </w:pPr>
          </w:p>
        </w:tc>
        <w:tc>
          <w:tcPr>
            <w:tcW w:w="3006" w:type="dxa"/>
          </w:tcPr>
          <w:p w14:paraId="493D8927" w14:textId="77777777" w:rsidR="006C5021" w:rsidRPr="002B0B7D" w:rsidRDefault="006C5021" w:rsidP="00596328">
            <w:pPr>
              <w:rPr>
                <w:rFonts w:eastAsia="Calibri" w:cs="Times New Roman"/>
              </w:rPr>
            </w:pPr>
            <w:r w:rsidRPr="002B0B7D">
              <w:rPr>
                <w:rFonts w:eastAsia="Calibri" w:cs="Times New Roman"/>
              </w:rPr>
              <w:t>0.0000</w:t>
            </w:r>
          </w:p>
        </w:tc>
      </w:tr>
    </w:tbl>
    <w:p w14:paraId="5F3D67F0" w14:textId="77777777" w:rsidR="006C5021" w:rsidRPr="00487FEC" w:rsidRDefault="006C5021" w:rsidP="00596328">
      <w:pPr>
        <w:spacing w:after="0" w:line="240" w:lineRule="auto"/>
        <w:rPr>
          <w:rFonts w:eastAsia="Calibri" w:cs="Times New Roman"/>
          <w:i/>
          <w:iCs/>
        </w:rPr>
      </w:pPr>
      <w:r w:rsidRPr="00487FEC">
        <w:rPr>
          <w:rFonts w:eastAsia="Calibri" w:cs="Times New Roman"/>
          <w:i/>
          <w:iCs/>
        </w:rPr>
        <w:t>Source: Computed by author using EViews 1</w:t>
      </w:r>
      <w:r>
        <w:rPr>
          <w:rFonts w:eastAsia="Calibri" w:cs="Times New Roman"/>
          <w:i/>
          <w:iCs/>
        </w:rPr>
        <w:t>3</w:t>
      </w:r>
    </w:p>
    <w:p w14:paraId="51C94EAF" w14:textId="4FDB9FE8" w:rsidR="006C5021" w:rsidRDefault="006C5021" w:rsidP="00596328">
      <w:pPr>
        <w:spacing w:after="0" w:line="240" w:lineRule="auto"/>
        <w:rPr>
          <w:rFonts w:eastAsia="Calibri" w:cs="Times New Roman"/>
        </w:rPr>
      </w:pPr>
      <w:r w:rsidRPr="007F4879">
        <w:rPr>
          <w:rFonts w:eastAsia="Calibri" w:cs="Times New Roman"/>
        </w:rPr>
        <w:t>From table 4.</w:t>
      </w:r>
      <w:r w:rsidR="00776F64">
        <w:rPr>
          <w:rFonts w:eastAsia="Calibri" w:cs="Times New Roman"/>
        </w:rPr>
        <w:t>6</w:t>
      </w:r>
      <w:r w:rsidRPr="007F4879">
        <w:rPr>
          <w:rFonts w:eastAsia="Calibri" w:cs="Times New Roman"/>
        </w:rPr>
        <w:t xml:space="preserve">, the Chi-square probability values for serial correlation </w:t>
      </w:r>
      <w:r>
        <w:rPr>
          <w:rFonts w:eastAsia="Calibri" w:cs="Times New Roman"/>
        </w:rPr>
        <w:t>is</w:t>
      </w:r>
      <w:r w:rsidRPr="007F4879">
        <w:rPr>
          <w:rFonts w:eastAsia="Calibri" w:cs="Times New Roman"/>
        </w:rPr>
        <w:t xml:space="preserve"> </w:t>
      </w:r>
      <w:r>
        <w:rPr>
          <w:rFonts w:eastAsia="Calibri" w:cs="Times New Roman"/>
        </w:rPr>
        <w:t>86</w:t>
      </w:r>
      <w:r w:rsidRPr="007F4879">
        <w:rPr>
          <w:rFonts w:eastAsia="Calibri" w:cs="Times New Roman"/>
        </w:rPr>
        <w:t>.</w:t>
      </w:r>
      <w:r>
        <w:rPr>
          <w:rFonts w:eastAsia="Calibri" w:cs="Times New Roman"/>
        </w:rPr>
        <w:t>7</w:t>
      </w:r>
      <w:r w:rsidRPr="007F4879">
        <w:rPr>
          <w:rFonts w:eastAsia="Calibri" w:cs="Times New Roman"/>
        </w:rPr>
        <w:t xml:space="preserve"> per cent indicat</w:t>
      </w:r>
      <w:r>
        <w:rPr>
          <w:rFonts w:eastAsia="Calibri" w:cs="Times New Roman"/>
        </w:rPr>
        <w:t>ing</w:t>
      </w:r>
      <w:r w:rsidRPr="007F4879">
        <w:rPr>
          <w:rFonts w:eastAsia="Calibri" w:cs="Times New Roman"/>
        </w:rPr>
        <w:t xml:space="preserve"> that there is no serial correlation. </w:t>
      </w:r>
      <w:r>
        <w:rPr>
          <w:rFonts w:eastAsia="Calibri" w:cs="Times New Roman"/>
        </w:rPr>
        <w:t>Also</w:t>
      </w:r>
      <w:r w:rsidRPr="007F4879">
        <w:rPr>
          <w:rFonts w:eastAsia="Calibri" w:cs="Times New Roman"/>
        </w:rPr>
        <w:t>, h</w:t>
      </w:r>
      <w:r>
        <w:rPr>
          <w:rFonts w:eastAsia="Calibri" w:cs="Times New Roman"/>
        </w:rPr>
        <w:t>eteroskedasticity</w:t>
      </w:r>
      <w:r w:rsidRPr="007F4879">
        <w:rPr>
          <w:rFonts w:eastAsia="Calibri" w:cs="Times New Roman"/>
        </w:rPr>
        <w:t xml:space="preserve"> </w:t>
      </w:r>
      <w:r>
        <w:rPr>
          <w:rFonts w:eastAsia="Calibri" w:cs="Times New Roman"/>
        </w:rPr>
        <w:t>is 0.3</w:t>
      </w:r>
      <w:r w:rsidRPr="007F4879">
        <w:rPr>
          <w:rFonts w:eastAsia="Calibri" w:cs="Times New Roman"/>
        </w:rPr>
        <w:t xml:space="preserve"> per cent suggest</w:t>
      </w:r>
      <w:r>
        <w:rPr>
          <w:rFonts w:eastAsia="Calibri" w:cs="Times New Roman"/>
        </w:rPr>
        <w:t>ing</w:t>
      </w:r>
      <w:r w:rsidRPr="007F4879">
        <w:rPr>
          <w:rFonts w:eastAsia="Calibri" w:cs="Times New Roman"/>
        </w:rPr>
        <w:t xml:space="preserve"> that there is </w:t>
      </w:r>
      <w:r>
        <w:rPr>
          <w:rFonts w:eastAsia="Calibri" w:cs="Times New Roman"/>
        </w:rPr>
        <w:t>pre</w:t>
      </w:r>
      <w:r w:rsidRPr="007F4879">
        <w:rPr>
          <w:rFonts w:eastAsia="Calibri" w:cs="Times New Roman"/>
        </w:rPr>
        <w:t>sence of h</w:t>
      </w:r>
      <w:r>
        <w:rPr>
          <w:rFonts w:eastAsia="Calibri" w:cs="Times New Roman"/>
        </w:rPr>
        <w:t>omoscedastic among the variables</w:t>
      </w:r>
      <w:r w:rsidRPr="007F4879">
        <w:rPr>
          <w:rFonts w:eastAsia="Calibri" w:cs="Times New Roman"/>
        </w:rPr>
        <w:t xml:space="preserve">. The less than 5 per cent Jarque-Bera probability value for the normality test indicates that the residuals are not </w:t>
      </w:r>
      <w:r>
        <w:rPr>
          <w:rFonts w:eastAsia="Calibri" w:cs="Times New Roman"/>
        </w:rPr>
        <w:t xml:space="preserve">perfectly </w:t>
      </w:r>
      <w:r w:rsidRPr="007F4879">
        <w:rPr>
          <w:rFonts w:eastAsia="Calibri" w:cs="Times New Roman"/>
        </w:rPr>
        <w:t>normally distributed. The overall model is coherent and can be used for both prediction and policy analysis.</w:t>
      </w:r>
    </w:p>
    <w:p w14:paraId="073FC172" w14:textId="77777777" w:rsidR="00776F64" w:rsidRDefault="00776F64" w:rsidP="00596328">
      <w:pPr>
        <w:spacing w:after="0" w:line="240" w:lineRule="auto"/>
        <w:rPr>
          <w:rFonts w:eastAsia="Calibri" w:cs="Times New Roman"/>
        </w:rPr>
      </w:pPr>
    </w:p>
    <w:p w14:paraId="32DC6A04" w14:textId="1124C785" w:rsidR="006C5021" w:rsidRPr="00487FEC" w:rsidRDefault="006C5021" w:rsidP="00596328">
      <w:pPr>
        <w:spacing w:after="0" w:line="240" w:lineRule="auto"/>
        <w:rPr>
          <w:rFonts w:eastAsia="Calibri" w:cs="Times New Roman"/>
          <w:b/>
          <w:bCs/>
        </w:rPr>
      </w:pPr>
      <w:bookmarkStart w:id="32" w:name="_Toc108706800"/>
      <w:r w:rsidRPr="00487FEC">
        <w:rPr>
          <w:rFonts w:eastAsia="Calibri" w:cs="Times New Roman"/>
          <w:b/>
          <w:bCs/>
        </w:rPr>
        <w:t>Stability of the Model</w:t>
      </w:r>
      <w:bookmarkEnd w:id="32"/>
    </w:p>
    <w:p w14:paraId="4CDBD825" w14:textId="77777777" w:rsidR="006C5021" w:rsidRDefault="006C5021" w:rsidP="00596328">
      <w:pPr>
        <w:spacing w:after="0" w:line="240" w:lineRule="auto"/>
        <w:rPr>
          <w:rFonts w:eastAsia="Calibri" w:cs="Times New Roman"/>
          <w:bCs/>
        </w:rPr>
      </w:pPr>
      <w:r w:rsidRPr="00487FEC">
        <w:rPr>
          <w:rFonts w:eastAsia="Calibri" w:cs="Times New Roman"/>
          <w:bCs/>
        </w:rPr>
        <w:t>To test the stability of the estimated equations and parameters, cumulative sum (CUSUM) and Cumulative sum of squares (CUSUMSQ) tests were carried out. CUSUM test is based on the cumulative sum of the equation errors in the regression.  On the other hand, CUSUMSQ used recursive double errors. The equation parameters are considered unstable if the whole sum of recursive errors falls outside the two critical lines. From Fig. 4.</w:t>
      </w:r>
      <w:r>
        <w:rPr>
          <w:rFonts w:eastAsia="Calibri" w:cs="Times New Roman"/>
          <w:bCs/>
        </w:rPr>
        <w:t>8</w:t>
      </w:r>
      <w:r w:rsidRPr="00487FEC">
        <w:rPr>
          <w:rFonts w:eastAsia="Calibri" w:cs="Times New Roman"/>
          <w:bCs/>
        </w:rPr>
        <w:t>, the CUSUM test was stable throughout the study period as the movement lies between 5% critical bounds. From fig. 4.</w:t>
      </w:r>
      <w:r>
        <w:rPr>
          <w:rFonts w:eastAsia="Calibri" w:cs="Times New Roman"/>
          <w:bCs/>
        </w:rPr>
        <w:t>9</w:t>
      </w:r>
      <w:r w:rsidRPr="00487FEC">
        <w:rPr>
          <w:rFonts w:eastAsia="Calibri" w:cs="Times New Roman"/>
          <w:bCs/>
        </w:rPr>
        <w:t xml:space="preserve">, CUSUMSQ was also stable during the period under review. </w:t>
      </w:r>
    </w:p>
    <w:p w14:paraId="28FFE23A" w14:textId="20172634" w:rsidR="006C5021" w:rsidRPr="00487FEC" w:rsidRDefault="00776F64" w:rsidP="00596328">
      <w:pPr>
        <w:spacing w:after="0" w:line="240" w:lineRule="auto"/>
        <w:rPr>
          <w:rFonts w:eastAsia="Calibri" w:cs="Times New Roman"/>
          <w:b/>
          <w:bCs/>
        </w:rPr>
      </w:pPr>
      <w:r>
        <w:object w:dxaOrig="8800" w:dyaOrig="5761" w14:anchorId="02A05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6pt;height:196.45pt" o:ole="">
            <v:imagedata r:id="rId11" o:title=""/>
          </v:shape>
          <o:OLEObject Type="Embed" ProgID="EViews.Workfile.2" ShapeID="_x0000_i1025" DrawAspect="Content" ObjectID="_1840096642" r:id="rId12"/>
        </w:object>
      </w:r>
    </w:p>
    <w:p w14:paraId="7B969C4A" w14:textId="77777777" w:rsidR="006C5021" w:rsidRPr="00487FEC" w:rsidRDefault="006C5021" w:rsidP="00596328">
      <w:pPr>
        <w:spacing w:after="0" w:line="240" w:lineRule="auto"/>
        <w:rPr>
          <w:rFonts w:eastAsia="Calibri" w:cs="Times New Roman"/>
          <w:bCs/>
          <w:i/>
          <w:iCs/>
        </w:rPr>
      </w:pPr>
      <w:r w:rsidRPr="00487FEC">
        <w:rPr>
          <w:rFonts w:eastAsia="Calibri" w:cs="Times New Roman"/>
          <w:bCs/>
          <w:i/>
          <w:iCs/>
        </w:rPr>
        <w:t>Source: Computed by author using EViews 1</w:t>
      </w:r>
      <w:r>
        <w:rPr>
          <w:rFonts w:eastAsia="Calibri" w:cs="Times New Roman"/>
          <w:bCs/>
          <w:i/>
          <w:iCs/>
        </w:rPr>
        <w:t>3</w:t>
      </w:r>
    </w:p>
    <w:p w14:paraId="5BF6BF30" w14:textId="77777777" w:rsidR="006C5021" w:rsidRPr="006D7C97" w:rsidRDefault="006C5021" w:rsidP="00596328">
      <w:pPr>
        <w:spacing w:after="0" w:line="240" w:lineRule="auto"/>
        <w:rPr>
          <w:rFonts w:eastAsia="Calibri" w:cs="Times New Roman"/>
          <w:bCs/>
          <w:i/>
          <w:iCs/>
        </w:rPr>
      </w:pPr>
      <w:bookmarkStart w:id="33" w:name="_Toc96601251"/>
      <w:r w:rsidRPr="006D7C97">
        <w:rPr>
          <w:rFonts w:eastAsia="Calibri" w:cs="Times New Roman"/>
          <w:bCs/>
          <w:i/>
          <w:iCs/>
        </w:rPr>
        <w:t xml:space="preserve">Figure 4.8: Cumulative Sum </w:t>
      </w:r>
      <w:bookmarkEnd w:id="33"/>
    </w:p>
    <w:p w14:paraId="24117B77" w14:textId="77777777" w:rsidR="006C5021" w:rsidRPr="007F4879" w:rsidRDefault="006C5021" w:rsidP="00596328">
      <w:pPr>
        <w:spacing w:after="0" w:line="240" w:lineRule="auto"/>
        <w:rPr>
          <w:rFonts w:eastAsia="Calibri" w:cs="Times New Roman"/>
        </w:rPr>
      </w:pPr>
      <w:r>
        <w:object w:dxaOrig="8660" w:dyaOrig="5761" w14:anchorId="5BF0CB88">
          <v:shape id="_x0000_i1026" type="#_x0000_t75" style="width:6in;height:255.9pt" o:ole="">
            <v:imagedata r:id="rId13" o:title=""/>
          </v:shape>
          <o:OLEObject Type="Embed" ProgID="EViews.Workfile.2" ShapeID="_x0000_i1026" DrawAspect="Content" ObjectID="_1840096643" r:id="rId14"/>
        </w:object>
      </w:r>
    </w:p>
    <w:p w14:paraId="4DBA54B4" w14:textId="77777777" w:rsidR="006C5021" w:rsidRPr="00487FEC" w:rsidRDefault="006C5021" w:rsidP="00596328">
      <w:pPr>
        <w:spacing w:after="0" w:line="240" w:lineRule="auto"/>
        <w:rPr>
          <w:rFonts w:eastAsia="Calibri" w:cs="Times New Roman"/>
          <w:i/>
          <w:iCs/>
        </w:rPr>
      </w:pPr>
      <w:r w:rsidRPr="00487FEC">
        <w:rPr>
          <w:rFonts w:eastAsia="Calibri" w:cs="Times New Roman"/>
          <w:i/>
          <w:iCs/>
        </w:rPr>
        <w:t>Source: Computed by author using EViews 1</w:t>
      </w:r>
      <w:r>
        <w:rPr>
          <w:rFonts w:eastAsia="Calibri" w:cs="Times New Roman"/>
          <w:i/>
          <w:iCs/>
        </w:rPr>
        <w:t>3</w:t>
      </w:r>
    </w:p>
    <w:p w14:paraId="00505A61" w14:textId="77777777" w:rsidR="006C5021" w:rsidRPr="0077736F" w:rsidRDefault="006C5021" w:rsidP="00596328">
      <w:pPr>
        <w:spacing w:after="0" w:line="240" w:lineRule="auto"/>
        <w:rPr>
          <w:rFonts w:eastAsia="Calibri" w:cs="Times New Roman"/>
          <w:bCs/>
          <w:i/>
          <w:iCs/>
        </w:rPr>
      </w:pPr>
      <w:r w:rsidRPr="00013FB4">
        <w:rPr>
          <w:rFonts w:eastAsia="Calibri" w:cs="Times New Roman"/>
          <w:bCs/>
          <w:i/>
          <w:iCs/>
        </w:rPr>
        <w:t>Figure 4.9: Cumulative Sum</w:t>
      </w:r>
      <w:r w:rsidRPr="00013FB4">
        <w:rPr>
          <w:i/>
          <w:iCs/>
        </w:rPr>
        <w:t xml:space="preserve"> </w:t>
      </w:r>
      <w:r w:rsidRPr="00013FB4">
        <w:rPr>
          <w:rFonts w:eastAsia="Calibri" w:cs="Times New Roman"/>
          <w:bCs/>
          <w:i/>
          <w:iCs/>
        </w:rPr>
        <w:t>of Squares</w:t>
      </w:r>
    </w:p>
    <w:p w14:paraId="10DDFD10" w14:textId="77777777" w:rsidR="00DC2ED1" w:rsidRDefault="00DC2ED1" w:rsidP="00596328">
      <w:pPr>
        <w:pStyle w:val="Heading2"/>
        <w:spacing w:line="240" w:lineRule="auto"/>
        <w:rPr>
          <w:rFonts w:eastAsia="Calibri"/>
        </w:rPr>
      </w:pPr>
      <w:bookmarkStart w:id="34" w:name="_Toc227924567"/>
    </w:p>
    <w:p w14:paraId="6C24B92A" w14:textId="332AED4A" w:rsidR="00F5581C" w:rsidRPr="00DF7AF2" w:rsidRDefault="00F5581C" w:rsidP="00596328">
      <w:pPr>
        <w:pStyle w:val="Heading2"/>
        <w:spacing w:line="240" w:lineRule="auto"/>
        <w:rPr>
          <w:rFonts w:eastAsia="Times New Roman"/>
        </w:rPr>
      </w:pPr>
      <w:r>
        <w:rPr>
          <w:rFonts w:eastAsia="Calibri"/>
        </w:rPr>
        <w:t>4.</w:t>
      </w:r>
      <w:r w:rsidR="008F26DA">
        <w:rPr>
          <w:rFonts w:eastAsia="Calibri"/>
        </w:rPr>
        <w:t>6</w:t>
      </w:r>
      <w:r>
        <w:rPr>
          <w:rFonts w:eastAsia="Calibri"/>
        </w:rPr>
        <w:t xml:space="preserve"> </w:t>
      </w:r>
      <w:r w:rsidRPr="00DF7AF2">
        <w:rPr>
          <w:rFonts w:eastAsia="Times New Roman"/>
        </w:rPr>
        <w:t>Discussion of Findings</w:t>
      </w:r>
      <w:bookmarkEnd w:id="34"/>
    </w:p>
    <w:p w14:paraId="0915DEAB" w14:textId="77777777" w:rsidR="00DC2ED1" w:rsidRDefault="00DC2ED1" w:rsidP="00596328">
      <w:pPr>
        <w:spacing w:before="100" w:beforeAutospacing="1" w:after="0" w:line="240" w:lineRule="auto"/>
        <w:rPr>
          <w:rFonts w:eastAsia="Times New Roman" w:cs="Times New Roman"/>
        </w:rPr>
      </w:pPr>
      <w:r w:rsidRPr="00DC2ED1">
        <w:rPr>
          <w:rFonts w:eastAsia="Times New Roman" w:cs="Times New Roman"/>
        </w:rPr>
        <w:t>The findings of this study give a more profound insight into the factors that influence inflation in Nigeria, with a focus on the interaction between policy variables, including Narrow Money (M1), Inter-bank Rates (INB), Ways and Means Advances (WAMA), Treasury Bills (NTBs), Treasury Certificates (TC), and the Bureau de Change Average Exchange Rate (AEXR), and inflation. Both the short-run dynamics explained by the error correction model (ECM) and the long-run dynamics described by the bound test reveal the various channels through which inflation can be achieved in Nigeria. The following section presents an analysis of these empirical findings in relation to the policy implications that can be drawn from them.</w:t>
      </w:r>
    </w:p>
    <w:p w14:paraId="7D3D5C72" w14:textId="77777777" w:rsidR="00DC2ED1" w:rsidRDefault="00DC2ED1" w:rsidP="00596328">
      <w:pPr>
        <w:spacing w:before="100" w:beforeAutospacing="1" w:after="0" w:line="240" w:lineRule="auto"/>
        <w:rPr>
          <w:rFonts w:eastAsia="Times New Roman" w:cs="Times New Roman"/>
        </w:rPr>
      </w:pPr>
      <w:r w:rsidRPr="00DC2ED1">
        <w:rPr>
          <w:rFonts w:eastAsia="Times New Roman" w:cs="Times New Roman"/>
        </w:rPr>
        <w:t>The findings indicate a positive and statistically significant association between the variables of money supply and inflation in the short run, as well as proof of bidirectional causation between them. The results support the monetarist theory, according to Friedman (1968), who posited that “inflation always and everywhere is a monetary phenomenon.” The process occurs through the effect of liquidity creation, whereby an increase in M1 leads to higher purchasing power, greater aggregate demand, and increased price levels due to supply-side limitations. In Nigeria, where there are frequent structural barriers affecting production, an increase in money supply easily becomes inflationary.</w:t>
      </w:r>
    </w:p>
    <w:p w14:paraId="5596743E" w14:textId="07F656D4" w:rsidR="00DC2ED1" w:rsidRDefault="00DC2ED1" w:rsidP="00596328">
      <w:pPr>
        <w:spacing w:before="100" w:beforeAutospacing="1" w:after="0" w:line="240" w:lineRule="auto"/>
        <w:rPr>
          <w:rFonts w:eastAsia="Times New Roman" w:cs="Times New Roman"/>
        </w:rPr>
      </w:pPr>
      <w:r w:rsidRPr="00DC2ED1">
        <w:rPr>
          <w:rFonts w:eastAsia="Times New Roman" w:cs="Times New Roman"/>
        </w:rPr>
        <w:t xml:space="preserve">From the empirical results, it is clear that WAMA does not have any statistically significant impact on inflation for the period under investigation. From the above finding, it can be concluded that the contractionary nature of monetary policy adopted by the Central Bank of Nigeria was able to control inflation arising from expansionary fiscal policies due to use of WAMA. In effect, the findings fail to support the hypothesis of fiscal dominance advanced by Sargent and Wallace (1981) that excessive reliance on the monetary financing of fiscal deficit leads to high levels of inflation. Even though the Nigerian government continued to exceed the statutory limits on the issue of Ways and Means Advances, hence the expansion of the monetary base, the Central Bank of Nigeria has on numerous occasions adopted contractionary monetary policies in order to fight the inflation that resulted from these actions. However, past studies have shown that breach of statutory borrowing ceilings and over-reliance on central bank financing erode monetary credibility of the Central Bank of Nigeria and makes its achievement of primary mandate, price stability, difficult. </w:t>
      </w:r>
    </w:p>
    <w:p w14:paraId="396AF555" w14:textId="77777777" w:rsidR="00DC2ED1" w:rsidRDefault="00DC2ED1" w:rsidP="00596328">
      <w:pPr>
        <w:spacing w:before="100" w:beforeAutospacing="1" w:after="0" w:line="240" w:lineRule="auto"/>
        <w:rPr>
          <w:rFonts w:eastAsia="Times New Roman" w:cs="Times New Roman"/>
        </w:rPr>
      </w:pPr>
      <w:r w:rsidRPr="00DC2ED1">
        <w:rPr>
          <w:rFonts w:eastAsia="Times New Roman" w:cs="Times New Roman"/>
        </w:rPr>
        <w:t>The findings indicate that both NTBs and TCs have insignificant influence on inflation rates. Although TC has a positive influence, NTB at lag one has an inverse relationship with inflation. These results contradict theoretical predictions because treasury bills are expected to be used as liquidity instruments. Nonetheless, in Nigeria’s case, the issue of domestic debt instruments has been multifunctional; apart from financing government expenditure, domestic debt has always been used as a means of monetary policy. This may be attributed to the fact that the domestic debt instruments were used primarily for liquidity management purposes and not for financing government deficits. The current research contradicts Catao and Terrones (2005). According to these authors, persistent government deficits that are financed by the issuance of domestic debt are associated with high levels of inflation in developing countries. In this respect, the problem facing policymakers is how to maintain the management of domestic debt instruments such that they continue to play the role of anti-inflationary instruments. For this purpose, cooperation between DMO and CBN becomes imperative.</w:t>
      </w:r>
    </w:p>
    <w:p w14:paraId="6373E240" w14:textId="77777777" w:rsidR="0016617A" w:rsidRDefault="00DC2ED1" w:rsidP="0016617A">
      <w:pPr>
        <w:spacing w:before="100" w:beforeAutospacing="1" w:after="0" w:line="240" w:lineRule="auto"/>
        <w:rPr>
          <w:rFonts w:eastAsia="Times New Roman" w:cs="Times New Roman"/>
        </w:rPr>
      </w:pPr>
      <w:r w:rsidRPr="00DC2ED1">
        <w:rPr>
          <w:rFonts w:eastAsia="Times New Roman" w:cs="Times New Roman"/>
        </w:rPr>
        <w:t>The exchange rates movements affect the inflation only unilaterally, in line with the theory of the exchange rates pass through. In Nigeria, depreciation of the naira makes the imports of products more expensive and causes price growth among consumers. Similar conclusions were reached by Obadan (2006) and Aliyu et al. (2009), who highlighted the importance of the exchange rate shocks for generating inflation in Nigeria. Absence of reverse causality indicates that the exchange rates policy is not directly determined by inflation; instead, exchange rate fluctuations can be attributed to external reserves, oil price movements, and monetary policy interventions. Hence, stable exchange rate will help to minimize inflationary pressure. In order to achieve such an outcome, government should diversify exports and rely less on oil, accumulate foreign currency reserves to ensure stability amid any external shocks, and manage the exchange rate openly. Of course, certain degree of flexibility in managing exchange rate may be needed eventually, but now Nigeria needs measures aimed at preventing excessive volatility that directly affects inflation.</w:t>
      </w:r>
      <w:bookmarkEnd w:id="27"/>
    </w:p>
    <w:p w14:paraId="64CC73C9" w14:textId="1610447E" w:rsidR="0016617A" w:rsidRDefault="0016617A" w:rsidP="0016617A">
      <w:pPr>
        <w:spacing w:before="100" w:beforeAutospacing="1" w:after="0" w:line="240" w:lineRule="auto"/>
        <w:rPr>
          <w:rFonts w:eastAsia="Times New Roman" w:cs="Times New Roman"/>
        </w:rPr>
      </w:pPr>
      <w:r w:rsidRPr="0016617A">
        <w:rPr>
          <w:rFonts w:eastAsia="Times New Roman" w:cs="Times New Roman"/>
          <w:bCs/>
        </w:rPr>
        <w:t>Essentially</w:t>
      </w:r>
      <w:r w:rsidRPr="0016617A">
        <w:rPr>
          <w:rFonts w:eastAsia="Times New Roman" w:cs="Times New Roman"/>
        </w:rPr>
        <w:t>, the analysis indicates that inflation in Nigeria is not a consequence of a single channel but is rather due to the relationship between monetary expansion and changes in the exchange rate. The study thus lends credibility to a mixed approach that combines both the monetarist and exchange rate transmission theories. In the first place, money supply growth provides evidence for the monetarist theory, which holds that inflation is strongly associated with liquidity expansion. In the second place, the presence of inflation in the wake of tighter policies and the significance of exchange rates reinforce structuralist theory.</w:t>
      </w:r>
    </w:p>
    <w:p w14:paraId="35F1D612" w14:textId="77777777" w:rsidR="0016617A" w:rsidRDefault="0016617A" w:rsidP="0016617A">
      <w:pPr>
        <w:spacing w:after="0" w:line="240" w:lineRule="auto"/>
        <w:rPr>
          <w:b/>
          <w:bCs/>
        </w:rPr>
      </w:pPr>
    </w:p>
    <w:p w14:paraId="2F8933D6" w14:textId="09204488" w:rsidR="0016617A" w:rsidRPr="0016617A" w:rsidRDefault="00C42DCB" w:rsidP="0016617A">
      <w:pPr>
        <w:spacing w:after="0" w:line="240" w:lineRule="auto"/>
        <w:rPr>
          <w:rFonts w:eastAsia="Times New Roman"/>
          <w:b/>
          <w:bCs/>
        </w:rPr>
      </w:pPr>
      <w:r w:rsidRPr="0016617A">
        <w:rPr>
          <w:b/>
          <w:bCs/>
        </w:rPr>
        <w:t>5. Conclusion</w:t>
      </w:r>
      <w:r w:rsidRPr="0016617A">
        <w:rPr>
          <w:rFonts w:eastAsia="Times New Roman"/>
          <w:b/>
          <w:bCs/>
        </w:rPr>
        <w:t xml:space="preserve"> and Recommendations</w:t>
      </w:r>
      <w:bookmarkStart w:id="35" w:name="_Toc227924571"/>
    </w:p>
    <w:p w14:paraId="04BACBE7" w14:textId="77777777" w:rsidR="0016617A" w:rsidRPr="0016617A" w:rsidRDefault="0004150D" w:rsidP="0016617A">
      <w:pPr>
        <w:spacing w:after="0" w:line="240" w:lineRule="auto"/>
        <w:rPr>
          <w:rFonts w:eastAsia="Times New Roman"/>
          <w:b/>
          <w:bCs/>
        </w:rPr>
      </w:pPr>
      <w:r w:rsidRPr="0016617A">
        <w:rPr>
          <w:rFonts w:eastAsia="Times New Roman"/>
          <w:b/>
          <w:bCs/>
        </w:rPr>
        <w:t>5.</w:t>
      </w:r>
      <w:r w:rsidR="00C42DCB" w:rsidRPr="0016617A">
        <w:rPr>
          <w:rFonts w:eastAsia="Times New Roman"/>
          <w:b/>
          <w:bCs/>
        </w:rPr>
        <w:t>1</w:t>
      </w:r>
      <w:r w:rsidRPr="0016617A">
        <w:rPr>
          <w:rFonts w:eastAsia="Times New Roman"/>
          <w:b/>
          <w:bCs/>
        </w:rPr>
        <w:t xml:space="preserve"> Conclusion</w:t>
      </w:r>
      <w:bookmarkStart w:id="36" w:name="_Toc227924572"/>
      <w:bookmarkEnd w:id="35"/>
    </w:p>
    <w:p w14:paraId="5FA28352" w14:textId="4D244D6A" w:rsidR="00106059" w:rsidRPr="00106059" w:rsidRDefault="00106059" w:rsidP="0016617A">
      <w:pPr>
        <w:spacing w:after="0" w:line="240" w:lineRule="auto"/>
        <w:rPr>
          <w:rFonts w:eastAsia="Times New Roman" w:cs="Times New Roman"/>
        </w:rPr>
      </w:pPr>
      <w:r w:rsidRPr="00106059">
        <w:rPr>
          <w:rFonts w:eastAsia="Times New Roman" w:cs="Times New Roman"/>
        </w:rPr>
        <w:t>The results</w:t>
      </w:r>
      <w:r>
        <w:rPr>
          <w:rFonts w:eastAsia="Times New Roman" w:cs="Times New Roman"/>
          <w:b/>
        </w:rPr>
        <w:t xml:space="preserve"> of this study </w:t>
      </w:r>
      <w:r w:rsidRPr="00106059">
        <w:rPr>
          <w:rFonts w:eastAsia="Times New Roman" w:cs="Times New Roman"/>
        </w:rPr>
        <w:t>show that inflation in Nigeria is a persistent and multicausal process, which is mainly caused by the impact of money supply increase and depreciation of the exchange rate. As it follows from the results of this research, it is impossible to say that price increases are due to money supply only</w:t>
      </w:r>
      <w:r>
        <w:rPr>
          <w:rFonts w:eastAsia="Times New Roman" w:cs="Times New Roman"/>
          <w:b/>
        </w:rPr>
        <w:t>,</w:t>
      </w:r>
      <w:r w:rsidRPr="00106059">
        <w:rPr>
          <w:rFonts w:eastAsia="Times New Roman" w:cs="Times New Roman"/>
        </w:rPr>
        <w:t xml:space="preserve"> since inflation in Nigeria is likely to rise because of a small amount of export-oriented production that leads to lower foreign-exchange receipts and thus higher exposure to external </w:t>
      </w:r>
      <w:r w:rsidRPr="0016617A">
        <w:rPr>
          <w:rFonts w:eastAsia="Times New Roman" w:cs="Times New Roman"/>
          <w:bCs/>
        </w:rPr>
        <w:t>shocks.</w:t>
      </w:r>
      <w:r w:rsidRPr="00106059">
        <w:rPr>
          <w:rFonts w:eastAsia="Times New Roman" w:cs="Times New Roman"/>
        </w:rPr>
        <w:t xml:space="preserve"> Thus, the link between domestic monetary situation and problems of foreign exchange supply plays a significant role in explaining the problem.</w:t>
      </w:r>
    </w:p>
    <w:p w14:paraId="7894CBC9" w14:textId="77777777" w:rsidR="00106059" w:rsidRPr="00106059" w:rsidRDefault="00106059" w:rsidP="00106059">
      <w:pPr>
        <w:pStyle w:val="Heading2"/>
        <w:spacing w:line="240" w:lineRule="auto"/>
        <w:rPr>
          <w:rFonts w:eastAsia="Times New Roman" w:cs="Times New Roman"/>
          <w:b w:val="0"/>
          <w:szCs w:val="24"/>
        </w:rPr>
      </w:pPr>
      <w:r w:rsidRPr="00106059">
        <w:rPr>
          <w:rFonts w:eastAsia="Times New Roman" w:cs="Times New Roman"/>
          <w:b w:val="0"/>
          <w:szCs w:val="24"/>
        </w:rPr>
        <w:t>Thus, the results prove that excess liquidity generated by increased narrow money causes inflation demand. Moreover, depreciation of the exchange rate results in a transmission of external price shocks into the economy.</w:t>
      </w:r>
    </w:p>
    <w:p w14:paraId="11293481" w14:textId="77777777" w:rsidR="00106059" w:rsidRDefault="00106059" w:rsidP="00106059">
      <w:pPr>
        <w:pStyle w:val="Heading2"/>
        <w:spacing w:line="240" w:lineRule="auto"/>
        <w:rPr>
          <w:rFonts w:eastAsia="Times New Roman" w:cs="Times New Roman"/>
          <w:b w:val="0"/>
          <w:szCs w:val="24"/>
        </w:rPr>
      </w:pPr>
      <w:r w:rsidRPr="00106059">
        <w:rPr>
          <w:rFonts w:eastAsia="Times New Roman" w:cs="Times New Roman"/>
          <w:b w:val="0"/>
          <w:szCs w:val="24"/>
        </w:rPr>
        <w:t>The fact that shocks are persistent and that the speed of adjustment is low, according to the results of the error correction model, shows that the problem of managing inflation in Nigeria cannot be solved by using such an instrument as monetary tightening. The conclusion that can be drawn is that inflation in Nigeria is not a “purely monetary phenomenon”.</w:t>
      </w:r>
    </w:p>
    <w:p w14:paraId="6A457945" w14:textId="77777777" w:rsidR="00106059" w:rsidRDefault="00106059" w:rsidP="00106059">
      <w:pPr>
        <w:pStyle w:val="Heading2"/>
        <w:spacing w:line="240" w:lineRule="auto"/>
        <w:rPr>
          <w:rFonts w:eastAsia="Times New Roman" w:cs="Times New Roman"/>
          <w:b w:val="0"/>
          <w:szCs w:val="24"/>
        </w:rPr>
      </w:pPr>
    </w:p>
    <w:p w14:paraId="395B3CC9" w14:textId="74CFFDB8" w:rsidR="0004150D" w:rsidRPr="000E338A" w:rsidRDefault="0004150D" w:rsidP="00106059">
      <w:pPr>
        <w:pStyle w:val="Heading2"/>
        <w:spacing w:line="240" w:lineRule="auto"/>
        <w:rPr>
          <w:rFonts w:eastAsia="Times New Roman"/>
        </w:rPr>
      </w:pPr>
      <w:r w:rsidRPr="000E338A">
        <w:rPr>
          <w:rFonts w:eastAsia="Times New Roman"/>
        </w:rPr>
        <w:t>5.</w:t>
      </w:r>
      <w:r w:rsidR="00C42DCB">
        <w:rPr>
          <w:rFonts w:eastAsia="Times New Roman"/>
        </w:rPr>
        <w:t>2</w:t>
      </w:r>
      <w:r w:rsidRPr="000E338A">
        <w:rPr>
          <w:rFonts w:eastAsia="Times New Roman"/>
        </w:rPr>
        <w:t xml:space="preserve"> Recommendations</w:t>
      </w:r>
      <w:bookmarkEnd w:id="36"/>
    </w:p>
    <w:p w14:paraId="0E41938C" w14:textId="21668FF5" w:rsidR="00747D33" w:rsidRPr="00747D33" w:rsidRDefault="00747D33" w:rsidP="00747D33">
      <w:pPr>
        <w:spacing w:before="100" w:beforeAutospacing="1" w:after="0" w:line="240" w:lineRule="auto"/>
        <w:rPr>
          <w:rFonts w:eastAsia="Times New Roman" w:cs="Times New Roman"/>
        </w:rPr>
      </w:pPr>
      <w:r w:rsidRPr="00747D33">
        <w:rPr>
          <w:rFonts w:eastAsia="Times New Roman" w:cs="Times New Roman"/>
        </w:rPr>
        <w:t xml:space="preserve">Based on </w:t>
      </w:r>
      <w:r>
        <w:rPr>
          <w:rFonts w:eastAsia="Times New Roman" w:cs="Times New Roman"/>
        </w:rPr>
        <w:t>the</w:t>
      </w:r>
      <w:r w:rsidRPr="00747D33">
        <w:rPr>
          <w:rFonts w:eastAsia="Times New Roman" w:cs="Times New Roman"/>
        </w:rPr>
        <w:t xml:space="preserve"> findings</w:t>
      </w:r>
      <w:r>
        <w:rPr>
          <w:rFonts w:eastAsia="Times New Roman" w:cs="Times New Roman"/>
        </w:rPr>
        <w:t xml:space="preserve"> of this study</w:t>
      </w:r>
      <w:r w:rsidRPr="00747D33">
        <w:rPr>
          <w:rFonts w:eastAsia="Times New Roman" w:cs="Times New Roman"/>
        </w:rPr>
        <w:t xml:space="preserve">, the following </w:t>
      </w:r>
      <w:r>
        <w:rPr>
          <w:rFonts w:eastAsia="Times New Roman" w:cs="Times New Roman"/>
        </w:rPr>
        <w:t xml:space="preserve">recommendations </w:t>
      </w:r>
      <w:r w:rsidRPr="00747D33">
        <w:rPr>
          <w:rFonts w:eastAsia="Times New Roman" w:cs="Times New Roman"/>
        </w:rPr>
        <w:t>are made:</w:t>
      </w:r>
    </w:p>
    <w:p w14:paraId="04C608FA" w14:textId="516C9E57" w:rsidR="00747D33" w:rsidRPr="00747D33" w:rsidRDefault="00747D33" w:rsidP="00747D33">
      <w:pPr>
        <w:spacing w:before="100" w:beforeAutospacing="1" w:after="0" w:line="240" w:lineRule="auto"/>
        <w:rPr>
          <w:rFonts w:eastAsia="Times New Roman" w:cs="Times New Roman"/>
        </w:rPr>
      </w:pPr>
      <w:r w:rsidRPr="00747D33">
        <w:rPr>
          <w:rFonts w:eastAsia="Times New Roman" w:cs="Times New Roman"/>
        </w:rPr>
        <w:t>i.</w:t>
      </w:r>
      <w:r>
        <w:rPr>
          <w:rFonts w:eastAsia="Times New Roman" w:cs="Times New Roman"/>
        </w:rPr>
        <w:t xml:space="preserve"> </w:t>
      </w:r>
      <w:r w:rsidRPr="00747D33">
        <w:rPr>
          <w:rFonts w:eastAsia="Times New Roman" w:cs="Times New Roman"/>
        </w:rPr>
        <w:t>The Central Bank of Nigeria should manage its liquidity by improving open market operations, sterilization and cash reserve requirements to avoid excess growth of the supply of money. Monetary expansion should be in harmony with the productive capacity of the economy to ensure that inflation is avoided.</w:t>
      </w:r>
    </w:p>
    <w:p w14:paraId="3C530B41" w14:textId="1E8D35E8" w:rsidR="00747D33" w:rsidRPr="00747D33" w:rsidRDefault="00747D33" w:rsidP="00747D33">
      <w:pPr>
        <w:spacing w:before="100" w:beforeAutospacing="1" w:after="0" w:line="240" w:lineRule="auto"/>
        <w:rPr>
          <w:rFonts w:eastAsia="Times New Roman" w:cs="Times New Roman"/>
        </w:rPr>
      </w:pPr>
      <w:r w:rsidRPr="00747D33">
        <w:rPr>
          <w:rFonts w:eastAsia="Times New Roman" w:cs="Times New Roman"/>
        </w:rPr>
        <w:t>ii.</w:t>
      </w:r>
      <w:r>
        <w:rPr>
          <w:rFonts w:eastAsia="Times New Roman" w:cs="Times New Roman"/>
        </w:rPr>
        <w:t xml:space="preserve"> </w:t>
      </w:r>
      <w:r w:rsidRPr="00747D33">
        <w:rPr>
          <w:rFonts w:eastAsia="Times New Roman" w:cs="Times New Roman"/>
        </w:rPr>
        <w:t xml:space="preserve">Stabilization of the exchange rate should be achieved through export diversification, effective foreign reserves management and clear </w:t>
      </w:r>
      <w:r>
        <w:rPr>
          <w:rFonts w:eastAsia="Times New Roman" w:cs="Times New Roman"/>
        </w:rPr>
        <w:t>foreign exchange management</w:t>
      </w:r>
      <w:r w:rsidRPr="00747D33">
        <w:rPr>
          <w:rFonts w:eastAsia="Times New Roman" w:cs="Times New Roman"/>
        </w:rPr>
        <w:t xml:space="preserve"> policies. In the short-run, policies should be designed to curb excessive volatility to mitigate exchange rate pass-through into the inflation rate.</w:t>
      </w:r>
    </w:p>
    <w:p w14:paraId="2F0593BE" w14:textId="14A47DEA" w:rsidR="00747D33" w:rsidRDefault="00747D33" w:rsidP="00747D33">
      <w:pPr>
        <w:spacing w:before="100" w:beforeAutospacing="1" w:after="0" w:line="240" w:lineRule="auto"/>
        <w:rPr>
          <w:rFonts w:eastAsia="Times New Roman" w:cs="Times New Roman"/>
        </w:rPr>
      </w:pPr>
      <w:r w:rsidRPr="00747D33">
        <w:rPr>
          <w:rFonts w:eastAsia="Times New Roman" w:cs="Times New Roman"/>
        </w:rPr>
        <w:t>iii.</w:t>
      </w:r>
      <w:r>
        <w:rPr>
          <w:rFonts w:eastAsia="Times New Roman" w:cs="Times New Roman"/>
        </w:rPr>
        <w:t xml:space="preserve"> </w:t>
      </w:r>
      <w:r w:rsidRPr="00747D33">
        <w:rPr>
          <w:rFonts w:eastAsia="Times New Roman" w:cs="Times New Roman"/>
        </w:rPr>
        <w:t>Sustained low inflation requires coordination between fiscal and monetary policies. There needs to be fiscal consolidation and prudent monetary policy. Import substitution will stabilize the exchange rate and minimize exchange rate pass-through into inflation.</w:t>
      </w:r>
    </w:p>
    <w:p w14:paraId="511BE6C4" w14:textId="77777777" w:rsidR="00747D33" w:rsidRDefault="00747D33" w:rsidP="00747D33">
      <w:pPr>
        <w:spacing w:before="100" w:beforeAutospacing="1" w:after="0" w:line="240" w:lineRule="auto"/>
        <w:rPr>
          <w:rFonts w:eastAsia="Times New Roman" w:cs="Times New Roman"/>
        </w:rPr>
      </w:pPr>
    </w:p>
    <w:p w14:paraId="4A8B1F01" w14:textId="77777777" w:rsidR="00747D33" w:rsidRDefault="00747D33" w:rsidP="00747D33">
      <w:pPr>
        <w:spacing w:before="100" w:beforeAutospacing="1" w:after="0" w:line="240" w:lineRule="auto"/>
        <w:rPr>
          <w:rFonts w:eastAsia="Times New Roman" w:cs="Times New Roman"/>
        </w:rPr>
      </w:pPr>
    </w:p>
    <w:p w14:paraId="7BE9941A" w14:textId="77777777" w:rsidR="00747D33" w:rsidRDefault="00747D33" w:rsidP="00747D33">
      <w:pPr>
        <w:spacing w:before="100" w:beforeAutospacing="1" w:after="0" w:line="240" w:lineRule="auto"/>
        <w:rPr>
          <w:rFonts w:eastAsia="Times New Roman" w:cs="Times New Roman"/>
        </w:rPr>
      </w:pPr>
    </w:p>
    <w:p w14:paraId="37CC1AA9" w14:textId="5A46E735" w:rsidR="00A53406" w:rsidRPr="00296AE9" w:rsidRDefault="00296AE9" w:rsidP="00596328">
      <w:pPr>
        <w:pStyle w:val="Heading1"/>
        <w:spacing w:line="240" w:lineRule="auto"/>
        <w:rPr>
          <w:rFonts w:eastAsia="Calibri"/>
        </w:rPr>
      </w:pPr>
      <w:bookmarkStart w:id="37" w:name="_Toc227924576"/>
      <w:r w:rsidRPr="00296AE9">
        <w:rPr>
          <w:rFonts w:eastAsia="Calibri"/>
        </w:rPr>
        <w:t>REFERENCES</w:t>
      </w:r>
      <w:bookmarkEnd w:id="37"/>
    </w:p>
    <w:p w14:paraId="1C1A2AD4"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ACIOE. (2025). Nigeria’s money supply records slight moderation in February 2025. Association of Chartered Institute of Online Economists.</w:t>
      </w:r>
    </w:p>
    <w:p w14:paraId="32E9C609"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Adaramola, A. O., &amp; Dada, O. (2020). Impact of inflation on economic growth: Evidence from Nigeria. </w:t>
      </w:r>
      <w:r w:rsidRPr="00C520B9">
        <w:rPr>
          <w:rFonts w:eastAsia="Times New Roman" w:cs="Times New Roman"/>
          <w:i/>
          <w:iCs/>
        </w:rPr>
        <w:t>Journal of Economics and Development Studies, 8</w:t>
      </w:r>
      <w:r w:rsidRPr="00C520B9">
        <w:rPr>
          <w:rFonts w:eastAsia="Times New Roman" w:cs="Times New Roman"/>
        </w:rPr>
        <w:t>(2), 45–60.</w:t>
      </w:r>
    </w:p>
    <w:p w14:paraId="4D5F0888"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Agu, C., &amp; Oshim, E. (2024). Ways and means advances and inflation rate in Nigeria. </w:t>
      </w:r>
      <w:r w:rsidRPr="00C520B9">
        <w:rPr>
          <w:rFonts w:eastAsia="Times New Roman" w:cs="Times New Roman"/>
          <w:i/>
          <w:iCs/>
        </w:rPr>
        <w:t>Journal of Economics and Sustainable Development, 15</w:t>
      </w:r>
      <w:r w:rsidRPr="00C520B9">
        <w:rPr>
          <w:rFonts w:eastAsia="Times New Roman" w:cs="Times New Roman"/>
        </w:rPr>
        <w:t>(2), 45–58.</w:t>
      </w:r>
    </w:p>
    <w:p w14:paraId="51D72B43"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Agu, S. U., &amp; Oshim, F. O. (2024). Effect of deficit budget financing sources on inflation rate in Nigeria. </w:t>
      </w:r>
      <w:r w:rsidRPr="00C520B9">
        <w:rPr>
          <w:rFonts w:eastAsia="Times New Roman" w:cs="Times New Roman"/>
          <w:i/>
          <w:iCs/>
        </w:rPr>
        <w:t>Nigerian Journal of Economic Studies, 19</w:t>
      </w:r>
      <w:r w:rsidRPr="00C520B9">
        <w:rPr>
          <w:rFonts w:eastAsia="Times New Roman" w:cs="Times New Roman"/>
        </w:rPr>
        <w:t>(1), 77–94.</w:t>
      </w:r>
    </w:p>
    <w:p w14:paraId="46A38BB8"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Akinbobola, T. O. (2012). The dynamics of money supply, exchange rate and inflation in Nigeria. </w:t>
      </w:r>
      <w:r w:rsidRPr="00C520B9">
        <w:rPr>
          <w:rFonts w:eastAsia="Times New Roman" w:cs="Times New Roman"/>
          <w:i/>
          <w:iCs/>
        </w:rPr>
        <w:t>Journal of Applied Finance and Banking, 2</w:t>
      </w:r>
      <w:r w:rsidRPr="00C520B9">
        <w:rPr>
          <w:rFonts w:eastAsia="Times New Roman" w:cs="Times New Roman"/>
        </w:rPr>
        <w:t>(4), 117–141.</w:t>
      </w:r>
    </w:p>
    <w:p w14:paraId="0B33FEA5"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Aliyu, S. U. R., Yakub, M. U., Sanni, G. K., &amp; Duke, O. O. (2009). Exchange rate pass-through in Nigeria: An empirical analysis. </w:t>
      </w:r>
      <w:r w:rsidRPr="00C520B9">
        <w:rPr>
          <w:rFonts w:eastAsia="Times New Roman" w:cs="Times New Roman"/>
          <w:i/>
          <w:iCs/>
        </w:rPr>
        <w:t>Central Bank of Nigeria Economic and Financial Review, 47</w:t>
      </w:r>
      <w:r w:rsidRPr="00C520B9">
        <w:rPr>
          <w:rFonts w:eastAsia="Times New Roman" w:cs="Times New Roman"/>
        </w:rPr>
        <w:t>(3), 1–25.</w:t>
      </w:r>
    </w:p>
    <w:p w14:paraId="64BCA986"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Alexander, A., Musa, A., &amp; Salihu, B. (2015). Fiscal and monetary policy interaction and inflation dynamics in Nigeria. </w:t>
      </w:r>
      <w:r w:rsidRPr="00C520B9">
        <w:rPr>
          <w:rFonts w:eastAsia="Times New Roman" w:cs="Times New Roman"/>
          <w:i/>
          <w:iCs/>
        </w:rPr>
        <w:t>CBN Journal of Applied Statistics, 6</w:t>
      </w:r>
      <w:r w:rsidRPr="00C520B9">
        <w:rPr>
          <w:rFonts w:eastAsia="Times New Roman" w:cs="Times New Roman"/>
        </w:rPr>
        <w:t>(1), 85–107.</w:t>
      </w:r>
    </w:p>
    <w:p w14:paraId="34C0729D"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Anayochukwu, O. B. (2012). Fiscal deficits and inflation in Nigeria: The causality approach. </w:t>
      </w:r>
      <w:r w:rsidRPr="00C520B9">
        <w:rPr>
          <w:rFonts w:eastAsia="Times New Roman" w:cs="Times New Roman"/>
          <w:i/>
          <w:iCs/>
        </w:rPr>
        <w:t>International Journal of Scientific &amp; Technology Research, 1</w:t>
      </w:r>
      <w:r w:rsidRPr="00C520B9">
        <w:rPr>
          <w:rFonts w:eastAsia="Times New Roman" w:cs="Times New Roman"/>
        </w:rPr>
        <w:t>(8), 6–12.</w:t>
      </w:r>
    </w:p>
    <w:p w14:paraId="55F9D151"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Ayenigba, A. (2025). Inflation dynamics and supply-side shocks in Nigeria. </w:t>
      </w:r>
      <w:r w:rsidRPr="00C520B9">
        <w:rPr>
          <w:rFonts w:eastAsia="Times New Roman" w:cs="Times New Roman"/>
          <w:i/>
          <w:iCs/>
        </w:rPr>
        <w:t>Nigerian Economic Review, 18</w:t>
      </w:r>
      <w:r w:rsidRPr="00C520B9">
        <w:rPr>
          <w:rFonts w:eastAsia="Times New Roman" w:cs="Times New Roman"/>
        </w:rPr>
        <w:t>(2), 44–61.</w:t>
      </w:r>
    </w:p>
    <w:p w14:paraId="6BDFF9EC"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Ayenigba, B. (2025). A decade of fuel price fluctuations: The trend and their inflationary effects in Nigeria (2014–2024). </w:t>
      </w:r>
      <w:r w:rsidRPr="00C520B9">
        <w:rPr>
          <w:rFonts w:eastAsia="Times New Roman" w:cs="Times New Roman"/>
          <w:i/>
          <w:iCs/>
        </w:rPr>
        <w:t>Journal of Energy Economics and Policy, 15</w:t>
      </w:r>
      <w:r w:rsidRPr="00C520B9">
        <w:rPr>
          <w:rFonts w:eastAsia="Times New Roman" w:cs="Times New Roman"/>
        </w:rPr>
        <w:t>(1), 1–18.</w:t>
      </w:r>
    </w:p>
    <w:p w14:paraId="0A83C959"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Azubike, C., &amp; Roland, E. (2025). Effects of monetary policy on inflation in Nigeria. </w:t>
      </w:r>
      <w:r w:rsidRPr="00C520B9">
        <w:rPr>
          <w:rFonts w:eastAsia="Times New Roman" w:cs="Times New Roman"/>
          <w:i/>
          <w:iCs/>
        </w:rPr>
        <w:t>Central Bank Review of Economics, 12</w:t>
      </w:r>
      <w:r w:rsidRPr="00C520B9">
        <w:rPr>
          <w:rFonts w:eastAsia="Times New Roman" w:cs="Times New Roman"/>
        </w:rPr>
        <w:t>(2), 33–52.</w:t>
      </w:r>
    </w:p>
    <w:p w14:paraId="7CD0237C"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Babatunde, M. A., &amp; Doguwa, S. I. (2012). Money supply and inflation in Nigeria. </w:t>
      </w:r>
      <w:r w:rsidRPr="00C520B9">
        <w:rPr>
          <w:rFonts w:eastAsia="Times New Roman" w:cs="Times New Roman"/>
          <w:i/>
          <w:iCs/>
        </w:rPr>
        <w:t>CBN Economic and Financial Review, 50</w:t>
      </w:r>
      <w:r w:rsidRPr="00C520B9">
        <w:rPr>
          <w:rFonts w:eastAsia="Times New Roman" w:cs="Times New Roman"/>
        </w:rPr>
        <w:t>(1), 65–83.</w:t>
      </w:r>
    </w:p>
    <w:p w14:paraId="57EE492D"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Bawa, S., Abdullahi, I. S., &amp; Ibrahim, A. (2016). Analysis of inflation dynamics in Nigeria (1981–2015). </w:t>
      </w:r>
      <w:r w:rsidRPr="00C520B9">
        <w:rPr>
          <w:rFonts w:eastAsia="Times New Roman" w:cs="Times New Roman"/>
          <w:i/>
          <w:iCs/>
        </w:rPr>
        <w:t>CBN Journal of Applied Statistics, 7</w:t>
      </w:r>
      <w:r w:rsidRPr="00C520B9">
        <w:rPr>
          <w:rFonts w:eastAsia="Times New Roman" w:cs="Times New Roman"/>
        </w:rPr>
        <w:t>(1), 255–276.</w:t>
      </w:r>
    </w:p>
    <w:p w14:paraId="6B7A2A5F"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Bryan, M. F. (1997). Inflation and the price level debate. In A. Hansen &amp; P. Newman (Eds.), </w:t>
      </w:r>
      <w:r w:rsidRPr="00C520B9">
        <w:rPr>
          <w:rFonts w:eastAsia="Times New Roman" w:cs="Times New Roman"/>
          <w:i/>
          <w:iCs/>
        </w:rPr>
        <w:t>Modern perspectives on inflation theory</w:t>
      </w:r>
      <w:r w:rsidRPr="00C520B9">
        <w:rPr>
          <w:rFonts w:eastAsia="Times New Roman" w:cs="Times New Roman"/>
        </w:rPr>
        <w:t>. Routledge.</w:t>
      </w:r>
    </w:p>
    <w:p w14:paraId="48B87559"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Central Bank of Nigeria. (2025). </w:t>
      </w:r>
      <w:r w:rsidRPr="00C520B9">
        <w:rPr>
          <w:rFonts w:eastAsia="Times New Roman" w:cs="Times New Roman"/>
          <w:i/>
          <w:iCs/>
        </w:rPr>
        <w:t>Statistical bulletin and money supply data</w:t>
      </w:r>
      <w:r w:rsidRPr="00C520B9">
        <w:rPr>
          <w:rFonts w:eastAsia="Times New Roman" w:cs="Times New Roman"/>
        </w:rPr>
        <w:t>. CBN.</w:t>
      </w:r>
    </w:p>
    <w:p w14:paraId="677AB477"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Centre for the Study of the Economies of Africa. (2024). </w:t>
      </w:r>
      <w:r w:rsidRPr="00C520B9">
        <w:rPr>
          <w:rFonts w:eastAsia="Times New Roman" w:cs="Times New Roman"/>
          <w:i/>
          <w:iCs/>
        </w:rPr>
        <w:t>Nigeria’s monetary expansion and inflationary pressures</w:t>
      </w:r>
      <w:r w:rsidRPr="00C520B9">
        <w:rPr>
          <w:rFonts w:eastAsia="Times New Roman" w:cs="Times New Roman"/>
        </w:rPr>
        <w:t>. CSEA.</w:t>
      </w:r>
    </w:p>
    <w:p w14:paraId="696A30F7"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Charles, J., Effiong, E., &amp; Okon, A. (2022). Demand-pull and cost-push determinants of inflation in Nigeria. </w:t>
      </w:r>
      <w:r w:rsidRPr="00C520B9">
        <w:rPr>
          <w:rFonts w:eastAsia="Times New Roman" w:cs="Times New Roman"/>
          <w:i/>
          <w:iCs/>
        </w:rPr>
        <w:t>Nigerian Journal of Economic and Social Studies, 64</w:t>
      </w:r>
      <w:r w:rsidRPr="00C520B9">
        <w:rPr>
          <w:rFonts w:eastAsia="Times New Roman" w:cs="Times New Roman"/>
        </w:rPr>
        <w:t>(3), 201–219.</w:t>
      </w:r>
    </w:p>
    <w:p w14:paraId="29E5579D"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Charles, M., Okafor, I., &amp; Ibrahim, L. (2022). Determinants of inflation in Nigeria. </w:t>
      </w:r>
      <w:r w:rsidRPr="00C520B9">
        <w:rPr>
          <w:rFonts w:eastAsia="Times New Roman" w:cs="Times New Roman"/>
          <w:i/>
          <w:iCs/>
        </w:rPr>
        <w:t>African Journal of Economic Review, 10</w:t>
      </w:r>
      <w:r w:rsidRPr="00C520B9">
        <w:rPr>
          <w:rFonts w:eastAsia="Times New Roman" w:cs="Times New Roman"/>
        </w:rPr>
        <w:t>(3), 120–138.</w:t>
      </w:r>
    </w:p>
    <w:p w14:paraId="5E5EDA61"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Catao, L. A. V., &amp; Terrones, M. E. (2005). Fiscal deficits and inflation. </w:t>
      </w:r>
      <w:r w:rsidRPr="00C520B9">
        <w:rPr>
          <w:rFonts w:eastAsia="Times New Roman" w:cs="Times New Roman"/>
          <w:i/>
          <w:iCs/>
        </w:rPr>
        <w:t>Journal of Monetary Economics, 52</w:t>
      </w:r>
      <w:r w:rsidRPr="00C520B9">
        <w:rPr>
          <w:rFonts w:eastAsia="Times New Roman" w:cs="Times New Roman"/>
        </w:rPr>
        <w:t xml:space="preserve">(3), 529–554. </w:t>
      </w:r>
      <w:hyperlink r:id="rId15" w:tgtFrame="_new" w:history="1">
        <w:r w:rsidRPr="00C520B9">
          <w:rPr>
            <w:rStyle w:val="Hyperlink"/>
            <w:rFonts w:eastAsia="Times New Roman" w:cs="Times New Roman"/>
          </w:rPr>
          <w:t>https://doi.org/10.1016/j.jmoneco.2004.06.003</w:t>
        </w:r>
      </w:hyperlink>
    </w:p>
    <w:p w14:paraId="77ECABDA"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Duodu, E., Baidoo, S., Yusif, H., &amp; Frimpong, K. (2022). Money supply, budget deficit and inflation dynamics in Ghana: An empirical investigation. </w:t>
      </w:r>
      <w:r w:rsidRPr="00C520B9">
        <w:rPr>
          <w:rFonts w:eastAsia="Times New Roman" w:cs="Times New Roman"/>
          <w:i/>
          <w:iCs/>
        </w:rPr>
        <w:t>Journal of African Macroeconomic Studies, 9</w:t>
      </w:r>
      <w:r w:rsidRPr="00C520B9">
        <w:rPr>
          <w:rFonts w:eastAsia="Times New Roman" w:cs="Times New Roman"/>
        </w:rPr>
        <w:t>(4), 201–220.</w:t>
      </w:r>
    </w:p>
    <w:p w14:paraId="4D89CA9F"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Ekpo, A. U., &amp; Udobia, P. (2025). Dynamic interaction between fiscal deficit and inflation in Nigeria: Evidence from ARDL bounds test. </w:t>
      </w:r>
      <w:r w:rsidRPr="00C520B9">
        <w:rPr>
          <w:rFonts w:eastAsia="Times New Roman" w:cs="Times New Roman"/>
          <w:i/>
          <w:iCs/>
        </w:rPr>
        <w:t>International Journal of Financial Economics, 11</w:t>
      </w:r>
      <w:r w:rsidRPr="00C520B9">
        <w:rPr>
          <w:rFonts w:eastAsia="Times New Roman" w:cs="Times New Roman"/>
        </w:rPr>
        <w:t>(1), 25–44.</w:t>
      </w:r>
    </w:p>
    <w:p w14:paraId="3A2F1C7D"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Hansen, A., &amp; Newman, P. (2022). </w:t>
      </w:r>
      <w:r w:rsidRPr="00C520B9">
        <w:rPr>
          <w:rFonts w:eastAsia="Times New Roman" w:cs="Times New Roman"/>
          <w:i/>
          <w:iCs/>
        </w:rPr>
        <w:t>Modern perspectives on inflation theory</w:t>
      </w:r>
      <w:r w:rsidRPr="00C520B9">
        <w:rPr>
          <w:rFonts w:eastAsia="Times New Roman" w:cs="Times New Roman"/>
        </w:rPr>
        <w:t>. Routledge.</w:t>
      </w:r>
    </w:p>
    <w:p w14:paraId="3C64C260"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Ibrahim, M., Yakubu, M., &amp; Suleiman, A. (2017). Money supply and inflation nexus in Nigeria: A short-run and long-run analysis. </w:t>
      </w:r>
      <w:r w:rsidRPr="00C520B9">
        <w:rPr>
          <w:rFonts w:eastAsia="Times New Roman" w:cs="Times New Roman"/>
          <w:i/>
          <w:iCs/>
        </w:rPr>
        <w:t>CBN Journal of Applied Statistics, 8</w:t>
      </w:r>
      <w:r w:rsidRPr="00C520B9">
        <w:rPr>
          <w:rFonts w:eastAsia="Times New Roman" w:cs="Times New Roman"/>
        </w:rPr>
        <w:t>(1), 125–147.</w:t>
      </w:r>
    </w:p>
    <w:p w14:paraId="0081A3FC"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Inim, V., Ekpe, S., &amp; Essien, U. (2020). Other determinants of inflation in Nigeria. </w:t>
      </w:r>
      <w:r w:rsidRPr="00C520B9">
        <w:rPr>
          <w:rFonts w:eastAsia="Times New Roman" w:cs="Times New Roman"/>
          <w:i/>
          <w:iCs/>
        </w:rPr>
        <w:t>Nigerian Economic and Financial Review, 58</w:t>
      </w:r>
      <w:r w:rsidRPr="00C520B9">
        <w:rPr>
          <w:rFonts w:eastAsia="Times New Roman" w:cs="Times New Roman"/>
        </w:rPr>
        <w:t>(2), 99–118.</w:t>
      </w:r>
    </w:p>
    <w:p w14:paraId="087CBC7D"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Kiganda, E. O. (2014). Effect of inflation on economic growth in Kenya. </w:t>
      </w:r>
      <w:r w:rsidRPr="00C520B9">
        <w:rPr>
          <w:rFonts w:eastAsia="Times New Roman" w:cs="Times New Roman"/>
          <w:i/>
          <w:iCs/>
        </w:rPr>
        <w:t>Journal of World Economic Research, 3</w:t>
      </w:r>
      <w:r w:rsidRPr="00C520B9">
        <w:rPr>
          <w:rFonts w:eastAsia="Times New Roman" w:cs="Times New Roman"/>
        </w:rPr>
        <w:t>(6), 95–103.</w:t>
      </w:r>
    </w:p>
    <w:p w14:paraId="3457B4E5"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Kwode, I. E. (2024). Inflationary trends and monetary policy response in Nigeria. </w:t>
      </w:r>
      <w:r w:rsidRPr="00C520B9">
        <w:rPr>
          <w:rFonts w:eastAsia="Times New Roman" w:cs="Times New Roman"/>
          <w:i/>
          <w:iCs/>
        </w:rPr>
        <w:t>African Journal of Economic Review, 12</w:t>
      </w:r>
      <w:r w:rsidRPr="00C520B9">
        <w:rPr>
          <w:rFonts w:eastAsia="Times New Roman" w:cs="Times New Roman"/>
        </w:rPr>
        <w:t>(1), 33–49.</w:t>
      </w:r>
    </w:p>
    <w:p w14:paraId="23C37DFC"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Kwode, P. (2024). Central Bank intervention schemes and inclusive growth in Sub-Saharan Africa: Empirical evidence from Nigeria. </w:t>
      </w:r>
      <w:r w:rsidRPr="00C520B9">
        <w:rPr>
          <w:rFonts w:eastAsia="Times New Roman" w:cs="Times New Roman"/>
          <w:i/>
          <w:iCs/>
        </w:rPr>
        <w:t>African Development Review, 36</w:t>
      </w:r>
      <w:r w:rsidRPr="00C520B9">
        <w:rPr>
          <w:rFonts w:eastAsia="Times New Roman" w:cs="Times New Roman"/>
        </w:rPr>
        <w:t>(2), 145–163.</w:t>
      </w:r>
    </w:p>
    <w:p w14:paraId="1DC50501"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Kuma, T., &amp; Gata, T. (2023). Factors affecting food price inflation in Ethiopia: An autoregressive distributed lag approach. </w:t>
      </w:r>
      <w:r w:rsidRPr="00C520B9">
        <w:rPr>
          <w:rFonts w:eastAsia="Times New Roman" w:cs="Times New Roman"/>
          <w:i/>
          <w:iCs/>
        </w:rPr>
        <w:t>Ethiopian Journal of Economics, 31</w:t>
      </w:r>
      <w:r w:rsidRPr="00C520B9">
        <w:rPr>
          <w:rFonts w:eastAsia="Times New Roman" w:cs="Times New Roman"/>
        </w:rPr>
        <w:t>(1), 55–73.</w:t>
      </w:r>
    </w:p>
    <w:p w14:paraId="2A5DA808"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Ludwig von Mises. (1953). </w:t>
      </w:r>
      <w:r w:rsidRPr="00C520B9">
        <w:rPr>
          <w:rFonts w:eastAsia="Times New Roman" w:cs="Times New Roman"/>
          <w:i/>
          <w:iCs/>
        </w:rPr>
        <w:t>The theory of money and credit</w:t>
      </w:r>
      <w:r w:rsidRPr="00C520B9">
        <w:rPr>
          <w:rFonts w:eastAsia="Times New Roman" w:cs="Times New Roman"/>
        </w:rPr>
        <w:t>. Yale University Press.</w:t>
      </w:r>
    </w:p>
    <w:p w14:paraId="660400A0"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Maitra, B., &amp; Hossain, M. (2020). Causes and anti-inflationary policy perception in India. </w:t>
      </w:r>
      <w:r w:rsidRPr="00C520B9">
        <w:rPr>
          <w:rFonts w:eastAsia="Times New Roman" w:cs="Times New Roman"/>
          <w:i/>
          <w:iCs/>
        </w:rPr>
        <w:t>Journal of Asian Economics, 71</w:t>
      </w:r>
      <w:r w:rsidRPr="00C520B9">
        <w:rPr>
          <w:rFonts w:eastAsia="Times New Roman" w:cs="Times New Roman"/>
        </w:rPr>
        <w:t>, 101–115.</w:t>
      </w:r>
    </w:p>
    <w:p w14:paraId="4298E7C8"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Milton Friedman. (1963). </w:t>
      </w:r>
      <w:r w:rsidRPr="00C520B9">
        <w:rPr>
          <w:rFonts w:eastAsia="Times New Roman" w:cs="Times New Roman"/>
          <w:i/>
          <w:iCs/>
        </w:rPr>
        <w:t>Inflation: Causes and consequences</w:t>
      </w:r>
      <w:r w:rsidRPr="00C520B9">
        <w:rPr>
          <w:rFonts w:eastAsia="Times New Roman" w:cs="Times New Roman"/>
        </w:rPr>
        <w:t>. Asia Publishing House.</w:t>
      </w:r>
    </w:p>
    <w:p w14:paraId="7F00CA28"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Milton Friedman. (1968). The role of monetary policy. </w:t>
      </w:r>
      <w:r w:rsidRPr="00C520B9">
        <w:rPr>
          <w:rFonts w:eastAsia="Times New Roman" w:cs="Times New Roman"/>
          <w:i/>
          <w:iCs/>
        </w:rPr>
        <w:t>American Economic Review, 58</w:t>
      </w:r>
      <w:r w:rsidRPr="00C520B9">
        <w:rPr>
          <w:rFonts w:eastAsia="Times New Roman" w:cs="Times New Roman"/>
        </w:rPr>
        <w:t>(1), 1–17.</w:t>
      </w:r>
    </w:p>
    <w:p w14:paraId="5C584CF3"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National Bureau of Statistics. (2025). </w:t>
      </w:r>
      <w:r w:rsidRPr="00C520B9">
        <w:rPr>
          <w:rFonts w:eastAsia="Times New Roman" w:cs="Times New Roman"/>
          <w:i/>
          <w:iCs/>
        </w:rPr>
        <w:t>Consumer price index reports and inflation statistics</w:t>
      </w:r>
      <w:r w:rsidRPr="00C520B9">
        <w:rPr>
          <w:rFonts w:eastAsia="Times New Roman" w:cs="Times New Roman"/>
        </w:rPr>
        <w:t>. NBS.</w:t>
      </w:r>
    </w:p>
    <w:p w14:paraId="428D0030"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Obadan, M. I. (2006). Overview of exchange rate management in Nigeria from 1986 to date. </w:t>
      </w:r>
      <w:r w:rsidRPr="00C520B9">
        <w:rPr>
          <w:rFonts w:eastAsia="Times New Roman" w:cs="Times New Roman"/>
          <w:i/>
          <w:iCs/>
        </w:rPr>
        <w:t>CBN Economic and Financial Review, 44</w:t>
      </w:r>
      <w:r w:rsidRPr="00C520B9">
        <w:rPr>
          <w:rFonts w:eastAsia="Times New Roman" w:cs="Times New Roman"/>
        </w:rPr>
        <w:t>(3), 1–23.</w:t>
      </w:r>
    </w:p>
    <w:p w14:paraId="364CF938"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Odusanya, I. A., &amp; Atanda, A. A. (2010). Analysis of inflation and its determinant in Nigeria. </w:t>
      </w:r>
      <w:r w:rsidRPr="00C520B9">
        <w:rPr>
          <w:rFonts w:eastAsia="Times New Roman" w:cs="Times New Roman"/>
          <w:i/>
          <w:iCs/>
        </w:rPr>
        <w:t>Pakistan Journal of Social Sciences, 7</w:t>
      </w:r>
      <w:r w:rsidRPr="00C520B9">
        <w:rPr>
          <w:rFonts w:eastAsia="Times New Roman" w:cs="Times New Roman"/>
        </w:rPr>
        <w:t>(2), 97–100.</w:t>
      </w:r>
    </w:p>
    <w:p w14:paraId="4201B3A2"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Okeke, C. (2023). Fiscal accommodation and inflation persistence in Nigeria. </w:t>
      </w:r>
      <w:r w:rsidRPr="00C520B9">
        <w:rPr>
          <w:rFonts w:eastAsia="Times New Roman" w:cs="Times New Roman"/>
          <w:i/>
          <w:iCs/>
        </w:rPr>
        <w:t>African Journal of Economic Policy, 30</w:t>
      </w:r>
      <w:r w:rsidRPr="00C520B9">
        <w:rPr>
          <w:rFonts w:eastAsia="Times New Roman" w:cs="Times New Roman"/>
        </w:rPr>
        <w:t>(1), 77–95.</w:t>
      </w:r>
    </w:p>
    <w:p w14:paraId="565522F8"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Okotori, C. A. (2019). Money supply and inflation nexus in Nigeria. </w:t>
      </w:r>
      <w:r w:rsidRPr="00C520B9">
        <w:rPr>
          <w:rFonts w:eastAsia="Times New Roman" w:cs="Times New Roman"/>
          <w:i/>
          <w:iCs/>
        </w:rPr>
        <w:t>International Journal of Innovative Finance and Economics Research, 7</w:t>
      </w:r>
      <w:r w:rsidRPr="00C520B9">
        <w:rPr>
          <w:rFonts w:eastAsia="Times New Roman" w:cs="Times New Roman"/>
        </w:rPr>
        <w:t>(1), 34–42.</w:t>
      </w:r>
    </w:p>
    <w:p w14:paraId="1B2B6B1F"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Okotori, S. (2019). Dynamics of monetary policy and inflation in Nigeria. </w:t>
      </w:r>
      <w:r w:rsidRPr="00C520B9">
        <w:rPr>
          <w:rFonts w:eastAsia="Times New Roman" w:cs="Times New Roman"/>
          <w:i/>
          <w:iCs/>
        </w:rPr>
        <w:t>CBN Economic and Financial Review, 57</w:t>
      </w:r>
      <w:r w:rsidRPr="00C520B9">
        <w:rPr>
          <w:rFonts w:eastAsia="Times New Roman" w:cs="Times New Roman"/>
        </w:rPr>
        <w:t>(4), 1–20.</w:t>
      </w:r>
    </w:p>
    <w:p w14:paraId="6BB954BB"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Olaoye, F., &amp; Anyanwu, K. (2024). Monetary growth and inflation transmission mechanism in Nigeria. </w:t>
      </w:r>
      <w:r w:rsidRPr="00C520B9">
        <w:rPr>
          <w:rFonts w:eastAsia="Times New Roman" w:cs="Times New Roman"/>
          <w:i/>
          <w:iCs/>
        </w:rPr>
        <w:t>Journal of African Macroeconomic Studies, 12</w:t>
      </w:r>
      <w:r w:rsidRPr="00C520B9">
        <w:rPr>
          <w:rFonts w:eastAsia="Times New Roman" w:cs="Times New Roman"/>
        </w:rPr>
        <w:t>(3), 88–109.</w:t>
      </w:r>
    </w:p>
    <w:p w14:paraId="3FF48D49"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O’Neill, R., Ralph, J., &amp; Smith, P. (2017). </w:t>
      </w:r>
      <w:r w:rsidRPr="00C520B9">
        <w:rPr>
          <w:rFonts w:eastAsia="Times New Roman" w:cs="Times New Roman"/>
          <w:i/>
          <w:iCs/>
        </w:rPr>
        <w:t>Measuring inflation: The consumer price index and its applications</w:t>
      </w:r>
      <w:r w:rsidRPr="00C520B9">
        <w:rPr>
          <w:rFonts w:eastAsia="Times New Roman" w:cs="Times New Roman"/>
        </w:rPr>
        <w:t>. Oxford University Press.</w:t>
      </w:r>
    </w:p>
    <w:p w14:paraId="23DCED08"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Omotosho, B. S., &amp; Doguwa, S. I. (2012). Understanding the dynamics of inflation volatility in Nigeria: A GARCH perspective. </w:t>
      </w:r>
      <w:r w:rsidRPr="00C520B9">
        <w:rPr>
          <w:rFonts w:eastAsia="Times New Roman" w:cs="Times New Roman"/>
          <w:i/>
          <w:iCs/>
        </w:rPr>
        <w:t>CBN Journal of Applied Statistics, 3</w:t>
      </w:r>
      <w:r w:rsidRPr="00C520B9">
        <w:rPr>
          <w:rFonts w:eastAsia="Times New Roman" w:cs="Times New Roman"/>
        </w:rPr>
        <w:t>(2), 51–74.</w:t>
      </w:r>
    </w:p>
    <w:p w14:paraId="6D7E18A1"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Punch Newspapers. (2024, September 11). Nigeria’s broad money supply rises sharply amid fiscal expansion.</w:t>
      </w:r>
    </w:p>
    <w:p w14:paraId="1983D8B1"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Punch Newspapers. (2025). CBN tightening measures and liquidity conditions in Nigeria.</w:t>
      </w:r>
    </w:p>
    <w:p w14:paraId="721CD00B"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Reuters. (2025). Nigeria’s inflation rate slows amid tighter monetary policy and exchange rate stabilization.</w:t>
      </w:r>
    </w:p>
    <w:p w14:paraId="56663CB7"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Sargent, T. J., &amp; Wallace, N. (1981). Some unpleasant monetarist arithmetic. </w:t>
      </w:r>
      <w:r w:rsidRPr="00C520B9">
        <w:rPr>
          <w:rFonts w:eastAsia="Times New Roman" w:cs="Times New Roman"/>
          <w:i/>
          <w:iCs/>
        </w:rPr>
        <w:t>Federal Reserve Bank of Minneapolis Quarterly Review, 5</w:t>
      </w:r>
      <w:r w:rsidRPr="00C520B9">
        <w:rPr>
          <w:rFonts w:eastAsia="Times New Roman" w:cs="Times New Roman"/>
        </w:rPr>
        <w:t>(3), 1–17.</w:t>
      </w:r>
    </w:p>
    <w:p w14:paraId="2B342919"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Sola, O., &amp; Peter, A. (2013). Money supply and inflation in Nigeria: Implications for national development. </w:t>
      </w:r>
      <w:r w:rsidRPr="00C520B9">
        <w:rPr>
          <w:rFonts w:eastAsia="Times New Roman" w:cs="Times New Roman"/>
          <w:i/>
          <w:iCs/>
        </w:rPr>
        <w:t>Modern Economy, 4</w:t>
      </w:r>
      <w:r w:rsidRPr="00C520B9">
        <w:rPr>
          <w:rFonts w:eastAsia="Times New Roman" w:cs="Times New Roman"/>
        </w:rPr>
        <w:t>(11), 161–170.</w:t>
      </w:r>
    </w:p>
    <w:p w14:paraId="0B197E26"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Soliman, A., Khan, R., &amp; Patel, S. (2023). Asymmetric effects of energy inflation, Agri-inflation and CPI on agricultural output: Evidence from NARDL and SVAR models for the UK. </w:t>
      </w:r>
      <w:r w:rsidRPr="00C520B9">
        <w:rPr>
          <w:rFonts w:eastAsia="Times New Roman" w:cs="Times New Roman"/>
          <w:i/>
          <w:iCs/>
        </w:rPr>
        <w:t>Energy Economics Letters, 8</w:t>
      </w:r>
      <w:r w:rsidRPr="00C520B9">
        <w:rPr>
          <w:rFonts w:eastAsia="Times New Roman" w:cs="Times New Roman"/>
        </w:rPr>
        <w:t>(3), 210–229.</w:t>
      </w:r>
    </w:p>
    <w:p w14:paraId="6C093804"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Udo, A. B., Effiong, C. E., &amp; Akpan, J. E. (2019). Political instability and inflation in Nigeria. </w:t>
      </w:r>
      <w:r w:rsidRPr="00C520B9">
        <w:rPr>
          <w:rFonts w:eastAsia="Times New Roman" w:cs="Times New Roman"/>
          <w:i/>
          <w:iCs/>
        </w:rPr>
        <w:t>International Journal of Development and Economic Sustainability, 7</w:t>
      </w:r>
      <w:r w:rsidRPr="00C520B9">
        <w:rPr>
          <w:rFonts w:eastAsia="Times New Roman" w:cs="Times New Roman"/>
        </w:rPr>
        <w:t>(3), 15–29.</w:t>
      </w:r>
    </w:p>
    <w:p w14:paraId="38B6E4D8" w14:textId="77777777" w:rsidR="00C520B9" w:rsidRPr="00C520B9" w:rsidRDefault="00C520B9" w:rsidP="00C520B9">
      <w:pPr>
        <w:spacing w:after="0" w:line="240" w:lineRule="auto"/>
        <w:rPr>
          <w:rFonts w:eastAsia="Times New Roman" w:cs="Times New Roman"/>
        </w:rPr>
      </w:pPr>
      <w:r w:rsidRPr="00C520B9">
        <w:rPr>
          <w:rFonts w:eastAsia="Times New Roman" w:cs="Times New Roman"/>
        </w:rPr>
        <w:t xml:space="preserve">YCharts. (2024). </w:t>
      </w:r>
      <w:r w:rsidRPr="00C520B9">
        <w:rPr>
          <w:rFonts w:eastAsia="Times New Roman" w:cs="Times New Roman"/>
          <w:i/>
          <w:iCs/>
        </w:rPr>
        <w:t>Nigeria inflation rate historical data</w:t>
      </w:r>
      <w:r w:rsidRPr="00C520B9">
        <w:rPr>
          <w:rFonts w:eastAsia="Times New Roman" w:cs="Times New Roman"/>
        </w:rPr>
        <w:t xml:space="preserve">. </w:t>
      </w:r>
      <w:hyperlink r:id="rId16" w:tgtFrame="_new" w:history="1">
        <w:r w:rsidRPr="00C520B9">
          <w:rPr>
            <w:rStyle w:val="Hyperlink"/>
            <w:rFonts w:eastAsia="Times New Roman" w:cs="Times New Roman"/>
          </w:rPr>
          <w:t>https://ycharts.com</w:t>
        </w:r>
      </w:hyperlink>
    </w:p>
    <w:p w14:paraId="2109BB5C" w14:textId="4036B996" w:rsidR="0016617A" w:rsidRPr="0016617A" w:rsidRDefault="0016617A" w:rsidP="00C520B9">
      <w:pPr>
        <w:spacing w:after="0" w:line="240" w:lineRule="auto"/>
        <w:rPr>
          <w:rStyle w:val="Hyperlink"/>
          <w:rFonts w:eastAsia="Times New Roman" w:cs="Times New Roman"/>
          <w:color w:val="auto"/>
          <w:u w:val="none"/>
        </w:rPr>
      </w:pPr>
    </w:p>
    <w:sectPr w:rsidR="0016617A" w:rsidRPr="0016617A" w:rsidSect="0054274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F354A" w14:textId="77777777" w:rsidR="00BD5909" w:rsidRDefault="00BD5909" w:rsidP="008B4611">
      <w:pPr>
        <w:spacing w:after="0" w:line="240" w:lineRule="auto"/>
      </w:pPr>
      <w:r>
        <w:separator/>
      </w:r>
    </w:p>
  </w:endnote>
  <w:endnote w:type="continuationSeparator" w:id="0">
    <w:p w14:paraId="50675F3C" w14:textId="77777777" w:rsidR="00BD5909" w:rsidRDefault="00BD5909" w:rsidP="008B4611">
      <w:pPr>
        <w:spacing w:after="0" w:line="240" w:lineRule="auto"/>
      </w:pPr>
      <w:r>
        <w:continuationSeparator/>
      </w:r>
    </w:p>
  </w:endnote>
  <w:endnote w:type="continuationNotice" w:id="1">
    <w:p w14:paraId="02EEF507" w14:textId="77777777" w:rsidR="00BD5909" w:rsidRDefault="00BD5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31D3F" w14:textId="23FB454C" w:rsidR="007D2E8A" w:rsidRDefault="00F23C90">
    <w:pPr>
      <w:pStyle w:val="Footer"/>
      <w:jc w:val="center"/>
    </w:pPr>
    <w:r>
      <w:rPr>
        <w:noProof/>
        <w:lang w:val="en-IN" w:eastAsia="en-IN"/>
      </w:rPr>
      <mc:AlternateContent>
        <mc:Choice Requires="wps">
          <w:drawing>
            <wp:anchor distT="0" distB="0" distL="114300" distR="114300" simplePos="0" relativeHeight="251658240" behindDoc="0" locked="0" layoutInCell="0" allowOverlap="1" wp14:anchorId="799E2948" wp14:editId="17044BF5">
              <wp:simplePos x="0" y="0"/>
              <wp:positionH relativeFrom="page">
                <wp:posOffset>0</wp:posOffset>
              </wp:positionH>
              <wp:positionV relativeFrom="page">
                <wp:posOffset>10234930</wp:posOffset>
              </wp:positionV>
              <wp:extent cx="7560310" cy="266700"/>
              <wp:effectExtent l="0" t="0" r="0" b="0"/>
              <wp:wrapNone/>
              <wp:docPr id="1" name="MSIPCM903b401fa4ffc6a9aced472c" descr="{&quot;HashCode&quot;:-104621025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EE2C57" w14:textId="6F5B2289" w:rsidR="00F23C90" w:rsidRPr="00F23C90" w:rsidRDefault="00F23C90" w:rsidP="00F23C90">
                          <w:pPr>
                            <w:spacing w:after="0"/>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9E2948" id="_x0000_t202" coordsize="21600,21600" o:spt="202" path="m,l,21600r21600,l21600,xe">
              <v:stroke joinstyle="miter"/>
              <v:path gradientshapeok="t" o:connecttype="rect"/>
            </v:shapetype>
            <v:shape id="MSIPCM903b401fa4ffc6a9aced472c" o:spid="_x0000_s1026" type="#_x0000_t202" alt="{&quot;HashCode&quot;:-1046210256,&quot;Height&quot;:841.0,&quot;Width&quot;:595.0,&quot;Placement&quot;:&quot;Footer&quot;,&quot;Index&quot;:&quot;Primary&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70EE2C57" w14:textId="6F5B2289" w:rsidR="00F23C90" w:rsidRPr="00F23C90" w:rsidRDefault="00F23C90" w:rsidP="00F23C90">
                    <w:pPr>
                      <w:spacing w:after="0"/>
                      <w:rPr>
                        <w:rFonts w:ascii="Calibri" w:hAnsi="Calibri" w:cs="Calibri"/>
                        <w:color w:val="000000"/>
                        <w:sz w:val="16"/>
                      </w:rPr>
                    </w:pPr>
                  </w:p>
                </w:txbxContent>
              </v:textbox>
              <w10:wrap anchorx="page" anchory="page"/>
            </v:shape>
          </w:pict>
        </mc:Fallback>
      </mc:AlternateContent>
    </w:r>
    <w:sdt>
      <w:sdtPr>
        <w:id w:val="-1029262671"/>
        <w:docPartObj>
          <w:docPartGallery w:val="Page Numbers (Bottom of Page)"/>
          <w:docPartUnique/>
        </w:docPartObj>
      </w:sdtPr>
      <w:sdtEndPr>
        <w:rPr>
          <w:noProof/>
        </w:rPr>
      </w:sdtEndPr>
      <w:sdtContent>
        <w:r w:rsidR="007D2E8A">
          <w:fldChar w:fldCharType="begin"/>
        </w:r>
        <w:r w:rsidR="007D2E8A">
          <w:instrText xml:space="preserve"> PAGE   \* MERGEFORMAT </w:instrText>
        </w:r>
        <w:r w:rsidR="007D2E8A">
          <w:fldChar w:fldCharType="separate"/>
        </w:r>
        <w:r w:rsidR="00E57018">
          <w:rPr>
            <w:noProof/>
          </w:rPr>
          <w:t>10</w:t>
        </w:r>
        <w:r w:rsidR="007D2E8A">
          <w:rPr>
            <w:noProof/>
          </w:rPr>
          <w:fldChar w:fldCharType="end"/>
        </w:r>
      </w:sdtContent>
    </w:sdt>
  </w:p>
  <w:p w14:paraId="449EB55E" w14:textId="056DDDD0" w:rsidR="008B4611" w:rsidRDefault="008B4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5ACC8" w14:textId="77777777" w:rsidR="00BD5909" w:rsidRDefault="00BD5909" w:rsidP="008B4611">
      <w:pPr>
        <w:spacing w:after="0" w:line="240" w:lineRule="auto"/>
      </w:pPr>
      <w:r>
        <w:separator/>
      </w:r>
    </w:p>
  </w:footnote>
  <w:footnote w:type="continuationSeparator" w:id="0">
    <w:p w14:paraId="63E55845" w14:textId="77777777" w:rsidR="00BD5909" w:rsidRDefault="00BD5909" w:rsidP="008B4611">
      <w:pPr>
        <w:spacing w:after="0" w:line="240" w:lineRule="auto"/>
      </w:pPr>
      <w:r>
        <w:continuationSeparator/>
      </w:r>
    </w:p>
  </w:footnote>
  <w:footnote w:type="continuationNotice" w:id="1">
    <w:p w14:paraId="4F4A00FC" w14:textId="77777777" w:rsidR="00BD5909" w:rsidRDefault="00BD590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FC1"/>
    <w:multiLevelType w:val="hybridMultilevel"/>
    <w:tmpl w:val="1E424034"/>
    <w:lvl w:ilvl="0" w:tplc="BA6A12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B38C7"/>
    <w:multiLevelType w:val="multilevel"/>
    <w:tmpl w:val="6152090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B93D73"/>
    <w:multiLevelType w:val="multilevel"/>
    <w:tmpl w:val="6400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E10AE"/>
    <w:multiLevelType w:val="multilevel"/>
    <w:tmpl w:val="8928540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DD84668"/>
    <w:multiLevelType w:val="multilevel"/>
    <w:tmpl w:val="C9B6EB28"/>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F35DEF"/>
    <w:multiLevelType w:val="hybridMultilevel"/>
    <w:tmpl w:val="C98C9A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E621EA"/>
    <w:multiLevelType w:val="hybridMultilevel"/>
    <w:tmpl w:val="59488D22"/>
    <w:lvl w:ilvl="0" w:tplc="D45694F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5B381C"/>
    <w:multiLevelType w:val="multilevel"/>
    <w:tmpl w:val="1B1EA47A"/>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47123E"/>
    <w:multiLevelType w:val="multilevel"/>
    <w:tmpl w:val="1614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357786"/>
    <w:multiLevelType w:val="multilevel"/>
    <w:tmpl w:val="5E0EB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9245E8"/>
    <w:multiLevelType w:val="multilevel"/>
    <w:tmpl w:val="4C76983A"/>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1FA763E"/>
    <w:multiLevelType w:val="multilevel"/>
    <w:tmpl w:val="0E8EBEC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3A974CA"/>
    <w:multiLevelType w:val="multilevel"/>
    <w:tmpl w:val="5BFC4664"/>
    <w:lvl w:ilvl="0">
      <w:start w:val="1"/>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3">
    <w:nsid w:val="51DA62F2"/>
    <w:multiLevelType w:val="multilevel"/>
    <w:tmpl w:val="4780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6525B7"/>
    <w:multiLevelType w:val="multilevel"/>
    <w:tmpl w:val="8928540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3AE7E46"/>
    <w:multiLevelType w:val="multilevel"/>
    <w:tmpl w:val="4D261E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7613575"/>
    <w:multiLevelType w:val="hybridMultilevel"/>
    <w:tmpl w:val="04E6606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F0607EE"/>
    <w:multiLevelType w:val="multilevel"/>
    <w:tmpl w:val="C99E4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B73961"/>
    <w:multiLevelType w:val="multilevel"/>
    <w:tmpl w:val="0374B7FC"/>
    <w:lvl w:ilvl="0">
      <w:start w:val="1"/>
      <w:numFmt w:val="upperRoman"/>
      <w:lvlText w:val="%1."/>
      <w:lvlJc w:val="left"/>
      <w:pPr>
        <w:ind w:left="1080" w:hanging="72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18"/>
  </w:num>
  <w:num w:numId="3">
    <w:abstractNumId w:val="3"/>
  </w:num>
  <w:num w:numId="4">
    <w:abstractNumId w:val="15"/>
  </w:num>
  <w:num w:numId="5">
    <w:abstractNumId w:val="10"/>
  </w:num>
  <w:num w:numId="6">
    <w:abstractNumId w:val="12"/>
  </w:num>
  <w:num w:numId="7">
    <w:abstractNumId w:val="11"/>
  </w:num>
  <w:num w:numId="8">
    <w:abstractNumId w:val="5"/>
  </w:num>
  <w:num w:numId="9">
    <w:abstractNumId w:val="16"/>
  </w:num>
  <w:num w:numId="10">
    <w:abstractNumId w:val="4"/>
  </w:num>
  <w:num w:numId="11">
    <w:abstractNumId w:val="7"/>
  </w:num>
  <w:num w:numId="12">
    <w:abstractNumId w:val="8"/>
  </w:num>
  <w:num w:numId="13">
    <w:abstractNumId w:val="17"/>
  </w:num>
  <w:num w:numId="14">
    <w:abstractNumId w:val="9"/>
  </w:num>
  <w:num w:numId="15">
    <w:abstractNumId w:val="14"/>
  </w:num>
  <w:num w:numId="16">
    <w:abstractNumId w:val="6"/>
  </w:num>
  <w:num w:numId="17">
    <w:abstractNumId w:val="0"/>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611"/>
    <w:rsid w:val="0000025B"/>
    <w:rsid w:val="000033F8"/>
    <w:rsid w:val="00003771"/>
    <w:rsid w:val="000039E8"/>
    <w:rsid w:val="00003B88"/>
    <w:rsid w:val="00003C9A"/>
    <w:rsid w:val="00003F19"/>
    <w:rsid w:val="00004469"/>
    <w:rsid w:val="00004D0B"/>
    <w:rsid w:val="00006F9F"/>
    <w:rsid w:val="00007DC8"/>
    <w:rsid w:val="00007EE4"/>
    <w:rsid w:val="000102AF"/>
    <w:rsid w:val="0001051D"/>
    <w:rsid w:val="0001152F"/>
    <w:rsid w:val="00013822"/>
    <w:rsid w:val="00013FB4"/>
    <w:rsid w:val="00014534"/>
    <w:rsid w:val="00014B7D"/>
    <w:rsid w:val="00014E4E"/>
    <w:rsid w:val="000159CB"/>
    <w:rsid w:val="00016F5A"/>
    <w:rsid w:val="00020B43"/>
    <w:rsid w:val="00020BC3"/>
    <w:rsid w:val="0002253D"/>
    <w:rsid w:val="000228F6"/>
    <w:rsid w:val="00022E5E"/>
    <w:rsid w:val="00023062"/>
    <w:rsid w:val="00023A8E"/>
    <w:rsid w:val="00024369"/>
    <w:rsid w:val="00024537"/>
    <w:rsid w:val="000252A6"/>
    <w:rsid w:val="000260B4"/>
    <w:rsid w:val="000265F5"/>
    <w:rsid w:val="00026713"/>
    <w:rsid w:val="000279B1"/>
    <w:rsid w:val="00027C1D"/>
    <w:rsid w:val="00027FF9"/>
    <w:rsid w:val="0003038B"/>
    <w:rsid w:val="00030410"/>
    <w:rsid w:val="00031DC4"/>
    <w:rsid w:val="00031EB0"/>
    <w:rsid w:val="0003361B"/>
    <w:rsid w:val="0003386C"/>
    <w:rsid w:val="00035183"/>
    <w:rsid w:val="00035274"/>
    <w:rsid w:val="00035459"/>
    <w:rsid w:val="00036028"/>
    <w:rsid w:val="00036D35"/>
    <w:rsid w:val="0003772D"/>
    <w:rsid w:val="0004006A"/>
    <w:rsid w:val="000400A4"/>
    <w:rsid w:val="00040262"/>
    <w:rsid w:val="00040FEB"/>
    <w:rsid w:val="0004112C"/>
    <w:rsid w:val="0004150D"/>
    <w:rsid w:val="000423D8"/>
    <w:rsid w:val="00042F61"/>
    <w:rsid w:val="00043356"/>
    <w:rsid w:val="00043793"/>
    <w:rsid w:val="00043B79"/>
    <w:rsid w:val="00044354"/>
    <w:rsid w:val="00044359"/>
    <w:rsid w:val="000443C7"/>
    <w:rsid w:val="00044E37"/>
    <w:rsid w:val="000450BB"/>
    <w:rsid w:val="000456B5"/>
    <w:rsid w:val="000458FF"/>
    <w:rsid w:val="00046B1E"/>
    <w:rsid w:val="000473B3"/>
    <w:rsid w:val="0005027D"/>
    <w:rsid w:val="0005066E"/>
    <w:rsid w:val="00051BB7"/>
    <w:rsid w:val="0005221B"/>
    <w:rsid w:val="00052680"/>
    <w:rsid w:val="00053049"/>
    <w:rsid w:val="00053924"/>
    <w:rsid w:val="0005516E"/>
    <w:rsid w:val="000559E5"/>
    <w:rsid w:val="00056457"/>
    <w:rsid w:val="000572A2"/>
    <w:rsid w:val="000603F4"/>
    <w:rsid w:val="00060514"/>
    <w:rsid w:val="000605CC"/>
    <w:rsid w:val="00061331"/>
    <w:rsid w:val="00061F7C"/>
    <w:rsid w:val="00062D49"/>
    <w:rsid w:val="0006392E"/>
    <w:rsid w:val="00064298"/>
    <w:rsid w:val="000647D0"/>
    <w:rsid w:val="0006496D"/>
    <w:rsid w:val="00066114"/>
    <w:rsid w:val="00066619"/>
    <w:rsid w:val="00067628"/>
    <w:rsid w:val="00067C83"/>
    <w:rsid w:val="0007042B"/>
    <w:rsid w:val="0007053C"/>
    <w:rsid w:val="00070900"/>
    <w:rsid w:val="00071729"/>
    <w:rsid w:val="000721F3"/>
    <w:rsid w:val="000736FC"/>
    <w:rsid w:val="00074CC2"/>
    <w:rsid w:val="00075132"/>
    <w:rsid w:val="00075399"/>
    <w:rsid w:val="00075714"/>
    <w:rsid w:val="0007693A"/>
    <w:rsid w:val="00076D3F"/>
    <w:rsid w:val="00076DD5"/>
    <w:rsid w:val="00077173"/>
    <w:rsid w:val="000774EB"/>
    <w:rsid w:val="00077967"/>
    <w:rsid w:val="0008041E"/>
    <w:rsid w:val="00080BA8"/>
    <w:rsid w:val="00081763"/>
    <w:rsid w:val="00082CC5"/>
    <w:rsid w:val="00082E0C"/>
    <w:rsid w:val="000838DB"/>
    <w:rsid w:val="0008455C"/>
    <w:rsid w:val="0008457C"/>
    <w:rsid w:val="0008469C"/>
    <w:rsid w:val="00084996"/>
    <w:rsid w:val="000851F4"/>
    <w:rsid w:val="00085505"/>
    <w:rsid w:val="00085B18"/>
    <w:rsid w:val="00086450"/>
    <w:rsid w:val="00086D93"/>
    <w:rsid w:val="00086F8D"/>
    <w:rsid w:val="000870D9"/>
    <w:rsid w:val="000907E3"/>
    <w:rsid w:val="00090EDE"/>
    <w:rsid w:val="0009106B"/>
    <w:rsid w:val="0009138C"/>
    <w:rsid w:val="00091733"/>
    <w:rsid w:val="00091D10"/>
    <w:rsid w:val="00092863"/>
    <w:rsid w:val="0009377E"/>
    <w:rsid w:val="0009385A"/>
    <w:rsid w:val="00093874"/>
    <w:rsid w:val="00093F65"/>
    <w:rsid w:val="000942AB"/>
    <w:rsid w:val="0009462A"/>
    <w:rsid w:val="00094A42"/>
    <w:rsid w:val="00094B40"/>
    <w:rsid w:val="00095387"/>
    <w:rsid w:val="00095606"/>
    <w:rsid w:val="00095A20"/>
    <w:rsid w:val="00095A72"/>
    <w:rsid w:val="00097479"/>
    <w:rsid w:val="000974A2"/>
    <w:rsid w:val="0009772C"/>
    <w:rsid w:val="00097BDB"/>
    <w:rsid w:val="000A2032"/>
    <w:rsid w:val="000A2F4D"/>
    <w:rsid w:val="000A40A5"/>
    <w:rsid w:val="000A53CA"/>
    <w:rsid w:val="000A554F"/>
    <w:rsid w:val="000A5F5C"/>
    <w:rsid w:val="000A6CBE"/>
    <w:rsid w:val="000A6D18"/>
    <w:rsid w:val="000A721F"/>
    <w:rsid w:val="000A774D"/>
    <w:rsid w:val="000B00ED"/>
    <w:rsid w:val="000B0E03"/>
    <w:rsid w:val="000B0F74"/>
    <w:rsid w:val="000B149A"/>
    <w:rsid w:val="000B1FC0"/>
    <w:rsid w:val="000B2263"/>
    <w:rsid w:val="000B30DF"/>
    <w:rsid w:val="000B34C8"/>
    <w:rsid w:val="000B3E43"/>
    <w:rsid w:val="000B43F8"/>
    <w:rsid w:val="000B4B0E"/>
    <w:rsid w:val="000B5659"/>
    <w:rsid w:val="000B59D6"/>
    <w:rsid w:val="000C0A25"/>
    <w:rsid w:val="000C0AEE"/>
    <w:rsid w:val="000C24CB"/>
    <w:rsid w:val="000C28BB"/>
    <w:rsid w:val="000C3AFD"/>
    <w:rsid w:val="000C3CB4"/>
    <w:rsid w:val="000C448D"/>
    <w:rsid w:val="000C49AE"/>
    <w:rsid w:val="000C50D4"/>
    <w:rsid w:val="000C5D2B"/>
    <w:rsid w:val="000C5ED8"/>
    <w:rsid w:val="000C5F20"/>
    <w:rsid w:val="000C61BA"/>
    <w:rsid w:val="000C7267"/>
    <w:rsid w:val="000C7997"/>
    <w:rsid w:val="000C7A7E"/>
    <w:rsid w:val="000D0DAD"/>
    <w:rsid w:val="000D1844"/>
    <w:rsid w:val="000D2782"/>
    <w:rsid w:val="000D3006"/>
    <w:rsid w:val="000D3387"/>
    <w:rsid w:val="000D34F1"/>
    <w:rsid w:val="000D3686"/>
    <w:rsid w:val="000D43F8"/>
    <w:rsid w:val="000D6132"/>
    <w:rsid w:val="000D71A3"/>
    <w:rsid w:val="000D730F"/>
    <w:rsid w:val="000E04D6"/>
    <w:rsid w:val="000E07F1"/>
    <w:rsid w:val="000E091B"/>
    <w:rsid w:val="000E19CB"/>
    <w:rsid w:val="000E1FB5"/>
    <w:rsid w:val="000E28B7"/>
    <w:rsid w:val="000E2937"/>
    <w:rsid w:val="000E2CB4"/>
    <w:rsid w:val="000E2D42"/>
    <w:rsid w:val="000E3885"/>
    <w:rsid w:val="000E3F59"/>
    <w:rsid w:val="000E4630"/>
    <w:rsid w:val="000E49B9"/>
    <w:rsid w:val="000E5618"/>
    <w:rsid w:val="000E6280"/>
    <w:rsid w:val="000E651C"/>
    <w:rsid w:val="000F041C"/>
    <w:rsid w:val="000F230A"/>
    <w:rsid w:val="000F23A8"/>
    <w:rsid w:val="000F2FDA"/>
    <w:rsid w:val="000F303F"/>
    <w:rsid w:val="000F400A"/>
    <w:rsid w:val="000F53B1"/>
    <w:rsid w:val="000F6BC1"/>
    <w:rsid w:val="000F6F12"/>
    <w:rsid w:val="0010051E"/>
    <w:rsid w:val="00100EC7"/>
    <w:rsid w:val="00101042"/>
    <w:rsid w:val="0010160C"/>
    <w:rsid w:val="00101E2E"/>
    <w:rsid w:val="0010333A"/>
    <w:rsid w:val="00103968"/>
    <w:rsid w:val="00103FA3"/>
    <w:rsid w:val="00104A87"/>
    <w:rsid w:val="00105F23"/>
    <w:rsid w:val="00106059"/>
    <w:rsid w:val="00107135"/>
    <w:rsid w:val="0010770F"/>
    <w:rsid w:val="00107C7E"/>
    <w:rsid w:val="00110B46"/>
    <w:rsid w:val="001110BA"/>
    <w:rsid w:val="00111F14"/>
    <w:rsid w:val="00112322"/>
    <w:rsid w:val="0011247B"/>
    <w:rsid w:val="0011257F"/>
    <w:rsid w:val="00112D44"/>
    <w:rsid w:val="00113698"/>
    <w:rsid w:val="00113AF7"/>
    <w:rsid w:val="0011641C"/>
    <w:rsid w:val="00116562"/>
    <w:rsid w:val="001167CD"/>
    <w:rsid w:val="00116EEE"/>
    <w:rsid w:val="001201EB"/>
    <w:rsid w:val="00120711"/>
    <w:rsid w:val="00120E6B"/>
    <w:rsid w:val="00120F37"/>
    <w:rsid w:val="00121AA5"/>
    <w:rsid w:val="00123DFF"/>
    <w:rsid w:val="00123E70"/>
    <w:rsid w:val="001243C7"/>
    <w:rsid w:val="00124931"/>
    <w:rsid w:val="00124D5A"/>
    <w:rsid w:val="00125BF2"/>
    <w:rsid w:val="001274EA"/>
    <w:rsid w:val="00130001"/>
    <w:rsid w:val="00130D4B"/>
    <w:rsid w:val="00130F29"/>
    <w:rsid w:val="001322EF"/>
    <w:rsid w:val="001325B2"/>
    <w:rsid w:val="001326BD"/>
    <w:rsid w:val="0013382A"/>
    <w:rsid w:val="0013382C"/>
    <w:rsid w:val="001339B4"/>
    <w:rsid w:val="00133C37"/>
    <w:rsid w:val="00133FD3"/>
    <w:rsid w:val="00134BDC"/>
    <w:rsid w:val="00135A71"/>
    <w:rsid w:val="00135DC0"/>
    <w:rsid w:val="00136482"/>
    <w:rsid w:val="00137166"/>
    <w:rsid w:val="0013786A"/>
    <w:rsid w:val="001403AA"/>
    <w:rsid w:val="00140535"/>
    <w:rsid w:val="00140FC1"/>
    <w:rsid w:val="00142027"/>
    <w:rsid w:val="00142EF4"/>
    <w:rsid w:val="00143461"/>
    <w:rsid w:val="001434D9"/>
    <w:rsid w:val="001460DF"/>
    <w:rsid w:val="001506E7"/>
    <w:rsid w:val="00150F3A"/>
    <w:rsid w:val="001510D3"/>
    <w:rsid w:val="001514C4"/>
    <w:rsid w:val="00151879"/>
    <w:rsid w:val="00151CB7"/>
    <w:rsid w:val="00152463"/>
    <w:rsid w:val="00152A71"/>
    <w:rsid w:val="00153055"/>
    <w:rsid w:val="0015341B"/>
    <w:rsid w:val="0015369C"/>
    <w:rsid w:val="001563B9"/>
    <w:rsid w:val="001569E7"/>
    <w:rsid w:val="00157026"/>
    <w:rsid w:val="00160603"/>
    <w:rsid w:val="001608BC"/>
    <w:rsid w:val="00162475"/>
    <w:rsid w:val="00162D3E"/>
    <w:rsid w:val="00162FB3"/>
    <w:rsid w:val="00163394"/>
    <w:rsid w:val="00163686"/>
    <w:rsid w:val="00163F8F"/>
    <w:rsid w:val="001652F3"/>
    <w:rsid w:val="0016617A"/>
    <w:rsid w:val="0016617C"/>
    <w:rsid w:val="00166286"/>
    <w:rsid w:val="00166564"/>
    <w:rsid w:val="001665E8"/>
    <w:rsid w:val="00166C74"/>
    <w:rsid w:val="001675DF"/>
    <w:rsid w:val="00167852"/>
    <w:rsid w:val="00167B1D"/>
    <w:rsid w:val="001720A2"/>
    <w:rsid w:val="00172187"/>
    <w:rsid w:val="00172C14"/>
    <w:rsid w:val="00172FBA"/>
    <w:rsid w:val="001740DC"/>
    <w:rsid w:val="00174130"/>
    <w:rsid w:val="0017424F"/>
    <w:rsid w:val="00174272"/>
    <w:rsid w:val="001748C6"/>
    <w:rsid w:val="001753CB"/>
    <w:rsid w:val="001754D2"/>
    <w:rsid w:val="00175ACA"/>
    <w:rsid w:val="00175E2F"/>
    <w:rsid w:val="00176444"/>
    <w:rsid w:val="001774E1"/>
    <w:rsid w:val="00177569"/>
    <w:rsid w:val="00177752"/>
    <w:rsid w:val="00177E93"/>
    <w:rsid w:val="00180615"/>
    <w:rsid w:val="001815FB"/>
    <w:rsid w:val="001820B1"/>
    <w:rsid w:val="00183233"/>
    <w:rsid w:val="001836CB"/>
    <w:rsid w:val="00183E65"/>
    <w:rsid w:val="00183FAA"/>
    <w:rsid w:val="001845EA"/>
    <w:rsid w:val="001845F9"/>
    <w:rsid w:val="00184CF1"/>
    <w:rsid w:val="00184EC0"/>
    <w:rsid w:val="00185022"/>
    <w:rsid w:val="00186831"/>
    <w:rsid w:val="00186955"/>
    <w:rsid w:val="00186CCF"/>
    <w:rsid w:val="0018734C"/>
    <w:rsid w:val="00187B2E"/>
    <w:rsid w:val="00190159"/>
    <w:rsid w:val="00190E4C"/>
    <w:rsid w:val="00191DEB"/>
    <w:rsid w:val="00192919"/>
    <w:rsid w:val="00193011"/>
    <w:rsid w:val="001937A9"/>
    <w:rsid w:val="00193A26"/>
    <w:rsid w:val="00193A80"/>
    <w:rsid w:val="00193C83"/>
    <w:rsid w:val="00193D19"/>
    <w:rsid w:val="00194C73"/>
    <w:rsid w:val="00194D8A"/>
    <w:rsid w:val="00194FD1"/>
    <w:rsid w:val="00195AF2"/>
    <w:rsid w:val="00196288"/>
    <w:rsid w:val="0019634E"/>
    <w:rsid w:val="001964FA"/>
    <w:rsid w:val="001965B0"/>
    <w:rsid w:val="001969BA"/>
    <w:rsid w:val="00197494"/>
    <w:rsid w:val="00197B5C"/>
    <w:rsid w:val="001A26DD"/>
    <w:rsid w:val="001A2A4F"/>
    <w:rsid w:val="001A4E3A"/>
    <w:rsid w:val="001A5371"/>
    <w:rsid w:val="001A5DAC"/>
    <w:rsid w:val="001A60FA"/>
    <w:rsid w:val="001A61AD"/>
    <w:rsid w:val="001A67E4"/>
    <w:rsid w:val="001B02A1"/>
    <w:rsid w:val="001B2473"/>
    <w:rsid w:val="001B2C06"/>
    <w:rsid w:val="001B2DD5"/>
    <w:rsid w:val="001B336D"/>
    <w:rsid w:val="001B38C1"/>
    <w:rsid w:val="001B42DA"/>
    <w:rsid w:val="001B4929"/>
    <w:rsid w:val="001B5024"/>
    <w:rsid w:val="001B5BAC"/>
    <w:rsid w:val="001B67AD"/>
    <w:rsid w:val="001B737A"/>
    <w:rsid w:val="001B73F5"/>
    <w:rsid w:val="001B7410"/>
    <w:rsid w:val="001B7A03"/>
    <w:rsid w:val="001B7BB1"/>
    <w:rsid w:val="001C0B3B"/>
    <w:rsid w:val="001C14FB"/>
    <w:rsid w:val="001C172C"/>
    <w:rsid w:val="001C1F9E"/>
    <w:rsid w:val="001C22DE"/>
    <w:rsid w:val="001C28D3"/>
    <w:rsid w:val="001C31F6"/>
    <w:rsid w:val="001C36EF"/>
    <w:rsid w:val="001C3CEF"/>
    <w:rsid w:val="001C5C8B"/>
    <w:rsid w:val="001C6BBE"/>
    <w:rsid w:val="001C7541"/>
    <w:rsid w:val="001C7842"/>
    <w:rsid w:val="001D08BD"/>
    <w:rsid w:val="001D109C"/>
    <w:rsid w:val="001D1243"/>
    <w:rsid w:val="001D1766"/>
    <w:rsid w:val="001D19A8"/>
    <w:rsid w:val="001D3DC4"/>
    <w:rsid w:val="001D3E8D"/>
    <w:rsid w:val="001D3F62"/>
    <w:rsid w:val="001D6CD3"/>
    <w:rsid w:val="001D711E"/>
    <w:rsid w:val="001D752C"/>
    <w:rsid w:val="001D7D91"/>
    <w:rsid w:val="001D7F22"/>
    <w:rsid w:val="001E06C6"/>
    <w:rsid w:val="001E0E63"/>
    <w:rsid w:val="001E1029"/>
    <w:rsid w:val="001E3A86"/>
    <w:rsid w:val="001E3F55"/>
    <w:rsid w:val="001E4597"/>
    <w:rsid w:val="001E46D7"/>
    <w:rsid w:val="001E49FD"/>
    <w:rsid w:val="001E4D7E"/>
    <w:rsid w:val="001E510A"/>
    <w:rsid w:val="001E5320"/>
    <w:rsid w:val="001E5AC6"/>
    <w:rsid w:val="001E5C6E"/>
    <w:rsid w:val="001E6118"/>
    <w:rsid w:val="001E6C1A"/>
    <w:rsid w:val="001F095E"/>
    <w:rsid w:val="001F0DF2"/>
    <w:rsid w:val="001F1C66"/>
    <w:rsid w:val="001F2571"/>
    <w:rsid w:val="001F301E"/>
    <w:rsid w:val="001F43E1"/>
    <w:rsid w:val="001F4873"/>
    <w:rsid w:val="001F51E5"/>
    <w:rsid w:val="001F59C1"/>
    <w:rsid w:val="001F607D"/>
    <w:rsid w:val="001F6FC1"/>
    <w:rsid w:val="00200494"/>
    <w:rsid w:val="002004FB"/>
    <w:rsid w:val="00201351"/>
    <w:rsid w:val="002017F6"/>
    <w:rsid w:val="00201D41"/>
    <w:rsid w:val="00203440"/>
    <w:rsid w:val="0020367B"/>
    <w:rsid w:val="00204148"/>
    <w:rsid w:val="0020638C"/>
    <w:rsid w:val="002066CE"/>
    <w:rsid w:val="00206BAD"/>
    <w:rsid w:val="0020745E"/>
    <w:rsid w:val="00210BE2"/>
    <w:rsid w:val="00210CC3"/>
    <w:rsid w:val="00210E2C"/>
    <w:rsid w:val="00212B77"/>
    <w:rsid w:val="00212BB2"/>
    <w:rsid w:val="00212EF2"/>
    <w:rsid w:val="0021301F"/>
    <w:rsid w:val="0021388A"/>
    <w:rsid w:val="002148E5"/>
    <w:rsid w:val="0021492F"/>
    <w:rsid w:val="00215483"/>
    <w:rsid w:val="0021551E"/>
    <w:rsid w:val="00215720"/>
    <w:rsid w:val="00215841"/>
    <w:rsid w:val="00216FC0"/>
    <w:rsid w:val="00217656"/>
    <w:rsid w:val="00217BFA"/>
    <w:rsid w:val="00217F92"/>
    <w:rsid w:val="002200CA"/>
    <w:rsid w:val="0022134F"/>
    <w:rsid w:val="002213C5"/>
    <w:rsid w:val="00221A9E"/>
    <w:rsid w:val="00221DB9"/>
    <w:rsid w:val="00221F93"/>
    <w:rsid w:val="002220DB"/>
    <w:rsid w:val="00222BB0"/>
    <w:rsid w:val="00222E53"/>
    <w:rsid w:val="0022337A"/>
    <w:rsid w:val="00223EB2"/>
    <w:rsid w:val="00224122"/>
    <w:rsid w:val="0022506E"/>
    <w:rsid w:val="002251A5"/>
    <w:rsid w:val="00226687"/>
    <w:rsid w:val="00227463"/>
    <w:rsid w:val="00227A1C"/>
    <w:rsid w:val="00227CF2"/>
    <w:rsid w:val="00227DC9"/>
    <w:rsid w:val="002306A3"/>
    <w:rsid w:val="002306E9"/>
    <w:rsid w:val="0023116D"/>
    <w:rsid w:val="00231A82"/>
    <w:rsid w:val="0023204E"/>
    <w:rsid w:val="00232C16"/>
    <w:rsid w:val="00232D4D"/>
    <w:rsid w:val="00233234"/>
    <w:rsid w:val="002335DA"/>
    <w:rsid w:val="00233708"/>
    <w:rsid w:val="00234A99"/>
    <w:rsid w:val="00235134"/>
    <w:rsid w:val="0023541E"/>
    <w:rsid w:val="002359E7"/>
    <w:rsid w:val="00235D73"/>
    <w:rsid w:val="0023656E"/>
    <w:rsid w:val="002369F9"/>
    <w:rsid w:val="00236AFC"/>
    <w:rsid w:val="00237225"/>
    <w:rsid w:val="002374F2"/>
    <w:rsid w:val="0023764B"/>
    <w:rsid w:val="00237B7C"/>
    <w:rsid w:val="002400DB"/>
    <w:rsid w:val="002405E1"/>
    <w:rsid w:val="002418A9"/>
    <w:rsid w:val="00242051"/>
    <w:rsid w:val="002420E2"/>
    <w:rsid w:val="002425F7"/>
    <w:rsid w:val="00242C25"/>
    <w:rsid w:val="00242EAB"/>
    <w:rsid w:val="0024337E"/>
    <w:rsid w:val="002444E6"/>
    <w:rsid w:val="002458F1"/>
    <w:rsid w:val="002466FB"/>
    <w:rsid w:val="00246942"/>
    <w:rsid w:val="00250105"/>
    <w:rsid w:val="00250826"/>
    <w:rsid w:val="002513E3"/>
    <w:rsid w:val="002521DB"/>
    <w:rsid w:val="00252408"/>
    <w:rsid w:val="00254E81"/>
    <w:rsid w:val="0025523A"/>
    <w:rsid w:val="00255A69"/>
    <w:rsid w:val="00256600"/>
    <w:rsid w:val="00256872"/>
    <w:rsid w:val="00257826"/>
    <w:rsid w:val="00257D56"/>
    <w:rsid w:val="00257FAC"/>
    <w:rsid w:val="002607BA"/>
    <w:rsid w:val="002627B2"/>
    <w:rsid w:val="00262C65"/>
    <w:rsid w:val="00263548"/>
    <w:rsid w:val="00263D10"/>
    <w:rsid w:val="00264E74"/>
    <w:rsid w:val="002653B1"/>
    <w:rsid w:val="0026569C"/>
    <w:rsid w:val="00265A07"/>
    <w:rsid w:val="00266685"/>
    <w:rsid w:val="002666BE"/>
    <w:rsid w:val="00267B98"/>
    <w:rsid w:val="00267E9A"/>
    <w:rsid w:val="002709CF"/>
    <w:rsid w:val="002721AC"/>
    <w:rsid w:val="002723FE"/>
    <w:rsid w:val="002726E7"/>
    <w:rsid w:val="00272C48"/>
    <w:rsid w:val="00273871"/>
    <w:rsid w:val="00273C36"/>
    <w:rsid w:val="002740E7"/>
    <w:rsid w:val="002763C0"/>
    <w:rsid w:val="0027665D"/>
    <w:rsid w:val="002768A7"/>
    <w:rsid w:val="00276FEA"/>
    <w:rsid w:val="00277644"/>
    <w:rsid w:val="00277FB1"/>
    <w:rsid w:val="002800B8"/>
    <w:rsid w:val="002812FE"/>
    <w:rsid w:val="002816B2"/>
    <w:rsid w:val="00281AD0"/>
    <w:rsid w:val="00282394"/>
    <w:rsid w:val="002827E8"/>
    <w:rsid w:val="0028280C"/>
    <w:rsid w:val="00282B58"/>
    <w:rsid w:val="00283A63"/>
    <w:rsid w:val="00284876"/>
    <w:rsid w:val="00284E5A"/>
    <w:rsid w:val="002852EF"/>
    <w:rsid w:val="002852F8"/>
    <w:rsid w:val="002856B2"/>
    <w:rsid w:val="00285707"/>
    <w:rsid w:val="00285B36"/>
    <w:rsid w:val="00285CA5"/>
    <w:rsid w:val="00286581"/>
    <w:rsid w:val="00286629"/>
    <w:rsid w:val="00290093"/>
    <w:rsid w:val="00290A0A"/>
    <w:rsid w:val="00290FDA"/>
    <w:rsid w:val="00291469"/>
    <w:rsid w:val="00292A99"/>
    <w:rsid w:val="00292C7E"/>
    <w:rsid w:val="00292E90"/>
    <w:rsid w:val="00293A81"/>
    <w:rsid w:val="0029571B"/>
    <w:rsid w:val="0029573B"/>
    <w:rsid w:val="00295FB6"/>
    <w:rsid w:val="00296AE9"/>
    <w:rsid w:val="00296CEF"/>
    <w:rsid w:val="00297258"/>
    <w:rsid w:val="00297541"/>
    <w:rsid w:val="002975B8"/>
    <w:rsid w:val="002A00A0"/>
    <w:rsid w:val="002A06F2"/>
    <w:rsid w:val="002A0B1C"/>
    <w:rsid w:val="002A0D8E"/>
    <w:rsid w:val="002A1272"/>
    <w:rsid w:val="002A1294"/>
    <w:rsid w:val="002A12F6"/>
    <w:rsid w:val="002A1561"/>
    <w:rsid w:val="002A28ED"/>
    <w:rsid w:val="002A2C5B"/>
    <w:rsid w:val="002A32EC"/>
    <w:rsid w:val="002A3681"/>
    <w:rsid w:val="002A37BB"/>
    <w:rsid w:val="002A5301"/>
    <w:rsid w:val="002A551D"/>
    <w:rsid w:val="002B0B7D"/>
    <w:rsid w:val="002B0C1F"/>
    <w:rsid w:val="002B18F4"/>
    <w:rsid w:val="002B1A2E"/>
    <w:rsid w:val="002B1A90"/>
    <w:rsid w:val="002B1E26"/>
    <w:rsid w:val="002B2C85"/>
    <w:rsid w:val="002B2CC5"/>
    <w:rsid w:val="002B2D11"/>
    <w:rsid w:val="002B3820"/>
    <w:rsid w:val="002B3D27"/>
    <w:rsid w:val="002B4D75"/>
    <w:rsid w:val="002B51F4"/>
    <w:rsid w:val="002B52CC"/>
    <w:rsid w:val="002B607A"/>
    <w:rsid w:val="002B62CE"/>
    <w:rsid w:val="002B6A35"/>
    <w:rsid w:val="002B7123"/>
    <w:rsid w:val="002B73B0"/>
    <w:rsid w:val="002C0E18"/>
    <w:rsid w:val="002C216B"/>
    <w:rsid w:val="002C2999"/>
    <w:rsid w:val="002C29AE"/>
    <w:rsid w:val="002C2D43"/>
    <w:rsid w:val="002C2D6C"/>
    <w:rsid w:val="002C32CC"/>
    <w:rsid w:val="002C3969"/>
    <w:rsid w:val="002C3A52"/>
    <w:rsid w:val="002C3B9E"/>
    <w:rsid w:val="002C54B3"/>
    <w:rsid w:val="002C59E7"/>
    <w:rsid w:val="002C7465"/>
    <w:rsid w:val="002C7F1B"/>
    <w:rsid w:val="002C7FD3"/>
    <w:rsid w:val="002D014E"/>
    <w:rsid w:val="002D0950"/>
    <w:rsid w:val="002D2714"/>
    <w:rsid w:val="002D2927"/>
    <w:rsid w:val="002D2B19"/>
    <w:rsid w:val="002D2EA8"/>
    <w:rsid w:val="002D346C"/>
    <w:rsid w:val="002D3B4A"/>
    <w:rsid w:val="002D422B"/>
    <w:rsid w:val="002D43A9"/>
    <w:rsid w:val="002D54E2"/>
    <w:rsid w:val="002D5A91"/>
    <w:rsid w:val="002D6957"/>
    <w:rsid w:val="002D6A68"/>
    <w:rsid w:val="002D6CCC"/>
    <w:rsid w:val="002D6D87"/>
    <w:rsid w:val="002D74A1"/>
    <w:rsid w:val="002E00A3"/>
    <w:rsid w:val="002E0E71"/>
    <w:rsid w:val="002E1260"/>
    <w:rsid w:val="002E1315"/>
    <w:rsid w:val="002E323C"/>
    <w:rsid w:val="002E3587"/>
    <w:rsid w:val="002E3EA5"/>
    <w:rsid w:val="002E3F14"/>
    <w:rsid w:val="002E481B"/>
    <w:rsid w:val="002E4B01"/>
    <w:rsid w:val="002E5E67"/>
    <w:rsid w:val="002E7067"/>
    <w:rsid w:val="002E7ACA"/>
    <w:rsid w:val="002F06EA"/>
    <w:rsid w:val="002F0CB5"/>
    <w:rsid w:val="002F0EF0"/>
    <w:rsid w:val="002F16E0"/>
    <w:rsid w:val="002F2210"/>
    <w:rsid w:val="002F270F"/>
    <w:rsid w:val="002F2F17"/>
    <w:rsid w:val="002F2FF2"/>
    <w:rsid w:val="002F3BB0"/>
    <w:rsid w:val="002F3D07"/>
    <w:rsid w:val="002F4B55"/>
    <w:rsid w:val="002F6DD5"/>
    <w:rsid w:val="002F77B2"/>
    <w:rsid w:val="00300833"/>
    <w:rsid w:val="00300A24"/>
    <w:rsid w:val="0030100A"/>
    <w:rsid w:val="003014A7"/>
    <w:rsid w:val="00301A20"/>
    <w:rsid w:val="00301D70"/>
    <w:rsid w:val="00302B8C"/>
    <w:rsid w:val="00302FE4"/>
    <w:rsid w:val="00303584"/>
    <w:rsid w:val="003042D5"/>
    <w:rsid w:val="00304722"/>
    <w:rsid w:val="00304C6F"/>
    <w:rsid w:val="00304CB9"/>
    <w:rsid w:val="00305A2E"/>
    <w:rsid w:val="00306A12"/>
    <w:rsid w:val="0030770C"/>
    <w:rsid w:val="00307BB3"/>
    <w:rsid w:val="0031008F"/>
    <w:rsid w:val="003103F6"/>
    <w:rsid w:val="003107F8"/>
    <w:rsid w:val="003115E4"/>
    <w:rsid w:val="00311D93"/>
    <w:rsid w:val="00311EAF"/>
    <w:rsid w:val="00312FB8"/>
    <w:rsid w:val="00312FD6"/>
    <w:rsid w:val="003136B8"/>
    <w:rsid w:val="00314002"/>
    <w:rsid w:val="00314A44"/>
    <w:rsid w:val="003150CB"/>
    <w:rsid w:val="00316767"/>
    <w:rsid w:val="00316E73"/>
    <w:rsid w:val="0031715E"/>
    <w:rsid w:val="00321030"/>
    <w:rsid w:val="00321941"/>
    <w:rsid w:val="00321F24"/>
    <w:rsid w:val="00322039"/>
    <w:rsid w:val="0032313C"/>
    <w:rsid w:val="003245FF"/>
    <w:rsid w:val="00324E94"/>
    <w:rsid w:val="00325736"/>
    <w:rsid w:val="00326B4D"/>
    <w:rsid w:val="00327432"/>
    <w:rsid w:val="00327DCD"/>
    <w:rsid w:val="00330E04"/>
    <w:rsid w:val="0033236F"/>
    <w:rsid w:val="00332492"/>
    <w:rsid w:val="0033383C"/>
    <w:rsid w:val="00333DA9"/>
    <w:rsid w:val="0033455B"/>
    <w:rsid w:val="0033467D"/>
    <w:rsid w:val="003357CF"/>
    <w:rsid w:val="00336221"/>
    <w:rsid w:val="00336233"/>
    <w:rsid w:val="003362B2"/>
    <w:rsid w:val="003363B1"/>
    <w:rsid w:val="00337709"/>
    <w:rsid w:val="003379C5"/>
    <w:rsid w:val="0034027A"/>
    <w:rsid w:val="003408CC"/>
    <w:rsid w:val="0034132C"/>
    <w:rsid w:val="00341913"/>
    <w:rsid w:val="00341B96"/>
    <w:rsid w:val="00342152"/>
    <w:rsid w:val="00342841"/>
    <w:rsid w:val="003428DA"/>
    <w:rsid w:val="003429C7"/>
    <w:rsid w:val="003432D3"/>
    <w:rsid w:val="00343920"/>
    <w:rsid w:val="00343AA5"/>
    <w:rsid w:val="00343CDE"/>
    <w:rsid w:val="00344230"/>
    <w:rsid w:val="00344284"/>
    <w:rsid w:val="0034430A"/>
    <w:rsid w:val="00344652"/>
    <w:rsid w:val="0034488E"/>
    <w:rsid w:val="00344CAB"/>
    <w:rsid w:val="00345677"/>
    <w:rsid w:val="0034697D"/>
    <w:rsid w:val="00346BB1"/>
    <w:rsid w:val="00347026"/>
    <w:rsid w:val="0034723D"/>
    <w:rsid w:val="003475A6"/>
    <w:rsid w:val="00347F92"/>
    <w:rsid w:val="00350CF6"/>
    <w:rsid w:val="00350F53"/>
    <w:rsid w:val="003516DA"/>
    <w:rsid w:val="00351DB0"/>
    <w:rsid w:val="00352C44"/>
    <w:rsid w:val="003530F7"/>
    <w:rsid w:val="003537BF"/>
    <w:rsid w:val="00353956"/>
    <w:rsid w:val="003546A6"/>
    <w:rsid w:val="00355158"/>
    <w:rsid w:val="003551AD"/>
    <w:rsid w:val="0035522C"/>
    <w:rsid w:val="00355A93"/>
    <w:rsid w:val="00355BE7"/>
    <w:rsid w:val="0035650D"/>
    <w:rsid w:val="0035692D"/>
    <w:rsid w:val="00356932"/>
    <w:rsid w:val="003603EE"/>
    <w:rsid w:val="0036074F"/>
    <w:rsid w:val="00360BAE"/>
    <w:rsid w:val="00360F61"/>
    <w:rsid w:val="00361049"/>
    <w:rsid w:val="00361826"/>
    <w:rsid w:val="00361B30"/>
    <w:rsid w:val="003629C2"/>
    <w:rsid w:val="00362CB8"/>
    <w:rsid w:val="00363691"/>
    <w:rsid w:val="003639C4"/>
    <w:rsid w:val="00364BEF"/>
    <w:rsid w:val="003652E8"/>
    <w:rsid w:val="0036549A"/>
    <w:rsid w:val="00365662"/>
    <w:rsid w:val="003656AD"/>
    <w:rsid w:val="00365D75"/>
    <w:rsid w:val="003670D9"/>
    <w:rsid w:val="00367683"/>
    <w:rsid w:val="0036792C"/>
    <w:rsid w:val="00367966"/>
    <w:rsid w:val="00367BF2"/>
    <w:rsid w:val="00370DE4"/>
    <w:rsid w:val="00371274"/>
    <w:rsid w:val="00371590"/>
    <w:rsid w:val="00372399"/>
    <w:rsid w:val="00372A64"/>
    <w:rsid w:val="00372C09"/>
    <w:rsid w:val="0037352B"/>
    <w:rsid w:val="00374405"/>
    <w:rsid w:val="00374E5A"/>
    <w:rsid w:val="003754E2"/>
    <w:rsid w:val="0037595E"/>
    <w:rsid w:val="00376118"/>
    <w:rsid w:val="003771C5"/>
    <w:rsid w:val="00377806"/>
    <w:rsid w:val="00377BAB"/>
    <w:rsid w:val="00377C35"/>
    <w:rsid w:val="00377CE9"/>
    <w:rsid w:val="003802A2"/>
    <w:rsid w:val="00380BA1"/>
    <w:rsid w:val="00381DDE"/>
    <w:rsid w:val="003822BE"/>
    <w:rsid w:val="003826C3"/>
    <w:rsid w:val="003833B5"/>
    <w:rsid w:val="00383965"/>
    <w:rsid w:val="00384C21"/>
    <w:rsid w:val="00384D25"/>
    <w:rsid w:val="00385CB9"/>
    <w:rsid w:val="0038607E"/>
    <w:rsid w:val="003871F7"/>
    <w:rsid w:val="00387B5C"/>
    <w:rsid w:val="00387B89"/>
    <w:rsid w:val="0039170B"/>
    <w:rsid w:val="00392152"/>
    <w:rsid w:val="00392BB0"/>
    <w:rsid w:val="003935BE"/>
    <w:rsid w:val="00393EBA"/>
    <w:rsid w:val="0039433E"/>
    <w:rsid w:val="00394D67"/>
    <w:rsid w:val="00395EDE"/>
    <w:rsid w:val="0039627D"/>
    <w:rsid w:val="00396839"/>
    <w:rsid w:val="00397BD6"/>
    <w:rsid w:val="003A0146"/>
    <w:rsid w:val="003A0631"/>
    <w:rsid w:val="003A0B5C"/>
    <w:rsid w:val="003A1244"/>
    <w:rsid w:val="003A1D32"/>
    <w:rsid w:val="003A21D9"/>
    <w:rsid w:val="003A28A6"/>
    <w:rsid w:val="003A2B7B"/>
    <w:rsid w:val="003A32DB"/>
    <w:rsid w:val="003A40E4"/>
    <w:rsid w:val="003A5022"/>
    <w:rsid w:val="003A5F8D"/>
    <w:rsid w:val="003A618E"/>
    <w:rsid w:val="003A6439"/>
    <w:rsid w:val="003A7063"/>
    <w:rsid w:val="003B0EE2"/>
    <w:rsid w:val="003B143E"/>
    <w:rsid w:val="003B24C1"/>
    <w:rsid w:val="003B24E6"/>
    <w:rsid w:val="003B36E9"/>
    <w:rsid w:val="003B4839"/>
    <w:rsid w:val="003B48C0"/>
    <w:rsid w:val="003B4C19"/>
    <w:rsid w:val="003B62BE"/>
    <w:rsid w:val="003B6551"/>
    <w:rsid w:val="003B6B51"/>
    <w:rsid w:val="003B6C20"/>
    <w:rsid w:val="003C1468"/>
    <w:rsid w:val="003C25A8"/>
    <w:rsid w:val="003C2819"/>
    <w:rsid w:val="003C2E26"/>
    <w:rsid w:val="003C3A39"/>
    <w:rsid w:val="003C4114"/>
    <w:rsid w:val="003C44E3"/>
    <w:rsid w:val="003C4FB7"/>
    <w:rsid w:val="003C5610"/>
    <w:rsid w:val="003C5954"/>
    <w:rsid w:val="003C642F"/>
    <w:rsid w:val="003C6C2D"/>
    <w:rsid w:val="003C728F"/>
    <w:rsid w:val="003C7F8C"/>
    <w:rsid w:val="003D00DF"/>
    <w:rsid w:val="003D0107"/>
    <w:rsid w:val="003D0F22"/>
    <w:rsid w:val="003D1B7F"/>
    <w:rsid w:val="003D1C9E"/>
    <w:rsid w:val="003D22EE"/>
    <w:rsid w:val="003D3862"/>
    <w:rsid w:val="003D3A17"/>
    <w:rsid w:val="003D3C0A"/>
    <w:rsid w:val="003D3C86"/>
    <w:rsid w:val="003D45BE"/>
    <w:rsid w:val="003D540F"/>
    <w:rsid w:val="003D54B4"/>
    <w:rsid w:val="003D56FD"/>
    <w:rsid w:val="003D5930"/>
    <w:rsid w:val="003D59CF"/>
    <w:rsid w:val="003D697D"/>
    <w:rsid w:val="003D737E"/>
    <w:rsid w:val="003D74ED"/>
    <w:rsid w:val="003D7E33"/>
    <w:rsid w:val="003E00AE"/>
    <w:rsid w:val="003E0EB1"/>
    <w:rsid w:val="003E3327"/>
    <w:rsid w:val="003E442A"/>
    <w:rsid w:val="003E49E0"/>
    <w:rsid w:val="003E5930"/>
    <w:rsid w:val="003E643F"/>
    <w:rsid w:val="003E6964"/>
    <w:rsid w:val="003E6EA1"/>
    <w:rsid w:val="003E780F"/>
    <w:rsid w:val="003E7F1C"/>
    <w:rsid w:val="003F0AE2"/>
    <w:rsid w:val="003F0FAE"/>
    <w:rsid w:val="003F2660"/>
    <w:rsid w:val="003F2801"/>
    <w:rsid w:val="003F2D28"/>
    <w:rsid w:val="003F302D"/>
    <w:rsid w:val="003F3409"/>
    <w:rsid w:val="003F3C61"/>
    <w:rsid w:val="003F3C8B"/>
    <w:rsid w:val="003F3CD7"/>
    <w:rsid w:val="003F3F44"/>
    <w:rsid w:val="003F4368"/>
    <w:rsid w:val="003F5D5B"/>
    <w:rsid w:val="003F61D5"/>
    <w:rsid w:val="003F6F0D"/>
    <w:rsid w:val="00400603"/>
    <w:rsid w:val="0040060E"/>
    <w:rsid w:val="00402081"/>
    <w:rsid w:val="00402404"/>
    <w:rsid w:val="00402500"/>
    <w:rsid w:val="004027D6"/>
    <w:rsid w:val="00402B68"/>
    <w:rsid w:val="004039AC"/>
    <w:rsid w:val="0040426E"/>
    <w:rsid w:val="0040533C"/>
    <w:rsid w:val="004057ED"/>
    <w:rsid w:val="00405D09"/>
    <w:rsid w:val="00406422"/>
    <w:rsid w:val="00406CB0"/>
    <w:rsid w:val="00407070"/>
    <w:rsid w:val="00407966"/>
    <w:rsid w:val="0041015B"/>
    <w:rsid w:val="0041071F"/>
    <w:rsid w:val="00411DD3"/>
    <w:rsid w:val="0041224B"/>
    <w:rsid w:val="004124AD"/>
    <w:rsid w:val="00412EB4"/>
    <w:rsid w:val="0041455F"/>
    <w:rsid w:val="0041470D"/>
    <w:rsid w:val="004148E9"/>
    <w:rsid w:val="00414B5F"/>
    <w:rsid w:val="00415220"/>
    <w:rsid w:val="0041550D"/>
    <w:rsid w:val="00415A55"/>
    <w:rsid w:val="0041713F"/>
    <w:rsid w:val="00417B1F"/>
    <w:rsid w:val="004200A6"/>
    <w:rsid w:val="004200CC"/>
    <w:rsid w:val="00420974"/>
    <w:rsid w:val="004219A1"/>
    <w:rsid w:val="004220EA"/>
    <w:rsid w:val="00422691"/>
    <w:rsid w:val="00424ACB"/>
    <w:rsid w:val="00424BC6"/>
    <w:rsid w:val="00425066"/>
    <w:rsid w:val="00425659"/>
    <w:rsid w:val="00425EC6"/>
    <w:rsid w:val="004260E0"/>
    <w:rsid w:val="00426320"/>
    <w:rsid w:val="00426441"/>
    <w:rsid w:val="004264BF"/>
    <w:rsid w:val="00426800"/>
    <w:rsid w:val="00426F1B"/>
    <w:rsid w:val="0042776E"/>
    <w:rsid w:val="00430003"/>
    <w:rsid w:val="004304C4"/>
    <w:rsid w:val="004308D5"/>
    <w:rsid w:val="00430A9C"/>
    <w:rsid w:val="004311C0"/>
    <w:rsid w:val="00432118"/>
    <w:rsid w:val="0043234E"/>
    <w:rsid w:val="004329C3"/>
    <w:rsid w:val="00433655"/>
    <w:rsid w:val="004345E7"/>
    <w:rsid w:val="00434EAC"/>
    <w:rsid w:val="00435A98"/>
    <w:rsid w:val="0043787A"/>
    <w:rsid w:val="00437D8D"/>
    <w:rsid w:val="0044034C"/>
    <w:rsid w:val="004409CD"/>
    <w:rsid w:val="00440A74"/>
    <w:rsid w:val="00441A79"/>
    <w:rsid w:val="00442B10"/>
    <w:rsid w:val="00442BEE"/>
    <w:rsid w:val="00443CF1"/>
    <w:rsid w:val="00443EE0"/>
    <w:rsid w:val="004446B4"/>
    <w:rsid w:val="00444C13"/>
    <w:rsid w:val="00444D01"/>
    <w:rsid w:val="00446FAA"/>
    <w:rsid w:val="0044710F"/>
    <w:rsid w:val="004478CD"/>
    <w:rsid w:val="00447BF9"/>
    <w:rsid w:val="00447F00"/>
    <w:rsid w:val="00450C79"/>
    <w:rsid w:val="00451531"/>
    <w:rsid w:val="004543DB"/>
    <w:rsid w:val="00454553"/>
    <w:rsid w:val="00454D02"/>
    <w:rsid w:val="00455A3B"/>
    <w:rsid w:val="00455E16"/>
    <w:rsid w:val="004561C7"/>
    <w:rsid w:val="0045652B"/>
    <w:rsid w:val="00456774"/>
    <w:rsid w:val="00456A58"/>
    <w:rsid w:val="00456AD4"/>
    <w:rsid w:val="00457B6D"/>
    <w:rsid w:val="00460496"/>
    <w:rsid w:val="00460842"/>
    <w:rsid w:val="00460E2F"/>
    <w:rsid w:val="0046150F"/>
    <w:rsid w:val="00461B47"/>
    <w:rsid w:val="004629C3"/>
    <w:rsid w:val="00462F02"/>
    <w:rsid w:val="004639EF"/>
    <w:rsid w:val="00463C6C"/>
    <w:rsid w:val="00465ECA"/>
    <w:rsid w:val="00466002"/>
    <w:rsid w:val="004660E0"/>
    <w:rsid w:val="004673CA"/>
    <w:rsid w:val="00467D8A"/>
    <w:rsid w:val="004704A6"/>
    <w:rsid w:val="004716EF"/>
    <w:rsid w:val="00471DDF"/>
    <w:rsid w:val="00471E45"/>
    <w:rsid w:val="00474BF4"/>
    <w:rsid w:val="004753FD"/>
    <w:rsid w:val="004758E3"/>
    <w:rsid w:val="00475CC2"/>
    <w:rsid w:val="00476054"/>
    <w:rsid w:val="00476DFA"/>
    <w:rsid w:val="0047707E"/>
    <w:rsid w:val="00477A3C"/>
    <w:rsid w:val="004815E8"/>
    <w:rsid w:val="0048204E"/>
    <w:rsid w:val="0048218C"/>
    <w:rsid w:val="004823F8"/>
    <w:rsid w:val="004829F4"/>
    <w:rsid w:val="004830A4"/>
    <w:rsid w:val="00483894"/>
    <w:rsid w:val="00484C27"/>
    <w:rsid w:val="004855A7"/>
    <w:rsid w:val="0048584C"/>
    <w:rsid w:val="00485C02"/>
    <w:rsid w:val="00486309"/>
    <w:rsid w:val="00486F3F"/>
    <w:rsid w:val="004873ED"/>
    <w:rsid w:val="0048768C"/>
    <w:rsid w:val="00487FEC"/>
    <w:rsid w:val="0049100A"/>
    <w:rsid w:val="0049111F"/>
    <w:rsid w:val="0049177B"/>
    <w:rsid w:val="004924C2"/>
    <w:rsid w:val="004925B7"/>
    <w:rsid w:val="00493516"/>
    <w:rsid w:val="0049355D"/>
    <w:rsid w:val="00494036"/>
    <w:rsid w:val="0049434D"/>
    <w:rsid w:val="00494DAD"/>
    <w:rsid w:val="00494F27"/>
    <w:rsid w:val="004955F5"/>
    <w:rsid w:val="00495E80"/>
    <w:rsid w:val="00496326"/>
    <w:rsid w:val="00496529"/>
    <w:rsid w:val="004973B4"/>
    <w:rsid w:val="004974CF"/>
    <w:rsid w:val="00497529"/>
    <w:rsid w:val="004978DA"/>
    <w:rsid w:val="00497A19"/>
    <w:rsid w:val="004A058B"/>
    <w:rsid w:val="004A09BD"/>
    <w:rsid w:val="004A0F11"/>
    <w:rsid w:val="004A12F4"/>
    <w:rsid w:val="004A1463"/>
    <w:rsid w:val="004A1760"/>
    <w:rsid w:val="004A1F51"/>
    <w:rsid w:val="004A2264"/>
    <w:rsid w:val="004A233A"/>
    <w:rsid w:val="004A286A"/>
    <w:rsid w:val="004A3B33"/>
    <w:rsid w:val="004A43C6"/>
    <w:rsid w:val="004A483E"/>
    <w:rsid w:val="004A518A"/>
    <w:rsid w:val="004A65CD"/>
    <w:rsid w:val="004A69A2"/>
    <w:rsid w:val="004A6F74"/>
    <w:rsid w:val="004B0D8D"/>
    <w:rsid w:val="004B14CD"/>
    <w:rsid w:val="004B261A"/>
    <w:rsid w:val="004B27ED"/>
    <w:rsid w:val="004B3985"/>
    <w:rsid w:val="004B3C4E"/>
    <w:rsid w:val="004B5FA9"/>
    <w:rsid w:val="004B6E83"/>
    <w:rsid w:val="004C128C"/>
    <w:rsid w:val="004C12D9"/>
    <w:rsid w:val="004C15D0"/>
    <w:rsid w:val="004C193E"/>
    <w:rsid w:val="004C1B32"/>
    <w:rsid w:val="004C2AD5"/>
    <w:rsid w:val="004C2EF9"/>
    <w:rsid w:val="004C35E2"/>
    <w:rsid w:val="004C375C"/>
    <w:rsid w:val="004C393B"/>
    <w:rsid w:val="004C437B"/>
    <w:rsid w:val="004C43CB"/>
    <w:rsid w:val="004C5D2A"/>
    <w:rsid w:val="004C6470"/>
    <w:rsid w:val="004C6E3E"/>
    <w:rsid w:val="004C72E0"/>
    <w:rsid w:val="004D02FA"/>
    <w:rsid w:val="004D1905"/>
    <w:rsid w:val="004D1CB6"/>
    <w:rsid w:val="004D1D1B"/>
    <w:rsid w:val="004D2AF6"/>
    <w:rsid w:val="004D2CD1"/>
    <w:rsid w:val="004D2F81"/>
    <w:rsid w:val="004D34A3"/>
    <w:rsid w:val="004D376A"/>
    <w:rsid w:val="004D450C"/>
    <w:rsid w:val="004D4EF7"/>
    <w:rsid w:val="004D5F69"/>
    <w:rsid w:val="004D6261"/>
    <w:rsid w:val="004D6416"/>
    <w:rsid w:val="004D6B2E"/>
    <w:rsid w:val="004D707F"/>
    <w:rsid w:val="004D7B8D"/>
    <w:rsid w:val="004E0FC4"/>
    <w:rsid w:val="004E1CC8"/>
    <w:rsid w:val="004E1EE1"/>
    <w:rsid w:val="004E2523"/>
    <w:rsid w:val="004E2595"/>
    <w:rsid w:val="004E2723"/>
    <w:rsid w:val="004E2BEE"/>
    <w:rsid w:val="004E36C2"/>
    <w:rsid w:val="004E39EC"/>
    <w:rsid w:val="004E407B"/>
    <w:rsid w:val="004E42EA"/>
    <w:rsid w:val="004E4F46"/>
    <w:rsid w:val="004E6891"/>
    <w:rsid w:val="004E7913"/>
    <w:rsid w:val="004E7FF1"/>
    <w:rsid w:val="004F0379"/>
    <w:rsid w:val="004F135C"/>
    <w:rsid w:val="004F1551"/>
    <w:rsid w:val="004F26FA"/>
    <w:rsid w:val="004F3ED0"/>
    <w:rsid w:val="004F4598"/>
    <w:rsid w:val="004F478F"/>
    <w:rsid w:val="004F4825"/>
    <w:rsid w:val="004F4855"/>
    <w:rsid w:val="004F493E"/>
    <w:rsid w:val="004F60CA"/>
    <w:rsid w:val="004F6307"/>
    <w:rsid w:val="004F63FA"/>
    <w:rsid w:val="004F7126"/>
    <w:rsid w:val="0050119C"/>
    <w:rsid w:val="005017EE"/>
    <w:rsid w:val="00503528"/>
    <w:rsid w:val="005036AA"/>
    <w:rsid w:val="00503C7C"/>
    <w:rsid w:val="00503FF7"/>
    <w:rsid w:val="00505811"/>
    <w:rsid w:val="00505D02"/>
    <w:rsid w:val="0050678F"/>
    <w:rsid w:val="00507774"/>
    <w:rsid w:val="00507984"/>
    <w:rsid w:val="00507B90"/>
    <w:rsid w:val="00507F66"/>
    <w:rsid w:val="00507FFA"/>
    <w:rsid w:val="005100C0"/>
    <w:rsid w:val="005103A7"/>
    <w:rsid w:val="005106A6"/>
    <w:rsid w:val="00510CAD"/>
    <w:rsid w:val="005118E6"/>
    <w:rsid w:val="005120C1"/>
    <w:rsid w:val="005130DF"/>
    <w:rsid w:val="005139D3"/>
    <w:rsid w:val="0051664B"/>
    <w:rsid w:val="00516CE9"/>
    <w:rsid w:val="00517A39"/>
    <w:rsid w:val="0052033F"/>
    <w:rsid w:val="005213AA"/>
    <w:rsid w:val="0052197A"/>
    <w:rsid w:val="00521C00"/>
    <w:rsid w:val="00521EFB"/>
    <w:rsid w:val="00522450"/>
    <w:rsid w:val="00522B7E"/>
    <w:rsid w:val="00523C30"/>
    <w:rsid w:val="00524212"/>
    <w:rsid w:val="00524A65"/>
    <w:rsid w:val="00524E22"/>
    <w:rsid w:val="00524F05"/>
    <w:rsid w:val="0052739D"/>
    <w:rsid w:val="00531F96"/>
    <w:rsid w:val="00532200"/>
    <w:rsid w:val="005325FB"/>
    <w:rsid w:val="00532A4A"/>
    <w:rsid w:val="005337BB"/>
    <w:rsid w:val="00534763"/>
    <w:rsid w:val="0053666C"/>
    <w:rsid w:val="00536AD7"/>
    <w:rsid w:val="00537AF0"/>
    <w:rsid w:val="00537BE2"/>
    <w:rsid w:val="005400DD"/>
    <w:rsid w:val="0054148D"/>
    <w:rsid w:val="00541CCF"/>
    <w:rsid w:val="00542015"/>
    <w:rsid w:val="005421BA"/>
    <w:rsid w:val="00542648"/>
    <w:rsid w:val="00542748"/>
    <w:rsid w:val="00543AB4"/>
    <w:rsid w:val="00543B57"/>
    <w:rsid w:val="0054497D"/>
    <w:rsid w:val="00545898"/>
    <w:rsid w:val="0054675B"/>
    <w:rsid w:val="00546AE7"/>
    <w:rsid w:val="00546BB7"/>
    <w:rsid w:val="00547313"/>
    <w:rsid w:val="00547563"/>
    <w:rsid w:val="0054758F"/>
    <w:rsid w:val="00547E00"/>
    <w:rsid w:val="00551AC9"/>
    <w:rsid w:val="005529B0"/>
    <w:rsid w:val="005529FA"/>
    <w:rsid w:val="0055474A"/>
    <w:rsid w:val="00555B1D"/>
    <w:rsid w:val="00555C6F"/>
    <w:rsid w:val="005566D9"/>
    <w:rsid w:val="00557141"/>
    <w:rsid w:val="00560E7D"/>
    <w:rsid w:val="005612E6"/>
    <w:rsid w:val="005616E4"/>
    <w:rsid w:val="0056181E"/>
    <w:rsid w:val="00562F0F"/>
    <w:rsid w:val="00563130"/>
    <w:rsid w:val="00563153"/>
    <w:rsid w:val="00563B13"/>
    <w:rsid w:val="005647E1"/>
    <w:rsid w:val="00564993"/>
    <w:rsid w:val="0056550A"/>
    <w:rsid w:val="00565E85"/>
    <w:rsid w:val="00566403"/>
    <w:rsid w:val="00566795"/>
    <w:rsid w:val="00566A5C"/>
    <w:rsid w:val="0056783E"/>
    <w:rsid w:val="00567E72"/>
    <w:rsid w:val="00570CB0"/>
    <w:rsid w:val="005710B4"/>
    <w:rsid w:val="00572355"/>
    <w:rsid w:val="00572F7F"/>
    <w:rsid w:val="0057391E"/>
    <w:rsid w:val="00573AD7"/>
    <w:rsid w:val="00574D32"/>
    <w:rsid w:val="0057563A"/>
    <w:rsid w:val="005771DA"/>
    <w:rsid w:val="005771DE"/>
    <w:rsid w:val="00577D6E"/>
    <w:rsid w:val="0058299C"/>
    <w:rsid w:val="00583423"/>
    <w:rsid w:val="00584728"/>
    <w:rsid w:val="00587435"/>
    <w:rsid w:val="005877E3"/>
    <w:rsid w:val="00590291"/>
    <w:rsid w:val="00590911"/>
    <w:rsid w:val="00590BE3"/>
    <w:rsid w:val="005915F2"/>
    <w:rsid w:val="00591FDB"/>
    <w:rsid w:val="00592340"/>
    <w:rsid w:val="00592A88"/>
    <w:rsid w:val="005939E5"/>
    <w:rsid w:val="00596328"/>
    <w:rsid w:val="005A03CB"/>
    <w:rsid w:val="005A08CB"/>
    <w:rsid w:val="005A097B"/>
    <w:rsid w:val="005A0B58"/>
    <w:rsid w:val="005A1C54"/>
    <w:rsid w:val="005A26B8"/>
    <w:rsid w:val="005A2BA9"/>
    <w:rsid w:val="005A2C43"/>
    <w:rsid w:val="005A40D9"/>
    <w:rsid w:val="005A46B6"/>
    <w:rsid w:val="005A4792"/>
    <w:rsid w:val="005A49EB"/>
    <w:rsid w:val="005A4D29"/>
    <w:rsid w:val="005A50FC"/>
    <w:rsid w:val="005A52B2"/>
    <w:rsid w:val="005A5B21"/>
    <w:rsid w:val="005A7E94"/>
    <w:rsid w:val="005B0A02"/>
    <w:rsid w:val="005B19A7"/>
    <w:rsid w:val="005B3138"/>
    <w:rsid w:val="005B31CC"/>
    <w:rsid w:val="005B3A39"/>
    <w:rsid w:val="005B41DD"/>
    <w:rsid w:val="005B423E"/>
    <w:rsid w:val="005B4494"/>
    <w:rsid w:val="005B4CF9"/>
    <w:rsid w:val="005B50D0"/>
    <w:rsid w:val="005B5C34"/>
    <w:rsid w:val="005B6130"/>
    <w:rsid w:val="005B7433"/>
    <w:rsid w:val="005B75ED"/>
    <w:rsid w:val="005B76D6"/>
    <w:rsid w:val="005C009E"/>
    <w:rsid w:val="005C0FA8"/>
    <w:rsid w:val="005C241E"/>
    <w:rsid w:val="005C4096"/>
    <w:rsid w:val="005C455A"/>
    <w:rsid w:val="005C485C"/>
    <w:rsid w:val="005C486E"/>
    <w:rsid w:val="005C548C"/>
    <w:rsid w:val="005C6FB4"/>
    <w:rsid w:val="005C797C"/>
    <w:rsid w:val="005D0205"/>
    <w:rsid w:val="005D046C"/>
    <w:rsid w:val="005D0490"/>
    <w:rsid w:val="005D1A16"/>
    <w:rsid w:val="005D3730"/>
    <w:rsid w:val="005D3B1E"/>
    <w:rsid w:val="005D3C7E"/>
    <w:rsid w:val="005D4347"/>
    <w:rsid w:val="005D5050"/>
    <w:rsid w:val="005D53EC"/>
    <w:rsid w:val="005D5452"/>
    <w:rsid w:val="005D59DC"/>
    <w:rsid w:val="005D5A82"/>
    <w:rsid w:val="005D66F6"/>
    <w:rsid w:val="005D6B57"/>
    <w:rsid w:val="005D7499"/>
    <w:rsid w:val="005E1227"/>
    <w:rsid w:val="005E2C08"/>
    <w:rsid w:val="005E349F"/>
    <w:rsid w:val="005E3D52"/>
    <w:rsid w:val="005E5918"/>
    <w:rsid w:val="005E5A01"/>
    <w:rsid w:val="005E5AF1"/>
    <w:rsid w:val="005E64E5"/>
    <w:rsid w:val="005E73DC"/>
    <w:rsid w:val="005F2083"/>
    <w:rsid w:val="005F339B"/>
    <w:rsid w:val="005F38D9"/>
    <w:rsid w:val="005F3D1B"/>
    <w:rsid w:val="005F592B"/>
    <w:rsid w:val="005F71F7"/>
    <w:rsid w:val="005F72EB"/>
    <w:rsid w:val="0060063B"/>
    <w:rsid w:val="0060093C"/>
    <w:rsid w:val="0060171B"/>
    <w:rsid w:val="00603FB1"/>
    <w:rsid w:val="0060434B"/>
    <w:rsid w:val="00604808"/>
    <w:rsid w:val="00604E1B"/>
    <w:rsid w:val="0060519A"/>
    <w:rsid w:val="00606A74"/>
    <w:rsid w:val="006076A0"/>
    <w:rsid w:val="00611515"/>
    <w:rsid w:val="00611944"/>
    <w:rsid w:val="0061217B"/>
    <w:rsid w:val="006129B2"/>
    <w:rsid w:val="00613927"/>
    <w:rsid w:val="00614A2F"/>
    <w:rsid w:val="006152E9"/>
    <w:rsid w:val="00615934"/>
    <w:rsid w:val="00615D2C"/>
    <w:rsid w:val="0061602D"/>
    <w:rsid w:val="006163E2"/>
    <w:rsid w:val="006165A0"/>
    <w:rsid w:val="006167F6"/>
    <w:rsid w:val="00616D2E"/>
    <w:rsid w:val="00616DBD"/>
    <w:rsid w:val="00617AA8"/>
    <w:rsid w:val="00617B0D"/>
    <w:rsid w:val="00620013"/>
    <w:rsid w:val="006201B0"/>
    <w:rsid w:val="00620316"/>
    <w:rsid w:val="0062053A"/>
    <w:rsid w:val="006205C1"/>
    <w:rsid w:val="00621094"/>
    <w:rsid w:val="0062163F"/>
    <w:rsid w:val="00621858"/>
    <w:rsid w:val="00622671"/>
    <w:rsid w:val="0062289B"/>
    <w:rsid w:val="0062318E"/>
    <w:rsid w:val="006233D7"/>
    <w:rsid w:val="00624124"/>
    <w:rsid w:val="00625179"/>
    <w:rsid w:val="00625A86"/>
    <w:rsid w:val="00626316"/>
    <w:rsid w:val="0062756A"/>
    <w:rsid w:val="006277BE"/>
    <w:rsid w:val="00630B9F"/>
    <w:rsid w:val="00631A4E"/>
    <w:rsid w:val="00631DF2"/>
    <w:rsid w:val="00632E74"/>
    <w:rsid w:val="00633019"/>
    <w:rsid w:val="0063321A"/>
    <w:rsid w:val="0063467E"/>
    <w:rsid w:val="00634763"/>
    <w:rsid w:val="00634AC5"/>
    <w:rsid w:val="006357CE"/>
    <w:rsid w:val="0063607B"/>
    <w:rsid w:val="006361D4"/>
    <w:rsid w:val="006376EB"/>
    <w:rsid w:val="00637740"/>
    <w:rsid w:val="00637796"/>
    <w:rsid w:val="00641153"/>
    <w:rsid w:val="006415E4"/>
    <w:rsid w:val="00641F72"/>
    <w:rsid w:val="00642199"/>
    <w:rsid w:val="00642636"/>
    <w:rsid w:val="00642808"/>
    <w:rsid w:val="0064362A"/>
    <w:rsid w:val="00643710"/>
    <w:rsid w:val="006442B9"/>
    <w:rsid w:val="00645648"/>
    <w:rsid w:val="00645C29"/>
    <w:rsid w:val="00645F48"/>
    <w:rsid w:val="00647BB5"/>
    <w:rsid w:val="00647F21"/>
    <w:rsid w:val="00650A96"/>
    <w:rsid w:val="00650B74"/>
    <w:rsid w:val="00650EBA"/>
    <w:rsid w:val="00651281"/>
    <w:rsid w:val="006518A9"/>
    <w:rsid w:val="006521BB"/>
    <w:rsid w:val="0065265D"/>
    <w:rsid w:val="00652AC1"/>
    <w:rsid w:val="0065300F"/>
    <w:rsid w:val="00653CDD"/>
    <w:rsid w:val="006542F7"/>
    <w:rsid w:val="0065489E"/>
    <w:rsid w:val="00654CCD"/>
    <w:rsid w:val="00655299"/>
    <w:rsid w:val="00655AF8"/>
    <w:rsid w:val="00655C96"/>
    <w:rsid w:val="00655FF5"/>
    <w:rsid w:val="006562B2"/>
    <w:rsid w:val="0066052C"/>
    <w:rsid w:val="0066083B"/>
    <w:rsid w:val="006612EC"/>
    <w:rsid w:val="00661814"/>
    <w:rsid w:val="00661B3C"/>
    <w:rsid w:val="0066300C"/>
    <w:rsid w:val="006633C3"/>
    <w:rsid w:val="00663613"/>
    <w:rsid w:val="0066393F"/>
    <w:rsid w:val="0066472C"/>
    <w:rsid w:val="0066520F"/>
    <w:rsid w:val="00665299"/>
    <w:rsid w:val="00665E64"/>
    <w:rsid w:val="00665FD9"/>
    <w:rsid w:val="0066651B"/>
    <w:rsid w:val="00666B46"/>
    <w:rsid w:val="00667899"/>
    <w:rsid w:val="00667FC0"/>
    <w:rsid w:val="00670353"/>
    <w:rsid w:val="00671C57"/>
    <w:rsid w:val="0067324A"/>
    <w:rsid w:val="0067352D"/>
    <w:rsid w:val="00673AC6"/>
    <w:rsid w:val="00673D6D"/>
    <w:rsid w:val="00674582"/>
    <w:rsid w:val="00674E16"/>
    <w:rsid w:val="00675E5F"/>
    <w:rsid w:val="00676213"/>
    <w:rsid w:val="006767DA"/>
    <w:rsid w:val="00680F8F"/>
    <w:rsid w:val="00681BCE"/>
    <w:rsid w:val="006826C2"/>
    <w:rsid w:val="00683692"/>
    <w:rsid w:val="00683975"/>
    <w:rsid w:val="00683CC5"/>
    <w:rsid w:val="00683EBA"/>
    <w:rsid w:val="00685402"/>
    <w:rsid w:val="00685515"/>
    <w:rsid w:val="00685B57"/>
    <w:rsid w:val="006860F9"/>
    <w:rsid w:val="00686AFE"/>
    <w:rsid w:val="00687520"/>
    <w:rsid w:val="006876F2"/>
    <w:rsid w:val="006877C4"/>
    <w:rsid w:val="006921A8"/>
    <w:rsid w:val="00692ACC"/>
    <w:rsid w:val="00693B97"/>
    <w:rsid w:val="00694066"/>
    <w:rsid w:val="00694533"/>
    <w:rsid w:val="00694F6F"/>
    <w:rsid w:val="00695235"/>
    <w:rsid w:val="00696EB7"/>
    <w:rsid w:val="00697873"/>
    <w:rsid w:val="0069789C"/>
    <w:rsid w:val="006A0372"/>
    <w:rsid w:val="006A049C"/>
    <w:rsid w:val="006A0A8D"/>
    <w:rsid w:val="006A106B"/>
    <w:rsid w:val="006A1B16"/>
    <w:rsid w:val="006A235B"/>
    <w:rsid w:val="006A2A8C"/>
    <w:rsid w:val="006A3A9E"/>
    <w:rsid w:val="006A3E0A"/>
    <w:rsid w:val="006A4199"/>
    <w:rsid w:val="006A432C"/>
    <w:rsid w:val="006A462B"/>
    <w:rsid w:val="006A49CF"/>
    <w:rsid w:val="006A51DB"/>
    <w:rsid w:val="006A5653"/>
    <w:rsid w:val="006A57E3"/>
    <w:rsid w:val="006A5C45"/>
    <w:rsid w:val="006A5DE0"/>
    <w:rsid w:val="006A5E79"/>
    <w:rsid w:val="006A6113"/>
    <w:rsid w:val="006A6658"/>
    <w:rsid w:val="006A748D"/>
    <w:rsid w:val="006B0486"/>
    <w:rsid w:val="006B1B94"/>
    <w:rsid w:val="006B41C9"/>
    <w:rsid w:val="006B440B"/>
    <w:rsid w:val="006B4F5B"/>
    <w:rsid w:val="006B760E"/>
    <w:rsid w:val="006B7971"/>
    <w:rsid w:val="006B7F63"/>
    <w:rsid w:val="006C06FF"/>
    <w:rsid w:val="006C29DB"/>
    <w:rsid w:val="006C332E"/>
    <w:rsid w:val="006C390B"/>
    <w:rsid w:val="006C3F18"/>
    <w:rsid w:val="006C46A9"/>
    <w:rsid w:val="006C472C"/>
    <w:rsid w:val="006C4D94"/>
    <w:rsid w:val="006C5021"/>
    <w:rsid w:val="006C510E"/>
    <w:rsid w:val="006C541D"/>
    <w:rsid w:val="006C6946"/>
    <w:rsid w:val="006C6C65"/>
    <w:rsid w:val="006C7ED7"/>
    <w:rsid w:val="006D00E8"/>
    <w:rsid w:val="006D0F14"/>
    <w:rsid w:val="006D357E"/>
    <w:rsid w:val="006D463A"/>
    <w:rsid w:val="006D480B"/>
    <w:rsid w:val="006D492B"/>
    <w:rsid w:val="006D5FFA"/>
    <w:rsid w:val="006D667A"/>
    <w:rsid w:val="006D6F3C"/>
    <w:rsid w:val="006D7216"/>
    <w:rsid w:val="006D7C97"/>
    <w:rsid w:val="006E01FF"/>
    <w:rsid w:val="006E1C50"/>
    <w:rsid w:val="006E1DAE"/>
    <w:rsid w:val="006E2718"/>
    <w:rsid w:val="006E2B17"/>
    <w:rsid w:val="006E319C"/>
    <w:rsid w:val="006E325A"/>
    <w:rsid w:val="006E4587"/>
    <w:rsid w:val="006E50E0"/>
    <w:rsid w:val="006E5B0A"/>
    <w:rsid w:val="006E6390"/>
    <w:rsid w:val="006E6C34"/>
    <w:rsid w:val="006E7A9A"/>
    <w:rsid w:val="006E7F76"/>
    <w:rsid w:val="006F00EB"/>
    <w:rsid w:val="006F0838"/>
    <w:rsid w:val="006F1124"/>
    <w:rsid w:val="006F1377"/>
    <w:rsid w:val="006F137A"/>
    <w:rsid w:val="006F1A32"/>
    <w:rsid w:val="006F299A"/>
    <w:rsid w:val="006F2EAB"/>
    <w:rsid w:val="006F3DA4"/>
    <w:rsid w:val="006F4611"/>
    <w:rsid w:val="006F4E3A"/>
    <w:rsid w:val="006F5A09"/>
    <w:rsid w:val="006F6A65"/>
    <w:rsid w:val="006F6B6D"/>
    <w:rsid w:val="006F6D34"/>
    <w:rsid w:val="006F7132"/>
    <w:rsid w:val="006F76E9"/>
    <w:rsid w:val="006F7A66"/>
    <w:rsid w:val="00702171"/>
    <w:rsid w:val="0070222F"/>
    <w:rsid w:val="00702417"/>
    <w:rsid w:val="00702462"/>
    <w:rsid w:val="007035FF"/>
    <w:rsid w:val="00705218"/>
    <w:rsid w:val="007058C6"/>
    <w:rsid w:val="00705AC3"/>
    <w:rsid w:val="007069FA"/>
    <w:rsid w:val="00707FF7"/>
    <w:rsid w:val="007106B3"/>
    <w:rsid w:val="00710FE3"/>
    <w:rsid w:val="0071148C"/>
    <w:rsid w:val="007116F3"/>
    <w:rsid w:val="0071200F"/>
    <w:rsid w:val="007132CD"/>
    <w:rsid w:val="00713954"/>
    <w:rsid w:val="007146FE"/>
    <w:rsid w:val="00714B1F"/>
    <w:rsid w:val="007154D8"/>
    <w:rsid w:val="00716382"/>
    <w:rsid w:val="007163A3"/>
    <w:rsid w:val="00716756"/>
    <w:rsid w:val="00716BDF"/>
    <w:rsid w:val="00717258"/>
    <w:rsid w:val="00717798"/>
    <w:rsid w:val="00717A11"/>
    <w:rsid w:val="00717E17"/>
    <w:rsid w:val="00721343"/>
    <w:rsid w:val="00721C63"/>
    <w:rsid w:val="00722722"/>
    <w:rsid w:val="00723103"/>
    <w:rsid w:val="00723192"/>
    <w:rsid w:val="007237F3"/>
    <w:rsid w:val="00723E24"/>
    <w:rsid w:val="00724399"/>
    <w:rsid w:val="00727599"/>
    <w:rsid w:val="00727930"/>
    <w:rsid w:val="007300CC"/>
    <w:rsid w:val="00730253"/>
    <w:rsid w:val="007315AB"/>
    <w:rsid w:val="007316A2"/>
    <w:rsid w:val="007329A1"/>
    <w:rsid w:val="00734795"/>
    <w:rsid w:val="00734AD4"/>
    <w:rsid w:val="00734B8E"/>
    <w:rsid w:val="00735C08"/>
    <w:rsid w:val="00736171"/>
    <w:rsid w:val="00736F9A"/>
    <w:rsid w:val="0073729B"/>
    <w:rsid w:val="007404F8"/>
    <w:rsid w:val="00740CEF"/>
    <w:rsid w:val="00741051"/>
    <w:rsid w:val="007427E7"/>
    <w:rsid w:val="007430F0"/>
    <w:rsid w:val="007444F5"/>
    <w:rsid w:val="0074495F"/>
    <w:rsid w:val="007460A5"/>
    <w:rsid w:val="00746110"/>
    <w:rsid w:val="00746126"/>
    <w:rsid w:val="007479B6"/>
    <w:rsid w:val="00747D33"/>
    <w:rsid w:val="007507EB"/>
    <w:rsid w:val="00750BED"/>
    <w:rsid w:val="007517C5"/>
    <w:rsid w:val="00752586"/>
    <w:rsid w:val="00752815"/>
    <w:rsid w:val="00752B57"/>
    <w:rsid w:val="00752C0F"/>
    <w:rsid w:val="0075324C"/>
    <w:rsid w:val="0075346B"/>
    <w:rsid w:val="00753520"/>
    <w:rsid w:val="00753D53"/>
    <w:rsid w:val="0075422C"/>
    <w:rsid w:val="00754A4A"/>
    <w:rsid w:val="007557EA"/>
    <w:rsid w:val="00755E34"/>
    <w:rsid w:val="007567E6"/>
    <w:rsid w:val="007568E5"/>
    <w:rsid w:val="00756C87"/>
    <w:rsid w:val="00756CBA"/>
    <w:rsid w:val="00756F90"/>
    <w:rsid w:val="007572B3"/>
    <w:rsid w:val="00757B29"/>
    <w:rsid w:val="00760C66"/>
    <w:rsid w:val="00760CAE"/>
    <w:rsid w:val="00761CE3"/>
    <w:rsid w:val="0076243A"/>
    <w:rsid w:val="0076389A"/>
    <w:rsid w:val="007640DD"/>
    <w:rsid w:val="00764515"/>
    <w:rsid w:val="00764867"/>
    <w:rsid w:val="00764F3F"/>
    <w:rsid w:val="007650E0"/>
    <w:rsid w:val="007652E6"/>
    <w:rsid w:val="007658AB"/>
    <w:rsid w:val="00765EA4"/>
    <w:rsid w:val="00766A04"/>
    <w:rsid w:val="00766D85"/>
    <w:rsid w:val="00766DEC"/>
    <w:rsid w:val="007670AA"/>
    <w:rsid w:val="00767336"/>
    <w:rsid w:val="00767359"/>
    <w:rsid w:val="007676E7"/>
    <w:rsid w:val="00767E8D"/>
    <w:rsid w:val="00767F7C"/>
    <w:rsid w:val="0077062A"/>
    <w:rsid w:val="00770661"/>
    <w:rsid w:val="007707B4"/>
    <w:rsid w:val="00770DBE"/>
    <w:rsid w:val="007716B4"/>
    <w:rsid w:val="00772AD1"/>
    <w:rsid w:val="007735EB"/>
    <w:rsid w:val="00773AA1"/>
    <w:rsid w:val="00773ACD"/>
    <w:rsid w:val="00773DAD"/>
    <w:rsid w:val="00773FCC"/>
    <w:rsid w:val="0077468A"/>
    <w:rsid w:val="00774B86"/>
    <w:rsid w:val="00774C1C"/>
    <w:rsid w:val="00774E0B"/>
    <w:rsid w:val="00775005"/>
    <w:rsid w:val="00775425"/>
    <w:rsid w:val="0077698E"/>
    <w:rsid w:val="00776F64"/>
    <w:rsid w:val="007772E1"/>
    <w:rsid w:val="0077736F"/>
    <w:rsid w:val="00777728"/>
    <w:rsid w:val="00777C07"/>
    <w:rsid w:val="00777E63"/>
    <w:rsid w:val="0078015A"/>
    <w:rsid w:val="00780608"/>
    <w:rsid w:val="0078373D"/>
    <w:rsid w:val="007838E6"/>
    <w:rsid w:val="00783B72"/>
    <w:rsid w:val="007846BF"/>
    <w:rsid w:val="00784C03"/>
    <w:rsid w:val="0078501C"/>
    <w:rsid w:val="00785AF9"/>
    <w:rsid w:val="0078676D"/>
    <w:rsid w:val="00786F00"/>
    <w:rsid w:val="007903D4"/>
    <w:rsid w:val="00790782"/>
    <w:rsid w:val="007912C4"/>
    <w:rsid w:val="00792188"/>
    <w:rsid w:val="00792BB0"/>
    <w:rsid w:val="00794514"/>
    <w:rsid w:val="007945D6"/>
    <w:rsid w:val="007949CF"/>
    <w:rsid w:val="00794F93"/>
    <w:rsid w:val="00794FB8"/>
    <w:rsid w:val="0079507C"/>
    <w:rsid w:val="007951E2"/>
    <w:rsid w:val="00795D34"/>
    <w:rsid w:val="00796469"/>
    <w:rsid w:val="00796619"/>
    <w:rsid w:val="007979B6"/>
    <w:rsid w:val="00797ACB"/>
    <w:rsid w:val="00797FA6"/>
    <w:rsid w:val="007A1AC4"/>
    <w:rsid w:val="007A1DA1"/>
    <w:rsid w:val="007A22B2"/>
    <w:rsid w:val="007A24AD"/>
    <w:rsid w:val="007A2E2A"/>
    <w:rsid w:val="007A2F39"/>
    <w:rsid w:val="007A37BD"/>
    <w:rsid w:val="007A3EF9"/>
    <w:rsid w:val="007A4020"/>
    <w:rsid w:val="007A57F9"/>
    <w:rsid w:val="007A5F21"/>
    <w:rsid w:val="007A7717"/>
    <w:rsid w:val="007A7B3E"/>
    <w:rsid w:val="007B0231"/>
    <w:rsid w:val="007B039D"/>
    <w:rsid w:val="007B03E5"/>
    <w:rsid w:val="007B0B74"/>
    <w:rsid w:val="007B0DC7"/>
    <w:rsid w:val="007B1078"/>
    <w:rsid w:val="007B12F9"/>
    <w:rsid w:val="007B13CF"/>
    <w:rsid w:val="007B184C"/>
    <w:rsid w:val="007B3959"/>
    <w:rsid w:val="007B3CD4"/>
    <w:rsid w:val="007B4310"/>
    <w:rsid w:val="007B4830"/>
    <w:rsid w:val="007B4976"/>
    <w:rsid w:val="007B5942"/>
    <w:rsid w:val="007B6940"/>
    <w:rsid w:val="007B739A"/>
    <w:rsid w:val="007B73D6"/>
    <w:rsid w:val="007B7476"/>
    <w:rsid w:val="007B7750"/>
    <w:rsid w:val="007B7A58"/>
    <w:rsid w:val="007B7D74"/>
    <w:rsid w:val="007C0356"/>
    <w:rsid w:val="007C0396"/>
    <w:rsid w:val="007C1E0F"/>
    <w:rsid w:val="007C298E"/>
    <w:rsid w:val="007C2B3F"/>
    <w:rsid w:val="007C2F85"/>
    <w:rsid w:val="007C3255"/>
    <w:rsid w:val="007C3765"/>
    <w:rsid w:val="007C4523"/>
    <w:rsid w:val="007C46B6"/>
    <w:rsid w:val="007C46E8"/>
    <w:rsid w:val="007C494D"/>
    <w:rsid w:val="007C49D1"/>
    <w:rsid w:val="007C4F64"/>
    <w:rsid w:val="007C522B"/>
    <w:rsid w:val="007C5D0A"/>
    <w:rsid w:val="007C64B7"/>
    <w:rsid w:val="007C700E"/>
    <w:rsid w:val="007C7633"/>
    <w:rsid w:val="007C7D58"/>
    <w:rsid w:val="007C7F76"/>
    <w:rsid w:val="007D10C2"/>
    <w:rsid w:val="007D177E"/>
    <w:rsid w:val="007D179D"/>
    <w:rsid w:val="007D1937"/>
    <w:rsid w:val="007D1DE2"/>
    <w:rsid w:val="007D2C89"/>
    <w:rsid w:val="007D2E8A"/>
    <w:rsid w:val="007D34D8"/>
    <w:rsid w:val="007D56F9"/>
    <w:rsid w:val="007D6693"/>
    <w:rsid w:val="007D70A8"/>
    <w:rsid w:val="007D70C1"/>
    <w:rsid w:val="007D71A0"/>
    <w:rsid w:val="007D7533"/>
    <w:rsid w:val="007D7C1C"/>
    <w:rsid w:val="007E0E62"/>
    <w:rsid w:val="007E137A"/>
    <w:rsid w:val="007E1C42"/>
    <w:rsid w:val="007E2971"/>
    <w:rsid w:val="007E2F70"/>
    <w:rsid w:val="007E3CFC"/>
    <w:rsid w:val="007E4686"/>
    <w:rsid w:val="007E4AB7"/>
    <w:rsid w:val="007E4B4E"/>
    <w:rsid w:val="007E510E"/>
    <w:rsid w:val="007E5251"/>
    <w:rsid w:val="007E6180"/>
    <w:rsid w:val="007E69DD"/>
    <w:rsid w:val="007E7444"/>
    <w:rsid w:val="007E79B6"/>
    <w:rsid w:val="007F002D"/>
    <w:rsid w:val="007F0123"/>
    <w:rsid w:val="007F035A"/>
    <w:rsid w:val="007F0376"/>
    <w:rsid w:val="007F060F"/>
    <w:rsid w:val="007F065D"/>
    <w:rsid w:val="007F0CC3"/>
    <w:rsid w:val="007F2619"/>
    <w:rsid w:val="007F2B2E"/>
    <w:rsid w:val="007F37D2"/>
    <w:rsid w:val="007F4549"/>
    <w:rsid w:val="007F4879"/>
    <w:rsid w:val="007F4BC5"/>
    <w:rsid w:val="007F56EE"/>
    <w:rsid w:val="007F6034"/>
    <w:rsid w:val="007F62BC"/>
    <w:rsid w:val="007F774C"/>
    <w:rsid w:val="007F7838"/>
    <w:rsid w:val="007F7F18"/>
    <w:rsid w:val="00800493"/>
    <w:rsid w:val="00800B82"/>
    <w:rsid w:val="00800D7D"/>
    <w:rsid w:val="00800D8A"/>
    <w:rsid w:val="00800EC8"/>
    <w:rsid w:val="00801528"/>
    <w:rsid w:val="00802258"/>
    <w:rsid w:val="008032C3"/>
    <w:rsid w:val="00803476"/>
    <w:rsid w:val="00803BB7"/>
    <w:rsid w:val="00803D5A"/>
    <w:rsid w:val="00804240"/>
    <w:rsid w:val="0080438C"/>
    <w:rsid w:val="00804574"/>
    <w:rsid w:val="00804DFA"/>
    <w:rsid w:val="00805120"/>
    <w:rsid w:val="0080561E"/>
    <w:rsid w:val="00806D39"/>
    <w:rsid w:val="00807272"/>
    <w:rsid w:val="0080727F"/>
    <w:rsid w:val="008077A9"/>
    <w:rsid w:val="00807C98"/>
    <w:rsid w:val="00810C0B"/>
    <w:rsid w:val="00812490"/>
    <w:rsid w:val="00812805"/>
    <w:rsid w:val="00815812"/>
    <w:rsid w:val="00815A94"/>
    <w:rsid w:val="0081693E"/>
    <w:rsid w:val="00816D8F"/>
    <w:rsid w:val="008170B5"/>
    <w:rsid w:val="008172C1"/>
    <w:rsid w:val="008172F9"/>
    <w:rsid w:val="00817AC2"/>
    <w:rsid w:val="00817CAF"/>
    <w:rsid w:val="00817ED3"/>
    <w:rsid w:val="00820C49"/>
    <w:rsid w:val="00820E24"/>
    <w:rsid w:val="00821229"/>
    <w:rsid w:val="0082148A"/>
    <w:rsid w:val="00821D0C"/>
    <w:rsid w:val="0082235E"/>
    <w:rsid w:val="00822949"/>
    <w:rsid w:val="00822ABB"/>
    <w:rsid w:val="00823072"/>
    <w:rsid w:val="00823656"/>
    <w:rsid w:val="00823AD6"/>
    <w:rsid w:val="008240C3"/>
    <w:rsid w:val="008255B6"/>
    <w:rsid w:val="00825FD4"/>
    <w:rsid w:val="008274CE"/>
    <w:rsid w:val="00830817"/>
    <w:rsid w:val="00830866"/>
    <w:rsid w:val="00830E7F"/>
    <w:rsid w:val="00831D25"/>
    <w:rsid w:val="0083247B"/>
    <w:rsid w:val="008324E3"/>
    <w:rsid w:val="00832F48"/>
    <w:rsid w:val="008339E1"/>
    <w:rsid w:val="00833AD7"/>
    <w:rsid w:val="00833D12"/>
    <w:rsid w:val="00834785"/>
    <w:rsid w:val="00835F62"/>
    <w:rsid w:val="00836E1F"/>
    <w:rsid w:val="0083710E"/>
    <w:rsid w:val="0083724A"/>
    <w:rsid w:val="008375D3"/>
    <w:rsid w:val="00837804"/>
    <w:rsid w:val="00837964"/>
    <w:rsid w:val="00837966"/>
    <w:rsid w:val="00841259"/>
    <w:rsid w:val="008425D0"/>
    <w:rsid w:val="008436CF"/>
    <w:rsid w:val="00843921"/>
    <w:rsid w:val="00843958"/>
    <w:rsid w:val="00843B13"/>
    <w:rsid w:val="008441B4"/>
    <w:rsid w:val="00844535"/>
    <w:rsid w:val="008446BD"/>
    <w:rsid w:val="00844EA0"/>
    <w:rsid w:val="00845077"/>
    <w:rsid w:val="00845150"/>
    <w:rsid w:val="008456CD"/>
    <w:rsid w:val="008458FB"/>
    <w:rsid w:val="008459FE"/>
    <w:rsid w:val="00847529"/>
    <w:rsid w:val="008478EE"/>
    <w:rsid w:val="00850653"/>
    <w:rsid w:val="0085072F"/>
    <w:rsid w:val="00850851"/>
    <w:rsid w:val="008511AF"/>
    <w:rsid w:val="00851C08"/>
    <w:rsid w:val="008529AB"/>
    <w:rsid w:val="00852ADD"/>
    <w:rsid w:val="008545A4"/>
    <w:rsid w:val="00854D33"/>
    <w:rsid w:val="008559A3"/>
    <w:rsid w:val="00855C9B"/>
    <w:rsid w:val="008562A1"/>
    <w:rsid w:val="00856503"/>
    <w:rsid w:val="008604E5"/>
    <w:rsid w:val="00860AB1"/>
    <w:rsid w:val="008615E1"/>
    <w:rsid w:val="008623C2"/>
    <w:rsid w:val="00862CA2"/>
    <w:rsid w:val="00862E70"/>
    <w:rsid w:val="00862FC0"/>
    <w:rsid w:val="008636BB"/>
    <w:rsid w:val="00863738"/>
    <w:rsid w:val="008642AD"/>
    <w:rsid w:val="00864ABC"/>
    <w:rsid w:val="008653B7"/>
    <w:rsid w:val="008655AC"/>
    <w:rsid w:val="00865BD8"/>
    <w:rsid w:val="00865D2A"/>
    <w:rsid w:val="0086622A"/>
    <w:rsid w:val="00866AC0"/>
    <w:rsid w:val="00866EE3"/>
    <w:rsid w:val="0086737B"/>
    <w:rsid w:val="00867733"/>
    <w:rsid w:val="0086780B"/>
    <w:rsid w:val="008702B0"/>
    <w:rsid w:val="008706BD"/>
    <w:rsid w:val="00870735"/>
    <w:rsid w:val="0087096A"/>
    <w:rsid w:val="00872C4A"/>
    <w:rsid w:val="008740A8"/>
    <w:rsid w:val="00875356"/>
    <w:rsid w:val="008756AF"/>
    <w:rsid w:val="0087574A"/>
    <w:rsid w:val="008758D1"/>
    <w:rsid w:val="008772C0"/>
    <w:rsid w:val="0087778F"/>
    <w:rsid w:val="00877D4A"/>
    <w:rsid w:val="00877FAB"/>
    <w:rsid w:val="00880056"/>
    <w:rsid w:val="0088046C"/>
    <w:rsid w:val="008806AC"/>
    <w:rsid w:val="00880F44"/>
    <w:rsid w:val="0088102B"/>
    <w:rsid w:val="008813AC"/>
    <w:rsid w:val="00881BA8"/>
    <w:rsid w:val="008822F8"/>
    <w:rsid w:val="00882909"/>
    <w:rsid w:val="008843FF"/>
    <w:rsid w:val="008845E5"/>
    <w:rsid w:val="00884E3B"/>
    <w:rsid w:val="0088592D"/>
    <w:rsid w:val="00886376"/>
    <w:rsid w:val="00886400"/>
    <w:rsid w:val="008864BB"/>
    <w:rsid w:val="00886D61"/>
    <w:rsid w:val="00887091"/>
    <w:rsid w:val="008904BF"/>
    <w:rsid w:val="00891295"/>
    <w:rsid w:val="008926A0"/>
    <w:rsid w:val="00892B9B"/>
    <w:rsid w:val="00893172"/>
    <w:rsid w:val="00894231"/>
    <w:rsid w:val="00894972"/>
    <w:rsid w:val="00895F8C"/>
    <w:rsid w:val="00896493"/>
    <w:rsid w:val="008977CF"/>
    <w:rsid w:val="00897D90"/>
    <w:rsid w:val="008A02DB"/>
    <w:rsid w:val="008A1C3A"/>
    <w:rsid w:val="008A21DC"/>
    <w:rsid w:val="008A224E"/>
    <w:rsid w:val="008A2334"/>
    <w:rsid w:val="008A377A"/>
    <w:rsid w:val="008A42A3"/>
    <w:rsid w:val="008A4497"/>
    <w:rsid w:val="008A4D9D"/>
    <w:rsid w:val="008A4E9E"/>
    <w:rsid w:val="008A4FC8"/>
    <w:rsid w:val="008A5396"/>
    <w:rsid w:val="008A5401"/>
    <w:rsid w:val="008A5520"/>
    <w:rsid w:val="008A58E2"/>
    <w:rsid w:val="008A5B22"/>
    <w:rsid w:val="008A6158"/>
    <w:rsid w:val="008A665A"/>
    <w:rsid w:val="008A66E5"/>
    <w:rsid w:val="008A7739"/>
    <w:rsid w:val="008B0B69"/>
    <w:rsid w:val="008B164C"/>
    <w:rsid w:val="008B246C"/>
    <w:rsid w:val="008B2F67"/>
    <w:rsid w:val="008B4611"/>
    <w:rsid w:val="008B49CA"/>
    <w:rsid w:val="008B4D68"/>
    <w:rsid w:val="008B5289"/>
    <w:rsid w:val="008B575C"/>
    <w:rsid w:val="008B6D49"/>
    <w:rsid w:val="008B74E9"/>
    <w:rsid w:val="008B7C15"/>
    <w:rsid w:val="008C044A"/>
    <w:rsid w:val="008C125B"/>
    <w:rsid w:val="008C15C6"/>
    <w:rsid w:val="008C24F4"/>
    <w:rsid w:val="008C29BF"/>
    <w:rsid w:val="008C2B6E"/>
    <w:rsid w:val="008C3773"/>
    <w:rsid w:val="008C3810"/>
    <w:rsid w:val="008C4420"/>
    <w:rsid w:val="008C56E9"/>
    <w:rsid w:val="008C587F"/>
    <w:rsid w:val="008C5C40"/>
    <w:rsid w:val="008C69F4"/>
    <w:rsid w:val="008C6D67"/>
    <w:rsid w:val="008C6F72"/>
    <w:rsid w:val="008C704C"/>
    <w:rsid w:val="008C7561"/>
    <w:rsid w:val="008D1149"/>
    <w:rsid w:val="008D1163"/>
    <w:rsid w:val="008D1EAF"/>
    <w:rsid w:val="008D37EB"/>
    <w:rsid w:val="008D4D7C"/>
    <w:rsid w:val="008D7294"/>
    <w:rsid w:val="008D74EA"/>
    <w:rsid w:val="008E0A38"/>
    <w:rsid w:val="008E0BDA"/>
    <w:rsid w:val="008E0D9A"/>
    <w:rsid w:val="008E116D"/>
    <w:rsid w:val="008E13B8"/>
    <w:rsid w:val="008E13F2"/>
    <w:rsid w:val="008E1656"/>
    <w:rsid w:val="008E1785"/>
    <w:rsid w:val="008E2077"/>
    <w:rsid w:val="008E3CA4"/>
    <w:rsid w:val="008E4D6F"/>
    <w:rsid w:val="008E4F48"/>
    <w:rsid w:val="008E6150"/>
    <w:rsid w:val="008E7205"/>
    <w:rsid w:val="008E7257"/>
    <w:rsid w:val="008E788A"/>
    <w:rsid w:val="008E7DE4"/>
    <w:rsid w:val="008F0400"/>
    <w:rsid w:val="008F0869"/>
    <w:rsid w:val="008F26DA"/>
    <w:rsid w:val="008F2A4D"/>
    <w:rsid w:val="008F2B52"/>
    <w:rsid w:val="008F2CA6"/>
    <w:rsid w:val="008F3A70"/>
    <w:rsid w:val="008F4AAE"/>
    <w:rsid w:val="008F5C11"/>
    <w:rsid w:val="008F61A7"/>
    <w:rsid w:val="008F66BB"/>
    <w:rsid w:val="008F7944"/>
    <w:rsid w:val="00900357"/>
    <w:rsid w:val="00901808"/>
    <w:rsid w:val="00902069"/>
    <w:rsid w:val="00903B38"/>
    <w:rsid w:val="00903E70"/>
    <w:rsid w:val="009048C8"/>
    <w:rsid w:val="0090526B"/>
    <w:rsid w:val="00905462"/>
    <w:rsid w:val="00905A9A"/>
    <w:rsid w:val="00906C44"/>
    <w:rsid w:val="00906C81"/>
    <w:rsid w:val="0090716E"/>
    <w:rsid w:val="00907CC4"/>
    <w:rsid w:val="0091045B"/>
    <w:rsid w:val="0091077A"/>
    <w:rsid w:val="00910E13"/>
    <w:rsid w:val="00911766"/>
    <w:rsid w:val="00911CCA"/>
    <w:rsid w:val="009120F3"/>
    <w:rsid w:val="00912CF9"/>
    <w:rsid w:val="00912E86"/>
    <w:rsid w:val="009131CB"/>
    <w:rsid w:val="00913529"/>
    <w:rsid w:val="009147F0"/>
    <w:rsid w:val="009153BC"/>
    <w:rsid w:val="00915746"/>
    <w:rsid w:val="00916CD2"/>
    <w:rsid w:val="00917382"/>
    <w:rsid w:val="009173B0"/>
    <w:rsid w:val="00917FBA"/>
    <w:rsid w:val="009206B0"/>
    <w:rsid w:val="00920719"/>
    <w:rsid w:val="00920A3F"/>
    <w:rsid w:val="00920D19"/>
    <w:rsid w:val="00921471"/>
    <w:rsid w:val="00921C5A"/>
    <w:rsid w:val="00921F24"/>
    <w:rsid w:val="0092456B"/>
    <w:rsid w:val="00925352"/>
    <w:rsid w:val="009270DD"/>
    <w:rsid w:val="009275D5"/>
    <w:rsid w:val="00927DB6"/>
    <w:rsid w:val="00927FD9"/>
    <w:rsid w:val="00931A79"/>
    <w:rsid w:val="00931ED0"/>
    <w:rsid w:val="00932128"/>
    <w:rsid w:val="00932740"/>
    <w:rsid w:val="009330B2"/>
    <w:rsid w:val="009333EB"/>
    <w:rsid w:val="00933ACF"/>
    <w:rsid w:val="00937015"/>
    <w:rsid w:val="0093788A"/>
    <w:rsid w:val="0093798E"/>
    <w:rsid w:val="009400C5"/>
    <w:rsid w:val="00940466"/>
    <w:rsid w:val="00940803"/>
    <w:rsid w:val="0094109A"/>
    <w:rsid w:val="0094114F"/>
    <w:rsid w:val="00941D83"/>
    <w:rsid w:val="00942227"/>
    <w:rsid w:val="00942AFD"/>
    <w:rsid w:val="00942B9F"/>
    <w:rsid w:val="00942FC8"/>
    <w:rsid w:val="00943E7B"/>
    <w:rsid w:val="0094476A"/>
    <w:rsid w:val="00944979"/>
    <w:rsid w:val="009463C2"/>
    <w:rsid w:val="00946BE7"/>
    <w:rsid w:val="009476A6"/>
    <w:rsid w:val="009479DB"/>
    <w:rsid w:val="00950779"/>
    <w:rsid w:val="00951287"/>
    <w:rsid w:val="00951C29"/>
    <w:rsid w:val="00951D8D"/>
    <w:rsid w:val="00952CDB"/>
    <w:rsid w:val="00954817"/>
    <w:rsid w:val="009556C9"/>
    <w:rsid w:val="00955BA4"/>
    <w:rsid w:val="0095612F"/>
    <w:rsid w:val="00956551"/>
    <w:rsid w:val="00956853"/>
    <w:rsid w:val="009577FA"/>
    <w:rsid w:val="00960572"/>
    <w:rsid w:val="00960917"/>
    <w:rsid w:val="009634F2"/>
    <w:rsid w:val="00963E53"/>
    <w:rsid w:val="00965B87"/>
    <w:rsid w:val="00966140"/>
    <w:rsid w:val="00966A3A"/>
    <w:rsid w:val="0096703F"/>
    <w:rsid w:val="009717F8"/>
    <w:rsid w:val="009719CD"/>
    <w:rsid w:val="00972779"/>
    <w:rsid w:val="00973F81"/>
    <w:rsid w:val="00974C04"/>
    <w:rsid w:val="00974C0B"/>
    <w:rsid w:val="00976B6A"/>
    <w:rsid w:val="00976E8F"/>
    <w:rsid w:val="0097739D"/>
    <w:rsid w:val="00977A19"/>
    <w:rsid w:val="009810E2"/>
    <w:rsid w:val="009819F1"/>
    <w:rsid w:val="009821DA"/>
    <w:rsid w:val="00982D18"/>
    <w:rsid w:val="00983892"/>
    <w:rsid w:val="009853B7"/>
    <w:rsid w:val="009858F1"/>
    <w:rsid w:val="00985EA9"/>
    <w:rsid w:val="0098606B"/>
    <w:rsid w:val="009861DA"/>
    <w:rsid w:val="00986448"/>
    <w:rsid w:val="00986F85"/>
    <w:rsid w:val="00987050"/>
    <w:rsid w:val="0098754F"/>
    <w:rsid w:val="00987863"/>
    <w:rsid w:val="009879FA"/>
    <w:rsid w:val="009903B8"/>
    <w:rsid w:val="00990630"/>
    <w:rsid w:val="009907E5"/>
    <w:rsid w:val="00991359"/>
    <w:rsid w:val="00991674"/>
    <w:rsid w:val="009916F5"/>
    <w:rsid w:val="00991918"/>
    <w:rsid w:val="00991A0F"/>
    <w:rsid w:val="0099214D"/>
    <w:rsid w:val="0099251B"/>
    <w:rsid w:val="00992F70"/>
    <w:rsid w:val="00993044"/>
    <w:rsid w:val="0099365E"/>
    <w:rsid w:val="00994843"/>
    <w:rsid w:val="00994A2C"/>
    <w:rsid w:val="00994AD7"/>
    <w:rsid w:val="009950B7"/>
    <w:rsid w:val="00995651"/>
    <w:rsid w:val="00995A62"/>
    <w:rsid w:val="00996C8F"/>
    <w:rsid w:val="00996F9C"/>
    <w:rsid w:val="00997528"/>
    <w:rsid w:val="00997583"/>
    <w:rsid w:val="00997AD8"/>
    <w:rsid w:val="009A1D3A"/>
    <w:rsid w:val="009A21FE"/>
    <w:rsid w:val="009A22A0"/>
    <w:rsid w:val="009A268C"/>
    <w:rsid w:val="009A327B"/>
    <w:rsid w:val="009A3C13"/>
    <w:rsid w:val="009A3E00"/>
    <w:rsid w:val="009A4F0F"/>
    <w:rsid w:val="009A5B90"/>
    <w:rsid w:val="009A60E3"/>
    <w:rsid w:val="009A61F0"/>
    <w:rsid w:val="009A6368"/>
    <w:rsid w:val="009A6959"/>
    <w:rsid w:val="009A6A22"/>
    <w:rsid w:val="009A6FE7"/>
    <w:rsid w:val="009A774E"/>
    <w:rsid w:val="009A7AF5"/>
    <w:rsid w:val="009A7C7A"/>
    <w:rsid w:val="009A7F80"/>
    <w:rsid w:val="009B0198"/>
    <w:rsid w:val="009B02C4"/>
    <w:rsid w:val="009B0573"/>
    <w:rsid w:val="009B096F"/>
    <w:rsid w:val="009B12E6"/>
    <w:rsid w:val="009B1569"/>
    <w:rsid w:val="009B16E9"/>
    <w:rsid w:val="009B29B8"/>
    <w:rsid w:val="009B3598"/>
    <w:rsid w:val="009B3BD9"/>
    <w:rsid w:val="009B3EE8"/>
    <w:rsid w:val="009B4A90"/>
    <w:rsid w:val="009B658D"/>
    <w:rsid w:val="009B7FE2"/>
    <w:rsid w:val="009C1AC0"/>
    <w:rsid w:val="009C1F09"/>
    <w:rsid w:val="009C2599"/>
    <w:rsid w:val="009C275C"/>
    <w:rsid w:val="009C301A"/>
    <w:rsid w:val="009C304C"/>
    <w:rsid w:val="009C39AD"/>
    <w:rsid w:val="009C3EF3"/>
    <w:rsid w:val="009C55F8"/>
    <w:rsid w:val="009C5B69"/>
    <w:rsid w:val="009C5D74"/>
    <w:rsid w:val="009C5F91"/>
    <w:rsid w:val="009C6173"/>
    <w:rsid w:val="009C7425"/>
    <w:rsid w:val="009C7980"/>
    <w:rsid w:val="009D0E27"/>
    <w:rsid w:val="009D0FCA"/>
    <w:rsid w:val="009D11BC"/>
    <w:rsid w:val="009D17CF"/>
    <w:rsid w:val="009D2221"/>
    <w:rsid w:val="009D3284"/>
    <w:rsid w:val="009D399D"/>
    <w:rsid w:val="009D5285"/>
    <w:rsid w:val="009D57FD"/>
    <w:rsid w:val="009D6238"/>
    <w:rsid w:val="009D6714"/>
    <w:rsid w:val="009D6DA9"/>
    <w:rsid w:val="009D6FD0"/>
    <w:rsid w:val="009D742E"/>
    <w:rsid w:val="009D7AA3"/>
    <w:rsid w:val="009E1059"/>
    <w:rsid w:val="009E1265"/>
    <w:rsid w:val="009E1295"/>
    <w:rsid w:val="009E26DF"/>
    <w:rsid w:val="009E2FCE"/>
    <w:rsid w:val="009E32FD"/>
    <w:rsid w:val="009E363E"/>
    <w:rsid w:val="009E3EBD"/>
    <w:rsid w:val="009E4070"/>
    <w:rsid w:val="009E4217"/>
    <w:rsid w:val="009E475E"/>
    <w:rsid w:val="009E48BA"/>
    <w:rsid w:val="009E4E6B"/>
    <w:rsid w:val="009E5757"/>
    <w:rsid w:val="009E65CD"/>
    <w:rsid w:val="009E6F21"/>
    <w:rsid w:val="009E7195"/>
    <w:rsid w:val="009E71A2"/>
    <w:rsid w:val="009F0A1A"/>
    <w:rsid w:val="009F1972"/>
    <w:rsid w:val="009F1C93"/>
    <w:rsid w:val="009F2D14"/>
    <w:rsid w:val="009F3A0D"/>
    <w:rsid w:val="009F4149"/>
    <w:rsid w:val="009F4D12"/>
    <w:rsid w:val="009F5433"/>
    <w:rsid w:val="009F5529"/>
    <w:rsid w:val="009F5ABE"/>
    <w:rsid w:val="009F6F26"/>
    <w:rsid w:val="009F7369"/>
    <w:rsid w:val="009F7C4A"/>
    <w:rsid w:val="00A001B2"/>
    <w:rsid w:val="00A00512"/>
    <w:rsid w:val="00A00625"/>
    <w:rsid w:val="00A00CDB"/>
    <w:rsid w:val="00A00EA0"/>
    <w:rsid w:val="00A01424"/>
    <w:rsid w:val="00A02AEE"/>
    <w:rsid w:val="00A036ED"/>
    <w:rsid w:val="00A05823"/>
    <w:rsid w:val="00A05D40"/>
    <w:rsid w:val="00A06334"/>
    <w:rsid w:val="00A06941"/>
    <w:rsid w:val="00A06E7D"/>
    <w:rsid w:val="00A076AE"/>
    <w:rsid w:val="00A07752"/>
    <w:rsid w:val="00A10A07"/>
    <w:rsid w:val="00A1141F"/>
    <w:rsid w:val="00A11705"/>
    <w:rsid w:val="00A11864"/>
    <w:rsid w:val="00A11A17"/>
    <w:rsid w:val="00A11B90"/>
    <w:rsid w:val="00A136DC"/>
    <w:rsid w:val="00A13ADC"/>
    <w:rsid w:val="00A13FC1"/>
    <w:rsid w:val="00A153DD"/>
    <w:rsid w:val="00A15957"/>
    <w:rsid w:val="00A1641B"/>
    <w:rsid w:val="00A172A8"/>
    <w:rsid w:val="00A176B6"/>
    <w:rsid w:val="00A206E6"/>
    <w:rsid w:val="00A20998"/>
    <w:rsid w:val="00A20DFA"/>
    <w:rsid w:val="00A22E04"/>
    <w:rsid w:val="00A22F1E"/>
    <w:rsid w:val="00A23932"/>
    <w:rsid w:val="00A23D65"/>
    <w:rsid w:val="00A23F79"/>
    <w:rsid w:val="00A242C3"/>
    <w:rsid w:val="00A2558D"/>
    <w:rsid w:val="00A25660"/>
    <w:rsid w:val="00A2598C"/>
    <w:rsid w:val="00A25E1D"/>
    <w:rsid w:val="00A27387"/>
    <w:rsid w:val="00A30251"/>
    <w:rsid w:val="00A307A7"/>
    <w:rsid w:val="00A308E8"/>
    <w:rsid w:val="00A30DAE"/>
    <w:rsid w:val="00A317AA"/>
    <w:rsid w:val="00A32C8D"/>
    <w:rsid w:val="00A32FA8"/>
    <w:rsid w:val="00A32FAD"/>
    <w:rsid w:val="00A33481"/>
    <w:rsid w:val="00A33A17"/>
    <w:rsid w:val="00A33B48"/>
    <w:rsid w:val="00A34C73"/>
    <w:rsid w:val="00A34CF4"/>
    <w:rsid w:val="00A35577"/>
    <w:rsid w:val="00A357FF"/>
    <w:rsid w:val="00A36532"/>
    <w:rsid w:val="00A36DB9"/>
    <w:rsid w:val="00A3705D"/>
    <w:rsid w:val="00A3713B"/>
    <w:rsid w:val="00A37812"/>
    <w:rsid w:val="00A378A2"/>
    <w:rsid w:val="00A40EBF"/>
    <w:rsid w:val="00A41AA9"/>
    <w:rsid w:val="00A41F2F"/>
    <w:rsid w:val="00A429B6"/>
    <w:rsid w:val="00A42A97"/>
    <w:rsid w:val="00A42BCC"/>
    <w:rsid w:val="00A430E5"/>
    <w:rsid w:val="00A433B6"/>
    <w:rsid w:val="00A44A58"/>
    <w:rsid w:val="00A45339"/>
    <w:rsid w:val="00A45356"/>
    <w:rsid w:val="00A45642"/>
    <w:rsid w:val="00A4576E"/>
    <w:rsid w:val="00A460CB"/>
    <w:rsid w:val="00A46B7B"/>
    <w:rsid w:val="00A47243"/>
    <w:rsid w:val="00A47371"/>
    <w:rsid w:val="00A473B6"/>
    <w:rsid w:val="00A50E2D"/>
    <w:rsid w:val="00A50FED"/>
    <w:rsid w:val="00A524D3"/>
    <w:rsid w:val="00A5296C"/>
    <w:rsid w:val="00A52A1E"/>
    <w:rsid w:val="00A53406"/>
    <w:rsid w:val="00A54CC9"/>
    <w:rsid w:val="00A5520F"/>
    <w:rsid w:val="00A554B7"/>
    <w:rsid w:val="00A55B6C"/>
    <w:rsid w:val="00A55E41"/>
    <w:rsid w:val="00A55EAC"/>
    <w:rsid w:val="00A561C2"/>
    <w:rsid w:val="00A561C4"/>
    <w:rsid w:val="00A56CAC"/>
    <w:rsid w:val="00A57223"/>
    <w:rsid w:val="00A5755B"/>
    <w:rsid w:val="00A57EF5"/>
    <w:rsid w:val="00A607A5"/>
    <w:rsid w:val="00A611B6"/>
    <w:rsid w:val="00A612A0"/>
    <w:rsid w:val="00A61305"/>
    <w:rsid w:val="00A62235"/>
    <w:rsid w:val="00A6282E"/>
    <w:rsid w:val="00A6290C"/>
    <w:rsid w:val="00A62E7F"/>
    <w:rsid w:val="00A633FA"/>
    <w:rsid w:val="00A637A1"/>
    <w:rsid w:val="00A64ECE"/>
    <w:rsid w:val="00A64F5F"/>
    <w:rsid w:val="00A64FCB"/>
    <w:rsid w:val="00A65402"/>
    <w:rsid w:val="00A67B6E"/>
    <w:rsid w:val="00A70702"/>
    <w:rsid w:val="00A70AAA"/>
    <w:rsid w:val="00A70F39"/>
    <w:rsid w:val="00A71064"/>
    <w:rsid w:val="00A71242"/>
    <w:rsid w:val="00A7124E"/>
    <w:rsid w:val="00A71490"/>
    <w:rsid w:val="00A729A0"/>
    <w:rsid w:val="00A72F09"/>
    <w:rsid w:val="00A73010"/>
    <w:rsid w:val="00A73093"/>
    <w:rsid w:val="00A75937"/>
    <w:rsid w:val="00A75E86"/>
    <w:rsid w:val="00A76239"/>
    <w:rsid w:val="00A771C8"/>
    <w:rsid w:val="00A77525"/>
    <w:rsid w:val="00A7772F"/>
    <w:rsid w:val="00A77B7E"/>
    <w:rsid w:val="00A80147"/>
    <w:rsid w:val="00A80414"/>
    <w:rsid w:val="00A80515"/>
    <w:rsid w:val="00A8079D"/>
    <w:rsid w:val="00A81901"/>
    <w:rsid w:val="00A82909"/>
    <w:rsid w:val="00A831B0"/>
    <w:rsid w:val="00A83938"/>
    <w:rsid w:val="00A83A79"/>
    <w:rsid w:val="00A84515"/>
    <w:rsid w:val="00A845FA"/>
    <w:rsid w:val="00A849A2"/>
    <w:rsid w:val="00A8520D"/>
    <w:rsid w:val="00A85289"/>
    <w:rsid w:val="00A85668"/>
    <w:rsid w:val="00A85A44"/>
    <w:rsid w:val="00A85CB4"/>
    <w:rsid w:val="00A86E14"/>
    <w:rsid w:val="00A86FD4"/>
    <w:rsid w:val="00A8726A"/>
    <w:rsid w:val="00A87E82"/>
    <w:rsid w:val="00A90366"/>
    <w:rsid w:val="00A90374"/>
    <w:rsid w:val="00A90A4D"/>
    <w:rsid w:val="00A90B71"/>
    <w:rsid w:val="00A9112D"/>
    <w:rsid w:val="00A91E29"/>
    <w:rsid w:val="00A92011"/>
    <w:rsid w:val="00A920FD"/>
    <w:rsid w:val="00A937EB"/>
    <w:rsid w:val="00A94B3F"/>
    <w:rsid w:val="00A95F3A"/>
    <w:rsid w:val="00A962CB"/>
    <w:rsid w:val="00A9639E"/>
    <w:rsid w:val="00A96CA3"/>
    <w:rsid w:val="00A976AC"/>
    <w:rsid w:val="00AA17C7"/>
    <w:rsid w:val="00AA21D9"/>
    <w:rsid w:val="00AA2299"/>
    <w:rsid w:val="00AA2727"/>
    <w:rsid w:val="00AA27EA"/>
    <w:rsid w:val="00AA28D0"/>
    <w:rsid w:val="00AA2E52"/>
    <w:rsid w:val="00AA4C2C"/>
    <w:rsid w:val="00AA4FD3"/>
    <w:rsid w:val="00AA5897"/>
    <w:rsid w:val="00AA5BF5"/>
    <w:rsid w:val="00AA6106"/>
    <w:rsid w:val="00AA6607"/>
    <w:rsid w:val="00AA68BD"/>
    <w:rsid w:val="00AA6CF6"/>
    <w:rsid w:val="00AB10F9"/>
    <w:rsid w:val="00AB1466"/>
    <w:rsid w:val="00AB1E17"/>
    <w:rsid w:val="00AB2047"/>
    <w:rsid w:val="00AB24B1"/>
    <w:rsid w:val="00AB571D"/>
    <w:rsid w:val="00AB57F8"/>
    <w:rsid w:val="00AB5C2D"/>
    <w:rsid w:val="00AB5C60"/>
    <w:rsid w:val="00AB6053"/>
    <w:rsid w:val="00AB68D4"/>
    <w:rsid w:val="00AB6B98"/>
    <w:rsid w:val="00AB7A50"/>
    <w:rsid w:val="00AC0E43"/>
    <w:rsid w:val="00AC1C17"/>
    <w:rsid w:val="00AC3459"/>
    <w:rsid w:val="00AC3890"/>
    <w:rsid w:val="00AC3993"/>
    <w:rsid w:val="00AC5784"/>
    <w:rsid w:val="00AC5C34"/>
    <w:rsid w:val="00AC72D1"/>
    <w:rsid w:val="00AC7593"/>
    <w:rsid w:val="00AD069E"/>
    <w:rsid w:val="00AD07D6"/>
    <w:rsid w:val="00AD0DA4"/>
    <w:rsid w:val="00AD186F"/>
    <w:rsid w:val="00AD19C6"/>
    <w:rsid w:val="00AD1CA3"/>
    <w:rsid w:val="00AD1DFF"/>
    <w:rsid w:val="00AD2532"/>
    <w:rsid w:val="00AD298F"/>
    <w:rsid w:val="00AD29A0"/>
    <w:rsid w:val="00AD35EE"/>
    <w:rsid w:val="00AD36BB"/>
    <w:rsid w:val="00AD448A"/>
    <w:rsid w:val="00AD4D53"/>
    <w:rsid w:val="00AD563D"/>
    <w:rsid w:val="00AD5BA2"/>
    <w:rsid w:val="00AD6E54"/>
    <w:rsid w:val="00AD715B"/>
    <w:rsid w:val="00AD71C7"/>
    <w:rsid w:val="00AD782A"/>
    <w:rsid w:val="00AD79A6"/>
    <w:rsid w:val="00AD7A0C"/>
    <w:rsid w:val="00AE026D"/>
    <w:rsid w:val="00AE0453"/>
    <w:rsid w:val="00AE0D8F"/>
    <w:rsid w:val="00AE133E"/>
    <w:rsid w:val="00AE2364"/>
    <w:rsid w:val="00AE359C"/>
    <w:rsid w:val="00AE3E9B"/>
    <w:rsid w:val="00AE433A"/>
    <w:rsid w:val="00AE527C"/>
    <w:rsid w:val="00AE5D98"/>
    <w:rsid w:val="00AE671A"/>
    <w:rsid w:val="00AE6B69"/>
    <w:rsid w:val="00AE7BEB"/>
    <w:rsid w:val="00AF0966"/>
    <w:rsid w:val="00AF22A5"/>
    <w:rsid w:val="00AF2A6E"/>
    <w:rsid w:val="00AF3F98"/>
    <w:rsid w:val="00AF546A"/>
    <w:rsid w:val="00AF573B"/>
    <w:rsid w:val="00AF7532"/>
    <w:rsid w:val="00AF7A96"/>
    <w:rsid w:val="00AF7D6C"/>
    <w:rsid w:val="00B023D2"/>
    <w:rsid w:val="00B02B06"/>
    <w:rsid w:val="00B02F4F"/>
    <w:rsid w:val="00B03392"/>
    <w:rsid w:val="00B03600"/>
    <w:rsid w:val="00B049DB"/>
    <w:rsid w:val="00B04C69"/>
    <w:rsid w:val="00B0588F"/>
    <w:rsid w:val="00B06105"/>
    <w:rsid w:val="00B064AF"/>
    <w:rsid w:val="00B06856"/>
    <w:rsid w:val="00B06A51"/>
    <w:rsid w:val="00B06A83"/>
    <w:rsid w:val="00B0719E"/>
    <w:rsid w:val="00B07285"/>
    <w:rsid w:val="00B0774C"/>
    <w:rsid w:val="00B10555"/>
    <w:rsid w:val="00B106F5"/>
    <w:rsid w:val="00B11A50"/>
    <w:rsid w:val="00B11AFF"/>
    <w:rsid w:val="00B1247A"/>
    <w:rsid w:val="00B1271F"/>
    <w:rsid w:val="00B131FC"/>
    <w:rsid w:val="00B134A8"/>
    <w:rsid w:val="00B134BD"/>
    <w:rsid w:val="00B13882"/>
    <w:rsid w:val="00B142C4"/>
    <w:rsid w:val="00B142DF"/>
    <w:rsid w:val="00B14422"/>
    <w:rsid w:val="00B14C02"/>
    <w:rsid w:val="00B1507B"/>
    <w:rsid w:val="00B1527B"/>
    <w:rsid w:val="00B15612"/>
    <w:rsid w:val="00B15971"/>
    <w:rsid w:val="00B15F2E"/>
    <w:rsid w:val="00B16443"/>
    <w:rsid w:val="00B164D3"/>
    <w:rsid w:val="00B16CA9"/>
    <w:rsid w:val="00B16E06"/>
    <w:rsid w:val="00B1706D"/>
    <w:rsid w:val="00B17ACB"/>
    <w:rsid w:val="00B200AC"/>
    <w:rsid w:val="00B200F4"/>
    <w:rsid w:val="00B201EC"/>
    <w:rsid w:val="00B20D48"/>
    <w:rsid w:val="00B21345"/>
    <w:rsid w:val="00B21A52"/>
    <w:rsid w:val="00B222E8"/>
    <w:rsid w:val="00B226B6"/>
    <w:rsid w:val="00B22D5B"/>
    <w:rsid w:val="00B23570"/>
    <w:rsid w:val="00B261A0"/>
    <w:rsid w:val="00B263DD"/>
    <w:rsid w:val="00B2710E"/>
    <w:rsid w:val="00B2745B"/>
    <w:rsid w:val="00B27711"/>
    <w:rsid w:val="00B27F8F"/>
    <w:rsid w:val="00B304C4"/>
    <w:rsid w:val="00B309F9"/>
    <w:rsid w:val="00B315C3"/>
    <w:rsid w:val="00B31B21"/>
    <w:rsid w:val="00B32B47"/>
    <w:rsid w:val="00B32F48"/>
    <w:rsid w:val="00B33272"/>
    <w:rsid w:val="00B33CCD"/>
    <w:rsid w:val="00B34032"/>
    <w:rsid w:val="00B348A7"/>
    <w:rsid w:val="00B34FCE"/>
    <w:rsid w:val="00B350B9"/>
    <w:rsid w:val="00B356D8"/>
    <w:rsid w:val="00B35B30"/>
    <w:rsid w:val="00B36A38"/>
    <w:rsid w:val="00B36F15"/>
    <w:rsid w:val="00B37443"/>
    <w:rsid w:val="00B374F5"/>
    <w:rsid w:val="00B37990"/>
    <w:rsid w:val="00B379FB"/>
    <w:rsid w:val="00B40B72"/>
    <w:rsid w:val="00B41AD9"/>
    <w:rsid w:val="00B41C59"/>
    <w:rsid w:val="00B4329C"/>
    <w:rsid w:val="00B43760"/>
    <w:rsid w:val="00B44BAD"/>
    <w:rsid w:val="00B44BD2"/>
    <w:rsid w:val="00B45337"/>
    <w:rsid w:val="00B45548"/>
    <w:rsid w:val="00B4564F"/>
    <w:rsid w:val="00B45B17"/>
    <w:rsid w:val="00B463FF"/>
    <w:rsid w:val="00B46554"/>
    <w:rsid w:val="00B46AFC"/>
    <w:rsid w:val="00B46CBD"/>
    <w:rsid w:val="00B47B11"/>
    <w:rsid w:val="00B5068C"/>
    <w:rsid w:val="00B50E36"/>
    <w:rsid w:val="00B511AB"/>
    <w:rsid w:val="00B52070"/>
    <w:rsid w:val="00B5241A"/>
    <w:rsid w:val="00B5282D"/>
    <w:rsid w:val="00B531B0"/>
    <w:rsid w:val="00B531D8"/>
    <w:rsid w:val="00B53D3D"/>
    <w:rsid w:val="00B54130"/>
    <w:rsid w:val="00B550C0"/>
    <w:rsid w:val="00B5531F"/>
    <w:rsid w:val="00B5583B"/>
    <w:rsid w:val="00B55941"/>
    <w:rsid w:val="00B565A0"/>
    <w:rsid w:val="00B572FA"/>
    <w:rsid w:val="00B60BDE"/>
    <w:rsid w:val="00B60CE5"/>
    <w:rsid w:val="00B614F6"/>
    <w:rsid w:val="00B622BD"/>
    <w:rsid w:val="00B6233D"/>
    <w:rsid w:val="00B62BBD"/>
    <w:rsid w:val="00B631FB"/>
    <w:rsid w:val="00B63236"/>
    <w:rsid w:val="00B63683"/>
    <w:rsid w:val="00B66157"/>
    <w:rsid w:val="00B6650B"/>
    <w:rsid w:val="00B665C6"/>
    <w:rsid w:val="00B67B7C"/>
    <w:rsid w:val="00B7034C"/>
    <w:rsid w:val="00B71FE5"/>
    <w:rsid w:val="00B7229E"/>
    <w:rsid w:val="00B72717"/>
    <w:rsid w:val="00B7284B"/>
    <w:rsid w:val="00B729EB"/>
    <w:rsid w:val="00B73FDE"/>
    <w:rsid w:val="00B74500"/>
    <w:rsid w:val="00B74A4B"/>
    <w:rsid w:val="00B75F19"/>
    <w:rsid w:val="00B76758"/>
    <w:rsid w:val="00B76E8A"/>
    <w:rsid w:val="00B76F4C"/>
    <w:rsid w:val="00B80430"/>
    <w:rsid w:val="00B808B9"/>
    <w:rsid w:val="00B80A1C"/>
    <w:rsid w:val="00B80CC6"/>
    <w:rsid w:val="00B81623"/>
    <w:rsid w:val="00B81D81"/>
    <w:rsid w:val="00B81E50"/>
    <w:rsid w:val="00B81FB0"/>
    <w:rsid w:val="00B824B1"/>
    <w:rsid w:val="00B82AA2"/>
    <w:rsid w:val="00B82B07"/>
    <w:rsid w:val="00B83BBF"/>
    <w:rsid w:val="00B83D46"/>
    <w:rsid w:val="00B83D4A"/>
    <w:rsid w:val="00B83DAC"/>
    <w:rsid w:val="00B8451A"/>
    <w:rsid w:val="00B8480F"/>
    <w:rsid w:val="00B84FA5"/>
    <w:rsid w:val="00B8588F"/>
    <w:rsid w:val="00B86E58"/>
    <w:rsid w:val="00B8744D"/>
    <w:rsid w:val="00B90055"/>
    <w:rsid w:val="00B9096A"/>
    <w:rsid w:val="00B91213"/>
    <w:rsid w:val="00B91823"/>
    <w:rsid w:val="00B91D18"/>
    <w:rsid w:val="00B91DA0"/>
    <w:rsid w:val="00B9369F"/>
    <w:rsid w:val="00B94731"/>
    <w:rsid w:val="00B958FE"/>
    <w:rsid w:val="00B959D5"/>
    <w:rsid w:val="00B96461"/>
    <w:rsid w:val="00B9683C"/>
    <w:rsid w:val="00B96A97"/>
    <w:rsid w:val="00B973AB"/>
    <w:rsid w:val="00B979C9"/>
    <w:rsid w:val="00BA02CF"/>
    <w:rsid w:val="00BA072A"/>
    <w:rsid w:val="00BA0C02"/>
    <w:rsid w:val="00BA1B34"/>
    <w:rsid w:val="00BA2191"/>
    <w:rsid w:val="00BA263E"/>
    <w:rsid w:val="00BA3524"/>
    <w:rsid w:val="00BA3B32"/>
    <w:rsid w:val="00BA3DC1"/>
    <w:rsid w:val="00BA41F9"/>
    <w:rsid w:val="00BA4753"/>
    <w:rsid w:val="00BA63ED"/>
    <w:rsid w:val="00BA6BB7"/>
    <w:rsid w:val="00BA77A5"/>
    <w:rsid w:val="00BB077A"/>
    <w:rsid w:val="00BB08F7"/>
    <w:rsid w:val="00BB0A83"/>
    <w:rsid w:val="00BB0DB8"/>
    <w:rsid w:val="00BB1A60"/>
    <w:rsid w:val="00BB1F7E"/>
    <w:rsid w:val="00BB23FA"/>
    <w:rsid w:val="00BB317D"/>
    <w:rsid w:val="00BB49D9"/>
    <w:rsid w:val="00BB57A8"/>
    <w:rsid w:val="00BB6DF1"/>
    <w:rsid w:val="00BB75D3"/>
    <w:rsid w:val="00BC038C"/>
    <w:rsid w:val="00BC1D58"/>
    <w:rsid w:val="00BC20E4"/>
    <w:rsid w:val="00BC2990"/>
    <w:rsid w:val="00BC2BBC"/>
    <w:rsid w:val="00BC4B5F"/>
    <w:rsid w:val="00BC4FFE"/>
    <w:rsid w:val="00BC535D"/>
    <w:rsid w:val="00BC7404"/>
    <w:rsid w:val="00BD0E3E"/>
    <w:rsid w:val="00BD102D"/>
    <w:rsid w:val="00BD1AAD"/>
    <w:rsid w:val="00BD28FB"/>
    <w:rsid w:val="00BD2A77"/>
    <w:rsid w:val="00BD2D29"/>
    <w:rsid w:val="00BD3404"/>
    <w:rsid w:val="00BD34DD"/>
    <w:rsid w:val="00BD3D05"/>
    <w:rsid w:val="00BD4096"/>
    <w:rsid w:val="00BD41B8"/>
    <w:rsid w:val="00BD43ED"/>
    <w:rsid w:val="00BD5888"/>
    <w:rsid w:val="00BD5909"/>
    <w:rsid w:val="00BD69DA"/>
    <w:rsid w:val="00BD6C23"/>
    <w:rsid w:val="00BD6FC3"/>
    <w:rsid w:val="00BD763F"/>
    <w:rsid w:val="00BD7D58"/>
    <w:rsid w:val="00BE0136"/>
    <w:rsid w:val="00BE062B"/>
    <w:rsid w:val="00BE0B7B"/>
    <w:rsid w:val="00BE0C62"/>
    <w:rsid w:val="00BE13AF"/>
    <w:rsid w:val="00BE2BD2"/>
    <w:rsid w:val="00BE2C48"/>
    <w:rsid w:val="00BE4692"/>
    <w:rsid w:val="00BE4719"/>
    <w:rsid w:val="00BE4A00"/>
    <w:rsid w:val="00BE4C0C"/>
    <w:rsid w:val="00BE50D9"/>
    <w:rsid w:val="00BE532C"/>
    <w:rsid w:val="00BE6B08"/>
    <w:rsid w:val="00BE7460"/>
    <w:rsid w:val="00BE74BA"/>
    <w:rsid w:val="00BE7536"/>
    <w:rsid w:val="00BE75F1"/>
    <w:rsid w:val="00BE77D9"/>
    <w:rsid w:val="00BF0080"/>
    <w:rsid w:val="00BF0164"/>
    <w:rsid w:val="00BF13BB"/>
    <w:rsid w:val="00BF15D2"/>
    <w:rsid w:val="00BF1B87"/>
    <w:rsid w:val="00BF1CB5"/>
    <w:rsid w:val="00BF33D8"/>
    <w:rsid w:val="00BF4BF4"/>
    <w:rsid w:val="00BF4E89"/>
    <w:rsid w:val="00BF54E0"/>
    <w:rsid w:val="00BF66B7"/>
    <w:rsid w:val="00BF6EB2"/>
    <w:rsid w:val="00BF6F00"/>
    <w:rsid w:val="00BF78FF"/>
    <w:rsid w:val="00C006E0"/>
    <w:rsid w:val="00C00EA8"/>
    <w:rsid w:val="00C01610"/>
    <w:rsid w:val="00C01903"/>
    <w:rsid w:val="00C01F1E"/>
    <w:rsid w:val="00C024BB"/>
    <w:rsid w:val="00C04051"/>
    <w:rsid w:val="00C049BF"/>
    <w:rsid w:val="00C0520F"/>
    <w:rsid w:val="00C05BA9"/>
    <w:rsid w:val="00C0603A"/>
    <w:rsid w:val="00C06E8C"/>
    <w:rsid w:val="00C0756D"/>
    <w:rsid w:val="00C07879"/>
    <w:rsid w:val="00C079B3"/>
    <w:rsid w:val="00C07BFD"/>
    <w:rsid w:val="00C10A9B"/>
    <w:rsid w:val="00C1135C"/>
    <w:rsid w:val="00C1244B"/>
    <w:rsid w:val="00C127C8"/>
    <w:rsid w:val="00C1297A"/>
    <w:rsid w:val="00C1465D"/>
    <w:rsid w:val="00C156AC"/>
    <w:rsid w:val="00C16992"/>
    <w:rsid w:val="00C1721C"/>
    <w:rsid w:val="00C174E2"/>
    <w:rsid w:val="00C17A18"/>
    <w:rsid w:val="00C17EDD"/>
    <w:rsid w:val="00C17EEA"/>
    <w:rsid w:val="00C17F0D"/>
    <w:rsid w:val="00C201EC"/>
    <w:rsid w:val="00C2110B"/>
    <w:rsid w:val="00C21897"/>
    <w:rsid w:val="00C21C27"/>
    <w:rsid w:val="00C22B03"/>
    <w:rsid w:val="00C22E80"/>
    <w:rsid w:val="00C23686"/>
    <w:rsid w:val="00C24123"/>
    <w:rsid w:val="00C256FB"/>
    <w:rsid w:val="00C258C7"/>
    <w:rsid w:val="00C2654E"/>
    <w:rsid w:val="00C26EA4"/>
    <w:rsid w:val="00C308C9"/>
    <w:rsid w:val="00C30A35"/>
    <w:rsid w:val="00C31501"/>
    <w:rsid w:val="00C317A5"/>
    <w:rsid w:val="00C326CF"/>
    <w:rsid w:val="00C32BF4"/>
    <w:rsid w:val="00C32F65"/>
    <w:rsid w:val="00C3335A"/>
    <w:rsid w:val="00C339B4"/>
    <w:rsid w:val="00C33B4C"/>
    <w:rsid w:val="00C34EFC"/>
    <w:rsid w:val="00C34F3C"/>
    <w:rsid w:val="00C3515F"/>
    <w:rsid w:val="00C35E3C"/>
    <w:rsid w:val="00C36376"/>
    <w:rsid w:val="00C36C76"/>
    <w:rsid w:val="00C36EC4"/>
    <w:rsid w:val="00C37173"/>
    <w:rsid w:val="00C374F4"/>
    <w:rsid w:val="00C37791"/>
    <w:rsid w:val="00C37F25"/>
    <w:rsid w:val="00C4165D"/>
    <w:rsid w:val="00C42012"/>
    <w:rsid w:val="00C42DCB"/>
    <w:rsid w:val="00C44383"/>
    <w:rsid w:val="00C4514E"/>
    <w:rsid w:val="00C45DBE"/>
    <w:rsid w:val="00C461F3"/>
    <w:rsid w:val="00C46DBB"/>
    <w:rsid w:val="00C46DF7"/>
    <w:rsid w:val="00C50FAB"/>
    <w:rsid w:val="00C51210"/>
    <w:rsid w:val="00C520B9"/>
    <w:rsid w:val="00C530F3"/>
    <w:rsid w:val="00C53EFC"/>
    <w:rsid w:val="00C541B4"/>
    <w:rsid w:val="00C541B6"/>
    <w:rsid w:val="00C5490A"/>
    <w:rsid w:val="00C54AA4"/>
    <w:rsid w:val="00C54D89"/>
    <w:rsid w:val="00C54FE1"/>
    <w:rsid w:val="00C55898"/>
    <w:rsid w:val="00C55F67"/>
    <w:rsid w:val="00C56316"/>
    <w:rsid w:val="00C5632B"/>
    <w:rsid w:val="00C5680E"/>
    <w:rsid w:val="00C572A2"/>
    <w:rsid w:val="00C57611"/>
    <w:rsid w:val="00C60243"/>
    <w:rsid w:val="00C603E1"/>
    <w:rsid w:val="00C60F7D"/>
    <w:rsid w:val="00C61131"/>
    <w:rsid w:val="00C61774"/>
    <w:rsid w:val="00C622D2"/>
    <w:rsid w:val="00C62518"/>
    <w:rsid w:val="00C62FCE"/>
    <w:rsid w:val="00C63C29"/>
    <w:rsid w:val="00C63FB3"/>
    <w:rsid w:val="00C6430A"/>
    <w:rsid w:val="00C64643"/>
    <w:rsid w:val="00C67DC3"/>
    <w:rsid w:val="00C700E0"/>
    <w:rsid w:val="00C70491"/>
    <w:rsid w:val="00C7051C"/>
    <w:rsid w:val="00C70C75"/>
    <w:rsid w:val="00C72DA2"/>
    <w:rsid w:val="00C72E94"/>
    <w:rsid w:val="00C74137"/>
    <w:rsid w:val="00C74BC2"/>
    <w:rsid w:val="00C76984"/>
    <w:rsid w:val="00C770C9"/>
    <w:rsid w:val="00C80515"/>
    <w:rsid w:val="00C8125E"/>
    <w:rsid w:val="00C81B1D"/>
    <w:rsid w:val="00C81D02"/>
    <w:rsid w:val="00C827ED"/>
    <w:rsid w:val="00C82FCD"/>
    <w:rsid w:val="00C8356A"/>
    <w:rsid w:val="00C83D8A"/>
    <w:rsid w:val="00C8758F"/>
    <w:rsid w:val="00C8787F"/>
    <w:rsid w:val="00C87A6B"/>
    <w:rsid w:val="00C90CFA"/>
    <w:rsid w:val="00C90E9A"/>
    <w:rsid w:val="00C90EE8"/>
    <w:rsid w:val="00C92822"/>
    <w:rsid w:val="00C92C77"/>
    <w:rsid w:val="00C92CFD"/>
    <w:rsid w:val="00C93B00"/>
    <w:rsid w:val="00C94C15"/>
    <w:rsid w:val="00C9532D"/>
    <w:rsid w:val="00C95A41"/>
    <w:rsid w:val="00C95E9B"/>
    <w:rsid w:val="00C96114"/>
    <w:rsid w:val="00C9677F"/>
    <w:rsid w:val="00C9694D"/>
    <w:rsid w:val="00C969D5"/>
    <w:rsid w:val="00C96F3F"/>
    <w:rsid w:val="00C97910"/>
    <w:rsid w:val="00C979AC"/>
    <w:rsid w:val="00C97E97"/>
    <w:rsid w:val="00CA05DC"/>
    <w:rsid w:val="00CA0EA2"/>
    <w:rsid w:val="00CA141F"/>
    <w:rsid w:val="00CA36F5"/>
    <w:rsid w:val="00CA43EE"/>
    <w:rsid w:val="00CA4660"/>
    <w:rsid w:val="00CA5AE0"/>
    <w:rsid w:val="00CA5D83"/>
    <w:rsid w:val="00CA65B2"/>
    <w:rsid w:val="00CA7C02"/>
    <w:rsid w:val="00CB0926"/>
    <w:rsid w:val="00CB1038"/>
    <w:rsid w:val="00CB166D"/>
    <w:rsid w:val="00CB1E4D"/>
    <w:rsid w:val="00CB2B84"/>
    <w:rsid w:val="00CB31A2"/>
    <w:rsid w:val="00CB3770"/>
    <w:rsid w:val="00CB3CAC"/>
    <w:rsid w:val="00CB4549"/>
    <w:rsid w:val="00CB4C80"/>
    <w:rsid w:val="00CB53DB"/>
    <w:rsid w:val="00CB6116"/>
    <w:rsid w:val="00CB643C"/>
    <w:rsid w:val="00CB69A8"/>
    <w:rsid w:val="00CB78F4"/>
    <w:rsid w:val="00CB7A05"/>
    <w:rsid w:val="00CC0860"/>
    <w:rsid w:val="00CC198C"/>
    <w:rsid w:val="00CC1FD7"/>
    <w:rsid w:val="00CC222E"/>
    <w:rsid w:val="00CC26C6"/>
    <w:rsid w:val="00CC2958"/>
    <w:rsid w:val="00CC3010"/>
    <w:rsid w:val="00CC317D"/>
    <w:rsid w:val="00CC3C08"/>
    <w:rsid w:val="00CC4004"/>
    <w:rsid w:val="00CC48BE"/>
    <w:rsid w:val="00CC4931"/>
    <w:rsid w:val="00CC5025"/>
    <w:rsid w:val="00CC627D"/>
    <w:rsid w:val="00CC67F6"/>
    <w:rsid w:val="00CC6EA0"/>
    <w:rsid w:val="00CC7821"/>
    <w:rsid w:val="00CC7A05"/>
    <w:rsid w:val="00CD019D"/>
    <w:rsid w:val="00CD04A7"/>
    <w:rsid w:val="00CD1CB7"/>
    <w:rsid w:val="00CD2A67"/>
    <w:rsid w:val="00CD3750"/>
    <w:rsid w:val="00CD38E4"/>
    <w:rsid w:val="00CD3B46"/>
    <w:rsid w:val="00CD3DCA"/>
    <w:rsid w:val="00CD4AEC"/>
    <w:rsid w:val="00CD4E40"/>
    <w:rsid w:val="00CD59B4"/>
    <w:rsid w:val="00CD62CB"/>
    <w:rsid w:val="00CD7DCE"/>
    <w:rsid w:val="00CD7E0B"/>
    <w:rsid w:val="00CE0255"/>
    <w:rsid w:val="00CE0488"/>
    <w:rsid w:val="00CE082D"/>
    <w:rsid w:val="00CE1FB5"/>
    <w:rsid w:val="00CE232F"/>
    <w:rsid w:val="00CE2B09"/>
    <w:rsid w:val="00CE2E9F"/>
    <w:rsid w:val="00CE334A"/>
    <w:rsid w:val="00CE3F4C"/>
    <w:rsid w:val="00CE4FF5"/>
    <w:rsid w:val="00CE5AC8"/>
    <w:rsid w:val="00CF012D"/>
    <w:rsid w:val="00CF11F8"/>
    <w:rsid w:val="00CF25EC"/>
    <w:rsid w:val="00CF2C9D"/>
    <w:rsid w:val="00CF35F3"/>
    <w:rsid w:val="00CF3E0C"/>
    <w:rsid w:val="00CF50E4"/>
    <w:rsid w:val="00CF588F"/>
    <w:rsid w:val="00CF589D"/>
    <w:rsid w:val="00CF5EBA"/>
    <w:rsid w:val="00CF64D6"/>
    <w:rsid w:val="00CF7F9F"/>
    <w:rsid w:val="00D00326"/>
    <w:rsid w:val="00D01251"/>
    <w:rsid w:val="00D01287"/>
    <w:rsid w:val="00D01BDA"/>
    <w:rsid w:val="00D02133"/>
    <w:rsid w:val="00D023A8"/>
    <w:rsid w:val="00D0243D"/>
    <w:rsid w:val="00D037F0"/>
    <w:rsid w:val="00D0411F"/>
    <w:rsid w:val="00D04430"/>
    <w:rsid w:val="00D04655"/>
    <w:rsid w:val="00D0657D"/>
    <w:rsid w:val="00D06C79"/>
    <w:rsid w:val="00D07054"/>
    <w:rsid w:val="00D074DF"/>
    <w:rsid w:val="00D075F0"/>
    <w:rsid w:val="00D077EC"/>
    <w:rsid w:val="00D104EE"/>
    <w:rsid w:val="00D10A82"/>
    <w:rsid w:val="00D123E6"/>
    <w:rsid w:val="00D1261C"/>
    <w:rsid w:val="00D137BF"/>
    <w:rsid w:val="00D13879"/>
    <w:rsid w:val="00D145EE"/>
    <w:rsid w:val="00D14BCE"/>
    <w:rsid w:val="00D150CA"/>
    <w:rsid w:val="00D155F0"/>
    <w:rsid w:val="00D15732"/>
    <w:rsid w:val="00D159DC"/>
    <w:rsid w:val="00D159E2"/>
    <w:rsid w:val="00D16E6A"/>
    <w:rsid w:val="00D17B1F"/>
    <w:rsid w:val="00D17EC1"/>
    <w:rsid w:val="00D21080"/>
    <w:rsid w:val="00D22176"/>
    <w:rsid w:val="00D22454"/>
    <w:rsid w:val="00D22E5F"/>
    <w:rsid w:val="00D23D3D"/>
    <w:rsid w:val="00D2420A"/>
    <w:rsid w:val="00D245B6"/>
    <w:rsid w:val="00D245CE"/>
    <w:rsid w:val="00D24A21"/>
    <w:rsid w:val="00D24D6C"/>
    <w:rsid w:val="00D2568F"/>
    <w:rsid w:val="00D25C44"/>
    <w:rsid w:val="00D261E2"/>
    <w:rsid w:val="00D2676F"/>
    <w:rsid w:val="00D267BA"/>
    <w:rsid w:val="00D26ACD"/>
    <w:rsid w:val="00D26BFB"/>
    <w:rsid w:val="00D26CF0"/>
    <w:rsid w:val="00D2739E"/>
    <w:rsid w:val="00D30DD8"/>
    <w:rsid w:val="00D31071"/>
    <w:rsid w:val="00D31BD6"/>
    <w:rsid w:val="00D32E63"/>
    <w:rsid w:val="00D339E5"/>
    <w:rsid w:val="00D339F9"/>
    <w:rsid w:val="00D345B5"/>
    <w:rsid w:val="00D34713"/>
    <w:rsid w:val="00D35BEF"/>
    <w:rsid w:val="00D361B8"/>
    <w:rsid w:val="00D36798"/>
    <w:rsid w:val="00D36B93"/>
    <w:rsid w:val="00D377B3"/>
    <w:rsid w:val="00D37DCE"/>
    <w:rsid w:val="00D403E8"/>
    <w:rsid w:val="00D40B71"/>
    <w:rsid w:val="00D40D0D"/>
    <w:rsid w:val="00D40E24"/>
    <w:rsid w:val="00D4165A"/>
    <w:rsid w:val="00D428E6"/>
    <w:rsid w:val="00D43017"/>
    <w:rsid w:val="00D4331C"/>
    <w:rsid w:val="00D4363A"/>
    <w:rsid w:val="00D4383D"/>
    <w:rsid w:val="00D445AE"/>
    <w:rsid w:val="00D44A88"/>
    <w:rsid w:val="00D44DA1"/>
    <w:rsid w:val="00D45520"/>
    <w:rsid w:val="00D4602B"/>
    <w:rsid w:val="00D46F63"/>
    <w:rsid w:val="00D47042"/>
    <w:rsid w:val="00D47BA1"/>
    <w:rsid w:val="00D50B2B"/>
    <w:rsid w:val="00D50B85"/>
    <w:rsid w:val="00D515AB"/>
    <w:rsid w:val="00D528BA"/>
    <w:rsid w:val="00D52B46"/>
    <w:rsid w:val="00D53B32"/>
    <w:rsid w:val="00D53DEE"/>
    <w:rsid w:val="00D55566"/>
    <w:rsid w:val="00D60123"/>
    <w:rsid w:val="00D60B01"/>
    <w:rsid w:val="00D61BDC"/>
    <w:rsid w:val="00D6245C"/>
    <w:rsid w:val="00D629B6"/>
    <w:rsid w:val="00D62D8D"/>
    <w:rsid w:val="00D62F50"/>
    <w:rsid w:val="00D63481"/>
    <w:rsid w:val="00D6370E"/>
    <w:rsid w:val="00D63762"/>
    <w:rsid w:val="00D641D3"/>
    <w:rsid w:val="00D6439A"/>
    <w:rsid w:val="00D64463"/>
    <w:rsid w:val="00D6488B"/>
    <w:rsid w:val="00D648C3"/>
    <w:rsid w:val="00D6500F"/>
    <w:rsid w:val="00D6532B"/>
    <w:rsid w:val="00D66D55"/>
    <w:rsid w:val="00D6722B"/>
    <w:rsid w:val="00D6739D"/>
    <w:rsid w:val="00D673D5"/>
    <w:rsid w:val="00D67AC5"/>
    <w:rsid w:val="00D706D5"/>
    <w:rsid w:val="00D71054"/>
    <w:rsid w:val="00D713B9"/>
    <w:rsid w:val="00D715F0"/>
    <w:rsid w:val="00D71A7D"/>
    <w:rsid w:val="00D71B01"/>
    <w:rsid w:val="00D71EF6"/>
    <w:rsid w:val="00D7258E"/>
    <w:rsid w:val="00D7297A"/>
    <w:rsid w:val="00D738E0"/>
    <w:rsid w:val="00D73C2B"/>
    <w:rsid w:val="00D73FC5"/>
    <w:rsid w:val="00D74A0E"/>
    <w:rsid w:val="00D75272"/>
    <w:rsid w:val="00D75640"/>
    <w:rsid w:val="00D7622E"/>
    <w:rsid w:val="00D76277"/>
    <w:rsid w:val="00D76A1F"/>
    <w:rsid w:val="00D771B6"/>
    <w:rsid w:val="00D772F3"/>
    <w:rsid w:val="00D77A38"/>
    <w:rsid w:val="00D80933"/>
    <w:rsid w:val="00D81037"/>
    <w:rsid w:val="00D810F9"/>
    <w:rsid w:val="00D81CD9"/>
    <w:rsid w:val="00D81E30"/>
    <w:rsid w:val="00D82D16"/>
    <w:rsid w:val="00D83CD2"/>
    <w:rsid w:val="00D844D4"/>
    <w:rsid w:val="00D84696"/>
    <w:rsid w:val="00D86415"/>
    <w:rsid w:val="00D8664E"/>
    <w:rsid w:val="00D8686E"/>
    <w:rsid w:val="00D87DF8"/>
    <w:rsid w:val="00D87E4A"/>
    <w:rsid w:val="00D87E98"/>
    <w:rsid w:val="00D918D8"/>
    <w:rsid w:val="00D924F3"/>
    <w:rsid w:val="00D92D11"/>
    <w:rsid w:val="00D93201"/>
    <w:rsid w:val="00D9349C"/>
    <w:rsid w:val="00D947E7"/>
    <w:rsid w:val="00D94B6F"/>
    <w:rsid w:val="00D95208"/>
    <w:rsid w:val="00D9538A"/>
    <w:rsid w:val="00D9542B"/>
    <w:rsid w:val="00D956E6"/>
    <w:rsid w:val="00D956EE"/>
    <w:rsid w:val="00D9570B"/>
    <w:rsid w:val="00D95EA6"/>
    <w:rsid w:val="00D9657E"/>
    <w:rsid w:val="00D97043"/>
    <w:rsid w:val="00D977A8"/>
    <w:rsid w:val="00D97B87"/>
    <w:rsid w:val="00D97FB1"/>
    <w:rsid w:val="00DA0B86"/>
    <w:rsid w:val="00DA0BD6"/>
    <w:rsid w:val="00DA14CC"/>
    <w:rsid w:val="00DA1F41"/>
    <w:rsid w:val="00DA2410"/>
    <w:rsid w:val="00DA290D"/>
    <w:rsid w:val="00DA29DA"/>
    <w:rsid w:val="00DA386A"/>
    <w:rsid w:val="00DA3A2E"/>
    <w:rsid w:val="00DA51E3"/>
    <w:rsid w:val="00DA5A40"/>
    <w:rsid w:val="00DA5DA8"/>
    <w:rsid w:val="00DA79A1"/>
    <w:rsid w:val="00DB09D6"/>
    <w:rsid w:val="00DB0B15"/>
    <w:rsid w:val="00DB183A"/>
    <w:rsid w:val="00DB1CCE"/>
    <w:rsid w:val="00DB1EB0"/>
    <w:rsid w:val="00DB1F2F"/>
    <w:rsid w:val="00DB2D63"/>
    <w:rsid w:val="00DB3A49"/>
    <w:rsid w:val="00DB48CB"/>
    <w:rsid w:val="00DB4E40"/>
    <w:rsid w:val="00DB5513"/>
    <w:rsid w:val="00DB569F"/>
    <w:rsid w:val="00DB5BA9"/>
    <w:rsid w:val="00DB63DF"/>
    <w:rsid w:val="00DB6807"/>
    <w:rsid w:val="00DB768B"/>
    <w:rsid w:val="00DB78FB"/>
    <w:rsid w:val="00DC0066"/>
    <w:rsid w:val="00DC022D"/>
    <w:rsid w:val="00DC0646"/>
    <w:rsid w:val="00DC0C06"/>
    <w:rsid w:val="00DC2D77"/>
    <w:rsid w:val="00DC2ED1"/>
    <w:rsid w:val="00DC33ED"/>
    <w:rsid w:val="00DC36A4"/>
    <w:rsid w:val="00DC4181"/>
    <w:rsid w:val="00DC43B5"/>
    <w:rsid w:val="00DC44FE"/>
    <w:rsid w:val="00DC4854"/>
    <w:rsid w:val="00DC4E3E"/>
    <w:rsid w:val="00DC4FE0"/>
    <w:rsid w:val="00DC536F"/>
    <w:rsid w:val="00DC5599"/>
    <w:rsid w:val="00DC66CA"/>
    <w:rsid w:val="00DC67A2"/>
    <w:rsid w:val="00DC6D71"/>
    <w:rsid w:val="00DC718B"/>
    <w:rsid w:val="00DC7B7A"/>
    <w:rsid w:val="00DD049F"/>
    <w:rsid w:val="00DD0F07"/>
    <w:rsid w:val="00DD1B66"/>
    <w:rsid w:val="00DD1FB0"/>
    <w:rsid w:val="00DD20A1"/>
    <w:rsid w:val="00DD227A"/>
    <w:rsid w:val="00DD25D9"/>
    <w:rsid w:val="00DD3E34"/>
    <w:rsid w:val="00DD401C"/>
    <w:rsid w:val="00DD4845"/>
    <w:rsid w:val="00DD5C44"/>
    <w:rsid w:val="00DD5EAF"/>
    <w:rsid w:val="00DD7009"/>
    <w:rsid w:val="00DD719C"/>
    <w:rsid w:val="00DE04B4"/>
    <w:rsid w:val="00DE0E34"/>
    <w:rsid w:val="00DE17B2"/>
    <w:rsid w:val="00DE22DE"/>
    <w:rsid w:val="00DE2342"/>
    <w:rsid w:val="00DE28DB"/>
    <w:rsid w:val="00DE31FC"/>
    <w:rsid w:val="00DE39B0"/>
    <w:rsid w:val="00DE3B74"/>
    <w:rsid w:val="00DE3C5D"/>
    <w:rsid w:val="00DE3E98"/>
    <w:rsid w:val="00DE4449"/>
    <w:rsid w:val="00DE5124"/>
    <w:rsid w:val="00DE54BF"/>
    <w:rsid w:val="00DE5BDB"/>
    <w:rsid w:val="00DE67C9"/>
    <w:rsid w:val="00DE6919"/>
    <w:rsid w:val="00DE6AA0"/>
    <w:rsid w:val="00DE6D0D"/>
    <w:rsid w:val="00DE74A7"/>
    <w:rsid w:val="00DF0534"/>
    <w:rsid w:val="00DF0A9D"/>
    <w:rsid w:val="00DF0DEC"/>
    <w:rsid w:val="00DF15BD"/>
    <w:rsid w:val="00DF19B7"/>
    <w:rsid w:val="00DF1B0C"/>
    <w:rsid w:val="00DF1D90"/>
    <w:rsid w:val="00DF1DF2"/>
    <w:rsid w:val="00DF2819"/>
    <w:rsid w:val="00DF3C79"/>
    <w:rsid w:val="00DF410B"/>
    <w:rsid w:val="00DF4701"/>
    <w:rsid w:val="00DF4ECF"/>
    <w:rsid w:val="00DF5BA3"/>
    <w:rsid w:val="00DF7390"/>
    <w:rsid w:val="00DF74F2"/>
    <w:rsid w:val="00E000EA"/>
    <w:rsid w:val="00E00FEA"/>
    <w:rsid w:val="00E01703"/>
    <w:rsid w:val="00E01917"/>
    <w:rsid w:val="00E03350"/>
    <w:rsid w:val="00E035F6"/>
    <w:rsid w:val="00E04020"/>
    <w:rsid w:val="00E05010"/>
    <w:rsid w:val="00E05993"/>
    <w:rsid w:val="00E05B58"/>
    <w:rsid w:val="00E06792"/>
    <w:rsid w:val="00E07638"/>
    <w:rsid w:val="00E07A74"/>
    <w:rsid w:val="00E07C52"/>
    <w:rsid w:val="00E10E50"/>
    <w:rsid w:val="00E10EA5"/>
    <w:rsid w:val="00E10FA2"/>
    <w:rsid w:val="00E11DD8"/>
    <w:rsid w:val="00E12AE8"/>
    <w:rsid w:val="00E13F5E"/>
    <w:rsid w:val="00E14257"/>
    <w:rsid w:val="00E147DD"/>
    <w:rsid w:val="00E154D9"/>
    <w:rsid w:val="00E15E10"/>
    <w:rsid w:val="00E15E7B"/>
    <w:rsid w:val="00E178D3"/>
    <w:rsid w:val="00E179B8"/>
    <w:rsid w:val="00E17CEF"/>
    <w:rsid w:val="00E20302"/>
    <w:rsid w:val="00E2046B"/>
    <w:rsid w:val="00E2072F"/>
    <w:rsid w:val="00E218F0"/>
    <w:rsid w:val="00E2196F"/>
    <w:rsid w:val="00E22888"/>
    <w:rsid w:val="00E23592"/>
    <w:rsid w:val="00E24DB4"/>
    <w:rsid w:val="00E24F28"/>
    <w:rsid w:val="00E2542F"/>
    <w:rsid w:val="00E2572F"/>
    <w:rsid w:val="00E26CF7"/>
    <w:rsid w:val="00E27849"/>
    <w:rsid w:val="00E30073"/>
    <w:rsid w:val="00E30E11"/>
    <w:rsid w:val="00E30FB7"/>
    <w:rsid w:val="00E3288F"/>
    <w:rsid w:val="00E336C0"/>
    <w:rsid w:val="00E34E52"/>
    <w:rsid w:val="00E35E6F"/>
    <w:rsid w:val="00E35FFF"/>
    <w:rsid w:val="00E3669B"/>
    <w:rsid w:val="00E369FA"/>
    <w:rsid w:val="00E37337"/>
    <w:rsid w:val="00E37ED6"/>
    <w:rsid w:val="00E40BA5"/>
    <w:rsid w:val="00E42B1D"/>
    <w:rsid w:val="00E42F20"/>
    <w:rsid w:val="00E4373A"/>
    <w:rsid w:val="00E44249"/>
    <w:rsid w:val="00E44982"/>
    <w:rsid w:val="00E450DC"/>
    <w:rsid w:val="00E45AA9"/>
    <w:rsid w:val="00E45D2E"/>
    <w:rsid w:val="00E465C7"/>
    <w:rsid w:val="00E4660C"/>
    <w:rsid w:val="00E466E7"/>
    <w:rsid w:val="00E46CCB"/>
    <w:rsid w:val="00E47218"/>
    <w:rsid w:val="00E474E1"/>
    <w:rsid w:val="00E47AF2"/>
    <w:rsid w:val="00E50878"/>
    <w:rsid w:val="00E50F0A"/>
    <w:rsid w:val="00E517F3"/>
    <w:rsid w:val="00E51BA3"/>
    <w:rsid w:val="00E5267E"/>
    <w:rsid w:val="00E5391B"/>
    <w:rsid w:val="00E53B98"/>
    <w:rsid w:val="00E54E05"/>
    <w:rsid w:val="00E55812"/>
    <w:rsid w:val="00E56BB9"/>
    <w:rsid w:val="00E57018"/>
    <w:rsid w:val="00E57587"/>
    <w:rsid w:val="00E577CE"/>
    <w:rsid w:val="00E60E6E"/>
    <w:rsid w:val="00E60EF7"/>
    <w:rsid w:val="00E617A4"/>
    <w:rsid w:val="00E61A73"/>
    <w:rsid w:val="00E61E32"/>
    <w:rsid w:val="00E63054"/>
    <w:rsid w:val="00E6431B"/>
    <w:rsid w:val="00E646A7"/>
    <w:rsid w:val="00E646E0"/>
    <w:rsid w:val="00E650E9"/>
    <w:rsid w:val="00E65D6F"/>
    <w:rsid w:val="00E66DE3"/>
    <w:rsid w:val="00E675B3"/>
    <w:rsid w:val="00E67B49"/>
    <w:rsid w:val="00E67B4E"/>
    <w:rsid w:val="00E67C0C"/>
    <w:rsid w:val="00E70050"/>
    <w:rsid w:val="00E70482"/>
    <w:rsid w:val="00E70552"/>
    <w:rsid w:val="00E70F23"/>
    <w:rsid w:val="00E72A4D"/>
    <w:rsid w:val="00E737CD"/>
    <w:rsid w:val="00E74411"/>
    <w:rsid w:val="00E74839"/>
    <w:rsid w:val="00E74D8C"/>
    <w:rsid w:val="00E7528E"/>
    <w:rsid w:val="00E7537F"/>
    <w:rsid w:val="00E7538D"/>
    <w:rsid w:val="00E75CE0"/>
    <w:rsid w:val="00E76883"/>
    <w:rsid w:val="00E7729F"/>
    <w:rsid w:val="00E77D08"/>
    <w:rsid w:val="00E80C18"/>
    <w:rsid w:val="00E81616"/>
    <w:rsid w:val="00E82027"/>
    <w:rsid w:val="00E82EAD"/>
    <w:rsid w:val="00E835C4"/>
    <w:rsid w:val="00E83980"/>
    <w:rsid w:val="00E83ADD"/>
    <w:rsid w:val="00E842CA"/>
    <w:rsid w:val="00E848AB"/>
    <w:rsid w:val="00E84BC3"/>
    <w:rsid w:val="00E854A5"/>
    <w:rsid w:val="00E85D92"/>
    <w:rsid w:val="00E870C5"/>
    <w:rsid w:val="00E87639"/>
    <w:rsid w:val="00E90414"/>
    <w:rsid w:val="00E91111"/>
    <w:rsid w:val="00E913A8"/>
    <w:rsid w:val="00E91512"/>
    <w:rsid w:val="00E91EC0"/>
    <w:rsid w:val="00E920B8"/>
    <w:rsid w:val="00E924D6"/>
    <w:rsid w:val="00E92777"/>
    <w:rsid w:val="00E9372D"/>
    <w:rsid w:val="00E94956"/>
    <w:rsid w:val="00EA10CD"/>
    <w:rsid w:val="00EA1837"/>
    <w:rsid w:val="00EA18CF"/>
    <w:rsid w:val="00EA1900"/>
    <w:rsid w:val="00EA1A43"/>
    <w:rsid w:val="00EA1E06"/>
    <w:rsid w:val="00EA1EB3"/>
    <w:rsid w:val="00EA2287"/>
    <w:rsid w:val="00EA33EB"/>
    <w:rsid w:val="00EA3657"/>
    <w:rsid w:val="00EA460A"/>
    <w:rsid w:val="00EA484D"/>
    <w:rsid w:val="00EA53D7"/>
    <w:rsid w:val="00EA5B75"/>
    <w:rsid w:val="00EA5E01"/>
    <w:rsid w:val="00EA74D9"/>
    <w:rsid w:val="00EA751E"/>
    <w:rsid w:val="00EA79B1"/>
    <w:rsid w:val="00EA7BD6"/>
    <w:rsid w:val="00EA7D26"/>
    <w:rsid w:val="00EB0129"/>
    <w:rsid w:val="00EB0BD4"/>
    <w:rsid w:val="00EB1306"/>
    <w:rsid w:val="00EB13D5"/>
    <w:rsid w:val="00EB1E21"/>
    <w:rsid w:val="00EB1F45"/>
    <w:rsid w:val="00EB2BB4"/>
    <w:rsid w:val="00EB4A43"/>
    <w:rsid w:val="00EB4FC7"/>
    <w:rsid w:val="00EB51DE"/>
    <w:rsid w:val="00EB552C"/>
    <w:rsid w:val="00EB585F"/>
    <w:rsid w:val="00EB6831"/>
    <w:rsid w:val="00EB69B1"/>
    <w:rsid w:val="00EB6E09"/>
    <w:rsid w:val="00EB704B"/>
    <w:rsid w:val="00EB725F"/>
    <w:rsid w:val="00EB7320"/>
    <w:rsid w:val="00EC04EB"/>
    <w:rsid w:val="00EC069A"/>
    <w:rsid w:val="00EC2B7C"/>
    <w:rsid w:val="00EC2EC4"/>
    <w:rsid w:val="00EC32FE"/>
    <w:rsid w:val="00EC37D5"/>
    <w:rsid w:val="00EC3BAD"/>
    <w:rsid w:val="00EC3C74"/>
    <w:rsid w:val="00EC416B"/>
    <w:rsid w:val="00EC48D9"/>
    <w:rsid w:val="00EC53E9"/>
    <w:rsid w:val="00EC5B86"/>
    <w:rsid w:val="00EC79F7"/>
    <w:rsid w:val="00EC7FFC"/>
    <w:rsid w:val="00ED11A6"/>
    <w:rsid w:val="00ED1282"/>
    <w:rsid w:val="00ED1453"/>
    <w:rsid w:val="00ED2B0C"/>
    <w:rsid w:val="00ED2BCB"/>
    <w:rsid w:val="00ED3B6A"/>
    <w:rsid w:val="00ED4A6A"/>
    <w:rsid w:val="00ED4F74"/>
    <w:rsid w:val="00ED512B"/>
    <w:rsid w:val="00ED5180"/>
    <w:rsid w:val="00ED52F0"/>
    <w:rsid w:val="00ED6A8B"/>
    <w:rsid w:val="00ED6AE2"/>
    <w:rsid w:val="00ED6C4E"/>
    <w:rsid w:val="00ED715F"/>
    <w:rsid w:val="00EE02D6"/>
    <w:rsid w:val="00EE0590"/>
    <w:rsid w:val="00EE0B0D"/>
    <w:rsid w:val="00EE14F0"/>
    <w:rsid w:val="00EE17A0"/>
    <w:rsid w:val="00EE371B"/>
    <w:rsid w:val="00EE46D9"/>
    <w:rsid w:val="00EE48B9"/>
    <w:rsid w:val="00EE4F25"/>
    <w:rsid w:val="00EE52A4"/>
    <w:rsid w:val="00EE54D2"/>
    <w:rsid w:val="00EE5628"/>
    <w:rsid w:val="00EE57C5"/>
    <w:rsid w:val="00EE5FAB"/>
    <w:rsid w:val="00EE64C3"/>
    <w:rsid w:val="00EE706D"/>
    <w:rsid w:val="00EF1EE5"/>
    <w:rsid w:val="00EF2C4C"/>
    <w:rsid w:val="00EF4612"/>
    <w:rsid w:val="00EF46C4"/>
    <w:rsid w:val="00EF47D7"/>
    <w:rsid w:val="00EF5468"/>
    <w:rsid w:val="00EF6336"/>
    <w:rsid w:val="00EF6459"/>
    <w:rsid w:val="00EF65D7"/>
    <w:rsid w:val="00EF66E7"/>
    <w:rsid w:val="00EF6A45"/>
    <w:rsid w:val="00EF6C7D"/>
    <w:rsid w:val="00EF6DE8"/>
    <w:rsid w:val="00EF6E3A"/>
    <w:rsid w:val="00EF7731"/>
    <w:rsid w:val="00EF7C4F"/>
    <w:rsid w:val="00F01389"/>
    <w:rsid w:val="00F01722"/>
    <w:rsid w:val="00F01A11"/>
    <w:rsid w:val="00F024E8"/>
    <w:rsid w:val="00F02AF5"/>
    <w:rsid w:val="00F02FEC"/>
    <w:rsid w:val="00F03478"/>
    <w:rsid w:val="00F0365C"/>
    <w:rsid w:val="00F03C77"/>
    <w:rsid w:val="00F050F9"/>
    <w:rsid w:val="00F05355"/>
    <w:rsid w:val="00F0674A"/>
    <w:rsid w:val="00F077AB"/>
    <w:rsid w:val="00F07D62"/>
    <w:rsid w:val="00F1086A"/>
    <w:rsid w:val="00F10BAA"/>
    <w:rsid w:val="00F11635"/>
    <w:rsid w:val="00F1176E"/>
    <w:rsid w:val="00F11A0F"/>
    <w:rsid w:val="00F125D8"/>
    <w:rsid w:val="00F12831"/>
    <w:rsid w:val="00F13D1C"/>
    <w:rsid w:val="00F1532D"/>
    <w:rsid w:val="00F1602F"/>
    <w:rsid w:val="00F1617E"/>
    <w:rsid w:val="00F17A72"/>
    <w:rsid w:val="00F200EB"/>
    <w:rsid w:val="00F20D1A"/>
    <w:rsid w:val="00F23018"/>
    <w:rsid w:val="00F23605"/>
    <w:rsid w:val="00F23719"/>
    <w:rsid w:val="00F238A3"/>
    <w:rsid w:val="00F23B94"/>
    <w:rsid w:val="00F23C90"/>
    <w:rsid w:val="00F23D77"/>
    <w:rsid w:val="00F242B6"/>
    <w:rsid w:val="00F2466F"/>
    <w:rsid w:val="00F25052"/>
    <w:rsid w:val="00F26252"/>
    <w:rsid w:val="00F26645"/>
    <w:rsid w:val="00F26707"/>
    <w:rsid w:val="00F275F3"/>
    <w:rsid w:val="00F27978"/>
    <w:rsid w:val="00F27A03"/>
    <w:rsid w:val="00F27EC3"/>
    <w:rsid w:val="00F30634"/>
    <w:rsid w:val="00F317A4"/>
    <w:rsid w:val="00F33317"/>
    <w:rsid w:val="00F33504"/>
    <w:rsid w:val="00F33A6E"/>
    <w:rsid w:val="00F345E4"/>
    <w:rsid w:val="00F3483D"/>
    <w:rsid w:val="00F34BA4"/>
    <w:rsid w:val="00F35A42"/>
    <w:rsid w:val="00F364B5"/>
    <w:rsid w:val="00F364BD"/>
    <w:rsid w:val="00F364EC"/>
    <w:rsid w:val="00F37547"/>
    <w:rsid w:val="00F37780"/>
    <w:rsid w:val="00F378DB"/>
    <w:rsid w:val="00F37FC3"/>
    <w:rsid w:val="00F4072D"/>
    <w:rsid w:val="00F4140E"/>
    <w:rsid w:val="00F415DE"/>
    <w:rsid w:val="00F41811"/>
    <w:rsid w:val="00F42007"/>
    <w:rsid w:val="00F4382F"/>
    <w:rsid w:val="00F438A7"/>
    <w:rsid w:val="00F4395D"/>
    <w:rsid w:val="00F43A7F"/>
    <w:rsid w:val="00F44213"/>
    <w:rsid w:val="00F45754"/>
    <w:rsid w:val="00F46479"/>
    <w:rsid w:val="00F46622"/>
    <w:rsid w:val="00F478B2"/>
    <w:rsid w:val="00F47A82"/>
    <w:rsid w:val="00F47DEF"/>
    <w:rsid w:val="00F516A7"/>
    <w:rsid w:val="00F524CA"/>
    <w:rsid w:val="00F52D10"/>
    <w:rsid w:val="00F5581C"/>
    <w:rsid w:val="00F55C33"/>
    <w:rsid w:val="00F560DC"/>
    <w:rsid w:val="00F5660B"/>
    <w:rsid w:val="00F56E82"/>
    <w:rsid w:val="00F5790E"/>
    <w:rsid w:val="00F60679"/>
    <w:rsid w:val="00F6144A"/>
    <w:rsid w:val="00F618BC"/>
    <w:rsid w:val="00F618E4"/>
    <w:rsid w:val="00F619F6"/>
    <w:rsid w:val="00F61C3F"/>
    <w:rsid w:val="00F628C3"/>
    <w:rsid w:val="00F62AAE"/>
    <w:rsid w:val="00F62B55"/>
    <w:rsid w:val="00F63A72"/>
    <w:rsid w:val="00F64070"/>
    <w:rsid w:val="00F64C6F"/>
    <w:rsid w:val="00F64CB1"/>
    <w:rsid w:val="00F6568F"/>
    <w:rsid w:val="00F658B0"/>
    <w:rsid w:val="00F66171"/>
    <w:rsid w:val="00F66258"/>
    <w:rsid w:val="00F66DF2"/>
    <w:rsid w:val="00F67313"/>
    <w:rsid w:val="00F67E8D"/>
    <w:rsid w:val="00F67EDF"/>
    <w:rsid w:val="00F7047A"/>
    <w:rsid w:val="00F70A86"/>
    <w:rsid w:val="00F70EFA"/>
    <w:rsid w:val="00F71B2D"/>
    <w:rsid w:val="00F75134"/>
    <w:rsid w:val="00F75797"/>
    <w:rsid w:val="00F7588B"/>
    <w:rsid w:val="00F76560"/>
    <w:rsid w:val="00F772E5"/>
    <w:rsid w:val="00F773FC"/>
    <w:rsid w:val="00F77BCC"/>
    <w:rsid w:val="00F80065"/>
    <w:rsid w:val="00F80B53"/>
    <w:rsid w:val="00F80C0F"/>
    <w:rsid w:val="00F814D2"/>
    <w:rsid w:val="00F82A25"/>
    <w:rsid w:val="00F82F45"/>
    <w:rsid w:val="00F8401A"/>
    <w:rsid w:val="00F84230"/>
    <w:rsid w:val="00F844CE"/>
    <w:rsid w:val="00F84665"/>
    <w:rsid w:val="00F8478D"/>
    <w:rsid w:val="00F84A03"/>
    <w:rsid w:val="00F84BA3"/>
    <w:rsid w:val="00F85E3F"/>
    <w:rsid w:val="00F86CD6"/>
    <w:rsid w:val="00F873C1"/>
    <w:rsid w:val="00F87527"/>
    <w:rsid w:val="00F87613"/>
    <w:rsid w:val="00F87A4F"/>
    <w:rsid w:val="00F87C44"/>
    <w:rsid w:val="00F87FE0"/>
    <w:rsid w:val="00F91855"/>
    <w:rsid w:val="00F91B61"/>
    <w:rsid w:val="00F91B8B"/>
    <w:rsid w:val="00F91C6C"/>
    <w:rsid w:val="00F92ECA"/>
    <w:rsid w:val="00F93F35"/>
    <w:rsid w:val="00F94387"/>
    <w:rsid w:val="00F94EE1"/>
    <w:rsid w:val="00F94F19"/>
    <w:rsid w:val="00F94F43"/>
    <w:rsid w:val="00F954FD"/>
    <w:rsid w:val="00F9672A"/>
    <w:rsid w:val="00F976D6"/>
    <w:rsid w:val="00F97FB8"/>
    <w:rsid w:val="00FA19F9"/>
    <w:rsid w:val="00FA1F16"/>
    <w:rsid w:val="00FA2675"/>
    <w:rsid w:val="00FA3462"/>
    <w:rsid w:val="00FA5691"/>
    <w:rsid w:val="00FA58D5"/>
    <w:rsid w:val="00FA6EA9"/>
    <w:rsid w:val="00FA74EC"/>
    <w:rsid w:val="00FA7DFA"/>
    <w:rsid w:val="00FB0756"/>
    <w:rsid w:val="00FB0DA7"/>
    <w:rsid w:val="00FB211B"/>
    <w:rsid w:val="00FB2CF2"/>
    <w:rsid w:val="00FB507B"/>
    <w:rsid w:val="00FB5625"/>
    <w:rsid w:val="00FB57A8"/>
    <w:rsid w:val="00FB6385"/>
    <w:rsid w:val="00FC0212"/>
    <w:rsid w:val="00FC0CB5"/>
    <w:rsid w:val="00FC0DC4"/>
    <w:rsid w:val="00FC16CD"/>
    <w:rsid w:val="00FC1AE8"/>
    <w:rsid w:val="00FC1C3A"/>
    <w:rsid w:val="00FC30FA"/>
    <w:rsid w:val="00FC349A"/>
    <w:rsid w:val="00FC4214"/>
    <w:rsid w:val="00FC4310"/>
    <w:rsid w:val="00FC4358"/>
    <w:rsid w:val="00FC56D3"/>
    <w:rsid w:val="00FC5E41"/>
    <w:rsid w:val="00FC6F1A"/>
    <w:rsid w:val="00FC7080"/>
    <w:rsid w:val="00FC71AC"/>
    <w:rsid w:val="00FD1418"/>
    <w:rsid w:val="00FD20E8"/>
    <w:rsid w:val="00FD2CFA"/>
    <w:rsid w:val="00FD3B5D"/>
    <w:rsid w:val="00FD3F0E"/>
    <w:rsid w:val="00FD3FAB"/>
    <w:rsid w:val="00FD5B77"/>
    <w:rsid w:val="00FD65EB"/>
    <w:rsid w:val="00FD6821"/>
    <w:rsid w:val="00FD7114"/>
    <w:rsid w:val="00FD7349"/>
    <w:rsid w:val="00FE1388"/>
    <w:rsid w:val="00FE1B23"/>
    <w:rsid w:val="00FE1B61"/>
    <w:rsid w:val="00FE206C"/>
    <w:rsid w:val="00FE2401"/>
    <w:rsid w:val="00FE3B3B"/>
    <w:rsid w:val="00FE3F34"/>
    <w:rsid w:val="00FE4AA2"/>
    <w:rsid w:val="00FE4C4B"/>
    <w:rsid w:val="00FE6E7F"/>
    <w:rsid w:val="00FE77DC"/>
    <w:rsid w:val="00FF13DA"/>
    <w:rsid w:val="00FF2279"/>
    <w:rsid w:val="00FF2E96"/>
    <w:rsid w:val="00FF3539"/>
    <w:rsid w:val="00FF3D37"/>
    <w:rsid w:val="00FF4B95"/>
    <w:rsid w:val="00FF4C62"/>
    <w:rsid w:val="00FF4D94"/>
    <w:rsid w:val="00FF577F"/>
    <w:rsid w:val="00FF6EB6"/>
    <w:rsid w:val="00FF79A0"/>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2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BD"/>
    <w:pPr>
      <w:jc w:val="both"/>
    </w:pPr>
    <w:rPr>
      <w:rFonts w:ascii="Times New Roman" w:hAnsi="Times New Roman"/>
    </w:rPr>
  </w:style>
  <w:style w:type="paragraph" w:styleId="Heading1">
    <w:name w:val="heading 1"/>
    <w:basedOn w:val="Normal"/>
    <w:next w:val="Normal"/>
    <w:link w:val="Heading1Char"/>
    <w:uiPriority w:val="9"/>
    <w:qFormat/>
    <w:rsid w:val="00210CC3"/>
    <w:pPr>
      <w:keepNext/>
      <w:keepLines/>
      <w:spacing w:before="480" w:after="0" w:line="276" w:lineRule="auto"/>
      <w:jc w:val="center"/>
      <w:outlineLvl w:val="0"/>
    </w:pPr>
    <w:rPr>
      <w:rFonts w:eastAsia="Times New Roman" w:cs="Times New Roman"/>
      <w:b/>
      <w:bCs/>
      <w:sz w:val="28"/>
      <w:szCs w:val="28"/>
      <w:lang w:val="x-none" w:eastAsia="x-none" w:bidi="en-US"/>
    </w:rPr>
  </w:style>
  <w:style w:type="paragraph" w:styleId="Heading2">
    <w:name w:val="heading 2"/>
    <w:basedOn w:val="Normal"/>
    <w:next w:val="Normal"/>
    <w:link w:val="Heading2Char"/>
    <w:uiPriority w:val="9"/>
    <w:unhideWhenUsed/>
    <w:qFormat/>
    <w:rsid w:val="0067352D"/>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D00DF"/>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611"/>
  </w:style>
  <w:style w:type="paragraph" w:styleId="Footer">
    <w:name w:val="footer"/>
    <w:basedOn w:val="Normal"/>
    <w:link w:val="FooterChar"/>
    <w:uiPriority w:val="99"/>
    <w:unhideWhenUsed/>
    <w:rsid w:val="008B4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611"/>
  </w:style>
  <w:style w:type="paragraph" w:styleId="ListParagraph">
    <w:name w:val="List Paragraph"/>
    <w:basedOn w:val="Normal"/>
    <w:uiPriority w:val="34"/>
    <w:qFormat/>
    <w:rsid w:val="00BE7536"/>
    <w:pPr>
      <w:ind w:left="720"/>
      <w:contextualSpacing/>
    </w:pPr>
  </w:style>
  <w:style w:type="character" w:styleId="CommentReference">
    <w:name w:val="annotation reference"/>
    <w:basedOn w:val="DefaultParagraphFont"/>
    <w:uiPriority w:val="99"/>
    <w:semiHidden/>
    <w:unhideWhenUsed/>
    <w:rsid w:val="001C3CEF"/>
    <w:rPr>
      <w:sz w:val="16"/>
      <w:szCs w:val="16"/>
    </w:rPr>
  </w:style>
  <w:style w:type="paragraph" w:styleId="CommentText">
    <w:name w:val="annotation text"/>
    <w:basedOn w:val="Normal"/>
    <w:link w:val="CommentTextChar"/>
    <w:uiPriority w:val="99"/>
    <w:semiHidden/>
    <w:unhideWhenUsed/>
    <w:rsid w:val="001C3CEF"/>
    <w:pPr>
      <w:spacing w:line="240" w:lineRule="auto"/>
    </w:pPr>
    <w:rPr>
      <w:sz w:val="20"/>
      <w:szCs w:val="20"/>
    </w:rPr>
  </w:style>
  <w:style w:type="character" w:customStyle="1" w:styleId="CommentTextChar">
    <w:name w:val="Comment Text Char"/>
    <w:basedOn w:val="DefaultParagraphFont"/>
    <w:link w:val="CommentText"/>
    <w:uiPriority w:val="99"/>
    <w:semiHidden/>
    <w:rsid w:val="001C3CEF"/>
    <w:rPr>
      <w:sz w:val="20"/>
      <w:szCs w:val="20"/>
    </w:rPr>
  </w:style>
  <w:style w:type="paragraph" w:styleId="CommentSubject">
    <w:name w:val="annotation subject"/>
    <w:basedOn w:val="CommentText"/>
    <w:next w:val="CommentText"/>
    <w:link w:val="CommentSubjectChar"/>
    <w:uiPriority w:val="99"/>
    <w:semiHidden/>
    <w:unhideWhenUsed/>
    <w:rsid w:val="001C3CEF"/>
    <w:rPr>
      <w:b/>
      <w:bCs/>
    </w:rPr>
  </w:style>
  <w:style w:type="character" w:customStyle="1" w:styleId="CommentSubjectChar">
    <w:name w:val="Comment Subject Char"/>
    <w:basedOn w:val="CommentTextChar"/>
    <w:link w:val="CommentSubject"/>
    <w:uiPriority w:val="99"/>
    <w:semiHidden/>
    <w:rsid w:val="001C3CEF"/>
    <w:rPr>
      <w:b/>
      <w:bCs/>
      <w:sz w:val="20"/>
      <w:szCs w:val="20"/>
    </w:rPr>
  </w:style>
  <w:style w:type="character" w:styleId="PlaceholderText">
    <w:name w:val="Placeholder Text"/>
    <w:basedOn w:val="DefaultParagraphFont"/>
    <w:uiPriority w:val="99"/>
    <w:semiHidden/>
    <w:rsid w:val="00292E90"/>
    <w:rPr>
      <w:color w:val="808080"/>
    </w:rPr>
  </w:style>
  <w:style w:type="paragraph" w:styleId="Revision">
    <w:name w:val="Revision"/>
    <w:hidden/>
    <w:uiPriority w:val="99"/>
    <w:semiHidden/>
    <w:rsid w:val="00090EDE"/>
    <w:pPr>
      <w:spacing w:after="0" w:line="240" w:lineRule="auto"/>
    </w:pPr>
  </w:style>
  <w:style w:type="table" w:styleId="TableGrid">
    <w:name w:val="Table Grid"/>
    <w:basedOn w:val="TableNormal"/>
    <w:uiPriority w:val="39"/>
    <w:rsid w:val="00AE0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10CC3"/>
    <w:rPr>
      <w:rFonts w:ascii="Times New Roman" w:eastAsia="Times New Roman" w:hAnsi="Times New Roman" w:cs="Times New Roman"/>
      <w:b/>
      <w:bCs/>
      <w:sz w:val="28"/>
      <w:szCs w:val="28"/>
      <w:lang w:val="x-none" w:eastAsia="x-none" w:bidi="en-US"/>
    </w:rPr>
  </w:style>
  <w:style w:type="paragraph" w:styleId="FootnoteText">
    <w:name w:val="footnote text"/>
    <w:basedOn w:val="Normal"/>
    <w:link w:val="FootnoteTextChar"/>
    <w:uiPriority w:val="99"/>
    <w:unhideWhenUsed/>
    <w:rsid w:val="004057ED"/>
    <w:pPr>
      <w:spacing w:after="0" w:line="240" w:lineRule="auto"/>
    </w:pPr>
    <w:rPr>
      <w:rFonts w:ascii="Calibri" w:eastAsia="Times New Roman" w:hAnsi="Calibri" w:cs="Times New Roman"/>
      <w:sz w:val="20"/>
      <w:szCs w:val="20"/>
      <w:lang w:val="en-GB" w:eastAsia="en-GB"/>
    </w:rPr>
  </w:style>
  <w:style w:type="character" w:customStyle="1" w:styleId="FootnoteTextChar">
    <w:name w:val="Footnote Text Char"/>
    <w:basedOn w:val="DefaultParagraphFont"/>
    <w:link w:val="FootnoteText"/>
    <w:uiPriority w:val="99"/>
    <w:rsid w:val="004057ED"/>
    <w:rPr>
      <w:rFonts w:ascii="Calibri" w:eastAsia="Times New Roman" w:hAnsi="Calibri" w:cs="Times New Roman"/>
      <w:sz w:val="20"/>
      <w:szCs w:val="20"/>
      <w:lang w:val="en-GB" w:eastAsia="en-GB"/>
    </w:rPr>
  </w:style>
  <w:style w:type="character" w:styleId="SubtleEmphasis">
    <w:name w:val="Subtle Emphasis"/>
    <w:uiPriority w:val="19"/>
    <w:qFormat/>
    <w:rsid w:val="004057ED"/>
    <w:rPr>
      <w:i/>
      <w:iCs/>
    </w:rPr>
  </w:style>
  <w:style w:type="paragraph" w:styleId="NoSpacing">
    <w:name w:val="No Spacing"/>
    <w:uiPriority w:val="1"/>
    <w:qFormat/>
    <w:rsid w:val="00F478B2"/>
    <w:pPr>
      <w:spacing w:after="0" w:line="240" w:lineRule="auto"/>
    </w:pPr>
  </w:style>
  <w:style w:type="character" w:customStyle="1" w:styleId="Heading2Char">
    <w:name w:val="Heading 2 Char"/>
    <w:basedOn w:val="DefaultParagraphFont"/>
    <w:link w:val="Heading2"/>
    <w:uiPriority w:val="9"/>
    <w:rsid w:val="0067352D"/>
    <w:rPr>
      <w:rFonts w:ascii="Times New Roman" w:eastAsiaTheme="majorEastAsia" w:hAnsi="Times New Roman" w:cstheme="majorBidi"/>
      <w:b/>
      <w:szCs w:val="26"/>
    </w:rPr>
  </w:style>
  <w:style w:type="paragraph" w:styleId="NormalWeb">
    <w:name w:val="Normal (Web)"/>
    <w:basedOn w:val="Normal"/>
    <w:uiPriority w:val="99"/>
    <w:unhideWhenUsed/>
    <w:rsid w:val="009B658D"/>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5D0490"/>
    <w:rPr>
      <w:b/>
      <w:bCs/>
    </w:rPr>
  </w:style>
  <w:style w:type="character" w:styleId="Hyperlink">
    <w:name w:val="Hyperlink"/>
    <w:basedOn w:val="DefaultParagraphFont"/>
    <w:uiPriority w:val="99"/>
    <w:unhideWhenUsed/>
    <w:rsid w:val="00DE4449"/>
    <w:rPr>
      <w:color w:val="0563C1"/>
      <w:u w:val="single"/>
    </w:rPr>
  </w:style>
  <w:style w:type="character" w:styleId="FollowedHyperlink">
    <w:name w:val="FollowedHyperlink"/>
    <w:basedOn w:val="DefaultParagraphFont"/>
    <w:uiPriority w:val="99"/>
    <w:semiHidden/>
    <w:unhideWhenUsed/>
    <w:rsid w:val="00DE4449"/>
    <w:rPr>
      <w:color w:val="954F72"/>
      <w:u w:val="single"/>
    </w:rPr>
  </w:style>
  <w:style w:type="paragraph" w:customStyle="1" w:styleId="msonormal0">
    <w:name w:val="msonormal"/>
    <w:basedOn w:val="Normal"/>
    <w:rsid w:val="00DE4449"/>
    <w:pPr>
      <w:spacing w:before="100" w:beforeAutospacing="1" w:after="100" w:afterAutospacing="1" w:line="240" w:lineRule="auto"/>
    </w:pPr>
    <w:rPr>
      <w:rFonts w:eastAsia="Times New Roman" w:cs="Times New Roman"/>
    </w:rPr>
  </w:style>
  <w:style w:type="paragraph" w:customStyle="1" w:styleId="xl63">
    <w:name w:val="xl63"/>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rPr>
  </w:style>
  <w:style w:type="paragraph" w:customStyle="1" w:styleId="xl64">
    <w:name w:val="xl64"/>
    <w:basedOn w:val="Normal"/>
    <w:rsid w:val="00DE4449"/>
    <w:pPr>
      <w:spacing w:before="100" w:beforeAutospacing="1" w:after="100" w:afterAutospacing="1" w:line="240" w:lineRule="auto"/>
      <w:jc w:val="center"/>
      <w:textAlignment w:val="center"/>
    </w:pPr>
    <w:rPr>
      <w:rFonts w:eastAsia="Times New Roman" w:cs="Times New Roman"/>
    </w:rPr>
  </w:style>
  <w:style w:type="paragraph" w:customStyle="1" w:styleId="xl65">
    <w:name w:val="xl65"/>
    <w:basedOn w:val="Normal"/>
    <w:rsid w:val="00DE4449"/>
    <w:pPr>
      <w:spacing w:before="100" w:beforeAutospacing="1" w:after="100" w:afterAutospacing="1" w:line="240" w:lineRule="auto"/>
      <w:jc w:val="center"/>
    </w:pPr>
    <w:rPr>
      <w:rFonts w:eastAsia="Times New Roman" w:cs="Times New Roman"/>
    </w:rPr>
  </w:style>
  <w:style w:type="paragraph" w:customStyle="1" w:styleId="xl66">
    <w:name w:val="xl66"/>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67">
    <w:name w:val="xl67"/>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68">
    <w:name w:val="xl68"/>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69">
    <w:name w:val="xl69"/>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0">
    <w:name w:val="xl70"/>
    <w:basedOn w:val="Normal"/>
    <w:rsid w:val="00DE44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1">
    <w:name w:val="xl71"/>
    <w:basedOn w:val="Normal"/>
    <w:rsid w:val="00DE44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2">
    <w:name w:val="xl72"/>
    <w:basedOn w:val="Normal"/>
    <w:rsid w:val="00DE44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3">
    <w:name w:val="xl73"/>
    <w:basedOn w:val="Normal"/>
    <w:rsid w:val="00DE44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4">
    <w:name w:val="xl74"/>
    <w:basedOn w:val="Normal"/>
    <w:rsid w:val="00DE44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5">
    <w:name w:val="xl75"/>
    <w:basedOn w:val="Normal"/>
    <w:rsid w:val="00DE44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6">
    <w:name w:val="xl76"/>
    <w:basedOn w:val="Normal"/>
    <w:rsid w:val="00DE44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7">
    <w:name w:val="xl77"/>
    <w:basedOn w:val="Normal"/>
    <w:rsid w:val="00DE44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8">
    <w:name w:val="xl78"/>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18"/>
      <w:szCs w:val="18"/>
    </w:rPr>
  </w:style>
  <w:style w:type="paragraph" w:customStyle="1" w:styleId="xl79">
    <w:name w:val="xl79"/>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80">
    <w:name w:val="xl80"/>
    <w:basedOn w:val="Normal"/>
    <w:rsid w:val="00DE44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81">
    <w:name w:val="xl81"/>
    <w:basedOn w:val="Normal"/>
    <w:rsid w:val="00DE44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character" w:customStyle="1" w:styleId="UnresolvedMention">
    <w:name w:val="Unresolved Mention"/>
    <w:basedOn w:val="DefaultParagraphFont"/>
    <w:uiPriority w:val="99"/>
    <w:semiHidden/>
    <w:unhideWhenUsed/>
    <w:rsid w:val="00F80B53"/>
    <w:rPr>
      <w:color w:val="605E5C"/>
      <w:shd w:val="clear" w:color="auto" w:fill="E1DFDD"/>
    </w:rPr>
  </w:style>
  <w:style w:type="character" w:customStyle="1" w:styleId="Heading3Char">
    <w:name w:val="Heading 3 Char"/>
    <w:basedOn w:val="DefaultParagraphFont"/>
    <w:link w:val="Heading3"/>
    <w:uiPriority w:val="9"/>
    <w:rsid w:val="003D00DF"/>
    <w:rPr>
      <w:rFonts w:ascii="Times New Roman" w:eastAsiaTheme="majorEastAsia" w:hAnsi="Times New Roman" w:cstheme="majorBidi"/>
      <w:b/>
    </w:rPr>
  </w:style>
  <w:style w:type="paragraph" w:styleId="TOCHeading">
    <w:name w:val="TOC Heading"/>
    <w:basedOn w:val="Heading1"/>
    <w:next w:val="Normal"/>
    <w:uiPriority w:val="39"/>
    <w:unhideWhenUsed/>
    <w:qFormat/>
    <w:rsid w:val="001326BD"/>
    <w:p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paragraph" w:styleId="TOC1">
    <w:name w:val="toc 1"/>
    <w:basedOn w:val="Normal"/>
    <w:next w:val="Normal"/>
    <w:autoRedefine/>
    <w:uiPriority w:val="39"/>
    <w:unhideWhenUsed/>
    <w:rsid w:val="001326BD"/>
    <w:pPr>
      <w:spacing w:after="100"/>
    </w:pPr>
  </w:style>
  <w:style w:type="paragraph" w:styleId="TOC2">
    <w:name w:val="toc 2"/>
    <w:basedOn w:val="Normal"/>
    <w:next w:val="Normal"/>
    <w:autoRedefine/>
    <w:uiPriority w:val="39"/>
    <w:unhideWhenUsed/>
    <w:rsid w:val="001326BD"/>
    <w:pPr>
      <w:spacing w:after="100"/>
      <w:ind w:left="240"/>
    </w:pPr>
  </w:style>
  <w:style w:type="paragraph" w:styleId="TOC3">
    <w:name w:val="toc 3"/>
    <w:basedOn w:val="Normal"/>
    <w:next w:val="Normal"/>
    <w:autoRedefine/>
    <w:uiPriority w:val="39"/>
    <w:unhideWhenUsed/>
    <w:rsid w:val="001326BD"/>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BD"/>
    <w:pPr>
      <w:jc w:val="both"/>
    </w:pPr>
    <w:rPr>
      <w:rFonts w:ascii="Times New Roman" w:hAnsi="Times New Roman"/>
    </w:rPr>
  </w:style>
  <w:style w:type="paragraph" w:styleId="Heading1">
    <w:name w:val="heading 1"/>
    <w:basedOn w:val="Normal"/>
    <w:next w:val="Normal"/>
    <w:link w:val="Heading1Char"/>
    <w:uiPriority w:val="9"/>
    <w:qFormat/>
    <w:rsid w:val="00210CC3"/>
    <w:pPr>
      <w:keepNext/>
      <w:keepLines/>
      <w:spacing w:before="480" w:after="0" w:line="276" w:lineRule="auto"/>
      <w:jc w:val="center"/>
      <w:outlineLvl w:val="0"/>
    </w:pPr>
    <w:rPr>
      <w:rFonts w:eastAsia="Times New Roman" w:cs="Times New Roman"/>
      <w:b/>
      <w:bCs/>
      <w:sz w:val="28"/>
      <w:szCs w:val="28"/>
      <w:lang w:val="x-none" w:eastAsia="x-none" w:bidi="en-US"/>
    </w:rPr>
  </w:style>
  <w:style w:type="paragraph" w:styleId="Heading2">
    <w:name w:val="heading 2"/>
    <w:basedOn w:val="Normal"/>
    <w:next w:val="Normal"/>
    <w:link w:val="Heading2Char"/>
    <w:uiPriority w:val="9"/>
    <w:unhideWhenUsed/>
    <w:qFormat/>
    <w:rsid w:val="0067352D"/>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D00DF"/>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611"/>
  </w:style>
  <w:style w:type="paragraph" w:styleId="Footer">
    <w:name w:val="footer"/>
    <w:basedOn w:val="Normal"/>
    <w:link w:val="FooterChar"/>
    <w:uiPriority w:val="99"/>
    <w:unhideWhenUsed/>
    <w:rsid w:val="008B4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611"/>
  </w:style>
  <w:style w:type="paragraph" w:styleId="ListParagraph">
    <w:name w:val="List Paragraph"/>
    <w:basedOn w:val="Normal"/>
    <w:uiPriority w:val="34"/>
    <w:qFormat/>
    <w:rsid w:val="00BE7536"/>
    <w:pPr>
      <w:ind w:left="720"/>
      <w:contextualSpacing/>
    </w:pPr>
  </w:style>
  <w:style w:type="character" w:styleId="CommentReference">
    <w:name w:val="annotation reference"/>
    <w:basedOn w:val="DefaultParagraphFont"/>
    <w:uiPriority w:val="99"/>
    <w:semiHidden/>
    <w:unhideWhenUsed/>
    <w:rsid w:val="001C3CEF"/>
    <w:rPr>
      <w:sz w:val="16"/>
      <w:szCs w:val="16"/>
    </w:rPr>
  </w:style>
  <w:style w:type="paragraph" w:styleId="CommentText">
    <w:name w:val="annotation text"/>
    <w:basedOn w:val="Normal"/>
    <w:link w:val="CommentTextChar"/>
    <w:uiPriority w:val="99"/>
    <w:semiHidden/>
    <w:unhideWhenUsed/>
    <w:rsid w:val="001C3CEF"/>
    <w:pPr>
      <w:spacing w:line="240" w:lineRule="auto"/>
    </w:pPr>
    <w:rPr>
      <w:sz w:val="20"/>
      <w:szCs w:val="20"/>
    </w:rPr>
  </w:style>
  <w:style w:type="character" w:customStyle="1" w:styleId="CommentTextChar">
    <w:name w:val="Comment Text Char"/>
    <w:basedOn w:val="DefaultParagraphFont"/>
    <w:link w:val="CommentText"/>
    <w:uiPriority w:val="99"/>
    <w:semiHidden/>
    <w:rsid w:val="001C3CEF"/>
    <w:rPr>
      <w:sz w:val="20"/>
      <w:szCs w:val="20"/>
    </w:rPr>
  </w:style>
  <w:style w:type="paragraph" w:styleId="CommentSubject">
    <w:name w:val="annotation subject"/>
    <w:basedOn w:val="CommentText"/>
    <w:next w:val="CommentText"/>
    <w:link w:val="CommentSubjectChar"/>
    <w:uiPriority w:val="99"/>
    <w:semiHidden/>
    <w:unhideWhenUsed/>
    <w:rsid w:val="001C3CEF"/>
    <w:rPr>
      <w:b/>
      <w:bCs/>
    </w:rPr>
  </w:style>
  <w:style w:type="character" w:customStyle="1" w:styleId="CommentSubjectChar">
    <w:name w:val="Comment Subject Char"/>
    <w:basedOn w:val="CommentTextChar"/>
    <w:link w:val="CommentSubject"/>
    <w:uiPriority w:val="99"/>
    <w:semiHidden/>
    <w:rsid w:val="001C3CEF"/>
    <w:rPr>
      <w:b/>
      <w:bCs/>
      <w:sz w:val="20"/>
      <w:szCs w:val="20"/>
    </w:rPr>
  </w:style>
  <w:style w:type="character" w:styleId="PlaceholderText">
    <w:name w:val="Placeholder Text"/>
    <w:basedOn w:val="DefaultParagraphFont"/>
    <w:uiPriority w:val="99"/>
    <w:semiHidden/>
    <w:rsid w:val="00292E90"/>
    <w:rPr>
      <w:color w:val="808080"/>
    </w:rPr>
  </w:style>
  <w:style w:type="paragraph" w:styleId="Revision">
    <w:name w:val="Revision"/>
    <w:hidden/>
    <w:uiPriority w:val="99"/>
    <w:semiHidden/>
    <w:rsid w:val="00090EDE"/>
    <w:pPr>
      <w:spacing w:after="0" w:line="240" w:lineRule="auto"/>
    </w:pPr>
  </w:style>
  <w:style w:type="table" w:styleId="TableGrid">
    <w:name w:val="Table Grid"/>
    <w:basedOn w:val="TableNormal"/>
    <w:uiPriority w:val="39"/>
    <w:rsid w:val="00AE0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10CC3"/>
    <w:rPr>
      <w:rFonts w:ascii="Times New Roman" w:eastAsia="Times New Roman" w:hAnsi="Times New Roman" w:cs="Times New Roman"/>
      <w:b/>
      <w:bCs/>
      <w:sz w:val="28"/>
      <w:szCs w:val="28"/>
      <w:lang w:val="x-none" w:eastAsia="x-none" w:bidi="en-US"/>
    </w:rPr>
  </w:style>
  <w:style w:type="paragraph" w:styleId="FootnoteText">
    <w:name w:val="footnote text"/>
    <w:basedOn w:val="Normal"/>
    <w:link w:val="FootnoteTextChar"/>
    <w:uiPriority w:val="99"/>
    <w:unhideWhenUsed/>
    <w:rsid w:val="004057ED"/>
    <w:pPr>
      <w:spacing w:after="0" w:line="240" w:lineRule="auto"/>
    </w:pPr>
    <w:rPr>
      <w:rFonts w:ascii="Calibri" w:eastAsia="Times New Roman" w:hAnsi="Calibri" w:cs="Times New Roman"/>
      <w:sz w:val="20"/>
      <w:szCs w:val="20"/>
      <w:lang w:val="en-GB" w:eastAsia="en-GB"/>
    </w:rPr>
  </w:style>
  <w:style w:type="character" w:customStyle="1" w:styleId="FootnoteTextChar">
    <w:name w:val="Footnote Text Char"/>
    <w:basedOn w:val="DefaultParagraphFont"/>
    <w:link w:val="FootnoteText"/>
    <w:uiPriority w:val="99"/>
    <w:rsid w:val="004057ED"/>
    <w:rPr>
      <w:rFonts w:ascii="Calibri" w:eastAsia="Times New Roman" w:hAnsi="Calibri" w:cs="Times New Roman"/>
      <w:sz w:val="20"/>
      <w:szCs w:val="20"/>
      <w:lang w:val="en-GB" w:eastAsia="en-GB"/>
    </w:rPr>
  </w:style>
  <w:style w:type="character" w:styleId="SubtleEmphasis">
    <w:name w:val="Subtle Emphasis"/>
    <w:uiPriority w:val="19"/>
    <w:qFormat/>
    <w:rsid w:val="004057ED"/>
    <w:rPr>
      <w:i/>
      <w:iCs/>
    </w:rPr>
  </w:style>
  <w:style w:type="paragraph" w:styleId="NoSpacing">
    <w:name w:val="No Spacing"/>
    <w:uiPriority w:val="1"/>
    <w:qFormat/>
    <w:rsid w:val="00F478B2"/>
    <w:pPr>
      <w:spacing w:after="0" w:line="240" w:lineRule="auto"/>
    </w:pPr>
  </w:style>
  <w:style w:type="character" w:customStyle="1" w:styleId="Heading2Char">
    <w:name w:val="Heading 2 Char"/>
    <w:basedOn w:val="DefaultParagraphFont"/>
    <w:link w:val="Heading2"/>
    <w:uiPriority w:val="9"/>
    <w:rsid w:val="0067352D"/>
    <w:rPr>
      <w:rFonts w:ascii="Times New Roman" w:eastAsiaTheme="majorEastAsia" w:hAnsi="Times New Roman" w:cstheme="majorBidi"/>
      <w:b/>
      <w:szCs w:val="26"/>
    </w:rPr>
  </w:style>
  <w:style w:type="paragraph" w:styleId="NormalWeb">
    <w:name w:val="Normal (Web)"/>
    <w:basedOn w:val="Normal"/>
    <w:uiPriority w:val="99"/>
    <w:unhideWhenUsed/>
    <w:rsid w:val="009B658D"/>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5D0490"/>
    <w:rPr>
      <w:b/>
      <w:bCs/>
    </w:rPr>
  </w:style>
  <w:style w:type="character" w:styleId="Hyperlink">
    <w:name w:val="Hyperlink"/>
    <w:basedOn w:val="DefaultParagraphFont"/>
    <w:uiPriority w:val="99"/>
    <w:unhideWhenUsed/>
    <w:rsid w:val="00DE4449"/>
    <w:rPr>
      <w:color w:val="0563C1"/>
      <w:u w:val="single"/>
    </w:rPr>
  </w:style>
  <w:style w:type="character" w:styleId="FollowedHyperlink">
    <w:name w:val="FollowedHyperlink"/>
    <w:basedOn w:val="DefaultParagraphFont"/>
    <w:uiPriority w:val="99"/>
    <w:semiHidden/>
    <w:unhideWhenUsed/>
    <w:rsid w:val="00DE4449"/>
    <w:rPr>
      <w:color w:val="954F72"/>
      <w:u w:val="single"/>
    </w:rPr>
  </w:style>
  <w:style w:type="paragraph" w:customStyle="1" w:styleId="msonormal0">
    <w:name w:val="msonormal"/>
    <w:basedOn w:val="Normal"/>
    <w:rsid w:val="00DE4449"/>
    <w:pPr>
      <w:spacing w:before="100" w:beforeAutospacing="1" w:after="100" w:afterAutospacing="1" w:line="240" w:lineRule="auto"/>
    </w:pPr>
    <w:rPr>
      <w:rFonts w:eastAsia="Times New Roman" w:cs="Times New Roman"/>
    </w:rPr>
  </w:style>
  <w:style w:type="paragraph" w:customStyle="1" w:styleId="xl63">
    <w:name w:val="xl63"/>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rPr>
  </w:style>
  <w:style w:type="paragraph" w:customStyle="1" w:styleId="xl64">
    <w:name w:val="xl64"/>
    <w:basedOn w:val="Normal"/>
    <w:rsid w:val="00DE4449"/>
    <w:pPr>
      <w:spacing w:before="100" w:beforeAutospacing="1" w:after="100" w:afterAutospacing="1" w:line="240" w:lineRule="auto"/>
      <w:jc w:val="center"/>
      <w:textAlignment w:val="center"/>
    </w:pPr>
    <w:rPr>
      <w:rFonts w:eastAsia="Times New Roman" w:cs="Times New Roman"/>
    </w:rPr>
  </w:style>
  <w:style w:type="paragraph" w:customStyle="1" w:styleId="xl65">
    <w:name w:val="xl65"/>
    <w:basedOn w:val="Normal"/>
    <w:rsid w:val="00DE4449"/>
    <w:pPr>
      <w:spacing w:before="100" w:beforeAutospacing="1" w:after="100" w:afterAutospacing="1" w:line="240" w:lineRule="auto"/>
      <w:jc w:val="center"/>
    </w:pPr>
    <w:rPr>
      <w:rFonts w:eastAsia="Times New Roman" w:cs="Times New Roman"/>
    </w:rPr>
  </w:style>
  <w:style w:type="paragraph" w:customStyle="1" w:styleId="xl66">
    <w:name w:val="xl66"/>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67">
    <w:name w:val="xl67"/>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68">
    <w:name w:val="xl68"/>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69">
    <w:name w:val="xl69"/>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0">
    <w:name w:val="xl70"/>
    <w:basedOn w:val="Normal"/>
    <w:rsid w:val="00DE44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1">
    <w:name w:val="xl71"/>
    <w:basedOn w:val="Normal"/>
    <w:rsid w:val="00DE44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2">
    <w:name w:val="xl72"/>
    <w:basedOn w:val="Normal"/>
    <w:rsid w:val="00DE44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3">
    <w:name w:val="xl73"/>
    <w:basedOn w:val="Normal"/>
    <w:rsid w:val="00DE44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4">
    <w:name w:val="xl74"/>
    <w:basedOn w:val="Normal"/>
    <w:rsid w:val="00DE44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5">
    <w:name w:val="xl75"/>
    <w:basedOn w:val="Normal"/>
    <w:rsid w:val="00DE44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6">
    <w:name w:val="xl76"/>
    <w:basedOn w:val="Normal"/>
    <w:rsid w:val="00DE44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7">
    <w:name w:val="xl77"/>
    <w:basedOn w:val="Normal"/>
    <w:rsid w:val="00DE44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rPr>
  </w:style>
  <w:style w:type="paragraph" w:customStyle="1" w:styleId="xl78">
    <w:name w:val="xl78"/>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18"/>
      <w:szCs w:val="18"/>
    </w:rPr>
  </w:style>
  <w:style w:type="paragraph" w:customStyle="1" w:styleId="xl79">
    <w:name w:val="xl79"/>
    <w:basedOn w:val="Normal"/>
    <w:rsid w:val="00DE4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80">
    <w:name w:val="xl80"/>
    <w:basedOn w:val="Normal"/>
    <w:rsid w:val="00DE44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81">
    <w:name w:val="xl81"/>
    <w:basedOn w:val="Normal"/>
    <w:rsid w:val="00DE44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character" w:customStyle="1" w:styleId="UnresolvedMention">
    <w:name w:val="Unresolved Mention"/>
    <w:basedOn w:val="DefaultParagraphFont"/>
    <w:uiPriority w:val="99"/>
    <w:semiHidden/>
    <w:unhideWhenUsed/>
    <w:rsid w:val="00F80B53"/>
    <w:rPr>
      <w:color w:val="605E5C"/>
      <w:shd w:val="clear" w:color="auto" w:fill="E1DFDD"/>
    </w:rPr>
  </w:style>
  <w:style w:type="character" w:customStyle="1" w:styleId="Heading3Char">
    <w:name w:val="Heading 3 Char"/>
    <w:basedOn w:val="DefaultParagraphFont"/>
    <w:link w:val="Heading3"/>
    <w:uiPriority w:val="9"/>
    <w:rsid w:val="003D00DF"/>
    <w:rPr>
      <w:rFonts w:ascii="Times New Roman" w:eastAsiaTheme="majorEastAsia" w:hAnsi="Times New Roman" w:cstheme="majorBidi"/>
      <w:b/>
    </w:rPr>
  </w:style>
  <w:style w:type="paragraph" w:styleId="TOCHeading">
    <w:name w:val="TOC Heading"/>
    <w:basedOn w:val="Heading1"/>
    <w:next w:val="Normal"/>
    <w:uiPriority w:val="39"/>
    <w:unhideWhenUsed/>
    <w:qFormat/>
    <w:rsid w:val="001326BD"/>
    <w:p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paragraph" w:styleId="TOC1">
    <w:name w:val="toc 1"/>
    <w:basedOn w:val="Normal"/>
    <w:next w:val="Normal"/>
    <w:autoRedefine/>
    <w:uiPriority w:val="39"/>
    <w:unhideWhenUsed/>
    <w:rsid w:val="001326BD"/>
    <w:pPr>
      <w:spacing w:after="100"/>
    </w:pPr>
  </w:style>
  <w:style w:type="paragraph" w:styleId="TOC2">
    <w:name w:val="toc 2"/>
    <w:basedOn w:val="Normal"/>
    <w:next w:val="Normal"/>
    <w:autoRedefine/>
    <w:uiPriority w:val="39"/>
    <w:unhideWhenUsed/>
    <w:rsid w:val="001326BD"/>
    <w:pPr>
      <w:spacing w:after="100"/>
      <w:ind w:left="240"/>
    </w:pPr>
  </w:style>
  <w:style w:type="paragraph" w:styleId="TOC3">
    <w:name w:val="toc 3"/>
    <w:basedOn w:val="Normal"/>
    <w:next w:val="Normal"/>
    <w:autoRedefine/>
    <w:uiPriority w:val="39"/>
    <w:unhideWhenUsed/>
    <w:rsid w:val="001326B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3631">
      <w:bodyDiv w:val="1"/>
      <w:marLeft w:val="0"/>
      <w:marRight w:val="0"/>
      <w:marTop w:val="0"/>
      <w:marBottom w:val="0"/>
      <w:divBdr>
        <w:top w:val="none" w:sz="0" w:space="0" w:color="auto"/>
        <w:left w:val="none" w:sz="0" w:space="0" w:color="auto"/>
        <w:bottom w:val="none" w:sz="0" w:space="0" w:color="auto"/>
        <w:right w:val="none" w:sz="0" w:space="0" w:color="auto"/>
      </w:divBdr>
    </w:div>
    <w:div w:id="35156008">
      <w:bodyDiv w:val="1"/>
      <w:marLeft w:val="0"/>
      <w:marRight w:val="0"/>
      <w:marTop w:val="0"/>
      <w:marBottom w:val="0"/>
      <w:divBdr>
        <w:top w:val="none" w:sz="0" w:space="0" w:color="auto"/>
        <w:left w:val="none" w:sz="0" w:space="0" w:color="auto"/>
        <w:bottom w:val="none" w:sz="0" w:space="0" w:color="auto"/>
        <w:right w:val="none" w:sz="0" w:space="0" w:color="auto"/>
      </w:divBdr>
    </w:div>
    <w:div w:id="45833807">
      <w:bodyDiv w:val="1"/>
      <w:marLeft w:val="0"/>
      <w:marRight w:val="0"/>
      <w:marTop w:val="0"/>
      <w:marBottom w:val="0"/>
      <w:divBdr>
        <w:top w:val="none" w:sz="0" w:space="0" w:color="auto"/>
        <w:left w:val="none" w:sz="0" w:space="0" w:color="auto"/>
        <w:bottom w:val="none" w:sz="0" w:space="0" w:color="auto"/>
        <w:right w:val="none" w:sz="0" w:space="0" w:color="auto"/>
      </w:divBdr>
    </w:div>
    <w:div w:id="126551991">
      <w:bodyDiv w:val="1"/>
      <w:marLeft w:val="0"/>
      <w:marRight w:val="0"/>
      <w:marTop w:val="0"/>
      <w:marBottom w:val="0"/>
      <w:divBdr>
        <w:top w:val="none" w:sz="0" w:space="0" w:color="auto"/>
        <w:left w:val="none" w:sz="0" w:space="0" w:color="auto"/>
        <w:bottom w:val="none" w:sz="0" w:space="0" w:color="auto"/>
        <w:right w:val="none" w:sz="0" w:space="0" w:color="auto"/>
      </w:divBdr>
    </w:div>
    <w:div w:id="130251215">
      <w:bodyDiv w:val="1"/>
      <w:marLeft w:val="0"/>
      <w:marRight w:val="0"/>
      <w:marTop w:val="0"/>
      <w:marBottom w:val="0"/>
      <w:divBdr>
        <w:top w:val="none" w:sz="0" w:space="0" w:color="auto"/>
        <w:left w:val="none" w:sz="0" w:space="0" w:color="auto"/>
        <w:bottom w:val="none" w:sz="0" w:space="0" w:color="auto"/>
        <w:right w:val="none" w:sz="0" w:space="0" w:color="auto"/>
      </w:divBdr>
    </w:div>
    <w:div w:id="134032465">
      <w:bodyDiv w:val="1"/>
      <w:marLeft w:val="0"/>
      <w:marRight w:val="0"/>
      <w:marTop w:val="0"/>
      <w:marBottom w:val="0"/>
      <w:divBdr>
        <w:top w:val="none" w:sz="0" w:space="0" w:color="auto"/>
        <w:left w:val="none" w:sz="0" w:space="0" w:color="auto"/>
        <w:bottom w:val="none" w:sz="0" w:space="0" w:color="auto"/>
        <w:right w:val="none" w:sz="0" w:space="0" w:color="auto"/>
      </w:divBdr>
    </w:div>
    <w:div w:id="135991630">
      <w:bodyDiv w:val="1"/>
      <w:marLeft w:val="0"/>
      <w:marRight w:val="0"/>
      <w:marTop w:val="0"/>
      <w:marBottom w:val="0"/>
      <w:divBdr>
        <w:top w:val="none" w:sz="0" w:space="0" w:color="auto"/>
        <w:left w:val="none" w:sz="0" w:space="0" w:color="auto"/>
        <w:bottom w:val="none" w:sz="0" w:space="0" w:color="auto"/>
        <w:right w:val="none" w:sz="0" w:space="0" w:color="auto"/>
      </w:divBdr>
    </w:div>
    <w:div w:id="137577786">
      <w:bodyDiv w:val="1"/>
      <w:marLeft w:val="0"/>
      <w:marRight w:val="0"/>
      <w:marTop w:val="0"/>
      <w:marBottom w:val="0"/>
      <w:divBdr>
        <w:top w:val="none" w:sz="0" w:space="0" w:color="auto"/>
        <w:left w:val="none" w:sz="0" w:space="0" w:color="auto"/>
        <w:bottom w:val="none" w:sz="0" w:space="0" w:color="auto"/>
        <w:right w:val="none" w:sz="0" w:space="0" w:color="auto"/>
      </w:divBdr>
      <w:divsChild>
        <w:div w:id="625158921">
          <w:marLeft w:val="0"/>
          <w:marRight w:val="0"/>
          <w:marTop w:val="0"/>
          <w:marBottom w:val="0"/>
          <w:divBdr>
            <w:top w:val="none" w:sz="0" w:space="0" w:color="auto"/>
            <w:left w:val="none" w:sz="0" w:space="0" w:color="auto"/>
            <w:bottom w:val="none" w:sz="0" w:space="0" w:color="auto"/>
            <w:right w:val="none" w:sz="0" w:space="0" w:color="auto"/>
          </w:divBdr>
          <w:divsChild>
            <w:div w:id="891617648">
              <w:marLeft w:val="0"/>
              <w:marRight w:val="0"/>
              <w:marTop w:val="0"/>
              <w:marBottom w:val="0"/>
              <w:divBdr>
                <w:top w:val="none" w:sz="0" w:space="0" w:color="auto"/>
                <w:left w:val="none" w:sz="0" w:space="0" w:color="auto"/>
                <w:bottom w:val="none" w:sz="0" w:space="0" w:color="auto"/>
                <w:right w:val="none" w:sz="0" w:space="0" w:color="auto"/>
              </w:divBdr>
              <w:divsChild>
                <w:div w:id="983703435">
                  <w:marLeft w:val="0"/>
                  <w:marRight w:val="0"/>
                  <w:marTop w:val="0"/>
                  <w:marBottom w:val="0"/>
                  <w:divBdr>
                    <w:top w:val="none" w:sz="0" w:space="0" w:color="auto"/>
                    <w:left w:val="none" w:sz="0" w:space="0" w:color="auto"/>
                    <w:bottom w:val="none" w:sz="0" w:space="0" w:color="auto"/>
                    <w:right w:val="none" w:sz="0" w:space="0" w:color="auto"/>
                  </w:divBdr>
                  <w:divsChild>
                    <w:div w:id="1537935332">
                      <w:marLeft w:val="0"/>
                      <w:marRight w:val="0"/>
                      <w:marTop w:val="0"/>
                      <w:marBottom w:val="0"/>
                      <w:divBdr>
                        <w:top w:val="none" w:sz="0" w:space="0" w:color="auto"/>
                        <w:left w:val="none" w:sz="0" w:space="0" w:color="auto"/>
                        <w:bottom w:val="none" w:sz="0" w:space="0" w:color="auto"/>
                        <w:right w:val="none" w:sz="0" w:space="0" w:color="auto"/>
                      </w:divBdr>
                      <w:divsChild>
                        <w:div w:id="1115635582">
                          <w:marLeft w:val="0"/>
                          <w:marRight w:val="0"/>
                          <w:marTop w:val="0"/>
                          <w:marBottom w:val="0"/>
                          <w:divBdr>
                            <w:top w:val="none" w:sz="0" w:space="0" w:color="auto"/>
                            <w:left w:val="none" w:sz="0" w:space="0" w:color="auto"/>
                            <w:bottom w:val="none" w:sz="0" w:space="0" w:color="auto"/>
                            <w:right w:val="none" w:sz="0" w:space="0" w:color="auto"/>
                          </w:divBdr>
                          <w:divsChild>
                            <w:div w:id="1467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8835">
      <w:bodyDiv w:val="1"/>
      <w:marLeft w:val="0"/>
      <w:marRight w:val="0"/>
      <w:marTop w:val="0"/>
      <w:marBottom w:val="0"/>
      <w:divBdr>
        <w:top w:val="none" w:sz="0" w:space="0" w:color="auto"/>
        <w:left w:val="none" w:sz="0" w:space="0" w:color="auto"/>
        <w:bottom w:val="none" w:sz="0" w:space="0" w:color="auto"/>
        <w:right w:val="none" w:sz="0" w:space="0" w:color="auto"/>
      </w:divBdr>
    </w:div>
    <w:div w:id="316305575">
      <w:bodyDiv w:val="1"/>
      <w:marLeft w:val="0"/>
      <w:marRight w:val="0"/>
      <w:marTop w:val="0"/>
      <w:marBottom w:val="0"/>
      <w:divBdr>
        <w:top w:val="none" w:sz="0" w:space="0" w:color="auto"/>
        <w:left w:val="none" w:sz="0" w:space="0" w:color="auto"/>
        <w:bottom w:val="none" w:sz="0" w:space="0" w:color="auto"/>
        <w:right w:val="none" w:sz="0" w:space="0" w:color="auto"/>
      </w:divBdr>
    </w:div>
    <w:div w:id="423113166">
      <w:bodyDiv w:val="1"/>
      <w:marLeft w:val="0"/>
      <w:marRight w:val="0"/>
      <w:marTop w:val="0"/>
      <w:marBottom w:val="0"/>
      <w:divBdr>
        <w:top w:val="none" w:sz="0" w:space="0" w:color="auto"/>
        <w:left w:val="none" w:sz="0" w:space="0" w:color="auto"/>
        <w:bottom w:val="none" w:sz="0" w:space="0" w:color="auto"/>
        <w:right w:val="none" w:sz="0" w:space="0" w:color="auto"/>
      </w:divBdr>
      <w:divsChild>
        <w:div w:id="999114187">
          <w:marLeft w:val="0"/>
          <w:marRight w:val="0"/>
          <w:marTop w:val="0"/>
          <w:marBottom w:val="0"/>
          <w:divBdr>
            <w:top w:val="none" w:sz="0" w:space="0" w:color="auto"/>
            <w:left w:val="none" w:sz="0" w:space="0" w:color="auto"/>
            <w:bottom w:val="none" w:sz="0" w:space="0" w:color="auto"/>
            <w:right w:val="none" w:sz="0" w:space="0" w:color="auto"/>
          </w:divBdr>
        </w:div>
      </w:divsChild>
    </w:div>
    <w:div w:id="446314501">
      <w:bodyDiv w:val="1"/>
      <w:marLeft w:val="0"/>
      <w:marRight w:val="0"/>
      <w:marTop w:val="0"/>
      <w:marBottom w:val="0"/>
      <w:divBdr>
        <w:top w:val="none" w:sz="0" w:space="0" w:color="auto"/>
        <w:left w:val="none" w:sz="0" w:space="0" w:color="auto"/>
        <w:bottom w:val="none" w:sz="0" w:space="0" w:color="auto"/>
        <w:right w:val="none" w:sz="0" w:space="0" w:color="auto"/>
      </w:divBdr>
    </w:div>
    <w:div w:id="511798829">
      <w:bodyDiv w:val="1"/>
      <w:marLeft w:val="0"/>
      <w:marRight w:val="0"/>
      <w:marTop w:val="0"/>
      <w:marBottom w:val="0"/>
      <w:divBdr>
        <w:top w:val="none" w:sz="0" w:space="0" w:color="auto"/>
        <w:left w:val="none" w:sz="0" w:space="0" w:color="auto"/>
        <w:bottom w:val="none" w:sz="0" w:space="0" w:color="auto"/>
        <w:right w:val="none" w:sz="0" w:space="0" w:color="auto"/>
      </w:divBdr>
      <w:divsChild>
        <w:div w:id="1320696934">
          <w:marLeft w:val="0"/>
          <w:marRight w:val="0"/>
          <w:marTop w:val="0"/>
          <w:marBottom w:val="0"/>
          <w:divBdr>
            <w:top w:val="none" w:sz="0" w:space="0" w:color="auto"/>
            <w:left w:val="none" w:sz="0" w:space="0" w:color="auto"/>
            <w:bottom w:val="none" w:sz="0" w:space="0" w:color="auto"/>
            <w:right w:val="none" w:sz="0" w:space="0" w:color="auto"/>
          </w:divBdr>
        </w:div>
      </w:divsChild>
    </w:div>
    <w:div w:id="533737568">
      <w:bodyDiv w:val="1"/>
      <w:marLeft w:val="0"/>
      <w:marRight w:val="0"/>
      <w:marTop w:val="0"/>
      <w:marBottom w:val="0"/>
      <w:divBdr>
        <w:top w:val="none" w:sz="0" w:space="0" w:color="auto"/>
        <w:left w:val="none" w:sz="0" w:space="0" w:color="auto"/>
        <w:bottom w:val="none" w:sz="0" w:space="0" w:color="auto"/>
        <w:right w:val="none" w:sz="0" w:space="0" w:color="auto"/>
      </w:divBdr>
    </w:div>
    <w:div w:id="618074874">
      <w:bodyDiv w:val="1"/>
      <w:marLeft w:val="0"/>
      <w:marRight w:val="0"/>
      <w:marTop w:val="0"/>
      <w:marBottom w:val="0"/>
      <w:divBdr>
        <w:top w:val="none" w:sz="0" w:space="0" w:color="auto"/>
        <w:left w:val="none" w:sz="0" w:space="0" w:color="auto"/>
        <w:bottom w:val="none" w:sz="0" w:space="0" w:color="auto"/>
        <w:right w:val="none" w:sz="0" w:space="0" w:color="auto"/>
      </w:divBdr>
    </w:div>
    <w:div w:id="618610470">
      <w:bodyDiv w:val="1"/>
      <w:marLeft w:val="0"/>
      <w:marRight w:val="0"/>
      <w:marTop w:val="0"/>
      <w:marBottom w:val="0"/>
      <w:divBdr>
        <w:top w:val="none" w:sz="0" w:space="0" w:color="auto"/>
        <w:left w:val="none" w:sz="0" w:space="0" w:color="auto"/>
        <w:bottom w:val="none" w:sz="0" w:space="0" w:color="auto"/>
        <w:right w:val="none" w:sz="0" w:space="0" w:color="auto"/>
      </w:divBdr>
      <w:divsChild>
        <w:div w:id="17393876">
          <w:marLeft w:val="0"/>
          <w:marRight w:val="0"/>
          <w:marTop w:val="0"/>
          <w:marBottom w:val="0"/>
          <w:divBdr>
            <w:top w:val="none" w:sz="0" w:space="0" w:color="auto"/>
            <w:left w:val="none" w:sz="0" w:space="0" w:color="auto"/>
            <w:bottom w:val="none" w:sz="0" w:space="0" w:color="auto"/>
            <w:right w:val="none" w:sz="0" w:space="0" w:color="auto"/>
          </w:divBdr>
        </w:div>
      </w:divsChild>
    </w:div>
    <w:div w:id="649864899">
      <w:bodyDiv w:val="1"/>
      <w:marLeft w:val="0"/>
      <w:marRight w:val="0"/>
      <w:marTop w:val="0"/>
      <w:marBottom w:val="0"/>
      <w:divBdr>
        <w:top w:val="none" w:sz="0" w:space="0" w:color="auto"/>
        <w:left w:val="none" w:sz="0" w:space="0" w:color="auto"/>
        <w:bottom w:val="none" w:sz="0" w:space="0" w:color="auto"/>
        <w:right w:val="none" w:sz="0" w:space="0" w:color="auto"/>
      </w:divBdr>
    </w:div>
    <w:div w:id="683820937">
      <w:bodyDiv w:val="1"/>
      <w:marLeft w:val="0"/>
      <w:marRight w:val="0"/>
      <w:marTop w:val="0"/>
      <w:marBottom w:val="0"/>
      <w:divBdr>
        <w:top w:val="none" w:sz="0" w:space="0" w:color="auto"/>
        <w:left w:val="none" w:sz="0" w:space="0" w:color="auto"/>
        <w:bottom w:val="none" w:sz="0" w:space="0" w:color="auto"/>
        <w:right w:val="none" w:sz="0" w:space="0" w:color="auto"/>
      </w:divBdr>
    </w:div>
    <w:div w:id="708531170">
      <w:bodyDiv w:val="1"/>
      <w:marLeft w:val="0"/>
      <w:marRight w:val="0"/>
      <w:marTop w:val="0"/>
      <w:marBottom w:val="0"/>
      <w:divBdr>
        <w:top w:val="none" w:sz="0" w:space="0" w:color="auto"/>
        <w:left w:val="none" w:sz="0" w:space="0" w:color="auto"/>
        <w:bottom w:val="none" w:sz="0" w:space="0" w:color="auto"/>
        <w:right w:val="none" w:sz="0" w:space="0" w:color="auto"/>
      </w:divBdr>
    </w:div>
    <w:div w:id="785806727">
      <w:bodyDiv w:val="1"/>
      <w:marLeft w:val="0"/>
      <w:marRight w:val="0"/>
      <w:marTop w:val="0"/>
      <w:marBottom w:val="0"/>
      <w:divBdr>
        <w:top w:val="none" w:sz="0" w:space="0" w:color="auto"/>
        <w:left w:val="none" w:sz="0" w:space="0" w:color="auto"/>
        <w:bottom w:val="none" w:sz="0" w:space="0" w:color="auto"/>
        <w:right w:val="none" w:sz="0" w:space="0" w:color="auto"/>
      </w:divBdr>
      <w:divsChild>
        <w:div w:id="1134830222">
          <w:marLeft w:val="0"/>
          <w:marRight w:val="0"/>
          <w:marTop w:val="0"/>
          <w:marBottom w:val="0"/>
          <w:divBdr>
            <w:top w:val="none" w:sz="0" w:space="0" w:color="auto"/>
            <w:left w:val="none" w:sz="0" w:space="0" w:color="auto"/>
            <w:bottom w:val="none" w:sz="0" w:space="0" w:color="auto"/>
            <w:right w:val="none" w:sz="0" w:space="0" w:color="auto"/>
          </w:divBdr>
        </w:div>
      </w:divsChild>
    </w:div>
    <w:div w:id="822238719">
      <w:bodyDiv w:val="1"/>
      <w:marLeft w:val="0"/>
      <w:marRight w:val="0"/>
      <w:marTop w:val="0"/>
      <w:marBottom w:val="0"/>
      <w:divBdr>
        <w:top w:val="none" w:sz="0" w:space="0" w:color="auto"/>
        <w:left w:val="none" w:sz="0" w:space="0" w:color="auto"/>
        <w:bottom w:val="none" w:sz="0" w:space="0" w:color="auto"/>
        <w:right w:val="none" w:sz="0" w:space="0" w:color="auto"/>
      </w:divBdr>
      <w:divsChild>
        <w:div w:id="323777929">
          <w:marLeft w:val="0"/>
          <w:marRight w:val="0"/>
          <w:marTop w:val="0"/>
          <w:marBottom w:val="0"/>
          <w:divBdr>
            <w:top w:val="none" w:sz="0" w:space="0" w:color="auto"/>
            <w:left w:val="none" w:sz="0" w:space="0" w:color="auto"/>
            <w:bottom w:val="none" w:sz="0" w:space="0" w:color="auto"/>
            <w:right w:val="none" w:sz="0" w:space="0" w:color="auto"/>
          </w:divBdr>
        </w:div>
      </w:divsChild>
    </w:div>
    <w:div w:id="864516976">
      <w:bodyDiv w:val="1"/>
      <w:marLeft w:val="0"/>
      <w:marRight w:val="0"/>
      <w:marTop w:val="0"/>
      <w:marBottom w:val="0"/>
      <w:divBdr>
        <w:top w:val="none" w:sz="0" w:space="0" w:color="auto"/>
        <w:left w:val="none" w:sz="0" w:space="0" w:color="auto"/>
        <w:bottom w:val="none" w:sz="0" w:space="0" w:color="auto"/>
        <w:right w:val="none" w:sz="0" w:space="0" w:color="auto"/>
      </w:divBdr>
    </w:div>
    <w:div w:id="925067406">
      <w:bodyDiv w:val="1"/>
      <w:marLeft w:val="0"/>
      <w:marRight w:val="0"/>
      <w:marTop w:val="0"/>
      <w:marBottom w:val="0"/>
      <w:divBdr>
        <w:top w:val="none" w:sz="0" w:space="0" w:color="auto"/>
        <w:left w:val="none" w:sz="0" w:space="0" w:color="auto"/>
        <w:bottom w:val="none" w:sz="0" w:space="0" w:color="auto"/>
        <w:right w:val="none" w:sz="0" w:space="0" w:color="auto"/>
      </w:divBdr>
    </w:div>
    <w:div w:id="942691219">
      <w:bodyDiv w:val="1"/>
      <w:marLeft w:val="0"/>
      <w:marRight w:val="0"/>
      <w:marTop w:val="0"/>
      <w:marBottom w:val="0"/>
      <w:divBdr>
        <w:top w:val="none" w:sz="0" w:space="0" w:color="auto"/>
        <w:left w:val="none" w:sz="0" w:space="0" w:color="auto"/>
        <w:bottom w:val="none" w:sz="0" w:space="0" w:color="auto"/>
        <w:right w:val="none" w:sz="0" w:space="0" w:color="auto"/>
      </w:divBdr>
    </w:div>
    <w:div w:id="988436048">
      <w:bodyDiv w:val="1"/>
      <w:marLeft w:val="0"/>
      <w:marRight w:val="0"/>
      <w:marTop w:val="0"/>
      <w:marBottom w:val="0"/>
      <w:divBdr>
        <w:top w:val="none" w:sz="0" w:space="0" w:color="auto"/>
        <w:left w:val="none" w:sz="0" w:space="0" w:color="auto"/>
        <w:bottom w:val="none" w:sz="0" w:space="0" w:color="auto"/>
        <w:right w:val="none" w:sz="0" w:space="0" w:color="auto"/>
      </w:divBdr>
      <w:divsChild>
        <w:div w:id="22484188">
          <w:marLeft w:val="0"/>
          <w:marRight w:val="0"/>
          <w:marTop w:val="0"/>
          <w:marBottom w:val="0"/>
          <w:divBdr>
            <w:top w:val="none" w:sz="0" w:space="0" w:color="auto"/>
            <w:left w:val="none" w:sz="0" w:space="0" w:color="auto"/>
            <w:bottom w:val="none" w:sz="0" w:space="0" w:color="auto"/>
            <w:right w:val="none" w:sz="0" w:space="0" w:color="auto"/>
          </w:divBdr>
        </w:div>
      </w:divsChild>
    </w:div>
    <w:div w:id="1000156279">
      <w:bodyDiv w:val="1"/>
      <w:marLeft w:val="0"/>
      <w:marRight w:val="0"/>
      <w:marTop w:val="0"/>
      <w:marBottom w:val="0"/>
      <w:divBdr>
        <w:top w:val="none" w:sz="0" w:space="0" w:color="auto"/>
        <w:left w:val="none" w:sz="0" w:space="0" w:color="auto"/>
        <w:bottom w:val="none" w:sz="0" w:space="0" w:color="auto"/>
        <w:right w:val="none" w:sz="0" w:space="0" w:color="auto"/>
      </w:divBdr>
    </w:div>
    <w:div w:id="1005742101">
      <w:bodyDiv w:val="1"/>
      <w:marLeft w:val="0"/>
      <w:marRight w:val="0"/>
      <w:marTop w:val="0"/>
      <w:marBottom w:val="0"/>
      <w:divBdr>
        <w:top w:val="none" w:sz="0" w:space="0" w:color="auto"/>
        <w:left w:val="none" w:sz="0" w:space="0" w:color="auto"/>
        <w:bottom w:val="none" w:sz="0" w:space="0" w:color="auto"/>
        <w:right w:val="none" w:sz="0" w:space="0" w:color="auto"/>
      </w:divBdr>
      <w:divsChild>
        <w:div w:id="480582713">
          <w:marLeft w:val="0"/>
          <w:marRight w:val="0"/>
          <w:marTop w:val="0"/>
          <w:marBottom w:val="0"/>
          <w:divBdr>
            <w:top w:val="none" w:sz="0" w:space="0" w:color="auto"/>
            <w:left w:val="none" w:sz="0" w:space="0" w:color="auto"/>
            <w:bottom w:val="none" w:sz="0" w:space="0" w:color="auto"/>
            <w:right w:val="none" w:sz="0" w:space="0" w:color="auto"/>
          </w:divBdr>
        </w:div>
      </w:divsChild>
    </w:div>
    <w:div w:id="1125655132">
      <w:bodyDiv w:val="1"/>
      <w:marLeft w:val="0"/>
      <w:marRight w:val="0"/>
      <w:marTop w:val="0"/>
      <w:marBottom w:val="0"/>
      <w:divBdr>
        <w:top w:val="none" w:sz="0" w:space="0" w:color="auto"/>
        <w:left w:val="none" w:sz="0" w:space="0" w:color="auto"/>
        <w:bottom w:val="none" w:sz="0" w:space="0" w:color="auto"/>
        <w:right w:val="none" w:sz="0" w:space="0" w:color="auto"/>
      </w:divBdr>
    </w:div>
    <w:div w:id="1159468019">
      <w:bodyDiv w:val="1"/>
      <w:marLeft w:val="0"/>
      <w:marRight w:val="0"/>
      <w:marTop w:val="0"/>
      <w:marBottom w:val="0"/>
      <w:divBdr>
        <w:top w:val="none" w:sz="0" w:space="0" w:color="auto"/>
        <w:left w:val="none" w:sz="0" w:space="0" w:color="auto"/>
        <w:bottom w:val="none" w:sz="0" w:space="0" w:color="auto"/>
        <w:right w:val="none" w:sz="0" w:space="0" w:color="auto"/>
      </w:divBdr>
    </w:div>
    <w:div w:id="1215502480">
      <w:bodyDiv w:val="1"/>
      <w:marLeft w:val="0"/>
      <w:marRight w:val="0"/>
      <w:marTop w:val="0"/>
      <w:marBottom w:val="0"/>
      <w:divBdr>
        <w:top w:val="none" w:sz="0" w:space="0" w:color="auto"/>
        <w:left w:val="none" w:sz="0" w:space="0" w:color="auto"/>
        <w:bottom w:val="none" w:sz="0" w:space="0" w:color="auto"/>
        <w:right w:val="none" w:sz="0" w:space="0" w:color="auto"/>
      </w:divBdr>
      <w:divsChild>
        <w:div w:id="1199047438">
          <w:marLeft w:val="0"/>
          <w:marRight w:val="0"/>
          <w:marTop w:val="0"/>
          <w:marBottom w:val="0"/>
          <w:divBdr>
            <w:top w:val="none" w:sz="0" w:space="0" w:color="auto"/>
            <w:left w:val="none" w:sz="0" w:space="0" w:color="auto"/>
            <w:bottom w:val="none" w:sz="0" w:space="0" w:color="auto"/>
            <w:right w:val="none" w:sz="0" w:space="0" w:color="auto"/>
          </w:divBdr>
        </w:div>
      </w:divsChild>
    </w:div>
    <w:div w:id="1237714420">
      <w:bodyDiv w:val="1"/>
      <w:marLeft w:val="0"/>
      <w:marRight w:val="0"/>
      <w:marTop w:val="0"/>
      <w:marBottom w:val="0"/>
      <w:divBdr>
        <w:top w:val="none" w:sz="0" w:space="0" w:color="auto"/>
        <w:left w:val="none" w:sz="0" w:space="0" w:color="auto"/>
        <w:bottom w:val="none" w:sz="0" w:space="0" w:color="auto"/>
        <w:right w:val="none" w:sz="0" w:space="0" w:color="auto"/>
      </w:divBdr>
    </w:div>
    <w:div w:id="1244222637">
      <w:bodyDiv w:val="1"/>
      <w:marLeft w:val="0"/>
      <w:marRight w:val="0"/>
      <w:marTop w:val="0"/>
      <w:marBottom w:val="0"/>
      <w:divBdr>
        <w:top w:val="none" w:sz="0" w:space="0" w:color="auto"/>
        <w:left w:val="none" w:sz="0" w:space="0" w:color="auto"/>
        <w:bottom w:val="none" w:sz="0" w:space="0" w:color="auto"/>
        <w:right w:val="none" w:sz="0" w:space="0" w:color="auto"/>
      </w:divBdr>
    </w:div>
    <w:div w:id="1244411897">
      <w:bodyDiv w:val="1"/>
      <w:marLeft w:val="0"/>
      <w:marRight w:val="0"/>
      <w:marTop w:val="0"/>
      <w:marBottom w:val="0"/>
      <w:divBdr>
        <w:top w:val="none" w:sz="0" w:space="0" w:color="auto"/>
        <w:left w:val="none" w:sz="0" w:space="0" w:color="auto"/>
        <w:bottom w:val="none" w:sz="0" w:space="0" w:color="auto"/>
        <w:right w:val="none" w:sz="0" w:space="0" w:color="auto"/>
      </w:divBdr>
      <w:divsChild>
        <w:div w:id="1080325861">
          <w:marLeft w:val="0"/>
          <w:marRight w:val="0"/>
          <w:marTop w:val="0"/>
          <w:marBottom w:val="0"/>
          <w:divBdr>
            <w:top w:val="none" w:sz="0" w:space="0" w:color="auto"/>
            <w:left w:val="none" w:sz="0" w:space="0" w:color="auto"/>
            <w:bottom w:val="none" w:sz="0" w:space="0" w:color="auto"/>
            <w:right w:val="none" w:sz="0" w:space="0" w:color="auto"/>
          </w:divBdr>
        </w:div>
      </w:divsChild>
    </w:div>
    <w:div w:id="1271739718">
      <w:bodyDiv w:val="1"/>
      <w:marLeft w:val="0"/>
      <w:marRight w:val="0"/>
      <w:marTop w:val="0"/>
      <w:marBottom w:val="0"/>
      <w:divBdr>
        <w:top w:val="none" w:sz="0" w:space="0" w:color="auto"/>
        <w:left w:val="none" w:sz="0" w:space="0" w:color="auto"/>
        <w:bottom w:val="none" w:sz="0" w:space="0" w:color="auto"/>
        <w:right w:val="none" w:sz="0" w:space="0" w:color="auto"/>
      </w:divBdr>
    </w:div>
    <w:div w:id="1274365334">
      <w:bodyDiv w:val="1"/>
      <w:marLeft w:val="0"/>
      <w:marRight w:val="0"/>
      <w:marTop w:val="0"/>
      <w:marBottom w:val="0"/>
      <w:divBdr>
        <w:top w:val="none" w:sz="0" w:space="0" w:color="auto"/>
        <w:left w:val="none" w:sz="0" w:space="0" w:color="auto"/>
        <w:bottom w:val="none" w:sz="0" w:space="0" w:color="auto"/>
        <w:right w:val="none" w:sz="0" w:space="0" w:color="auto"/>
      </w:divBdr>
    </w:div>
    <w:div w:id="1285040685">
      <w:bodyDiv w:val="1"/>
      <w:marLeft w:val="0"/>
      <w:marRight w:val="0"/>
      <w:marTop w:val="0"/>
      <w:marBottom w:val="0"/>
      <w:divBdr>
        <w:top w:val="none" w:sz="0" w:space="0" w:color="auto"/>
        <w:left w:val="none" w:sz="0" w:space="0" w:color="auto"/>
        <w:bottom w:val="none" w:sz="0" w:space="0" w:color="auto"/>
        <w:right w:val="none" w:sz="0" w:space="0" w:color="auto"/>
      </w:divBdr>
    </w:div>
    <w:div w:id="1289701508">
      <w:bodyDiv w:val="1"/>
      <w:marLeft w:val="0"/>
      <w:marRight w:val="0"/>
      <w:marTop w:val="0"/>
      <w:marBottom w:val="0"/>
      <w:divBdr>
        <w:top w:val="none" w:sz="0" w:space="0" w:color="auto"/>
        <w:left w:val="none" w:sz="0" w:space="0" w:color="auto"/>
        <w:bottom w:val="none" w:sz="0" w:space="0" w:color="auto"/>
        <w:right w:val="none" w:sz="0" w:space="0" w:color="auto"/>
      </w:divBdr>
    </w:div>
    <w:div w:id="1451819808">
      <w:bodyDiv w:val="1"/>
      <w:marLeft w:val="0"/>
      <w:marRight w:val="0"/>
      <w:marTop w:val="0"/>
      <w:marBottom w:val="0"/>
      <w:divBdr>
        <w:top w:val="none" w:sz="0" w:space="0" w:color="auto"/>
        <w:left w:val="none" w:sz="0" w:space="0" w:color="auto"/>
        <w:bottom w:val="none" w:sz="0" w:space="0" w:color="auto"/>
        <w:right w:val="none" w:sz="0" w:space="0" w:color="auto"/>
      </w:divBdr>
    </w:div>
    <w:div w:id="1479225586">
      <w:bodyDiv w:val="1"/>
      <w:marLeft w:val="0"/>
      <w:marRight w:val="0"/>
      <w:marTop w:val="0"/>
      <w:marBottom w:val="0"/>
      <w:divBdr>
        <w:top w:val="none" w:sz="0" w:space="0" w:color="auto"/>
        <w:left w:val="none" w:sz="0" w:space="0" w:color="auto"/>
        <w:bottom w:val="none" w:sz="0" w:space="0" w:color="auto"/>
        <w:right w:val="none" w:sz="0" w:space="0" w:color="auto"/>
      </w:divBdr>
    </w:div>
    <w:div w:id="1483156989">
      <w:bodyDiv w:val="1"/>
      <w:marLeft w:val="0"/>
      <w:marRight w:val="0"/>
      <w:marTop w:val="0"/>
      <w:marBottom w:val="0"/>
      <w:divBdr>
        <w:top w:val="none" w:sz="0" w:space="0" w:color="auto"/>
        <w:left w:val="none" w:sz="0" w:space="0" w:color="auto"/>
        <w:bottom w:val="none" w:sz="0" w:space="0" w:color="auto"/>
        <w:right w:val="none" w:sz="0" w:space="0" w:color="auto"/>
      </w:divBdr>
    </w:div>
    <w:div w:id="1489249825">
      <w:bodyDiv w:val="1"/>
      <w:marLeft w:val="0"/>
      <w:marRight w:val="0"/>
      <w:marTop w:val="0"/>
      <w:marBottom w:val="0"/>
      <w:divBdr>
        <w:top w:val="none" w:sz="0" w:space="0" w:color="auto"/>
        <w:left w:val="none" w:sz="0" w:space="0" w:color="auto"/>
        <w:bottom w:val="none" w:sz="0" w:space="0" w:color="auto"/>
        <w:right w:val="none" w:sz="0" w:space="0" w:color="auto"/>
      </w:divBdr>
      <w:divsChild>
        <w:div w:id="1843272665">
          <w:marLeft w:val="0"/>
          <w:marRight w:val="0"/>
          <w:marTop w:val="0"/>
          <w:marBottom w:val="0"/>
          <w:divBdr>
            <w:top w:val="none" w:sz="0" w:space="0" w:color="auto"/>
            <w:left w:val="none" w:sz="0" w:space="0" w:color="auto"/>
            <w:bottom w:val="none" w:sz="0" w:space="0" w:color="auto"/>
            <w:right w:val="none" w:sz="0" w:space="0" w:color="auto"/>
          </w:divBdr>
        </w:div>
      </w:divsChild>
    </w:div>
    <w:div w:id="1604150190">
      <w:bodyDiv w:val="1"/>
      <w:marLeft w:val="0"/>
      <w:marRight w:val="0"/>
      <w:marTop w:val="0"/>
      <w:marBottom w:val="0"/>
      <w:divBdr>
        <w:top w:val="none" w:sz="0" w:space="0" w:color="auto"/>
        <w:left w:val="none" w:sz="0" w:space="0" w:color="auto"/>
        <w:bottom w:val="none" w:sz="0" w:space="0" w:color="auto"/>
        <w:right w:val="none" w:sz="0" w:space="0" w:color="auto"/>
      </w:divBdr>
    </w:div>
    <w:div w:id="1609847197">
      <w:bodyDiv w:val="1"/>
      <w:marLeft w:val="0"/>
      <w:marRight w:val="0"/>
      <w:marTop w:val="0"/>
      <w:marBottom w:val="0"/>
      <w:divBdr>
        <w:top w:val="none" w:sz="0" w:space="0" w:color="auto"/>
        <w:left w:val="none" w:sz="0" w:space="0" w:color="auto"/>
        <w:bottom w:val="none" w:sz="0" w:space="0" w:color="auto"/>
        <w:right w:val="none" w:sz="0" w:space="0" w:color="auto"/>
      </w:divBdr>
    </w:div>
    <w:div w:id="1636446417">
      <w:bodyDiv w:val="1"/>
      <w:marLeft w:val="0"/>
      <w:marRight w:val="0"/>
      <w:marTop w:val="0"/>
      <w:marBottom w:val="0"/>
      <w:divBdr>
        <w:top w:val="none" w:sz="0" w:space="0" w:color="auto"/>
        <w:left w:val="none" w:sz="0" w:space="0" w:color="auto"/>
        <w:bottom w:val="none" w:sz="0" w:space="0" w:color="auto"/>
        <w:right w:val="none" w:sz="0" w:space="0" w:color="auto"/>
      </w:divBdr>
    </w:div>
    <w:div w:id="1681346342">
      <w:bodyDiv w:val="1"/>
      <w:marLeft w:val="0"/>
      <w:marRight w:val="0"/>
      <w:marTop w:val="0"/>
      <w:marBottom w:val="0"/>
      <w:divBdr>
        <w:top w:val="none" w:sz="0" w:space="0" w:color="auto"/>
        <w:left w:val="none" w:sz="0" w:space="0" w:color="auto"/>
        <w:bottom w:val="none" w:sz="0" w:space="0" w:color="auto"/>
        <w:right w:val="none" w:sz="0" w:space="0" w:color="auto"/>
      </w:divBdr>
      <w:divsChild>
        <w:div w:id="1993751642">
          <w:marLeft w:val="0"/>
          <w:marRight w:val="0"/>
          <w:marTop w:val="0"/>
          <w:marBottom w:val="0"/>
          <w:divBdr>
            <w:top w:val="none" w:sz="0" w:space="0" w:color="auto"/>
            <w:left w:val="none" w:sz="0" w:space="0" w:color="auto"/>
            <w:bottom w:val="none" w:sz="0" w:space="0" w:color="auto"/>
            <w:right w:val="none" w:sz="0" w:space="0" w:color="auto"/>
          </w:divBdr>
        </w:div>
      </w:divsChild>
    </w:div>
    <w:div w:id="1699311254">
      <w:bodyDiv w:val="1"/>
      <w:marLeft w:val="0"/>
      <w:marRight w:val="0"/>
      <w:marTop w:val="0"/>
      <w:marBottom w:val="0"/>
      <w:divBdr>
        <w:top w:val="none" w:sz="0" w:space="0" w:color="auto"/>
        <w:left w:val="none" w:sz="0" w:space="0" w:color="auto"/>
        <w:bottom w:val="none" w:sz="0" w:space="0" w:color="auto"/>
        <w:right w:val="none" w:sz="0" w:space="0" w:color="auto"/>
      </w:divBdr>
    </w:div>
    <w:div w:id="1708600438">
      <w:bodyDiv w:val="1"/>
      <w:marLeft w:val="0"/>
      <w:marRight w:val="0"/>
      <w:marTop w:val="0"/>
      <w:marBottom w:val="0"/>
      <w:divBdr>
        <w:top w:val="none" w:sz="0" w:space="0" w:color="auto"/>
        <w:left w:val="none" w:sz="0" w:space="0" w:color="auto"/>
        <w:bottom w:val="none" w:sz="0" w:space="0" w:color="auto"/>
        <w:right w:val="none" w:sz="0" w:space="0" w:color="auto"/>
      </w:divBdr>
    </w:div>
    <w:div w:id="1719938122">
      <w:bodyDiv w:val="1"/>
      <w:marLeft w:val="0"/>
      <w:marRight w:val="0"/>
      <w:marTop w:val="0"/>
      <w:marBottom w:val="0"/>
      <w:divBdr>
        <w:top w:val="none" w:sz="0" w:space="0" w:color="auto"/>
        <w:left w:val="none" w:sz="0" w:space="0" w:color="auto"/>
        <w:bottom w:val="none" w:sz="0" w:space="0" w:color="auto"/>
        <w:right w:val="none" w:sz="0" w:space="0" w:color="auto"/>
      </w:divBdr>
    </w:div>
    <w:div w:id="1734159570">
      <w:bodyDiv w:val="1"/>
      <w:marLeft w:val="0"/>
      <w:marRight w:val="0"/>
      <w:marTop w:val="0"/>
      <w:marBottom w:val="0"/>
      <w:divBdr>
        <w:top w:val="none" w:sz="0" w:space="0" w:color="auto"/>
        <w:left w:val="none" w:sz="0" w:space="0" w:color="auto"/>
        <w:bottom w:val="none" w:sz="0" w:space="0" w:color="auto"/>
        <w:right w:val="none" w:sz="0" w:space="0" w:color="auto"/>
      </w:divBdr>
    </w:div>
    <w:div w:id="1772583004">
      <w:bodyDiv w:val="1"/>
      <w:marLeft w:val="0"/>
      <w:marRight w:val="0"/>
      <w:marTop w:val="0"/>
      <w:marBottom w:val="0"/>
      <w:divBdr>
        <w:top w:val="none" w:sz="0" w:space="0" w:color="auto"/>
        <w:left w:val="none" w:sz="0" w:space="0" w:color="auto"/>
        <w:bottom w:val="none" w:sz="0" w:space="0" w:color="auto"/>
        <w:right w:val="none" w:sz="0" w:space="0" w:color="auto"/>
      </w:divBdr>
    </w:div>
    <w:div w:id="1797521494">
      <w:bodyDiv w:val="1"/>
      <w:marLeft w:val="0"/>
      <w:marRight w:val="0"/>
      <w:marTop w:val="0"/>
      <w:marBottom w:val="0"/>
      <w:divBdr>
        <w:top w:val="none" w:sz="0" w:space="0" w:color="auto"/>
        <w:left w:val="none" w:sz="0" w:space="0" w:color="auto"/>
        <w:bottom w:val="none" w:sz="0" w:space="0" w:color="auto"/>
        <w:right w:val="none" w:sz="0" w:space="0" w:color="auto"/>
      </w:divBdr>
    </w:div>
    <w:div w:id="1820344306">
      <w:bodyDiv w:val="1"/>
      <w:marLeft w:val="0"/>
      <w:marRight w:val="0"/>
      <w:marTop w:val="0"/>
      <w:marBottom w:val="0"/>
      <w:divBdr>
        <w:top w:val="none" w:sz="0" w:space="0" w:color="auto"/>
        <w:left w:val="none" w:sz="0" w:space="0" w:color="auto"/>
        <w:bottom w:val="none" w:sz="0" w:space="0" w:color="auto"/>
        <w:right w:val="none" w:sz="0" w:space="0" w:color="auto"/>
      </w:divBdr>
      <w:divsChild>
        <w:div w:id="1441609275">
          <w:marLeft w:val="0"/>
          <w:marRight w:val="0"/>
          <w:marTop w:val="0"/>
          <w:marBottom w:val="0"/>
          <w:divBdr>
            <w:top w:val="none" w:sz="0" w:space="0" w:color="auto"/>
            <w:left w:val="none" w:sz="0" w:space="0" w:color="auto"/>
            <w:bottom w:val="none" w:sz="0" w:space="0" w:color="auto"/>
            <w:right w:val="none" w:sz="0" w:space="0" w:color="auto"/>
          </w:divBdr>
          <w:divsChild>
            <w:div w:id="626546790">
              <w:marLeft w:val="0"/>
              <w:marRight w:val="0"/>
              <w:marTop w:val="0"/>
              <w:marBottom w:val="0"/>
              <w:divBdr>
                <w:top w:val="none" w:sz="0" w:space="0" w:color="auto"/>
                <w:left w:val="none" w:sz="0" w:space="0" w:color="auto"/>
                <w:bottom w:val="none" w:sz="0" w:space="0" w:color="auto"/>
                <w:right w:val="none" w:sz="0" w:space="0" w:color="auto"/>
              </w:divBdr>
              <w:divsChild>
                <w:div w:id="773089208">
                  <w:marLeft w:val="0"/>
                  <w:marRight w:val="0"/>
                  <w:marTop w:val="0"/>
                  <w:marBottom w:val="0"/>
                  <w:divBdr>
                    <w:top w:val="none" w:sz="0" w:space="0" w:color="auto"/>
                    <w:left w:val="none" w:sz="0" w:space="0" w:color="auto"/>
                    <w:bottom w:val="none" w:sz="0" w:space="0" w:color="auto"/>
                    <w:right w:val="none" w:sz="0" w:space="0" w:color="auto"/>
                  </w:divBdr>
                  <w:divsChild>
                    <w:div w:id="1725785917">
                      <w:marLeft w:val="0"/>
                      <w:marRight w:val="0"/>
                      <w:marTop w:val="0"/>
                      <w:marBottom w:val="0"/>
                      <w:divBdr>
                        <w:top w:val="none" w:sz="0" w:space="0" w:color="auto"/>
                        <w:left w:val="none" w:sz="0" w:space="0" w:color="auto"/>
                        <w:bottom w:val="none" w:sz="0" w:space="0" w:color="auto"/>
                        <w:right w:val="none" w:sz="0" w:space="0" w:color="auto"/>
                      </w:divBdr>
                      <w:divsChild>
                        <w:div w:id="495075976">
                          <w:marLeft w:val="0"/>
                          <w:marRight w:val="0"/>
                          <w:marTop w:val="0"/>
                          <w:marBottom w:val="0"/>
                          <w:divBdr>
                            <w:top w:val="none" w:sz="0" w:space="0" w:color="auto"/>
                            <w:left w:val="none" w:sz="0" w:space="0" w:color="auto"/>
                            <w:bottom w:val="none" w:sz="0" w:space="0" w:color="auto"/>
                            <w:right w:val="none" w:sz="0" w:space="0" w:color="auto"/>
                          </w:divBdr>
                          <w:divsChild>
                            <w:div w:id="2027435893">
                              <w:marLeft w:val="0"/>
                              <w:marRight w:val="0"/>
                              <w:marTop w:val="0"/>
                              <w:marBottom w:val="0"/>
                              <w:divBdr>
                                <w:top w:val="none" w:sz="0" w:space="0" w:color="auto"/>
                                <w:left w:val="none" w:sz="0" w:space="0" w:color="auto"/>
                                <w:bottom w:val="none" w:sz="0" w:space="0" w:color="auto"/>
                                <w:right w:val="none" w:sz="0" w:space="0" w:color="auto"/>
                              </w:divBdr>
                              <w:divsChild>
                                <w:div w:id="1844859809">
                                  <w:marLeft w:val="0"/>
                                  <w:marRight w:val="0"/>
                                  <w:marTop w:val="0"/>
                                  <w:marBottom w:val="0"/>
                                  <w:divBdr>
                                    <w:top w:val="none" w:sz="0" w:space="0" w:color="auto"/>
                                    <w:left w:val="none" w:sz="0" w:space="0" w:color="auto"/>
                                    <w:bottom w:val="none" w:sz="0" w:space="0" w:color="auto"/>
                                    <w:right w:val="none" w:sz="0" w:space="0" w:color="auto"/>
                                  </w:divBdr>
                                  <w:divsChild>
                                    <w:div w:id="1088311655">
                                      <w:marLeft w:val="0"/>
                                      <w:marRight w:val="0"/>
                                      <w:marTop w:val="0"/>
                                      <w:marBottom w:val="0"/>
                                      <w:divBdr>
                                        <w:top w:val="none" w:sz="0" w:space="0" w:color="auto"/>
                                        <w:left w:val="none" w:sz="0" w:space="0" w:color="auto"/>
                                        <w:bottom w:val="none" w:sz="0" w:space="0" w:color="auto"/>
                                        <w:right w:val="none" w:sz="0" w:space="0" w:color="auto"/>
                                      </w:divBdr>
                                      <w:divsChild>
                                        <w:div w:id="696656273">
                                          <w:marLeft w:val="0"/>
                                          <w:marRight w:val="0"/>
                                          <w:marTop w:val="0"/>
                                          <w:marBottom w:val="0"/>
                                          <w:divBdr>
                                            <w:top w:val="none" w:sz="0" w:space="0" w:color="auto"/>
                                            <w:left w:val="none" w:sz="0" w:space="0" w:color="auto"/>
                                            <w:bottom w:val="none" w:sz="0" w:space="0" w:color="auto"/>
                                            <w:right w:val="none" w:sz="0" w:space="0" w:color="auto"/>
                                          </w:divBdr>
                                          <w:divsChild>
                                            <w:div w:id="404110148">
                                              <w:marLeft w:val="0"/>
                                              <w:marRight w:val="0"/>
                                              <w:marTop w:val="0"/>
                                              <w:marBottom w:val="0"/>
                                              <w:divBdr>
                                                <w:top w:val="none" w:sz="0" w:space="0" w:color="auto"/>
                                                <w:left w:val="none" w:sz="0" w:space="0" w:color="auto"/>
                                                <w:bottom w:val="none" w:sz="0" w:space="0" w:color="auto"/>
                                                <w:right w:val="none" w:sz="0" w:space="0" w:color="auto"/>
                                              </w:divBdr>
                                              <w:divsChild>
                                                <w:div w:id="1324316864">
                                                  <w:marLeft w:val="0"/>
                                                  <w:marRight w:val="0"/>
                                                  <w:marTop w:val="0"/>
                                                  <w:marBottom w:val="0"/>
                                                  <w:divBdr>
                                                    <w:top w:val="none" w:sz="0" w:space="0" w:color="auto"/>
                                                    <w:left w:val="none" w:sz="0" w:space="0" w:color="auto"/>
                                                    <w:bottom w:val="none" w:sz="0" w:space="0" w:color="auto"/>
                                                    <w:right w:val="none" w:sz="0" w:space="0" w:color="auto"/>
                                                  </w:divBdr>
                                                  <w:divsChild>
                                                    <w:div w:id="26684041">
                                                      <w:marLeft w:val="0"/>
                                                      <w:marRight w:val="0"/>
                                                      <w:marTop w:val="0"/>
                                                      <w:marBottom w:val="0"/>
                                                      <w:divBdr>
                                                        <w:top w:val="none" w:sz="0" w:space="0" w:color="auto"/>
                                                        <w:left w:val="none" w:sz="0" w:space="0" w:color="auto"/>
                                                        <w:bottom w:val="none" w:sz="0" w:space="0" w:color="auto"/>
                                                        <w:right w:val="none" w:sz="0" w:space="0" w:color="auto"/>
                                                      </w:divBdr>
                                                      <w:divsChild>
                                                        <w:div w:id="14654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8902">
                                              <w:marLeft w:val="0"/>
                                              <w:marRight w:val="0"/>
                                              <w:marTop w:val="0"/>
                                              <w:marBottom w:val="0"/>
                                              <w:divBdr>
                                                <w:top w:val="none" w:sz="0" w:space="0" w:color="auto"/>
                                                <w:left w:val="none" w:sz="0" w:space="0" w:color="auto"/>
                                                <w:bottom w:val="none" w:sz="0" w:space="0" w:color="auto"/>
                                                <w:right w:val="none" w:sz="0" w:space="0" w:color="auto"/>
                                              </w:divBdr>
                                              <w:divsChild>
                                                <w:div w:id="486627136">
                                                  <w:marLeft w:val="0"/>
                                                  <w:marRight w:val="0"/>
                                                  <w:marTop w:val="0"/>
                                                  <w:marBottom w:val="0"/>
                                                  <w:divBdr>
                                                    <w:top w:val="none" w:sz="0" w:space="0" w:color="auto"/>
                                                    <w:left w:val="none" w:sz="0" w:space="0" w:color="auto"/>
                                                    <w:bottom w:val="none" w:sz="0" w:space="0" w:color="auto"/>
                                                    <w:right w:val="none" w:sz="0" w:space="0" w:color="auto"/>
                                                  </w:divBdr>
                                                  <w:divsChild>
                                                    <w:div w:id="1434742769">
                                                      <w:marLeft w:val="0"/>
                                                      <w:marRight w:val="0"/>
                                                      <w:marTop w:val="0"/>
                                                      <w:marBottom w:val="0"/>
                                                      <w:divBdr>
                                                        <w:top w:val="none" w:sz="0" w:space="0" w:color="auto"/>
                                                        <w:left w:val="none" w:sz="0" w:space="0" w:color="auto"/>
                                                        <w:bottom w:val="none" w:sz="0" w:space="0" w:color="auto"/>
                                                        <w:right w:val="none" w:sz="0" w:space="0" w:color="auto"/>
                                                      </w:divBdr>
                                                      <w:divsChild>
                                                        <w:div w:id="9677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292657">
          <w:marLeft w:val="0"/>
          <w:marRight w:val="0"/>
          <w:marTop w:val="0"/>
          <w:marBottom w:val="0"/>
          <w:divBdr>
            <w:top w:val="none" w:sz="0" w:space="0" w:color="auto"/>
            <w:left w:val="none" w:sz="0" w:space="0" w:color="auto"/>
            <w:bottom w:val="none" w:sz="0" w:space="0" w:color="auto"/>
            <w:right w:val="none" w:sz="0" w:space="0" w:color="auto"/>
          </w:divBdr>
          <w:divsChild>
            <w:div w:id="1300915586">
              <w:marLeft w:val="0"/>
              <w:marRight w:val="0"/>
              <w:marTop w:val="0"/>
              <w:marBottom w:val="0"/>
              <w:divBdr>
                <w:top w:val="none" w:sz="0" w:space="0" w:color="auto"/>
                <w:left w:val="none" w:sz="0" w:space="0" w:color="auto"/>
                <w:bottom w:val="none" w:sz="0" w:space="0" w:color="auto"/>
                <w:right w:val="none" w:sz="0" w:space="0" w:color="auto"/>
              </w:divBdr>
              <w:divsChild>
                <w:div w:id="1056976718">
                  <w:marLeft w:val="0"/>
                  <w:marRight w:val="0"/>
                  <w:marTop w:val="0"/>
                  <w:marBottom w:val="0"/>
                  <w:divBdr>
                    <w:top w:val="none" w:sz="0" w:space="0" w:color="auto"/>
                    <w:left w:val="none" w:sz="0" w:space="0" w:color="auto"/>
                    <w:bottom w:val="none" w:sz="0" w:space="0" w:color="auto"/>
                    <w:right w:val="none" w:sz="0" w:space="0" w:color="auto"/>
                  </w:divBdr>
                  <w:divsChild>
                    <w:div w:id="1071735463">
                      <w:marLeft w:val="0"/>
                      <w:marRight w:val="0"/>
                      <w:marTop w:val="0"/>
                      <w:marBottom w:val="0"/>
                      <w:divBdr>
                        <w:top w:val="none" w:sz="0" w:space="0" w:color="auto"/>
                        <w:left w:val="none" w:sz="0" w:space="0" w:color="auto"/>
                        <w:bottom w:val="none" w:sz="0" w:space="0" w:color="auto"/>
                        <w:right w:val="none" w:sz="0" w:space="0" w:color="auto"/>
                      </w:divBdr>
                      <w:divsChild>
                        <w:div w:id="301739803">
                          <w:marLeft w:val="0"/>
                          <w:marRight w:val="0"/>
                          <w:marTop w:val="0"/>
                          <w:marBottom w:val="0"/>
                          <w:divBdr>
                            <w:top w:val="none" w:sz="0" w:space="0" w:color="auto"/>
                            <w:left w:val="none" w:sz="0" w:space="0" w:color="auto"/>
                            <w:bottom w:val="none" w:sz="0" w:space="0" w:color="auto"/>
                            <w:right w:val="none" w:sz="0" w:space="0" w:color="auto"/>
                          </w:divBdr>
                          <w:divsChild>
                            <w:div w:id="1793550687">
                              <w:marLeft w:val="0"/>
                              <w:marRight w:val="0"/>
                              <w:marTop w:val="0"/>
                              <w:marBottom w:val="0"/>
                              <w:divBdr>
                                <w:top w:val="none" w:sz="0" w:space="0" w:color="auto"/>
                                <w:left w:val="none" w:sz="0" w:space="0" w:color="auto"/>
                                <w:bottom w:val="none" w:sz="0" w:space="0" w:color="auto"/>
                                <w:right w:val="none" w:sz="0" w:space="0" w:color="auto"/>
                              </w:divBdr>
                              <w:divsChild>
                                <w:div w:id="1602491449">
                                  <w:marLeft w:val="0"/>
                                  <w:marRight w:val="0"/>
                                  <w:marTop w:val="0"/>
                                  <w:marBottom w:val="0"/>
                                  <w:divBdr>
                                    <w:top w:val="none" w:sz="0" w:space="0" w:color="auto"/>
                                    <w:left w:val="none" w:sz="0" w:space="0" w:color="auto"/>
                                    <w:bottom w:val="none" w:sz="0" w:space="0" w:color="auto"/>
                                    <w:right w:val="none" w:sz="0" w:space="0" w:color="auto"/>
                                  </w:divBdr>
                                  <w:divsChild>
                                    <w:div w:id="1568609627">
                                      <w:marLeft w:val="0"/>
                                      <w:marRight w:val="0"/>
                                      <w:marTop w:val="0"/>
                                      <w:marBottom w:val="0"/>
                                      <w:divBdr>
                                        <w:top w:val="none" w:sz="0" w:space="0" w:color="auto"/>
                                        <w:left w:val="none" w:sz="0" w:space="0" w:color="auto"/>
                                        <w:bottom w:val="none" w:sz="0" w:space="0" w:color="auto"/>
                                        <w:right w:val="none" w:sz="0" w:space="0" w:color="auto"/>
                                      </w:divBdr>
                                      <w:divsChild>
                                        <w:div w:id="1514608477">
                                          <w:marLeft w:val="0"/>
                                          <w:marRight w:val="0"/>
                                          <w:marTop w:val="0"/>
                                          <w:marBottom w:val="0"/>
                                          <w:divBdr>
                                            <w:top w:val="none" w:sz="0" w:space="0" w:color="auto"/>
                                            <w:left w:val="none" w:sz="0" w:space="0" w:color="auto"/>
                                            <w:bottom w:val="none" w:sz="0" w:space="0" w:color="auto"/>
                                            <w:right w:val="none" w:sz="0" w:space="0" w:color="auto"/>
                                          </w:divBdr>
                                          <w:divsChild>
                                            <w:div w:id="862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156533">
      <w:bodyDiv w:val="1"/>
      <w:marLeft w:val="0"/>
      <w:marRight w:val="0"/>
      <w:marTop w:val="0"/>
      <w:marBottom w:val="0"/>
      <w:divBdr>
        <w:top w:val="none" w:sz="0" w:space="0" w:color="auto"/>
        <w:left w:val="none" w:sz="0" w:space="0" w:color="auto"/>
        <w:bottom w:val="none" w:sz="0" w:space="0" w:color="auto"/>
        <w:right w:val="none" w:sz="0" w:space="0" w:color="auto"/>
      </w:divBdr>
      <w:divsChild>
        <w:div w:id="1654867278">
          <w:marLeft w:val="0"/>
          <w:marRight w:val="0"/>
          <w:marTop w:val="0"/>
          <w:marBottom w:val="0"/>
          <w:divBdr>
            <w:top w:val="none" w:sz="0" w:space="0" w:color="auto"/>
            <w:left w:val="none" w:sz="0" w:space="0" w:color="auto"/>
            <w:bottom w:val="none" w:sz="0" w:space="0" w:color="auto"/>
            <w:right w:val="none" w:sz="0" w:space="0" w:color="auto"/>
          </w:divBdr>
        </w:div>
      </w:divsChild>
    </w:div>
    <w:div w:id="1863399704">
      <w:bodyDiv w:val="1"/>
      <w:marLeft w:val="0"/>
      <w:marRight w:val="0"/>
      <w:marTop w:val="0"/>
      <w:marBottom w:val="0"/>
      <w:divBdr>
        <w:top w:val="none" w:sz="0" w:space="0" w:color="auto"/>
        <w:left w:val="none" w:sz="0" w:space="0" w:color="auto"/>
        <w:bottom w:val="none" w:sz="0" w:space="0" w:color="auto"/>
        <w:right w:val="none" w:sz="0" w:space="0" w:color="auto"/>
      </w:divBdr>
    </w:div>
    <w:div w:id="1904876093">
      <w:bodyDiv w:val="1"/>
      <w:marLeft w:val="0"/>
      <w:marRight w:val="0"/>
      <w:marTop w:val="0"/>
      <w:marBottom w:val="0"/>
      <w:divBdr>
        <w:top w:val="none" w:sz="0" w:space="0" w:color="auto"/>
        <w:left w:val="none" w:sz="0" w:space="0" w:color="auto"/>
        <w:bottom w:val="none" w:sz="0" w:space="0" w:color="auto"/>
        <w:right w:val="none" w:sz="0" w:space="0" w:color="auto"/>
      </w:divBdr>
    </w:div>
    <w:div w:id="1905868149">
      <w:bodyDiv w:val="1"/>
      <w:marLeft w:val="0"/>
      <w:marRight w:val="0"/>
      <w:marTop w:val="0"/>
      <w:marBottom w:val="0"/>
      <w:divBdr>
        <w:top w:val="none" w:sz="0" w:space="0" w:color="auto"/>
        <w:left w:val="none" w:sz="0" w:space="0" w:color="auto"/>
        <w:bottom w:val="none" w:sz="0" w:space="0" w:color="auto"/>
        <w:right w:val="none" w:sz="0" w:space="0" w:color="auto"/>
      </w:divBdr>
    </w:div>
    <w:div w:id="1926962801">
      <w:bodyDiv w:val="1"/>
      <w:marLeft w:val="0"/>
      <w:marRight w:val="0"/>
      <w:marTop w:val="0"/>
      <w:marBottom w:val="0"/>
      <w:divBdr>
        <w:top w:val="none" w:sz="0" w:space="0" w:color="auto"/>
        <w:left w:val="none" w:sz="0" w:space="0" w:color="auto"/>
        <w:bottom w:val="none" w:sz="0" w:space="0" w:color="auto"/>
        <w:right w:val="none" w:sz="0" w:space="0" w:color="auto"/>
      </w:divBdr>
      <w:divsChild>
        <w:div w:id="327096818">
          <w:marLeft w:val="0"/>
          <w:marRight w:val="0"/>
          <w:marTop w:val="0"/>
          <w:marBottom w:val="0"/>
          <w:divBdr>
            <w:top w:val="none" w:sz="0" w:space="0" w:color="auto"/>
            <w:left w:val="none" w:sz="0" w:space="0" w:color="auto"/>
            <w:bottom w:val="none" w:sz="0" w:space="0" w:color="auto"/>
            <w:right w:val="none" w:sz="0" w:space="0" w:color="auto"/>
          </w:divBdr>
        </w:div>
      </w:divsChild>
    </w:div>
    <w:div w:id="1929657329">
      <w:bodyDiv w:val="1"/>
      <w:marLeft w:val="0"/>
      <w:marRight w:val="0"/>
      <w:marTop w:val="0"/>
      <w:marBottom w:val="0"/>
      <w:divBdr>
        <w:top w:val="none" w:sz="0" w:space="0" w:color="auto"/>
        <w:left w:val="none" w:sz="0" w:space="0" w:color="auto"/>
        <w:bottom w:val="none" w:sz="0" w:space="0" w:color="auto"/>
        <w:right w:val="none" w:sz="0" w:space="0" w:color="auto"/>
      </w:divBdr>
      <w:divsChild>
        <w:div w:id="1934164311">
          <w:marLeft w:val="0"/>
          <w:marRight w:val="0"/>
          <w:marTop w:val="0"/>
          <w:marBottom w:val="0"/>
          <w:divBdr>
            <w:top w:val="none" w:sz="0" w:space="0" w:color="auto"/>
            <w:left w:val="none" w:sz="0" w:space="0" w:color="auto"/>
            <w:bottom w:val="none" w:sz="0" w:space="0" w:color="auto"/>
            <w:right w:val="none" w:sz="0" w:space="0" w:color="auto"/>
          </w:divBdr>
        </w:div>
      </w:divsChild>
    </w:div>
    <w:div w:id="2018143851">
      <w:bodyDiv w:val="1"/>
      <w:marLeft w:val="0"/>
      <w:marRight w:val="0"/>
      <w:marTop w:val="0"/>
      <w:marBottom w:val="0"/>
      <w:divBdr>
        <w:top w:val="none" w:sz="0" w:space="0" w:color="auto"/>
        <w:left w:val="none" w:sz="0" w:space="0" w:color="auto"/>
        <w:bottom w:val="none" w:sz="0" w:space="0" w:color="auto"/>
        <w:right w:val="none" w:sz="0" w:space="0" w:color="auto"/>
      </w:divBdr>
      <w:divsChild>
        <w:div w:id="1036467311">
          <w:marLeft w:val="0"/>
          <w:marRight w:val="0"/>
          <w:marTop w:val="0"/>
          <w:marBottom w:val="0"/>
          <w:divBdr>
            <w:top w:val="none" w:sz="0" w:space="0" w:color="auto"/>
            <w:left w:val="none" w:sz="0" w:space="0" w:color="auto"/>
            <w:bottom w:val="none" w:sz="0" w:space="0" w:color="auto"/>
            <w:right w:val="none" w:sz="0" w:space="0" w:color="auto"/>
          </w:divBdr>
        </w:div>
      </w:divsChild>
    </w:div>
    <w:div w:id="2020694562">
      <w:bodyDiv w:val="1"/>
      <w:marLeft w:val="0"/>
      <w:marRight w:val="0"/>
      <w:marTop w:val="0"/>
      <w:marBottom w:val="0"/>
      <w:divBdr>
        <w:top w:val="none" w:sz="0" w:space="0" w:color="auto"/>
        <w:left w:val="none" w:sz="0" w:space="0" w:color="auto"/>
        <w:bottom w:val="none" w:sz="0" w:space="0" w:color="auto"/>
        <w:right w:val="none" w:sz="0" w:space="0" w:color="auto"/>
      </w:divBdr>
      <w:divsChild>
        <w:div w:id="2040816944">
          <w:marLeft w:val="0"/>
          <w:marRight w:val="0"/>
          <w:marTop w:val="0"/>
          <w:marBottom w:val="0"/>
          <w:divBdr>
            <w:top w:val="none" w:sz="0" w:space="0" w:color="auto"/>
            <w:left w:val="none" w:sz="0" w:space="0" w:color="auto"/>
            <w:bottom w:val="none" w:sz="0" w:space="0" w:color="auto"/>
            <w:right w:val="none" w:sz="0" w:space="0" w:color="auto"/>
          </w:divBdr>
        </w:div>
      </w:divsChild>
    </w:div>
    <w:div w:id="2022245649">
      <w:bodyDiv w:val="1"/>
      <w:marLeft w:val="0"/>
      <w:marRight w:val="0"/>
      <w:marTop w:val="0"/>
      <w:marBottom w:val="0"/>
      <w:divBdr>
        <w:top w:val="none" w:sz="0" w:space="0" w:color="auto"/>
        <w:left w:val="none" w:sz="0" w:space="0" w:color="auto"/>
        <w:bottom w:val="none" w:sz="0" w:space="0" w:color="auto"/>
        <w:right w:val="none" w:sz="0" w:space="0" w:color="auto"/>
      </w:divBdr>
      <w:divsChild>
        <w:div w:id="1852528773">
          <w:marLeft w:val="0"/>
          <w:marRight w:val="0"/>
          <w:marTop w:val="0"/>
          <w:marBottom w:val="0"/>
          <w:divBdr>
            <w:top w:val="none" w:sz="0" w:space="0" w:color="auto"/>
            <w:left w:val="none" w:sz="0" w:space="0" w:color="auto"/>
            <w:bottom w:val="none" w:sz="0" w:space="0" w:color="auto"/>
            <w:right w:val="none" w:sz="0" w:space="0" w:color="auto"/>
          </w:divBdr>
        </w:div>
      </w:divsChild>
    </w:div>
    <w:div w:id="2108887782">
      <w:bodyDiv w:val="1"/>
      <w:marLeft w:val="0"/>
      <w:marRight w:val="0"/>
      <w:marTop w:val="0"/>
      <w:marBottom w:val="0"/>
      <w:divBdr>
        <w:top w:val="none" w:sz="0" w:space="0" w:color="auto"/>
        <w:left w:val="none" w:sz="0" w:space="0" w:color="auto"/>
        <w:bottom w:val="none" w:sz="0" w:space="0" w:color="auto"/>
        <w:right w:val="none" w:sz="0" w:space="0" w:color="auto"/>
      </w:divBdr>
    </w:div>
    <w:div w:id="2126266164">
      <w:bodyDiv w:val="1"/>
      <w:marLeft w:val="0"/>
      <w:marRight w:val="0"/>
      <w:marTop w:val="0"/>
      <w:marBottom w:val="0"/>
      <w:divBdr>
        <w:top w:val="none" w:sz="0" w:space="0" w:color="auto"/>
        <w:left w:val="none" w:sz="0" w:space="0" w:color="auto"/>
        <w:bottom w:val="none" w:sz="0" w:space="0" w:color="auto"/>
        <w:right w:val="none" w:sz="0" w:space="0" w:color="auto"/>
      </w:divBdr>
      <w:divsChild>
        <w:div w:id="284583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chart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hyperlink" Target="https://doi.org/10.1016/j.jmoneco.2004.06.003"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Internal</attrValue>
  <customPropName>Classification</customPropName>
  <timestamp>3/18/2024 12:24:15 PM</timestamp>
  <userName>CENBANK\BUKAR19931</userName>
  <computerName>STDLTP19931.cenbank.net</computerName>
  <guid>{3d8798d2-f960-4cf0-a064-63581098cc2e}</guid>
</GTBClassific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69162-B021-43B2-B371-EB140FEFB5FC}">
  <ds:schemaRefs/>
</ds:datastoreItem>
</file>

<file path=customXml/itemProps2.xml><?xml version="1.0" encoding="utf-8"?>
<ds:datastoreItem xmlns:ds="http://schemas.openxmlformats.org/officeDocument/2006/customXml" ds:itemID="{FFA6A5D7-C003-4F3C-8A98-2BAF90DF2122}">
  <ds:schemaRefs>
    <ds:schemaRef ds:uri="http://schemas.openxmlformats.org/officeDocument/2006/bibliography"/>
  </ds:schemaRefs>
</ds:datastoreItem>
</file>

<file path=docMetadata/LabelInfo.xml><?xml version="1.0" encoding="utf-8"?>
<clbl:labelList xmlns:clbl="http://schemas.microsoft.com/office/2020/mipLabelMetadata">
  <clbl:label id="{56a3f9de-d7f5-4481-ad90-6d032fa2cd3a}" enabled="1" method="Privileged" siteId="{9cdc7dd5-9dd6-4fbb-9a68-bcb9021721d0}" removed="0"/>
</clbl:labelList>
</file>

<file path=docProps/app.xml><?xml version="1.0" encoding="utf-8"?>
<Properties xmlns="http://schemas.openxmlformats.org/officeDocument/2006/extended-properties" xmlns:vt="http://schemas.openxmlformats.org/officeDocument/2006/docPropsVTypes">
  <Template>Normal</Template>
  <TotalTime>1951</TotalTime>
  <Pages>12</Pages>
  <Words>11701</Words>
  <Characters>66701</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BUKAR, HYARIJU</dc:creator>
  <cp:keywords>ClassificationData:&lt;Classification:Internal&gt;</cp:keywords>
  <dc:description/>
  <cp:lastModifiedBy>qwert</cp:lastModifiedBy>
  <cp:revision>9</cp:revision>
  <dcterms:created xsi:type="dcterms:W3CDTF">2026-05-08T11:04:00Z</dcterms:created>
  <dcterms:modified xsi:type="dcterms:W3CDTF">2026-05-12T07:41:00Z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vt:lpwstr>
  </property>
  <property fmtid="{D5CDD505-2E9C-101B-9397-08002B2CF9AE}" pid="3" name="ClassifiedBy">
    <vt:lpwstr>CENBANK\BUKAR19931</vt:lpwstr>
  </property>
  <property fmtid="{D5CDD505-2E9C-101B-9397-08002B2CF9AE}" pid="4" name="ClassificationHost">
    <vt:lpwstr>STDLTP19931.cenbank.net</vt:lpwstr>
  </property>
  <property fmtid="{D5CDD505-2E9C-101B-9397-08002B2CF9AE}" pid="5" name="ClassificationDate">
    <vt:lpwstr>3/18/2024 12:24:15 PM</vt:lpwstr>
  </property>
  <property fmtid="{D5CDD505-2E9C-101B-9397-08002B2CF9AE}" pid="6" name="ClassificationGUID">
    <vt:lpwstr>{3d8798d2-f960-4cf0-a064-63581098cc2e}</vt:lpwstr>
  </property>
  <property fmtid="{D5CDD505-2E9C-101B-9397-08002B2CF9AE}" pid="7" name="MSIP_Label_a6c88eb2-eb2d-44c8-912e-96a8f22df436_Enabled">
    <vt:lpwstr>False</vt:lpwstr>
  </property>
  <property fmtid="{D5CDD505-2E9C-101B-9397-08002B2CF9AE}" pid="8" name="MSIP_Label_a6c88eb2-eb2d-44c8-912e-96a8f22df436_SiteId">
    <vt:lpwstr>9cdc7dd5-9dd6-4fbb-9a68-bcb9021721d0</vt:lpwstr>
  </property>
  <property fmtid="{D5CDD505-2E9C-101B-9397-08002B2CF9AE}" pid="9" name="MSIP_Label_a6c88eb2-eb2d-44c8-912e-96a8f22df436_Owner">
    <vt:lpwstr>BUKAR19931@cbn.gov.ng</vt:lpwstr>
  </property>
  <property fmtid="{D5CDD505-2E9C-101B-9397-08002B2CF9AE}" pid="10" name="MSIP_Label_a6c88eb2-eb2d-44c8-912e-96a8f22df436_SetDate">
    <vt:lpwstr>2025-10-02T08:37:53.2153927Z</vt:lpwstr>
  </property>
  <property fmtid="{D5CDD505-2E9C-101B-9397-08002B2CF9AE}" pid="11" name="MSIP_Label_a6c88eb2-eb2d-44c8-912e-96a8f22df436_Name">
    <vt:lpwstr>Confidential</vt:lpwstr>
  </property>
  <property fmtid="{D5CDD505-2E9C-101B-9397-08002B2CF9AE}" pid="12" name="MSIP_Label_a6c88eb2-eb2d-44c8-912e-96a8f22df436_Application">
    <vt:lpwstr>Microsoft Azure Information Protection</vt:lpwstr>
  </property>
  <property fmtid="{D5CDD505-2E9C-101B-9397-08002B2CF9AE}" pid="13" name="MSIP_Label_a6c88eb2-eb2d-44c8-912e-96a8f22df436_Extended_MSFT_Method">
    <vt:lpwstr>Manual</vt:lpwstr>
  </property>
  <property fmtid="{D5CDD505-2E9C-101B-9397-08002B2CF9AE}" pid="14" name="MSIP_Label_56a3f9de-d7f5-4481-ad90-6d032fa2cd3a_Enabled">
    <vt:lpwstr>False</vt:lpwstr>
  </property>
  <property fmtid="{D5CDD505-2E9C-101B-9397-08002B2CF9AE}" pid="15" name="MSIP_Label_56a3f9de-d7f5-4481-ad90-6d032fa2cd3a_SiteId">
    <vt:lpwstr>9cdc7dd5-9dd6-4fbb-9a68-bcb9021721d0</vt:lpwstr>
  </property>
  <property fmtid="{D5CDD505-2E9C-101B-9397-08002B2CF9AE}" pid="16" name="MSIP_Label_56a3f9de-d7f5-4481-ad90-6d032fa2cd3a_Owner">
    <vt:lpwstr>BUKAR19931@cbn.gov.ng</vt:lpwstr>
  </property>
  <property fmtid="{D5CDD505-2E9C-101B-9397-08002B2CF9AE}" pid="17" name="MSIP_Label_56a3f9de-d7f5-4481-ad90-6d032fa2cd3a_SetDate">
    <vt:lpwstr>2025-10-02T08:37:53.2153927Z</vt:lpwstr>
  </property>
  <property fmtid="{D5CDD505-2E9C-101B-9397-08002B2CF9AE}" pid="18" name="MSIP_Label_56a3f9de-d7f5-4481-ad90-6d032fa2cd3a_Name">
    <vt:lpwstr>Anyone (not protected)</vt:lpwstr>
  </property>
  <property fmtid="{D5CDD505-2E9C-101B-9397-08002B2CF9AE}" pid="19" name="MSIP_Label_56a3f9de-d7f5-4481-ad90-6d032fa2cd3a_Application">
    <vt:lpwstr>Microsoft Azure Information Protection</vt:lpwstr>
  </property>
  <property fmtid="{D5CDD505-2E9C-101B-9397-08002B2CF9AE}" pid="20" name="MSIP_Label_56a3f9de-d7f5-4481-ad90-6d032fa2cd3a_Parent">
    <vt:lpwstr>a6c88eb2-eb2d-44c8-912e-96a8f22df436</vt:lpwstr>
  </property>
  <property fmtid="{D5CDD505-2E9C-101B-9397-08002B2CF9AE}" pid="21" name="MSIP_Label_56a3f9de-d7f5-4481-ad90-6d032fa2cd3a_Extended_MSFT_Method">
    <vt:lpwstr>Manual</vt:lpwstr>
  </property>
</Properties>
</file>