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4CA" w:rsidRDefault="00C032A7">
      <w:pPr>
        <w:pStyle w:val="ListParagraph"/>
        <w:spacing w:line="480" w:lineRule="auto"/>
        <w:ind w:left="0"/>
        <w:jc w:val="both"/>
        <w:rPr>
          <w:b/>
          <w:bCs/>
          <w:sz w:val="24"/>
          <w:szCs w:val="24"/>
        </w:rPr>
      </w:pPr>
      <w:r>
        <w:rPr>
          <w:b/>
          <w:bCs/>
          <w:sz w:val="24"/>
          <w:szCs w:val="24"/>
        </w:rPr>
        <w:t>E</w:t>
      </w:r>
      <w:r>
        <w:rPr>
          <w:b/>
          <w:bCs/>
          <w:sz w:val="24"/>
          <w:szCs w:val="24"/>
        </w:rPr>
        <w:t>valuation of the A</w:t>
      </w:r>
      <w:r>
        <w:rPr>
          <w:b/>
          <w:bCs/>
          <w:sz w:val="24"/>
          <w:szCs w:val="24"/>
        </w:rPr>
        <w:t>ntifungal,</w:t>
      </w:r>
      <w:r>
        <w:rPr>
          <w:b/>
          <w:bCs/>
          <w:sz w:val="24"/>
          <w:szCs w:val="24"/>
        </w:rPr>
        <w:t xml:space="preserve"> A</w:t>
      </w:r>
      <w:r>
        <w:rPr>
          <w:b/>
          <w:bCs/>
          <w:sz w:val="24"/>
          <w:szCs w:val="24"/>
        </w:rPr>
        <w:t xml:space="preserve">ntibacterial, </w:t>
      </w:r>
      <w:r>
        <w:rPr>
          <w:b/>
          <w:bCs/>
          <w:sz w:val="24"/>
          <w:szCs w:val="24"/>
        </w:rPr>
        <w:t>S</w:t>
      </w:r>
      <w:r>
        <w:rPr>
          <w:b/>
          <w:bCs/>
          <w:sz w:val="24"/>
          <w:szCs w:val="24"/>
        </w:rPr>
        <w:t xml:space="preserve">erum </w:t>
      </w:r>
      <w:r>
        <w:rPr>
          <w:b/>
          <w:bCs/>
          <w:sz w:val="24"/>
          <w:szCs w:val="24"/>
        </w:rPr>
        <w:t>E</w:t>
      </w:r>
      <w:r>
        <w:rPr>
          <w:b/>
          <w:bCs/>
          <w:sz w:val="24"/>
          <w:szCs w:val="24"/>
        </w:rPr>
        <w:t xml:space="preserve">lectrolytes, </w:t>
      </w:r>
      <w:r>
        <w:rPr>
          <w:b/>
          <w:bCs/>
          <w:sz w:val="24"/>
          <w:szCs w:val="24"/>
        </w:rPr>
        <w:t>and A</w:t>
      </w:r>
      <w:r>
        <w:rPr>
          <w:b/>
          <w:bCs/>
          <w:sz w:val="24"/>
          <w:szCs w:val="24"/>
        </w:rPr>
        <w:t xml:space="preserve">nti-inflammatory </w:t>
      </w:r>
      <w:r>
        <w:rPr>
          <w:b/>
          <w:bCs/>
          <w:sz w:val="24"/>
          <w:szCs w:val="24"/>
        </w:rPr>
        <w:t>M</w:t>
      </w:r>
      <w:r>
        <w:rPr>
          <w:b/>
          <w:bCs/>
          <w:sz w:val="24"/>
          <w:szCs w:val="24"/>
        </w:rPr>
        <w:t>arkers</w:t>
      </w:r>
      <w:r>
        <w:rPr>
          <w:b/>
          <w:bCs/>
          <w:sz w:val="24"/>
          <w:szCs w:val="24"/>
        </w:rPr>
        <w:t xml:space="preserve"> </w:t>
      </w:r>
      <w:r>
        <w:rPr>
          <w:b/>
          <w:bCs/>
          <w:sz w:val="24"/>
          <w:szCs w:val="24"/>
        </w:rPr>
        <w:t>of</w:t>
      </w:r>
      <w:r>
        <w:rPr>
          <w:b/>
          <w:bCs/>
          <w:sz w:val="24"/>
          <w:szCs w:val="24"/>
        </w:rPr>
        <w:t xml:space="preserve"> </w:t>
      </w:r>
      <w:r>
        <w:rPr>
          <w:b/>
          <w:bCs/>
          <w:i/>
          <w:iCs/>
          <w:sz w:val="24"/>
          <w:szCs w:val="24"/>
        </w:rPr>
        <w:t>Zingiber Officinale</w:t>
      </w:r>
      <w:r>
        <w:rPr>
          <w:b/>
          <w:bCs/>
          <w:sz w:val="24"/>
          <w:szCs w:val="24"/>
        </w:rPr>
        <w:t xml:space="preserve"> Crude Extract </w:t>
      </w:r>
      <w:r>
        <w:rPr>
          <w:b/>
          <w:bCs/>
          <w:sz w:val="24"/>
          <w:szCs w:val="24"/>
        </w:rPr>
        <w:t>on</w:t>
      </w:r>
      <w:r>
        <w:rPr>
          <w:b/>
          <w:bCs/>
          <w:sz w:val="24"/>
          <w:szCs w:val="24"/>
        </w:rPr>
        <w:t xml:space="preserve"> </w:t>
      </w:r>
      <w:r>
        <w:rPr>
          <w:b/>
          <w:bCs/>
          <w:i/>
          <w:iCs/>
          <w:sz w:val="24"/>
          <w:szCs w:val="24"/>
        </w:rPr>
        <w:t>Candida Albicans</w:t>
      </w:r>
      <w:r>
        <w:rPr>
          <w:b/>
          <w:bCs/>
          <w:sz w:val="24"/>
          <w:szCs w:val="24"/>
        </w:rPr>
        <w:t xml:space="preserve"> Infected Wistar Rats</w:t>
      </w:r>
    </w:p>
    <w:p w:rsidR="001104CA" w:rsidRDefault="00C032A7">
      <w:pPr>
        <w:spacing w:before="240" w:line="360" w:lineRule="auto"/>
        <w:jc w:val="both"/>
        <w:rPr>
          <w:b/>
          <w:sz w:val="24"/>
          <w:szCs w:val="24"/>
        </w:rPr>
      </w:pPr>
      <w:bookmarkStart w:id="0" w:name="_GoBack"/>
      <w:bookmarkEnd w:id="0"/>
      <w:r>
        <w:rPr>
          <w:b/>
          <w:sz w:val="24"/>
          <w:szCs w:val="24"/>
        </w:rPr>
        <w:t xml:space="preserve">ABSTRACT </w:t>
      </w:r>
    </w:p>
    <w:p w:rsidR="001104CA" w:rsidRDefault="00C032A7">
      <w:pPr>
        <w:spacing w:line="480" w:lineRule="auto"/>
        <w:jc w:val="both"/>
        <w:rPr>
          <w:rFonts w:eastAsia="SimSun"/>
          <w:sz w:val="24"/>
          <w:szCs w:val="24"/>
        </w:rPr>
      </w:pPr>
      <w:r>
        <w:rPr>
          <w:b/>
          <w:bCs/>
          <w:sz w:val="24"/>
          <w:szCs w:val="24"/>
        </w:rPr>
        <w:t>Background</w:t>
      </w:r>
      <w:r>
        <w:rPr>
          <w:sz w:val="24"/>
          <w:szCs w:val="24"/>
        </w:rPr>
        <w:t xml:space="preserve">: </w:t>
      </w:r>
      <w:r>
        <w:rPr>
          <w:sz w:val="24"/>
          <w:szCs w:val="24"/>
        </w:rPr>
        <w:t>Vaginal candidiasis is a fungal infection mai</w:t>
      </w:r>
      <w:r>
        <w:rPr>
          <w:sz w:val="24"/>
          <w:szCs w:val="24"/>
        </w:rPr>
        <w:t xml:space="preserve">nly caused by </w:t>
      </w:r>
      <w:r>
        <w:rPr>
          <w:rStyle w:val="Emphasis"/>
          <w:sz w:val="24"/>
          <w:szCs w:val="24"/>
        </w:rPr>
        <w:t>Candida albicans</w:t>
      </w:r>
      <w:r>
        <w:rPr>
          <w:sz w:val="24"/>
          <w:szCs w:val="24"/>
        </w:rPr>
        <w:t xml:space="preserve">, an opportunistic pathogen responsible for candidiasis in humans. </w:t>
      </w:r>
      <w:r>
        <w:rPr>
          <w:rFonts w:eastAsia="SimSun"/>
          <w:sz w:val="24"/>
          <w:szCs w:val="24"/>
        </w:rPr>
        <w:t xml:space="preserve">The proliferation of </w:t>
      </w:r>
      <w:r>
        <w:rPr>
          <w:rStyle w:val="Emphasis"/>
          <w:rFonts w:eastAsia="SimSun"/>
          <w:sz w:val="24"/>
          <w:szCs w:val="24"/>
        </w:rPr>
        <w:t>C. albicans</w:t>
      </w:r>
      <w:r>
        <w:rPr>
          <w:rFonts w:eastAsia="SimSun"/>
          <w:sz w:val="24"/>
          <w:szCs w:val="24"/>
        </w:rPr>
        <w:t xml:space="preserve"> is favored by environmental conditions such as low pH, high humidity, and moisture, which facilitate its colonization and overgrowth. Disruption of the normal vaginal microflora or local immune defenses can trigger infection, resulting in the clinical man</w:t>
      </w:r>
      <w:r>
        <w:rPr>
          <w:rFonts w:eastAsia="SimSun"/>
          <w:sz w:val="24"/>
          <w:szCs w:val="24"/>
        </w:rPr>
        <w:t xml:space="preserve">ifestations associated with vaginal candidiasis. </w:t>
      </w:r>
    </w:p>
    <w:p w:rsidR="001104CA" w:rsidRDefault="00C032A7">
      <w:pPr>
        <w:spacing w:line="480" w:lineRule="auto"/>
        <w:jc w:val="both"/>
        <w:rPr>
          <w:sz w:val="24"/>
          <w:szCs w:val="24"/>
        </w:rPr>
      </w:pPr>
      <w:r>
        <w:rPr>
          <w:b/>
          <w:bCs/>
          <w:sz w:val="24"/>
          <w:szCs w:val="24"/>
        </w:rPr>
        <w:t>Aim:</w:t>
      </w:r>
      <w:r>
        <w:rPr>
          <w:sz w:val="24"/>
          <w:szCs w:val="24"/>
        </w:rPr>
        <w:t xml:space="preserve"> </w:t>
      </w:r>
      <w:r>
        <w:rPr>
          <w:sz w:val="24"/>
          <w:szCs w:val="24"/>
        </w:rPr>
        <w:t>Th</w:t>
      </w:r>
      <w:r>
        <w:rPr>
          <w:sz w:val="24"/>
          <w:szCs w:val="24"/>
        </w:rPr>
        <w:t>e</w:t>
      </w:r>
      <w:r>
        <w:rPr>
          <w:sz w:val="24"/>
          <w:szCs w:val="24"/>
        </w:rPr>
        <w:t xml:space="preserve"> study </w:t>
      </w:r>
      <w:r>
        <w:rPr>
          <w:sz w:val="24"/>
          <w:szCs w:val="24"/>
        </w:rPr>
        <w:t xml:space="preserve">was carried out to </w:t>
      </w:r>
      <w:r>
        <w:rPr>
          <w:sz w:val="24"/>
          <w:szCs w:val="24"/>
        </w:rPr>
        <w:t xml:space="preserve">aimed to </w:t>
      </w:r>
      <w:r>
        <w:rPr>
          <w:sz w:val="24"/>
          <w:szCs w:val="24"/>
        </w:rPr>
        <w:t>assess</w:t>
      </w:r>
      <w:r>
        <w:rPr>
          <w:sz w:val="24"/>
          <w:szCs w:val="24"/>
        </w:rPr>
        <w:t xml:space="preserve"> the antifungal</w:t>
      </w:r>
      <w:r>
        <w:rPr>
          <w:sz w:val="24"/>
          <w:szCs w:val="24"/>
        </w:rPr>
        <w:t xml:space="preserve"> and antibacterial </w:t>
      </w:r>
      <w:r>
        <w:rPr>
          <w:sz w:val="24"/>
          <w:szCs w:val="24"/>
        </w:rPr>
        <w:t>potential</w:t>
      </w:r>
      <w:r>
        <w:rPr>
          <w:sz w:val="24"/>
          <w:szCs w:val="24"/>
        </w:rPr>
        <w:t>, serum electrolytes and anti inflammatory markers</w:t>
      </w:r>
      <w:r>
        <w:rPr>
          <w:sz w:val="24"/>
          <w:szCs w:val="24"/>
        </w:rPr>
        <w:t xml:space="preserve"> of </w:t>
      </w:r>
      <w:r>
        <w:rPr>
          <w:rStyle w:val="Emphasis"/>
          <w:sz w:val="24"/>
          <w:szCs w:val="24"/>
        </w:rPr>
        <w:t>Zingiber officinale</w:t>
      </w:r>
      <w:r>
        <w:rPr>
          <w:sz w:val="24"/>
          <w:szCs w:val="24"/>
        </w:rPr>
        <w:t xml:space="preserve"> (ginger)</w:t>
      </w:r>
      <w:r>
        <w:rPr>
          <w:sz w:val="24"/>
          <w:szCs w:val="24"/>
        </w:rPr>
        <w:t xml:space="preserve"> using standard methods.</w:t>
      </w:r>
    </w:p>
    <w:p w:rsidR="001104CA" w:rsidRDefault="00C032A7">
      <w:pPr>
        <w:spacing w:line="480" w:lineRule="auto"/>
        <w:jc w:val="both"/>
        <w:rPr>
          <w:sz w:val="24"/>
          <w:szCs w:val="24"/>
        </w:rPr>
      </w:pPr>
      <w:r>
        <w:rPr>
          <w:b/>
          <w:bCs/>
          <w:sz w:val="24"/>
          <w:szCs w:val="24"/>
        </w:rPr>
        <w:t>Method:</w:t>
      </w:r>
      <w:r>
        <w:rPr>
          <w:sz w:val="24"/>
          <w:szCs w:val="24"/>
        </w:rPr>
        <w:t xml:space="preserve"> </w:t>
      </w:r>
      <w:r>
        <w:rPr>
          <w:sz w:val="24"/>
          <w:szCs w:val="24"/>
        </w:rPr>
        <w:t xml:space="preserve"> The study was carried out in two phases, </w:t>
      </w:r>
      <w:r>
        <w:rPr>
          <w:i/>
          <w:iCs/>
          <w:sz w:val="24"/>
          <w:szCs w:val="24"/>
        </w:rPr>
        <w:t>in vivo</w:t>
      </w:r>
      <w:r>
        <w:rPr>
          <w:sz w:val="24"/>
          <w:szCs w:val="24"/>
        </w:rPr>
        <w:t xml:space="preserve"> and </w:t>
      </w:r>
      <w:r>
        <w:rPr>
          <w:i/>
          <w:iCs/>
          <w:sz w:val="24"/>
          <w:szCs w:val="24"/>
        </w:rPr>
        <w:t>in vitro</w:t>
      </w:r>
      <w:r>
        <w:rPr>
          <w:sz w:val="24"/>
          <w:szCs w:val="24"/>
        </w:rPr>
        <w:t>.</w:t>
      </w:r>
      <w:r>
        <w:rPr>
          <w:sz w:val="24"/>
          <w:szCs w:val="24"/>
        </w:rPr>
        <w:t xml:space="preserve"> </w:t>
      </w:r>
      <w:r>
        <w:rPr>
          <w:sz w:val="24"/>
          <w:szCs w:val="24"/>
        </w:rPr>
        <w:t xml:space="preserve">In the </w:t>
      </w:r>
      <w:r>
        <w:rPr>
          <w:i/>
          <w:iCs/>
          <w:sz w:val="24"/>
          <w:szCs w:val="24"/>
        </w:rPr>
        <w:t>in vitro</w:t>
      </w:r>
      <w:r>
        <w:rPr>
          <w:sz w:val="24"/>
          <w:szCs w:val="24"/>
        </w:rPr>
        <w:t xml:space="preserve"> experiment, </w:t>
      </w:r>
      <w:r>
        <w:rPr>
          <w:i/>
          <w:iCs/>
          <w:sz w:val="24"/>
          <w:szCs w:val="24"/>
        </w:rPr>
        <w:t>Candida albicans</w:t>
      </w:r>
      <w:r>
        <w:rPr>
          <w:sz w:val="24"/>
          <w:szCs w:val="24"/>
        </w:rPr>
        <w:t xml:space="preserve"> was cultured in SDA at 25 ⁰C and exposed to</w:t>
      </w:r>
      <w:r>
        <w:rPr>
          <w:sz w:val="24"/>
          <w:szCs w:val="24"/>
        </w:rPr>
        <w:t xml:space="preserve"> the drug </w:t>
      </w:r>
      <w:r>
        <w:rPr>
          <w:sz w:val="24"/>
          <w:szCs w:val="24"/>
        </w:rPr>
        <w:t xml:space="preserve"> fluconazole and serial concentrations of the extract ranging from 300 mg/ml to 9.37 </w:t>
      </w:r>
      <w:r>
        <w:rPr>
          <w:sz w:val="24"/>
          <w:szCs w:val="24"/>
        </w:rPr>
        <w:t>m</w:t>
      </w:r>
      <w:r>
        <w:rPr>
          <w:sz w:val="24"/>
          <w:szCs w:val="24"/>
        </w:rPr>
        <w:t>g/m</w:t>
      </w:r>
      <w:r>
        <w:rPr>
          <w:sz w:val="24"/>
          <w:szCs w:val="24"/>
        </w:rPr>
        <w:t>l</w:t>
      </w:r>
      <w:r>
        <w:rPr>
          <w:sz w:val="24"/>
          <w:szCs w:val="24"/>
        </w:rPr>
        <w:t xml:space="preserve"> an</w:t>
      </w:r>
      <w:r>
        <w:rPr>
          <w:sz w:val="24"/>
          <w:szCs w:val="24"/>
        </w:rPr>
        <w:t>d readings taken</w:t>
      </w:r>
      <w:r>
        <w:rPr>
          <w:sz w:val="24"/>
          <w:szCs w:val="24"/>
        </w:rPr>
        <w:t xml:space="preserve">. In the </w:t>
      </w:r>
      <w:r>
        <w:rPr>
          <w:i/>
          <w:iCs/>
          <w:sz w:val="24"/>
          <w:szCs w:val="24"/>
        </w:rPr>
        <w:t>in vivo</w:t>
      </w:r>
      <w:r>
        <w:rPr>
          <w:sz w:val="24"/>
          <w:szCs w:val="24"/>
        </w:rPr>
        <w:t xml:space="preserve"> experimental, </w:t>
      </w:r>
      <w:r>
        <w:rPr>
          <w:sz w:val="24"/>
          <w:szCs w:val="24"/>
        </w:rPr>
        <w:t xml:space="preserve">30 </w:t>
      </w:r>
      <w:r>
        <w:rPr>
          <w:sz w:val="24"/>
          <w:szCs w:val="24"/>
        </w:rPr>
        <w:t xml:space="preserve">albino </w:t>
      </w:r>
      <w:r>
        <w:rPr>
          <w:sz w:val="24"/>
          <w:szCs w:val="24"/>
        </w:rPr>
        <w:t>wistar rats were divided into 6 groups which includes; normal control</w:t>
      </w:r>
      <w:r>
        <w:rPr>
          <w:sz w:val="24"/>
          <w:szCs w:val="24"/>
        </w:rPr>
        <w:t xml:space="preserve"> (uninfected untreated)</w:t>
      </w:r>
      <w:r>
        <w:rPr>
          <w:sz w:val="24"/>
          <w:szCs w:val="24"/>
        </w:rPr>
        <w:t xml:space="preserve">, negative control (infected untreated), infected + standard drug (fluconazole [1000 mg/kg body weight </w:t>
      </w:r>
      <w:r>
        <w:rPr>
          <w:sz w:val="24"/>
          <w:szCs w:val="24"/>
        </w:rPr>
        <w:t>{BW}]), and infected + extract at 250 mg/kg BW, 500 mg/kg BW and 1000 mg/kg BW</w:t>
      </w:r>
      <w:r>
        <w:rPr>
          <w:sz w:val="24"/>
          <w:szCs w:val="24"/>
        </w:rPr>
        <w:t xml:space="preserve">; and its effect on </w:t>
      </w:r>
      <w:r>
        <w:rPr>
          <w:sz w:val="24"/>
          <w:szCs w:val="24"/>
        </w:rPr>
        <w:t xml:space="preserve">some </w:t>
      </w:r>
      <w:r>
        <w:rPr>
          <w:sz w:val="24"/>
          <w:szCs w:val="24"/>
        </w:rPr>
        <w:t>biochemical markers were assessed</w:t>
      </w:r>
      <w:r>
        <w:rPr>
          <w:sz w:val="24"/>
          <w:szCs w:val="24"/>
        </w:rPr>
        <w:t>.</w:t>
      </w:r>
    </w:p>
    <w:p w:rsidR="001104CA" w:rsidRDefault="00C032A7">
      <w:pPr>
        <w:spacing w:line="480" w:lineRule="auto"/>
        <w:jc w:val="both"/>
        <w:rPr>
          <w:sz w:val="24"/>
          <w:szCs w:val="24"/>
        </w:rPr>
      </w:pPr>
      <w:r>
        <w:rPr>
          <w:b/>
          <w:bCs/>
          <w:sz w:val="24"/>
          <w:szCs w:val="24"/>
        </w:rPr>
        <w:t>Result:</w:t>
      </w:r>
      <w:r>
        <w:rPr>
          <w:sz w:val="24"/>
          <w:szCs w:val="24"/>
        </w:rPr>
        <w:t xml:space="preserve"> </w:t>
      </w:r>
      <w:r>
        <w:rPr>
          <w:sz w:val="24"/>
          <w:szCs w:val="24"/>
        </w:rPr>
        <w:t>The extract demonstrated strong antifungal efficacy, with a minimum inhibitory concentration (MIC) of 18.75 μg</w:t>
      </w:r>
      <w:r>
        <w:rPr>
          <w:sz w:val="24"/>
          <w:szCs w:val="24"/>
        </w:rPr>
        <w:t xml:space="preserve">/mL and a fungicidal effect confirmed by the minimum bactericidal concentration (MBC), indicating complete elimination of </w:t>
      </w:r>
      <w:r>
        <w:rPr>
          <w:rStyle w:val="Emphasis"/>
          <w:sz w:val="24"/>
          <w:szCs w:val="24"/>
        </w:rPr>
        <w:t>C. albicans</w:t>
      </w:r>
      <w:r>
        <w:rPr>
          <w:sz w:val="24"/>
          <w:szCs w:val="24"/>
        </w:rPr>
        <w:t>.</w:t>
      </w:r>
      <w:r>
        <w:rPr>
          <w:sz w:val="24"/>
          <w:szCs w:val="24"/>
        </w:rPr>
        <w:t xml:space="preserve"> </w:t>
      </w:r>
      <w:r>
        <w:rPr>
          <w:sz w:val="24"/>
          <w:szCs w:val="24"/>
        </w:rPr>
        <w:t xml:space="preserve">The assessment of electrolyte parameters revealed significant alterations </w:t>
      </w:r>
      <w:r>
        <w:rPr>
          <w:sz w:val="24"/>
          <w:szCs w:val="24"/>
        </w:rPr>
        <w:lastRenderedPageBreak/>
        <w:t xml:space="preserve">associated with </w:t>
      </w:r>
      <w:r>
        <w:rPr>
          <w:rStyle w:val="Emphasis"/>
          <w:sz w:val="24"/>
          <w:szCs w:val="24"/>
        </w:rPr>
        <w:t>Candida albicans</w:t>
      </w:r>
      <w:r>
        <w:rPr>
          <w:sz w:val="24"/>
          <w:szCs w:val="24"/>
        </w:rPr>
        <w:t xml:space="preserve"> infection and </w:t>
      </w:r>
      <w:r>
        <w:rPr>
          <w:sz w:val="24"/>
          <w:szCs w:val="24"/>
        </w:rPr>
        <w:t xml:space="preserve">subsequent treatment with </w:t>
      </w:r>
      <w:r>
        <w:rPr>
          <w:rStyle w:val="Emphasis"/>
          <w:sz w:val="24"/>
          <w:szCs w:val="24"/>
        </w:rPr>
        <w:t>Zingiber officinale</w:t>
      </w:r>
      <w:r>
        <w:rPr>
          <w:sz w:val="24"/>
          <w:szCs w:val="24"/>
        </w:rPr>
        <w:t>. Sodium (Na⁺) levels ranged from 131.50 ± 2.10 mmol/L in the negative control group to 144.00 ± 1.00 mmol/L in the 500 mg/kg ginger-treated group.</w:t>
      </w:r>
      <w:r>
        <w:rPr>
          <w:sz w:val="24"/>
          <w:szCs w:val="24"/>
        </w:rPr>
        <w:t xml:space="preserve"> </w:t>
      </w:r>
      <w:r>
        <w:rPr>
          <w:sz w:val="24"/>
          <w:szCs w:val="24"/>
        </w:rPr>
        <w:t xml:space="preserve">The </w:t>
      </w:r>
      <w:r>
        <w:rPr>
          <w:sz w:val="24"/>
          <w:szCs w:val="24"/>
        </w:rPr>
        <w:t>assessment of</w:t>
      </w:r>
      <w:r>
        <w:rPr>
          <w:sz w:val="24"/>
          <w:szCs w:val="24"/>
        </w:rPr>
        <w:t xml:space="preserve"> inflammatory and anti-inflammatory cytokines </w:t>
      </w:r>
      <w:r>
        <w:rPr>
          <w:sz w:val="24"/>
          <w:szCs w:val="24"/>
        </w:rPr>
        <w:t>(TNF-α, IL-6, and IL-4)</w:t>
      </w:r>
      <w:r>
        <w:rPr>
          <w:sz w:val="24"/>
          <w:szCs w:val="24"/>
        </w:rPr>
        <w:t xml:space="preserve"> revealed t</w:t>
      </w:r>
      <w:r>
        <w:rPr>
          <w:sz w:val="24"/>
          <w:szCs w:val="24"/>
        </w:rPr>
        <w:t>he negative control group exhibited elevated pro-inflammatory cytokines</w:t>
      </w:r>
      <w:r>
        <w:rPr>
          <w:sz w:val="24"/>
          <w:szCs w:val="24"/>
        </w:rPr>
        <w:t xml:space="preserve"> </w:t>
      </w:r>
      <w:r>
        <w:rPr>
          <w:sz w:val="24"/>
          <w:szCs w:val="24"/>
        </w:rPr>
        <w:t>TNF-α (34.80 ± 2.40 pg/ml) and IL-6 (165.40 ± 8.70 pg/ml)</w:t>
      </w:r>
      <w:r>
        <w:rPr>
          <w:sz w:val="24"/>
          <w:szCs w:val="24"/>
        </w:rPr>
        <w:t xml:space="preserve"> </w:t>
      </w:r>
      <w:r>
        <w:rPr>
          <w:sz w:val="24"/>
          <w:szCs w:val="24"/>
        </w:rPr>
        <w:t xml:space="preserve">with a comparatively low anti-inflammatory cytokine IL-4 (28.60 ± 3.90 pg/ml). </w:t>
      </w:r>
    </w:p>
    <w:p w:rsidR="001104CA" w:rsidRDefault="00C032A7">
      <w:pPr>
        <w:spacing w:line="480" w:lineRule="auto"/>
        <w:jc w:val="both"/>
        <w:rPr>
          <w:sz w:val="24"/>
          <w:szCs w:val="24"/>
        </w:rPr>
      </w:pPr>
      <w:r>
        <w:rPr>
          <w:b/>
          <w:bCs/>
          <w:sz w:val="24"/>
          <w:szCs w:val="24"/>
        </w:rPr>
        <w:t>Conclusion:</w:t>
      </w:r>
      <w:r>
        <w:rPr>
          <w:sz w:val="24"/>
          <w:szCs w:val="24"/>
        </w:rPr>
        <w:t xml:space="preserve"> </w:t>
      </w:r>
      <w:r>
        <w:rPr>
          <w:sz w:val="24"/>
          <w:szCs w:val="24"/>
        </w:rPr>
        <w:t xml:space="preserve">The reduced sodium concentration observed in the infected untreated group suggests that </w:t>
      </w:r>
      <w:r>
        <w:rPr>
          <w:rStyle w:val="Emphasis"/>
          <w:sz w:val="24"/>
          <w:szCs w:val="24"/>
        </w:rPr>
        <w:t>Candida albicans</w:t>
      </w:r>
      <w:r>
        <w:rPr>
          <w:sz w:val="24"/>
          <w:szCs w:val="24"/>
        </w:rPr>
        <w:t xml:space="preserve"> infection may disrupt electrolyte balance, possibly through impaired renal regulation, dehydration, or inflammatory-mediated sodium loss</w:t>
      </w:r>
      <w:r>
        <w:rPr>
          <w:sz w:val="24"/>
          <w:szCs w:val="24"/>
        </w:rPr>
        <w:t>.</w:t>
      </w:r>
      <w:r>
        <w:t xml:space="preserve"> </w:t>
      </w:r>
      <w:r>
        <w:rPr>
          <w:sz w:val="24"/>
          <w:szCs w:val="24"/>
        </w:rPr>
        <w:t>Elevated TNF-</w:t>
      </w:r>
      <w:r>
        <w:rPr>
          <w:sz w:val="24"/>
          <w:szCs w:val="24"/>
        </w:rPr>
        <w:t>α and IL-6 are well</w:t>
      </w:r>
      <w:r>
        <w:rPr>
          <w:sz w:val="24"/>
          <w:szCs w:val="24"/>
        </w:rPr>
        <w:t xml:space="preserve"> </w:t>
      </w:r>
      <w:r>
        <w:rPr>
          <w:sz w:val="24"/>
          <w:szCs w:val="24"/>
        </w:rPr>
        <w:t>established indicators of systemic inflammation and immune activation</w:t>
      </w:r>
      <w:r>
        <w:rPr>
          <w:sz w:val="24"/>
          <w:szCs w:val="24"/>
        </w:rPr>
        <w:t xml:space="preserve">. </w:t>
      </w:r>
      <w:r>
        <w:rPr>
          <w:sz w:val="24"/>
          <w:szCs w:val="24"/>
        </w:rPr>
        <w:t xml:space="preserve">Administration of </w:t>
      </w:r>
      <w:r>
        <w:rPr>
          <w:sz w:val="24"/>
          <w:szCs w:val="24"/>
        </w:rPr>
        <w:t>plant extract</w:t>
      </w:r>
      <w:r>
        <w:rPr>
          <w:sz w:val="24"/>
          <w:szCs w:val="24"/>
        </w:rPr>
        <w:t xml:space="preserve"> at 250, 500, and 1000 mg/kg resulted in consistent reductions in TNF-α levels and IL-6 levels</w:t>
      </w:r>
      <w:r>
        <w:rPr>
          <w:sz w:val="24"/>
          <w:szCs w:val="24"/>
        </w:rPr>
        <w:t xml:space="preserve">, </w:t>
      </w:r>
      <w:r>
        <w:rPr>
          <w:sz w:val="24"/>
          <w:szCs w:val="24"/>
        </w:rPr>
        <w:t>while IL-4 levels increased. The stand</w:t>
      </w:r>
      <w:r>
        <w:rPr>
          <w:sz w:val="24"/>
          <w:szCs w:val="24"/>
        </w:rPr>
        <w:t>ard drug group showed comparable effects</w:t>
      </w:r>
      <w:r>
        <w:rPr>
          <w:sz w:val="24"/>
          <w:szCs w:val="24"/>
        </w:rPr>
        <w:t>.</w:t>
      </w:r>
    </w:p>
    <w:p w:rsidR="001104CA" w:rsidRDefault="00C032A7">
      <w:pPr>
        <w:spacing w:line="480" w:lineRule="auto"/>
        <w:jc w:val="both"/>
        <w:rPr>
          <w:sz w:val="24"/>
          <w:szCs w:val="24"/>
        </w:rPr>
      </w:pPr>
      <w:r>
        <w:rPr>
          <w:b/>
          <w:bCs/>
          <w:sz w:val="24"/>
          <w:szCs w:val="24"/>
        </w:rPr>
        <w:t>Keywords:</w:t>
      </w:r>
      <w:r>
        <w:rPr>
          <w:sz w:val="24"/>
          <w:szCs w:val="24"/>
        </w:rPr>
        <w:t xml:space="preserve"> </w:t>
      </w:r>
      <w:r>
        <w:rPr>
          <w:i/>
          <w:iCs/>
          <w:sz w:val="24"/>
          <w:szCs w:val="24"/>
        </w:rPr>
        <w:t>Candida albicans</w:t>
      </w:r>
      <w:r>
        <w:rPr>
          <w:sz w:val="24"/>
          <w:szCs w:val="24"/>
        </w:rPr>
        <w:t xml:space="preserve">; Antifungal; Antibacterial; Anti-inflammatory; </w:t>
      </w:r>
      <w:r>
        <w:rPr>
          <w:i/>
          <w:iCs/>
          <w:sz w:val="24"/>
          <w:szCs w:val="24"/>
        </w:rPr>
        <w:t>Zingiber officinale</w:t>
      </w:r>
      <w:r>
        <w:rPr>
          <w:sz w:val="24"/>
          <w:szCs w:val="24"/>
        </w:rPr>
        <w:t>.</w:t>
      </w:r>
    </w:p>
    <w:p w:rsidR="001104CA" w:rsidRDefault="00C032A7">
      <w:pPr>
        <w:numPr>
          <w:ilvl w:val="0"/>
          <w:numId w:val="1"/>
        </w:numPr>
        <w:spacing w:line="480" w:lineRule="auto"/>
        <w:jc w:val="both"/>
        <w:rPr>
          <w:b/>
          <w:bCs/>
          <w:sz w:val="24"/>
          <w:szCs w:val="24"/>
        </w:rPr>
      </w:pPr>
      <w:r>
        <w:rPr>
          <w:b/>
          <w:bCs/>
          <w:sz w:val="24"/>
          <w:szCs w:val="24"/>
        </w:rPr>
        <w:t>INTRODUCTION</w:t>
      </w:r>
    </w:p>
    <w:p w:rsidR="001104CA" w:rsidRDefault="00C032A7">
      <w:pPr>
        <w:spacing w:line="480" w:lineRule="auto"/>
        <w:ind w:right="76" w:firstLine="720"/>
        <w:jc w:val="both"/>
        <w:rPr>
          <w:spacing w:val="-1"/>
          <w:sz w:val="24"/>
          <w:szCs w:val="24"/>
        </w:rPr>
      </w:pPr>
      <w:r>
        <w:rPr>
          <w:spacing w:val="-1"/>
          <w:sz w:val="24"/>
          <w:szCs w:val="24"/>
        </w:rPr>
        <w:t>Nowadays infectious diseases are day by day increasing in prevalence (</w:t>
      </w:r>
      <w:r>
        <w:rPr>
          <w:rFonts w:eastAsia="SimSun"/>
          <w:color w:val="222222"/>
          <w:sz w:val="24"/>
          <w:szCs w:val="24"/>
          <w:shd w:val="clear" w:color="auto" w:fill="FFFFFF"/>
        </w:rPr>
        <w:t xml:space="preserve">Rodriguez-Morales </w:t>
      </w:r>
      <w:r>
        <w:rPr>
          <w:rFonts w:eastAsia="SimSun"/>
          <w:color w:val="222222"/>
          <w:sz w:val="24"/>
          <w:szCs w:val="24"/>
          <w:shd w:val="clear" w:color="auto" w:fill="FFFFFF"/>
        </w:rPr>
        <w:t>et al.,</w:t>
      </w:r>
      <w:r>
        <w:rPr>
          <w:rFonts w:eastAsia="SimSun"/>
          <w:color w:val="222222"/>
          <w:sz w:val="24"/>
          <w:szCs w:val="24"/>
          <w:shd w:val="clear" w:color="auto" w:fill="FFFFFF"/>
        </w:rPr>
        <w:t xml:space="preserve"> 2023). </w:t>
      </w:r>
      <w:r>
        <w:rPr>
          <w:spacing w:val="-1"/>
          <w:sz w:val="24"/>
          <w:szCs w:val="24"/>
        </w:rPr>
        <w:t>Fungal infections were less common than bacterial and viral infections in the past but have been responsible for a dramatic increase of diseases in recent decades (</w:t>
      </w:r>
      <w:r>
        <w:rPr>
          <w:rFonts w:eastAsia="SimSun"/>
          <w:color w:val="222222"/>
          <w:sz w:val="24"/>
          <w:szCs w:val="24"/>
          <w:shd w:val="clear" w:color="auto" w:fill="FFFFFF"/>
        </w:rPr>
        <w:t xml:space="preserve">Banerjee </w:t>
      </w:r>
      <w:r>
        <w:rPr>
          <w:rFonts w:eastAsia="SimSun"/>
          <w:color w:val="222222"/>
          <w:sz w:val="24"/>
          <w:szCs w:val="24"/>
          <w:shd w:val="clear" w:color="auto" w:fill="FFFFFF"/>
        </w:rPr>
        <w:t>et. al.,</w:t>
      </w:r>
      <w:r>
        <w:rPr>
          <w:rFonts w:eastAsia="SimSun"/>
          <w:color w:val="222222"/>
          <w:sz w:val="24"/>
          <w:szCs w:val="24"/>
          <w:shd w:val="clear" w:color="auto" w:fill="FFFFFF"/>
        </w:rPr>
        <w:t xml:space="preserve"> 2021</w:t>
      </w:r>
      <w:r>
        <w:rPr>
          <w:spacing w:val="-1"/>
          <w:sz w:val="24"/>
          <w:szCs w:val="24"/>
        </w:rPr>
        <w:t xml:space="preserve">). Yeasts especially </w:t>
      </w:r>
      <w:r>
        <w:rPr>
          <w:i/>
          <w:iCs/>
          <w:spacing w:val="-1"/>
          <w:sz w:val="24"/>
          <w:szCs w:val="24"/>
        </w:rPr>
        <w:t>C</w:t>
      </w:r>
      <w:r>
        <w:rPr>
          <w:i/>
          <w:iCs/>
          <w:spacing w:val="-1"/>
          <w:sz w:val="24"/>
          <w:szCs w:val="24"/>
        </w:rPr>
        <w:t>andida</w:t>
      </w:r>
      <w:r>
        <w:rPr>
          <w:spacing w:val="-1"/>
          <w:sz w:val="24"/>
          <w:szCs w:val="24"/>
        </w:rPr>
        <w:t xml:space="preserve"> species are the most common fungi that ha</w:t>
      </w:r>
      <w:r>
        <w:rPr>
          <w:spacing w:val="-1"/>
          <w:sz w:val="24"/>
          <w:szCs w:val="24"/>
        </w:rPr>
        <w:t>ve been isolated from human infections, in recent years (</w:t>
      </w:r>
      <w:r>
        <w:rPr>
          <w:rFonts w:eastAsia="SimSun"/>
          <w:color w:val="222222"/>
          <w:sz w:val="24"/>
          <w:szCs w:val="24"/>
          <w:shd w:val="clear" w:color="auto" w:fill="FFFFFF"/>
        </w:rPr>
        <w:t xml:space="preserve">Katsipoulaki </w:t>
      </w:r>
      <w:r>
        <w:rPr>
          <w:rFonts w:eastAsia="SimSun"/>
          <w:color w:val="222222"/>
          <w:sz w:val="24"/>
          <w:szCs w:val="24"/>
          <w:shd w:val="clear" w:color="auto" w:fill="FFFFFF"/>
        </w:rPr>
        <w:t>et al.,</w:t>
      </w:r>
      <w:r>
        <w:rPr>
          <w:rFonts w:eastAsia="SimSun"/>
          <w:color w:val="222222"/>
          <w:sz w:val="24"/>
          <w:szCs w:val="24"/>
          <w:shd w:val="clear" w:color="auto" w:fill="FFFFFF"/>
        </w:rPr>
        <w:t xml:space="preserve"> 2024). </w:t>
      </w:r>
      <w:r>
        <w:rPr>
          <w:i/>
          <w:iCs/>
          <w:spacing w:val="-1"/>
          <w:sz w:val="24"/>
          <w:szCs w:val="24"/>
        </w:rPr>
        <w:t>Candida albicans</w:t>
      </w:r>
      <w:r>
        <w:rPr>
          <w:spacing w:val="-1"/>
          <w:sz w:val="24"/>
          <w:szCs w:val="24"/>
        </w:rPr>
        <w:t xml:space="preserve"> is known as the most common human pathogen between 150 species of </w:t>
      </w:r>
      <w:r>
        <w:rPr>
          <w:i/>
          <w:iCs/>
          <w:spacing w:val="-1"/>
          <w:sz w:val="24"/>
          <w:szCs w:val="24"/>
        </w:rPr>
        <w:t>C</w:t>
      </w:r>
      <w:r>
        <w:rPr>
          <w:i/>
          <w:iCs/>
          <w:spacing w:val="-1"/>
          <w:sz w:val="24"/>
          <w:szCs w:val="24"/>
        </w:rPr>
        <w:t xml:space="preserve">andida </w:t>
      </w:r>
      <w:r>
        <w:rPr>
          <w:spacing w:val="-1"/>
          <w:sz w:val="24"/>
          <w:szCs w:val="24"/>
        </w:rPr>
        <w:t>yeast and cause of 60 percent of candidiasis infection due to most virulence. Ho</w:t>
      </w:r>
      <w:r>
        <w:rPr>
          <w:spacing w:val="-1"/>
          <w:sz w:val="24"/>
          <w:szCs w:val="24"/>
        </w:rPr>
        <w:t xml:space="preserve">wever, incidence of infection by other </w:t>
      </w:r>
      <w:r>
        <w:rPr>
          <w:spacing w:val="-1"/>
          <w:sz w:val="24"/>
          <w:szCs w:val="24"/>
        </w:rPr>
        <w:lastRenderedPageBreak/>
        <w:t xml:space="preserve">species such as </w:t>
      </w:r>
      <w:r>
        <w:rPr>
          <w:i/>
          <w:iCs/>
          <w:spacing w:val="-1"/>
          <w:sz w:val="24"/>
          <w:szCs w:val="24"/>
        </w:rPr>
        <w:t xml:space="preserve">C. tropicalis, C. glabrata and C. krusei </w:t>
      </w:r>
      <w:r>
        <w:rPr>
          <w:spacing w:val="-1"/>
          <w:sz w:val="24"/>
          <w:szCs w:val="24"/>
        </w:rPr>
        <w:t>has grown increasing (</w:t>
      </w:r>
      <w:r>
        <w:rPr>
          <w:rFonts w:eastAsia="SimSun"/>
          <w:color w:val="222222"/>
          <w:sz w:val="24"/>
          <w:szCs w:val="24"/>
          <w:shd w:val="clear" w:color="auto" w:fill="FFFFFF"/>
        </w:rPr>
        <w:t>Gómez-Gaviria &amp; Mora-Montes</w:t>
      </w:r>
      <w:r>
        <w:rPr>
          <w:rFonts w:eastAsia="SimSun"/>
          <w:color w:val="222222"/>
          <w:sz w:val="24"/>
          <w:szCs w:val="24"/>
          <w:shd w:val="clear" w:color="auto" w:fill="FFFFFF"/>
        </w:rPr>
        <w:t>,</w:t>
      </w:r>
      <w:r>
        <w:rPr>
          <w:rFonts w:eastAsia="SimSun"/>
          <w:color w:val="222222"/>
          <w:sz w:val="24"/>
          <w:szCs w:val="24"/>
          <w:shd w:val="clear" w:color="auto" w:fill="FFFFFF"/>
        </w:rPr>
        <w:t xml:space="preserve"> 2020). </w:t>
      </w:r>
      <w:r>
        <w:rPr>
          <w:i/>
          <w:iCs/>
          <w:spacing w:val="-1"/>
          <w:sz w:val="24"/>
          <w:szCs w:val="24"/>
        </w:rPr>
        <w:t xml:space="preserve">Candida </w:t>
      </w:r>
      <w:r>
        <w:rPr>
          <w:spacing w:val="-1"/>
          <w:sz w:val="24"/>
          <w:szCs w:val="24"/>
        </w:rPr>
        <w:t xml:space="preserve">is an opportunistic fungus that is capable of inducing acute and chronic infections of the </w:t>
      </w:r>
      <w:r>
        <w:rPr>
          <w:spacing w:val="-1"/>
          <w:sz w:val="24"/>
          <w:szCs w:val="24"/>
        </w:rPr>
        <w:t>mouth, vagina, lung and gastrointestinal tract with different body reactions such as severe infections, purulent and granulomatous inflammation (</w:t>
      </w:r>
      <w:r>
        <w:rPr>
          <w:rFonts w:eastAsia="SimSun"/>
          <w:color w:val="222222"/>
          <w:sz w:val="24"/>
          <w:szCs w:val="24"/>
          <w:shd w:val="clear" w:color="auto" w:fill="FFFFFF"/>
        </w:rPr>
        <w:t>Ostrosky-Zeichner &amp; Sobel</w:t>
      </w:r>
      <w:r>
        <w:rPr>
          <w:rFonts w:eastAsia="SimSun"/>
          <w:color w:val="222222"/>
          <w:sz w:val="24"/>
          <w:szCs w:val="24"/>
          <w:shd w:val="clear" w:color="auto" w:fill="FFFFFF"/>
        </w:rPr>
        <w:t>,</w:t>
      </w:r>
      <w:r>
        <w:rPr>
          <w:rFonts w:eastAsia="SimSun"/>
          <w:color w:val="222222"/>
          <w:sz w:val="24"/>
          <w:szCs w:val="24"/>
          <w:shd w:val="clear" w:color="auto" w:fill="FFFFFF"/>
        </w:rPr>
        <w:t xml:space="preserve"> 2023). </w:t>
      </w:r>
      <w:r>
        <w:rPr>
          <w:spacing w:val="-1"/>
          <w:sz w:val="24"/>
          <w:szCs w:val="24"/>
        </w:rPr>
        <w:t>It can be found in the mouth, vaginal and intestine micrflora and cause fatal</w:t>
      </w:r>
      <w:r>
        <w:rPr>
          <w:spacing w:val="-1"/>
          <w:sz w:val="24"/>
          <w:szCs w:val="24"/>
        </w:rPr>
        <w:t xml:space="preserve"> infections and mortality in people with weakened immune systems such as AIDS, cancer, bone marrow or other organs transplant. </w:t>
      </w:r>
    </w:p>
    <w:p w:rsidR="001104CA" w:rsidRDefault="00C032A7">
      <w:pPr>
        <w:spacing w:line="480" w:lineRule="auto"/>
        <w:ind w:right="76" w:firstLine="720"/>
        <w:jc w:val="both"/>
        <w:rPr>
          <w:spacing w:val="-1"/>
          <w:sz w:val="24"/>
          <w:szCs w:val="24"/>
        </w:rPr>
      </w:pPr>
      <w:r>
        <w:rPr>
          <w:spacing w:val="-1"/>
          <w:sz w:val="24"/>
          <w:szCs w:val="24"/>
        </w:rPr>
        <w:t>Pregnancy, oral contraceptive drugs, antibiotics, diabetes, long-term skin  contact with water, treatment with topical corticost</w:t>
      </w:r>
      <w:r>
        <w:rPr>
          <w:spacing w:val="-1"/>
          <w:sz w:val="24"/>
          <w:szCs w:val="24"/>
        </w:rPr>
        <w:t>eroids, some diseases of the endocrine system are involved in causing illness by yeast (</w:t>
      </w:r>
      <w:r>
        <w:rPr>
          <w:rFonts w:eastAsia="SimSun"/>
          <w:color w:val="222222"/>
          <w:sz w:val="24"/>
          <w:szCs w:val="24"/>
          <w:shd w:val="clear" w:color="auto" w:fill="FFFFFF"/>
        </w:rPr>
        <w:t xml:space="preserve">Zapata </w:t>
      </w:r>
      <w:r>
        <w:rPr>
          <w:rFonts w:eastAsia="SimSun"/>
          <w:color w:val="222222"/>
          <w:sz w:val="24"/>
          <w:szCs w:val="24"/>
          <w:shd w:val="clear" w:color="auto" w:fill="FFFFFF"/>
        </w:rPr>
        <w:t>et al</w:t>
      </w:r>
      <w:r>
        <w:rPr>
          <w:rFonts w:eastAsia="SimSun"/>
          <w:color w:val="222222"/>
          <w:sz w:val="24"/>
          <w:szCs w:val="24"/>
          <w:shd w:val="clear" w:color="auto" w:fill="FFFFFF"/>
        </w:rPr>
        <w:t>.</w:t>
      </w:r>
      <w:r>
        <w:rPr>
          <w:rFonts w:eastAsia="SimSun"/>
          <w:color w:val="222222"/>
          <w:sz w:val="24"/>
          <w:szCs w:val="24"/>
          <w:shd w:val="clear" w:color="auto" w:fill="FFFFFF"/>
        </w:rPr>
        <w:t>,</w:t>
      </w:r>
      <w:r>
        <w:rPr>
          <w:rFonts w:eastAsia="SimSun"/>
          <w:color w:val="222222"/>
          <w:sz w:val="24"/>
          <w:szCs w:val="24"/>
          <w:shd w:val="clear" w:color="auto" w:fill="FFFFFF"/>
        </w:rPr>
        <w:t xml:space="preserve"> 2023).  </w:t>
      </w:r>
      <w:r>
        <w:rPr>
          <w:spacing w:val="-1"/>
          <w:sz w:val="24"/>
          <w:szCs w:val="24"/>
        </w:rPr>
        <w:t>Studies in the last decades have clearly indicated the unpleasant side effect of synthetic drugs. Recent studies considered to the use of medicin</w:t>
      </w:r>
      <w:r>
        <w:rPr>
          <w:spacing w:val="-1"/>
          <w:sz w:val="24"/>
          <w:szCs w:val="24"/>
        </w:rPr>
        <w:t>al plants due to increasing drug resistance to chemical drugs (</w:t>
      </w:r>
      <w:r>
        <w:rPr>
          <w:rFonts w:eastAsia="SimSun"/>
          <w:color w:val="222222"/>
          <w:sz w:val="24"/>
          <w:szCs w:val="24"/>
          <w:shd w:val="clear" w:color="auto" w:fill="FFFFFF"/>
        </w:rPr>
        <w:t xml:space="preserve">Moiketsi </w:t>
      </w:r>
      <w:r>
        <w:rPr>
          <w:rFonts w:eastAsia="SimSun"/>
          <w:color w:val="222222"/>
          <w:sz w:val="24"/>
          <w:szCs w:val="24"/>
          <w:shd w:val="clear" w:color="auto" w:fill="FFFFFF"/>
        </w:rPr>
        <w:t>et al.,</w:t>
      </w:r>
      <w:r>
        <w:rPr>
          <w:rFonts w:eastAsia="SimSun"/>
          <w:color w:val="222222"/>
          <w:sz w:val="24"/>
          <w:szCs w:val="24"/>
          <w:shd w:val="clear" w:color="auto" w:fill="FFFFFF"/>
        </w:rPr>
        <w:t xml:space="preserve"> 2023).</w:t>
      </w:r>
    </w:p>
    <w:p w:rsidR="001104CA" w:rsidRDefault="00C032A7">
      <w:pPr>
        <w:spacing w:line="480" w:lineRule="auto"/>
        <w:ind w:right="76" w:firstLine="720"/>
        <w:jc w:val="both"/>
        <w:rPr>
          <w:rFonts w:eastAsia="SimSun"/>
          <w:color w:val="222222"/>
          <w:sz w:val="24"/>
          <w:szCs w:val="24"/>
          <w:shd w:val="clear" w:color="auto" w:fill="FFFFFF"/>
        </w:rPr>
      </w:pPr>
      <w:r>
        <w:rPr>
          <w:spacing w:val="-1"/>
          <w:sz w:val="24"/>
          <w:szCs w:val="24"/>
        </w:rPr>
        <w:t>Using detergents, frequent shower or internal disorders can disrupt the vaginal flora, consisting of lactic acid bacteria such as lactobacilli and resulting an overgrowt</w:t>
      </w:r>
      <w:r>
        <w:rPr>
          <w:spacing w:val="-1"/>
          <w:sz w:val="24"/>
          <w:szCs w:val="24"/>
        </w:rPr>
        <w:t xml:space="preserve">h of </w:t>
      </w:r>
      <w:r>
        <w:rPr>
          <w:i/>
          <w:iCs/>
          <w:spacing w:val="-1"/>
          <w:sz w:val="24"/>
          <w:szCs w:val="24"/>
        </w:rPr>
        <w:t>C</w:t>
      </w:r>
      <w:r>
        <w:rPr>
          <w:i/>
          <w:iCs/>
          <w:spacing w:val="-1"/>
          <w:sz w:val="24"/>
          <w:szCs w:val="24"/>
        </w:rPr>
        <w:t>andida</w:t>
      </w:r>
      <w:r>
        <w:rPr>
          <w:spacing w:val="-1"/>
          <w:sz w:val="24"/>
          <w:szCs w:val="24"/>
        </w:rPr>
        <w:t xml:space="preserve"> cells and vaginal candidiasis (</w:t>
      </w:r>
      <w:r>
        <w:rPr>
          <w:rFonts w:eastAsia="SimSun"/>
          <w:color w:val="222222"/>
          <w:sz w:val="24"/>
          <w:szCs w:val="24"/>
          <w:shd w:val="clear" w:color="auto" w:fill="FFFFFF"/>
        </w:rPr>
        <w:t xml:space="preserve">Chen </w:t>
      </w:r>
      <w:r>
        <w:rPr>
          <w:rFonts w:eastAsia="SimSun"/>
          <w:color w:val="222222"/>
          <w:sz w:val="24"/>
          <w:szCs w:val="24"/>
          <w:shd w:val="clear" w:color="auto" w:fill="FFFFFF"/>
        </w:rPr>
        <w:t>et al.,</w:t>
      </w:r>
      <w:r>
        <w:rPr>
          <w:rFonts w:eastAsia="SimSun"/>
          <w:color w:val="222222"/>
          <w:sz w:val="24"/>
          <w:szCs w:val="24"/>
          <w:shd w:val="clear" w:color="auto" w:fill="FFFFFF"/>
        </w:rPr>
        <w:t xml:space="preserve"> 2017). </w:t>
      </w:r>
      <w:r>
        <w:rPr>
          <w:spacing w:val="-1"/>
          <w:sz w:val="24"/>
          <w:szCs w:val="24"/>
        </w:rPr>
        <w:t>Medical benefits of medicinal plants in various drugs and as pharmaceutical products are important (</w:t>
      </w:r>
      <w:r>
        <w:rPr>
          <w:rFonts w:eastAsia="SimSun"/>
          <w:color w:val="222222"/>
          <w:sz w:val="24"/>
          <w:szCs w:val="24"/>
          <w:shd w:val="clear" w:color="auto" w:fill="FFFFFF"/>
        </w:rPr>
        <w:t xml:space="preserve">Nath </w:t>
      </w:r>
      <w:r>
        <w:rPr>
          <w:rFonts w:eastAsia="SimSun"/>
          <w:color w:val="222222"/>
          <w:sz w:val="24"/>
          <w:szCs w:val="24"/>
          <w:shd w:val="clear" w:color="auto" w:fill="FFFFFF"/>
        </w:rPr>
        <w:t>et al.,</w:t>
      </w:r>
      <w:r>
        <w:rPr>
          <w:rFonts w:eastAsia="SimSun"/>
          <w:color w:val="222222"/>
          <w:sz w:val="24"/>
          <w:szCs w:val="24"/>
          <w:shd w:val="clear" w:color="auto" w:fill="FFFFFF"/>
        </w:rPr>
        <w:t xml:space="preserve"> 2023).</w:t>
      </w:r>
      <w:r>
        <w:rPr>
          <w:spacing w:val="-1"/>
          <w:sz w:val="24"/>
          <w:szCs w:val="24"/>
        </w:rPr>
        <w:t xml:space="preserve">  Medicinal plants are applied in various fields of medicine, industry, a</w:t>
      </w:r>
      <w:r>
        <w:rPr>
          <w:spacing w:val="-1"/>
          <w:sz w:val="24"/>
          <w:szCs w:val="24"/>
        </w:rPr>
        <w:t>griculture, food and numerous applications (</w:t>
      </w:r>
      <w:r>
        <w:rPr>
          <w:rFonts w:eastAsia="SimSun"/>
          <w:color w:val="222222"/>
          <w:sz w:val="24"/>
          <w:szCs w:val="24"/>
          <w:shd w:val="clear" w:color="auto" w:fill="FFFFFF"/>
        </w:rPr>
        <w:t xml:space="preserve">Hatami </w:t>
      </w:r>
      <w:r>
        <w:rPr>
          <w:rFonts w:eastAsia="SimSun"/>
          <w:color w:val="222222"/>
          <w:sz w:val="24"/>
          <w:szCs w:val="24"/>
          <w:shd w:val="clear" w:color="auto" w:fill="FFFFFF"/>
        </w:rPr>
        <w:t>et al.,</w:t>
      </w:r>
      <w:r>
        <w:rPr>
          <w:rFonts w:eastAsia="SimSun"/>
          <w:color w:val="222222"/>
          <w:sz w:val="24"/>
          <w:szCs w:val="24"/>
          <w:shd w:val="clear" w:color="auto" w:fill="FFFFFF"/>
        </w:rPr>
        <w:t xml:space="preserve"> 2024)</w:t>
      </w:r>
      <w:r>
        <w:rPr>
          <w:spacing w:val="-1"/>
          <w:sz w:val="24"/>
          <w:szCs w:val="24"/>
        </w:rPr>
        <w:t>. The main causes of this trend are low side effects of natural products and high side effect of synthetic drugs and environmental pollution (</w:t>
      </w:r>
      <w:r>
        <w:rPr>
          <w:rFonts w:eastAsia="SimSun"/>
          <w:color w:val="222222"/>
          <w:sz w:val="24"/>
          <w:szCs w:val="24"/>
          <w:shd w:val="clear" w:color="auto" w:fill="FFFFFF"/>
        </w:rPr>
        <w:t xml:space="preserve">Abdallah </w:t>
      </w:r>
      <w:r>
        <w:rPr>
          <w:rFonts w:eastAsia="SimSun"/>
          <w:color w:val="222222"/>
          <w:sz w:val="24"/>
          <w:szCs w:val="24"/>
          <w:shd w:val="clear" w:color="auto" w:fill="FFFFFF"/>
        </w:rPr>
        <w:t>et al.,</w:t>
      </w:r>
      <w:r>
        <w:rPr>
          <w:rFonts w:eastAsia="SimSun"/>
          <w:color w:val="222222"/>
          <w:sz w:val="24"/>
          <w:szCs w:val="24"/>
          <w:shd w:val="clear" w:color="auto" w:fill="FFFFFF"/>
        </w:rPr>
        <w:t xml:space="preserve"> 2023).</w:t>
      </w:r>
    </w:p>
    <w:p w:rsidR="001104CA" w:rsidRDefault="00C032A7">
      <w:pPr>
        <w:pStyle w:val="NormalWeb"/>
        <w:spacing w:before="0" w:beforeAutospacing="0" w:after="0" w:afterAutospacing="0" w:line="480" w:lineRule="auto"/>
        <w:ind w:firstLine="720"/>
        <w:jc w:val="both"/>
      </w:pPr>
      <w:r>
        <w:rPr>
          <w:i/>
          <w:spacing w:val="1"/>
        </w:rPr>
        <w:t>Z</w:t>
      </w:r>
      <w:r>
        <w:rPr>
          <w:i/>
        </w:rPr>
        <w:t>ing</w:t>
      </w:r>
      <w:r>
        <w:rPr>
          <w:i/>
          <w:spacing w:val="1"/>
        </w:rPr>
        <w:t>i</w:t>
      </w:r>
      <w:r>
        <w:rPr>
          <w:i/>
        </w:rPr>
        <w:t>b</w:t>
      </w:r>
      <w:r>
        <w:rPr>
          <w:i/>
          <w:spacing w:val="-1"/>
        </w:rPr>
        <w:t>e</w:t>
      </w:r>
      <w:r>
        <w:rPr>
          <w:i/>
        </w:rPr>
        <w:t>r</w:t>
      </w:r>
      <w:r>
        <w:rPr>
          <w:i/>
          <w:spacing w:val="1"/>
        </w:rPr>
        <w:t xml:space="preserve"> </w:t>
      </w:r>
      <w:r>
        <w:rPr>
          <w:i/>
        </w:rPr>
        <w:t>of</w:t>
      </w:r>
      <w:r>
        <w:rPr>
          <w:i/>
          <w:spacing w:val="1"/>
        </w:rPr>
        <w:t>f</w:t>
      </w:r>
      <w:r>
        <w:rPr>
          <w:i/>
        </w:rPr>
        <w:t>icinale</w:t>
      </w:r>
      <w:r>
        <w:rPr>
          <w:i/>
          <w:spacing w:val="2"/>
        </w:rPr>
        <w:t xml:space="preserve"> </w:t>
      </w:r>
      <w:r>
        <w:t>(kno</w:t>
      </w:r>
      <w:r>
        <w:rPr>
          <w:spacing w:val="-1"/>
        </w:rPr>
        <w:t>w</w:t>
      </w:r>
      <w:r>
        <w:t>n</w:t>
      </w:r>
      <w:r>
        <w:rPr>
          <w:spacing w:val="1"/>
        </w:rPr>
        <w:t xml:space="preserve"> </w:t>
      </w:r>
      <w:r>
        <w:rPr>
          <w:spacing w:val="-1"/>
        </w:rPr>
        <w:t>a</w:t>
      </w:r>
      <w:r>
        <w:t>s</w:t>
      </w:r>
      <w:r>
        <w:rPr>
          <w:spacing w:val="1"/>
        </w:rPr>
        <w:t xml:space="preserve"> </w:t>
      </w:r>
      <w:r>
        <w:rPr>
          <w:i/>
        </w:rPr>
        <w:t>Chi</w:t>
      </w:r>
      <w:r>
        <w:rPr>
          <w:i/>
          <w:spacing w:val="1"/>
        </w:rPr>
        <w:t>t</w:t>
      </w:r>
      <w:r>
        <w:rPr>
          <w:i/>
        </w:rPr>
        <w:t>ta</w:t>
      </w:r>
      <w:r>
        <w:rPr>
          <w:spacing w:val="1"/>
        </w:rPr>
        <w:t xml:space="preserve"> </w:t>
      </w:r>
      <w:r>
        <w:t>in</w:t>
      </w:r>
      <w:r>
        <w:rPr>
          <w:spacing w:val="2"/>
        </w:rPr>
        <w:t xml:space="preserve"> </w:t>
      </w:r>
      <w:r>
        <w:t>H</w:t>
      </w:r>
      <w:r>
        <w:rPr>
          <w:spacing w:val="-1"/>
        </w:rPr>
        <w:t>a</w:t>
      </w:r>
      <w:r>
        <w:t xml:space="preserve">usa </w:t>
      </w:r>
      <w:r>
        <w:rPr>
          <w:spacing w:val="3"/>
        </w:rPr>
        <w:t>l</w:t>
      </w:r>
      <w:r>
        <w:rPr>
          <w:spacing w:val="-1"/>
        </w:rPr>
        <w:t>a</w:t>
      </w:r>
      <w:r>
        <w:t>n</w:t>
      </w:r>
      <w:r>
        <w:rPr>
          <w:spacing w:val="-2"/>
        </w:rPr>
        <w:t>g</w:t>
      </w:r>
      <w:r>
        <w:rPr>
          <w:spacing w:val="2"/>
        </w:rPr>
        <w:t>u</w:t>
      </w:r>
      <w:r>
        <w:rPr>
          <w:spacing w:val="1"/>
        </w:rPr>
        <w:t>a</w:t>
      </w:r>
      <w:r>
        <w:rPr>
          <w:spacing w:val="-2"/>
        </w:rPr>
        <w:t>g</w:t>
      </w:r>
      <w:r>
        <w:t>e</w:t>
      </w:r>
      <w:r>
        <w:rPr>
          <w:spacing w:val="3"/>
        </w:rPr>
        <w:t xml:space="preserve"> </w:t>
      </w:r>
      <w:r>
        <w:rPr>
          <w:spacing w:val="-1"/>
        </w:rPr>
        <w:t>a</w:t>
      </w:r>
      <w:r>
        <w:t>nd</w:t>
      </w:r>
      <w:r>
        <w:rPr>
          <w:spacing w:val="1"/>
        </w:rPr>
        <w:t xml:space="preserve"> </w:t>
      </w:r>
      <w:r>
        <w:t>Gi</w:t>
      </w:r>
      <w:r>
        <w:rPr>
          <w:spacing w:val="2"/>
        </w:rPr>
        <w:t>n</w:t>
      </w:r>
      <w:r>
        <w:rPr>
          <w:spacing w:val="-2"/>
        </w:rPr>
        <w:t>g</w:t>
      </w:r>
      <w:r>
        <w:rPr>
          <w:spacing w:val="1"/>
        </w:rPr>
        <w:t>e</w:t>
      </w:r>
      <w:r>
        <w:t>r in</w:t>
      </w:r>
      <w:r>
        <w:rPr>
          <w:spacing w:val="4"/>
        </w:rPr>
        <w:t xml:space="preserve"> </w:t>
      </w:r>
      <w:r>
        <w:t>En</w:t>
      </w:r>
      <w:r>
        <w:rPr>
          <w:spacing w:val="-3"/>
        </w:rPr>
        <w:t>g</w:t>
      </w:r>
      <w:r>
        <w:t>l</w:t>
      </w:r>
      <w:r>
        <w:rPr>
          <w:spacing w:val="1"/>
        </w:rPr>
        <w:t>i</w:t>
      </w:r>
      <w:r>
        <w:t>sh)</w:t>
      </w:r>
      <w:r>
        <w:rPr>
          <w:spacing w:val="7"/>
        </w:rPr>
        <w:t xml:space="preserve"> </w:t>
      </w:r>
      <w:r>
        <w:t>b</w:t>
      </w:r>
      <w:r>
        <w:rPr>
          <w:spacing w:val="-1"/>
        </w:rPr>
        <w:t>e</w:t>
      </w:r>
      <w:r>
        <w:t>lo</w:t>
      </w:r>
      <w:r>
        <w:rPr>
          <w:spacing w:val="3"/>
        </w:rPr>
        <w:t>n</w:t>
      </w:r>
      <w:r>
        <w:rPr>
          <w:spacing w:val="-2"/>
        </w:rPr>
        <w:t>g</w:t>
      </w:r>
      <w:r>
        <w:t>s</w:t>
      </w:r>
      <w:r>
        <w:rPr>
          <w:spacing w:val="1"/>
        </w:rPr>
        <w:t xml:space="preserve"> </w:t>
      </w:r>
      <w:r>
        <w:t>to</w:t>
      </w:r>
      <w:r>
        <w:rPr>
          <w:spacing w:val="2"/>
        </w:rPr>
        <w:t xml:space="preserve"> </w:t>
      </w:r>
      <w:r>
        <w:t>the f</w:t>
      </w:r>
      <w:r>
        <w:rPr>
          <w:spacing w:val="-2"/>
        </w:rPr>
        <w:t>a</w:t>
      </w:r>
      <w:r>
        <w:t>m</w:t>
      </w:r>
      <w:r>
        <w:rPr>
          <w:spacing w:val="1"/>
        </w:rPr>
        <w:t>i</w:t>
      </w:r>
      <w:r>
        <w:rPr>
          <w:spacing w:val="3"/>
        </w:rPr>
        <w:t>l</w:t>
      </w:r>
      <w:r>
        <w:t>y</w:t>
      </w:r>
      <w:r>
        <w:rPr>
          <w:spacing w:val="-17"/>
        </w:rPr>
        <w:t xml:space="preserve"> </w:t>
      </w:r>
      <w:r>
        <w:rPr>
          <w:spacing w:val="-3"/>
        </w:rPr>
        <w:t>Z</w:t>
      </w:r>
      <w:r>
        <w:t>i</w:t>
      </w:r>
      <w:r>
        <w:rPr>
          <w:spacing w:val="3"/>
        </w:rPr>
        <w:t>n</w:t>
      </w:r>
      <w:r>
        <w:rPr>
          <w:spacing w:val="-2"/>
        </w:rPr>
        <w:t>g</w:t>
      </w:r>
      <w:r>
        <w:t>ibe</w:t>
      </w:r>
      <w:r>
        <w:rPr>
          <w:spacing w:val="1"/>
        </w:rPr>
        <w:t>r</w:t>
      </w:r>
      <w:r>
        <w:rPr>
          <w:spacing w:val="-1"/>
        </w:rPr>
        <w:t>ac</w:t>
      </w:r>
      <w:r>
        <w:rPr>
          <w:spacing w:val="1"/>
        </w:rPr>
        <w:t>e</w:t>
      </w:r>
      <w:r>
        <w:rPr>
          <w:spacing w:val="-1"/>
        </w:rPr>
        <w:t>ae</w:t>
      </w:r>
      <w:r>
        <w:t>.</w:t>
      </w:r>
      <w:r>
        <w:rPr>
          <w:spacing w:val="-14"/>
        </w:rPr>
        <w:t xml:space="preserve"> </w:t>
      </w:r>
      <w:r>
        <w:t>T</w:t>
      </w:r>
      <w:r>
        <w:rPr>
          <w:spacing w:val="2"/>
        </w:rPr>
        <w:t xml:space="preserve">hey </w:t>
      </w:r>
      <w:r>
        <w:t>are</w:t>
      </w:r>
      <w:r>
        <w:rPr>
          <w:spacing w:val="-15"/>
        </w:rPr>
        <w:t xml:space="preserve"> </w:t>
      </w:r>
      <w:r>
        <w:t>tube</w:t>
      </w:r>
      <w:r>
        <w:rPr>
          <w:spacing w:val="-1"/>
        </w:rPr>
        <w:t>r</w:t>
      </w:r>
      <w:r>
        <w:t>ous</w:t>
      </w:r>
      <w:r>
        <w:rPr>
          <w:spacing w:val="-14"/>
        </w:rPr>
        <w:t xml:space="preserve"> </w:t>
      </w:r>
      <w:r>
        <w:t>or</w:t>
      </w:r>
      <w:r>
        <w:rPr>
          <w:spacing w:val="-15"/>
        </w:rPr>
        <w:t xml:space="preserve"> </w:t>
      </w:r>
      <w:r>
        <w:rPr>
          <w:spacing w:val="2"/>
        </w:rPr>
        <w:t>n</w:t>
      </w:r>
      <w:r>
        <w:t>o</w:t>
      </w:r>
      <w:r>
        <w:rPr>
          <w:spacing w:val="4"/>
        </w:rPr>
        <w:t>n</w:t>
      </w:r>
      <w:r>
        <w:rPr>
          <w:spacing w:val="-1"/>
        </w:rPr>
        <w:t>-</w:t>
      </w:r>
      <w:r>
        <w:t>tube</w:t>
      </w:r>
      <w:r>
        <w:rPr>
          <w:spacing w:val="-1"/>
        </w:rPr>
        <w:t>r</w:t>
      </w:r>
      <w:r>
        <w:t>ous</w:t>
      </w:r>
      <w:r>
        <w:rPr>
          <w:spacing w:val="-14"/>
        </w:rPr>
        <w:t xml:space="preserve"> </w:t>
      </w:r>
      <w:r>
        <w:t>rhi</w:t>
      </w:r>
      <w:r>
        <w:rPr>
          <w:spacing w:val="1"/>
        </w:rPr>
        <w:t>z</w:t>
      </w:r>
      <w:r>
        <w:t>omes, whi</w:t>
      </w:r>
      <w:r>
        <w:rPr>
          <w:spacing w:val="-1"/>
        </w:rPr>
        <w:t>c</w:t>
      </w:r>
      <w:r>
        <w:t>h</w:t>
      </w:r>
      <w:r>
        <w:rPr>
          <w:spacing w:val="1"/>
        </w:rPr>
        <w:t xml:space="preserve"> </w:t>
      </w:r>
      <w:r>
        <w:t>h</w:t>
      </w:r>
      <w:r>
        <w:rPr>
          <w:spacing w:val="-1"/>
        </w:rPr>
        <w:t>a</w:t>
      </w:r>
      <w:r>
        <w:t>ve</w:t>
      </w:r>
      <w:r>
        <w:rPr>
          <w:spacing w:val="1"/>
        </w:rPr>
        <w:t xml:space="preserve"> </w:t>
      </w:r>
      <w:r>
        <w:t xml:space="preserve">a </w:t>
      </w:r>
      <w:r>
        <w:rPr>
          <w:spacing w:val="2"/>
        </w:rPr>
        <w:t>p</w:t>
      </w:r>
      <w:r>
        <w:rPr>
          <w:spacing w:val="-1"/>
        </w:rPr>
        <w:t>a</w:t>
      </w:r>
      <w:r>
        <w:t>rti</w:t>
      </w:r>
      <w:r>
        <w:rPr>
          <w:spacing w:val="-1"/>
        </w:rPr>
        <w:t>c</w:t>
      </w:r>
      <w:r>
        <w:t>u</w:t>
      </w:r>
      <w:r>
        <w:rPr>
          <w:spacing w:val="3"/>
        </w:rPr>
        <w:t>l</w:t>
      </w:r>
      <w:r>
        <w:rPr>
          <w:spacing w:val="-1"/>
        </w:rPr>
        <w:t>a</w:t>
      </w:r>
      <w:r>
        <w:t xml:space="preserve">r </w:t>
      </w:r>
      <w:r>
        <w:rPr>
          <w:spacing w:val="1"/>
        </w:rPr>
        <w:t>a</w:t>
      </w:r>
      <w:r>
        <w:t xml:space="preserve">roma </w:t>
      </w:r>
      <w:r>
        <w:rPr>
          <w:spacing w:val="-1"/>
        </w:rPr>
        <w:t>a</w:t>
      </w:r>
      <w:r>
        <w:t>nd</w:t>
      </w:r>
      <w:r>
        <w:rPr>
          <w:spacing w:val="1"/>
        </w:rPr>
        <w:t xml:space="preserve"> </w:t>
      </w:r>
      <w:r>
        <w:t>pos</w:t>
      </w:r>
      <w:r>
        <w:rPr>
          <w:spacing w:val="3"/>
        </w:rPr>
        <w:t>s</w:t>
      </w:r>
      <w:r>
        <w:rPr>
          <w:spacing w:val="-1"/>
        </w:rPr>
        <w:t>e</w:t>
      </w:r>
      <w:r>
        <w:t>ss</w:t>
      </w:r>
      <w:r>
        <w:rPr>
          <w:spacing w:val="4"/>
        </w:rPr>
        <w:t xml:space="preserve"> </w:t>
      </w:r>
      <w:r>
        <w:t>dif</w:t>
      </w:r>
      <w:r>
        <w:rPr>
          <w:spacing w:val="-1"/>
        </w:rPr>
        <w:t>fe</w:t>
      </w:r>
      <w:r>
        <w:rPr>
          <w:spacing w:val="1"/>
        </w:rPr>
        <w:t>r</w:t>
      </w:r>
      <w:r>
        <w:rPr>
          <w:spacing w:val="-1"/>
        </w:rPr>
        <w:t>e</w:t>
      </w:r>
      <w:r>
        <w:t>nt</w:t>
      </w:r>
      <w:r>
        <w:rPr>
          <w:spacing w:val="1"/>
        </w:rPr>
        <w:t xml:space="preserve"> </w:t>
      </w:r>
      <w:r>
        <w:t>medi</w:t>
      </w:r>
      <w:r>
        <w:rPr>
          <w:spacing w:val="-1"/>
        </w:rPr>
        <w:t>c</w:t>
      </w:r>
      <w:r>
        <w:t>inal</w:t>
      </w:r>
      <w:r>
        <w:rPr>
          <w:spacing w:val="1"/>
        </w:rPr>
        <w:t xml:space="preserve"> </w:t>
      </w:r>
      <w:r>
        <w:t>pro</w:t>
      </w:r>
      <w:r>
        <w:rPr>
          <w:spacing w:val="1"/>
        </w:rPr>
        <w:t>p</w:t>
      </w:r>
      <w:r>
        <w:rPr>
          <w:spacing w:val="-1"/>
        </w:rPr>
        <w:t>e</w:t>
      </w:r>
      <w:r>
        <w:rPr>
          <w:spacing w:val="1"/>
        </w:rPr>
        <w:t>r</w:t>
      </w:r>
      <w:r>
        <w:t>t</w:t>
      </w:r>
      <w:r>
        <w:rPr>
          <w:spacing w:val="1"/>
        </w:rPr>
        <w:t>i</w:t>
      </w:r>
      <w:r>
        <w:rPr>
          <w:spacing w:val="-1"/>
        </w:rPr>
        <w:t>e</w:t>
      </w:r>
      <w:r>
        <w:t xml:space="preserve">s. It </w:t>
      </w:r>
      <w:r>
        <w:lastRenderedPageBreak/>
        <w:t xml:space="preserve">is a flowering plant whose rhizome (ginger root) is widely used as a spice and for its medicinal properties. Ginger has been used in traditional medicine systems, including Ayurveda, Chinese medicine, and Western herbalism, for thousands of years. </w:t>
      </w:r>
      <w:r>
        <w:rPr>
          <w:spacing w:val="-6"/>
        </w:rPr>
        <w:t>I</w:t>
      </w:r>
      <w:r>
        <w:t>n</w:t>
      </w:r>
      <w:r>
        <w:rPr>
          <w:spacing w:val="1"/>
        </w:rPr>
        <w:t xml:space="preserve"> </w:t>
      </w:r>
      <w:r>
        <w:t>t</w:t>
      </w:r>
      <w:r>
        <w:rPr>
          <w:spacing w:val="3"/>
        </w:rPr>
        <w:t>h</w:t>
      </w:r>
      <w:r>
        <w:t>e tr</w:t>
      </w:r>
      <w:r>
        <w:rPr>
          <w:spacing w:val="-1"/>
        </w:rPr>
        <w:t>a</w:t>
      </w:r>
      <w:r>
        <w:t>di</w:t>
      </w:r>
      <w:r>
        <w:rPr>
          <w:spacing w:val="1"/>
        </w:rPr>
        <w:t>t</w:t>
      </w:r>
      <w:r>
        <w:t>ional medi</w:t>
      </w:r>
      <w:r>
        <w:rPr>
          <w:spacing w:val="-1"/>
        </w:rPr>
        <w:t>c</w:t>
      </w:r>
      <w:r>
        <w:t>ine,</w:t>
      </w:r>
      <w:r>
        <w:rPr>
          <w:spacing w:val="4"/>
        </w:rPr>
        <w:t xml:space="preserve"> the </w:t>
      </w:r>
      <w:r>
        <w:rPr>
          <w:spacing w:val="-2"/>
        </w:rPr>
        <w:t>g</w:t>
      </w:r>
      <w:r>
        <w:t>n</w:t>
      </w:r>
      <w:r>
        <w:rPr>
          <w:spacing w:val="1"/>
        </w:rPr>
        <w:t>a</w:t>
      </w:r>
      <w:r>
        <w:t>r</w:t>
      </w:r>
      <w:r>
        <w:rPr>
          <w:spacing w:val="2"/>
        </w:rPr>
        <w:t>l</w:t>
      </w:r>
      <w:r>
        <w:rPr>
          <w:spacing w:val="-5"/>
        </w:rPr>
        <w:t>y</w:t>
      </w:r>
      <w:r>
        <w:t>,</w:t>
      </w:r>
      <w:r>
        <w:rPr>
          <w:spacing w:val="5"/>
        </w:rPr>
        <w:t xml:space="preserve"> </w:t>
      </w:r>
      <w:r>
        <w:t>th</w:t>
      </w:r>
      <w:r>
        <w:rPr>
          <w:spacing w:val="1"/>
        </w:rPr>
        <w:t>i</w:t>
      </w:r>
      <w:r>
        <w:rPr>
          <w:spacing w:val="-1"/>
        </w:rPr>
        <w:t>c</w:t>
      </w:r>
      <w:r>
        <w:t>k</w:t>
      </w:r>
      <w:r>
        <w:rPr>
          <w:spacing w:val="3"/>
        </w:rPr>
        <w:t xml:space="preserve"> </w:t>
      </w:r>
      <w:r>
        <w:rPr>
          <w:spacing w:val="2"/>
        </w:rPr>
        <w:t>u</w:t>
      </w:r>
      <w:r>
        <w:t>nd</w:t>
      </w:r>
      <w:r>
        <w:rPr>
          <w:spacing w:val="-1"/>
        </w:rPr>
        <w:t>e</w:t>
      </w:r>
      <w:r>
        <w:rPr>
          <w:spacing w:val="1"/>
        </w:rPr>
        <w:t>r</w:t>
      </w:r>
      <w:r>
        <w:rPr>
          <w:spacing w:val="-2"/>
        </w:rPr>
        <w:t>g</w:t>
      </w:r>
      <w:r>
        <w:t>round</w:t>
      </w:r>
      <w:r>
        <w:rPr>
          <w:spacing w:val="2"/>
        </w:rPr>
        <w:t xml:space="preserve"> </w:t>
      </w:r>
      <w:r>
        <w:t>s</w:t>
      </w:r>
      <w:r>
        <w:rPr>
          <w:spacing w:val="3"/>
        </w:rPr>
        <w:t>t</w:t>
      </w:r>
      <w:r>
        <w:rPr>
          <w:spacing w:val="-1"/>
        </w:rPr>
        <w:t>e</w:t>
      </w:r>
      <w:r>
        <w:t>m</w:t>
      </w:r>
      <w:r>
        <w:rPr>
          <w:spacing w:val="3"/>
        </w:rPr>
        <w:t xml:space="preserve"> </w:t>
      </w:r>
      <w:r>
        <w:t>(</w:t>
      </w:r>
      <w:r>
        <w:rPr>
          <w:spacing w:val="-1"/>
        </w:rPr>
        <w:t>r</w:t>
      </w:r>
      <w:r>
        <w:t>hi</w:t>
      </w:r>
      <w:r>
        <w:rPr>
          <w:spacing w:val="5"/>
        </w:rPr>
        <w:t>z</w:t>
      </w:r>
      <w:r>
        <w:t>om</w:t>
      </w:r>
      <w:r>
        <w:rPr>
          <w:spacing w:val="-1"/>
        </w:rPr>
        <w:t>e</w:t>
      </w:r>
      <w:r>
        <w:t>)</w:t>
      </w:r>
      <w:r>
        <w:rPr>
          <w:spacing w:val="2"/>
        </w:rPr>
        <w:t xml:space="preserve"> </w:t>
      </w:r>
      <w:r>
        <w:t>of</w:t>
      </w:r>
      <w:r>
        <w:rPr>
          <w:spacing w:val="6"/>
        </w:rPr>
        <w:t xml:space="preserve"> </w:t>
      </w:r>
      <w:r>
        <w:rPr>
          <w:spacing w:val="-2"/>
        </w:rPr>
        <w:t>g</w:t>
      </w:r>
      <w:r>
        <w:t>i</w:t>
      </w:r>
      <w:r>
        <w:rPr>
          <w:spacing w:val="3"/>
        </w:rPr>
        <w:t>n</w:t>
      </w:r>
      <w:r>
        <w:rPr>
          <w:spacing w:val="-2"/>
        </w:rPr>
        <w:t>g</w:t>
      </w:r>
      <w:r>
        <w:rPr>
          <w:spacing w:val="-1"/>
        </w:rPr>
        <w:t>e</w:t>
      </w:r>
      <w:r>
        <w:t>r</w:t>
      </w:r>
      <w:r>
        <w:rPr>
          <w:spacing w:val="4"/>
        </w:rPr>
        <w:t xml:space="preserve"> </w:t>
      </w:r>
      <w:r>
        <w:t>is</w:t>
      </w:r>
      <w:r>
        <w:rPr>
          <w:spacing w:val="3"/>
        </w:rPr>
        <w:t xml:space="preserve"> </w:t>
      </w:r>
      <w:r>
        <w:rPr>
          <w:spacing w:val="-1"/>
        </w:rPr>
        <w:t>c</w:t>
      </w:r>
      <w:r>
        <w:t>om</w:t>
      </w:r>
      <w:r>
        <w:rPr>
          <w:spacing w:val="1"/>
        </w:rPr>
        <w:t>m</w:t>
      </w:r>
      <w:r>
        <w:t>on</w:t>
      </w:r>
      <w:r>
        <w:rPr>
          <w:spacing w:val="5"/>
        </w:rPr>
        <w:t>l</w:t>
      </w:r>
      <w:r>
        <w:t>y us</w:t>
      </w:r>
      <w:r>
        <w:rPr>
          <w:spacing w:val="-1"/>
        </w:rPr>
        <w:t>e</w:t>
      </w:r>
      <w:r>
        <w:t>d</w:t>
      </w:r>
      <w:r>
        <w:rPr>
          <w:spacing w:val="3"/>
        </w:rPr>
        <w:t xml:space="preserve"> </w:t>
      </w:r>
      <w:r>
        <w:rPr>
          <w:spacing w:val="1"/>
        </w:rPr>
        <w:t>(</w:t>
      </w:r>
      <w:r>
        <w:t>Y</w:t>
      </w:r>
      <w:r>
        <w:rPr>
          <w:spacing w:val="-1"/>
        </w:rPr>
        <w:t>a</w:t>
      </w:r>
      <w:r>
        <w:t>du</w:t>
      </w:r>
      <w:r>
        <w:rPr>
          <w:spacing w:val="1"/>
        </w:rPr>
        <w:t>f</w:t>
      </w:r>
      <w:r>
        <w:rPr>
          <w:spacing w:val="-1"/>
        </w:rPr>
        <w:t>a</w:t>
      </w:r>
      <w:r>
        <w:t>shi</w:t>
      </w:r>
      <w:r>
        <w:rPr>
          <w:spacing w:val="1"/>
        </w:rPr>
        <w:t>j</w:t>
      </w:r>
      <w:r>
        <w:t>e</w:t>
      </w:r>
      <w:r>
        <w:rPr>
          <w:spacing w:val="6"/>
        </w:rPr>
        <w:t xml:space="preserve"> </w:t>
      </w:r>
      <w:r>
        <w:rPr>
          <w:iCs/>
          <w:spacing w:val="-1"/>
        </w:rPr>
        <w:t>e</w:t>
      </w:r>
      <w:r>
        <w:rPr>
          <w:iCs/>
        </w:rPr>
        <w:t>t al.,</w:t>
      </w:r>
      <w:r>
        <w:t xml:space="preserve"> 2020</w:t>
      </w:r>
      <w:r>
        <w:rPr>
          <w:spacing w:val="-1"/>
        </w:rPr>
        <w:t>)</w:t>
      </w:r>
      <w:r>
        <w:t>.</w:t>
      </w:r>
    </w:p>
    <w:p w:rsidR="001104CA" w:rsidRDefault="00C032A7">
      <w:pPr>
        <w:numPr>
          <w:ilvl w:val="0"/>
          <w:numId w:val="1"/>
        </w:numPr>
        <w:spacing w:line="480" w:lineRule="auto"/>
        <w:ind w:right="76"/>
        <w:jc w:val="both"/>
        <w:rPr>
          <w:rFonts w:eastAsia="SimSun"/>
          <w:b/>
          <w:bCs/>
          <w:color w:val="222222"/>
          <w:sz w:val="24"/>
          <w:szCs w:val="24"/>
          <w:shd w:val="clear" w:color="auto" w:fill="FFFFFF"/>
        </w:rPr>
      </w:pPr>
      <w:r>
        <w:rPr>
          <w:rFonts w:eastAsia="SimSun"/>
          <w:color w:val="222222"/>
          <w:sz w:val="24"/>
          <w:szCs w:val="24"/>
          <w:shd w:val="clear" w:color="auto" w:fill="FFFFFF"/>
        </w:rPr>
        <w:t xml:space="preserve">      </w:t>
      </w:r>
      <w:r>
        <w:rPr>
          <w:rFonts w:eastAsia="SimSun"/>
          <w:b/>
          <w:bCs/>
          <w:color w:val="222222"/>
          <w:sz w:val="24"/>
          <w:szCs w:val="24"/>
          <w:shd w:val="clear" w:color="auto" w:fill="FFFFFF"/>
        </w:rPr>
        <w:t xml:space="preserve"> MATERIALS AND METHODS</w:t>
      </w:r>
    </w:p>
    <w:p w:rsidR="001104CA" w:rsidRDefault="00C032A7">
      <w:pPr>
        <w:spacing w:line="480" w:lineRule="auto"/>
        <w:ind w:right="76"/>
        <w:jc w:val="both"/>
        <w:rPr>
          <w:rFonts w:eastAsia="SimSun"/>
          <w:b/>
          <w:bCs/>
          <w:color w:val="222222"/>
          <w:sz w:val="24"/>
          <w:szCs w:val="24"/>
          <w:shd w:val="clear" w:color="auto" w:fill="FFFFFF"/>
        </w:rPr>
      </w:pPr>
      <w:r>
        <w:rPr>
          <w:rFonts w:eastAsia="SimSun"/>
          <w:b/>
          <w:bCs/>
          <w:color w:val="222222"/>
          <w:sz w:val="24"/>
          <w:szCs w:val="24"/>
          <w:shd w:val="clear" w:color="auto" w:fill="FFFFFF"/>
        </w:rPr>
        <w:t>2.1</w:t>
      </w:r>
      <w:r>
        <w:rPr>
          <w:rFonts w:eastAsia="SimSun"/>
          <w:b/>
          <w:bCs/>
          <w:color w:val="222222"/>
          <w:sz w:val="24"/>
          <w:szCs w:val="24"/>
          <w:shd w:val="clear" w:color="auto" w:fill="FFFFFF"/>
        </w:rPr>
        <w:tab/>
        <w:t>Reagents and Plant Materials</w:t>
      </w:r>
    </w:p>
    <w:p w:rsidR="001104CA" w:rsidRDefault="00C032A7">
      <w:pPr>
        <w:spacing w:line="480" w:lineRule="auto"/>
        <w:ind w:right="76"/>
        <w:jc w:val="both"/>
        <w:rPr>
          <w:sz w:val="24"/>
          <w:szCs w:val="24"/>
        </w:rPr>
      </w:pPr>
      <w:r>
        <w:rPr>
          <w:rFonts w:eastAsia="SimSun"/>
          <w:color w:val="222222"/>
          <w:sz w:val="24"/>
          <w:szCs w:val="24"/>
          <w:shd w:val="clear" w:color="auto" w:fill="FFFFFF"/>
        </w:rPr>
        <w:t xml:space="preserve">Solvents and chemicals used in the experiment were analytical grade and purchased from Jos, Nigeria. Distilled water was used throughout the experiment. Fresh matured samples of Zingiber officinale (Ginger) plant </w:t>
      </w:r>
      <w:r>
        <w:rPr>
          <w:sz w:val="24"/>
          <w:szCs w:val="24"/>
        </w:rPr>
        <w:t>w</w:t>
      </w:r>
      <w:r>
        <w:rPr>
          <w:sz w:val="24"/>
          <w:szCs w:val="24"/>
        </w:rPr>
        <w:t>as</w:t>
      </w:r>
      <w:r>
        <w:rPr>
          <w:sz w:val="24"/>
          <w:szCs w:val="24"/>
        </w:rPr>
        <w:t xml:space="preserve"> </w:t>
      </w:r>
      <w:r>
        <w:rPr>
          <w:sz w:val="24"/>
          <w:szCs w:val="24"/>
        </w:rPr>
        <w:t>harvested</w:t>
      </w:r>
      <w:r>
        <w:rPr>
          <w:sz w:val="24"/>
          <w:szCs w:val="24"/>
        </w:rPr>
        <w:t xml:space="preserve"> from a </w:t>
      </w:r>
      <w:r>
        <w:rPr>
          <w:sz w:val="24"/>
          <w:szCs w:val="24"/>
        </w:rPr>
        <w:t>farm at Bethany Christ</w:t>
      </w:r>
      <w:r>
        <w:rPr>
          <w:sz w:val="24"/>
          <w:szCs w:val="24"/>
        </w:rPr>
        <w:t>ian Academy Barkin Ladi, Plateau</w:t>
      </w:r>
      <w:r>
        <w:rPr>
          <w:sz w:val="24"/>
          <w:szCs w:val="24"/>
        </w:rPr>
        <w:t xml:space="preserve"> State</w:t>
      </w:r>
      <w:r>
        <w:rPr>
          <w:sz w:val="24"/>
          <w:szCs w:val="24"/>
        </w:rPr>
        <w:t xml:space="preserve">. </w:t>
      </w:r>
      <w:r>
        <w:rPr>
          <w:sz w:val="24"/>
          <w:szCs w:val="24"/>
        </w:rPr>
        <w:t>The plant material w</w:t>
      </w:r>
      <w:r>
        <w:rPr>
          <w:sz w:val="24"/>
          <w:szCs w:val="24"/>
        </w:rPr>
        <w:t>as</w:t>
      </w:r>
      <w:r>
        <w:rPr>
          <w:sz w:val="24"/>
          <w:szCs w:val="24"/>
        </w:rPr>
        <w:t xml:space="preserve"> identified and authenticated</w:t>
      </w:r>
      <w:r>
        <w:rPr>
          <w:sz w:val="24"/>
          <w:szCs w:val="24"/>
        </w:rPr>
        <w:t xml:space="preserve"> and the voucher number was obtained </w:t>
      </w:r>
      <w:r>
        <w:rPr>
          <w:sz w:val="24"/>
          <w:szCs w:val="24"/>
        </w:rPr>
        <w:t>at</w:t>
      </w:r>
      <w:r>
        <w:rPr>
          <w:sz w:val="24"/>
          <w:szCs w:val="24"/>
        </w:rPr>
        <w:t xml:space="preserve"> </w:t>
      </w:r>
      <w:r>
        <w:rPr>
          <w:sz w:val="24"/>
          <w:szCs w:val="24"/>
        </w:rPr>
        <w:t>the Federal college of Forestry Jos, Plateau State, Nigeria.</w:t>
      </w:r>
    </w:p>
    <w:p w:rsidR="001104CA" w:rsidRDefault="00C032A7">
      <w:pPr>
        <w:spacing w:line="480" w:lineRule="auto"/>
        <w:ind w:right="76"/>
        <w:jc w:val="both"/>
        <w:rPr>
          <w:sz w:val="24"/>
          <w:szCs w:val="24"/>
        </w:rPr>
      </w:pPr>
      <w:r>
        <w:rPr>
          <w:b/>
          <w:bCs/>
          <w:sz w:val="24"/>
          <w:szCs w:val="24"/>
        </w:rPr>
        <w:t>2.2</w:t>
      </w:r>
      <w:r>
        <w:rPr>
          <w:b/>
          <w:bCs/>
          <w:sz w:val="24"/>
          <w:szCs w:val="24"/>
        </w:rPr>
        <w:tab/>
        <w:t>Antifungal and Antibacterial Activity</w:t>
      </w:r>
      <w:r>
        <w:rPr>
          <w:sz w:val="24"/>
          <w:szCs w:val="24"/>
        </w:rPr>
        <w:tab/>
      </w:r>
    </w:p>
    <w:p w:rsidR="001104CA" w:rsidRDefault="00C032A7">
      <w:pPr>
        <w:spacing w:line="480" w:lineRule="auto"/>
        <w:ind w:right="76"/>
        <w:jc w:val="both"/>
        <w:rPr>
          <w:sz w:val="24"/>
          <w:szCs w:val="24"/>
        </w:rPr>
      </w:pPr>
      <w:r>
        <w:rPr>
          <w:sz w:val="24"/>
          <w:szCs w:val="24"/>
        </w:rPr>
        <w:t>The inhibition zone d</w:t>
      </w:r>
      <w:r>
        <w:rPr>
          <w:sz w:val="24"/>
          <w:szCs w:val="24"/>
        </w:rPr>
        <w:t xml:space="preserve">iameter (IZD), minimum inhibitory concentration (MIC) and minimum bacteriocidal concentration (MBC) were assessed using </w:t>
      </w:r>
      <w:r>
        <w:rPr>
          <w:sz w:val="24"/>
          <w:szCs w:val="24"/>
        </w:rPr>
        <w:t>disk diffussion method as described by Scorzoni et al., (2007)</w:t>
      </w:r>
      <w:r>
        <w:rPr>
          <w:sz w:val="24"/>
          <w:szCs w:val="24"/>
        </w:rPr>
        <w:t>.</w:t>
      </w:r>
    </w:p>
    <w:p w:rsidR="001104CA" w:rsidRDefault="00C032A7">
      <w:pPr>
        <w:spacing w:line="480" w:lineRule="auto"/>
        <w:jc w:val="both"/>
        <w:rPr>
          <w:color w:val="000000"/>
          <w:sz w:val="24"/>
          <w:szCs w:val="24"/>
          <w:lang w:eastAsia="en-GB"/>
        </w:rPr>
      </w:pPr>
      <w:r>
        <w:rPr>
          <w:sz w:val="24"/>
          <w:szCs w:val="24"/>
        </w:rPr>
        <w:t>2.3</w:t>
      </w:r>
      <w:r>
        <w:rPr>
          <w:sz w:val="24"/>
          <w:szCs w:val="24"/>
        </w:rPr>
        <w:tab/>
        <w:t xml:space="preserve">Determination of </w:t>
      </w:r>
      <w:r>
        <w:rPr>
          <w:i/>
          <w:iCs/>
          <w:sz w:val="24"/>
          <w:szCs w:val="24"/>
        </w:rPr>
        <w:t>in vivo</w:t>
      </w:r>
      <w:r>
        <w:rPr>
          <w:sz w:val="24"/>
          <w:szCs w:val="24"/>
        </w:rPr>
        <w:t xml:space="preserve"> serum electrolytes (Potassium, sodium, chlo</w:t>
      </w:r>
      <w:r>
        <w:rPr>
          <w:sz w:val="24"/>
          <w:szCs w:val="24"/>
        </w:rPr>
        <w:t>ride, and HCO</w:t>
      </w:r>
      <w:r>
        <w:rPr>
          <w:sz w:val="24"/>
          <w:szCs w:val="24"/>
        </w:rPr>
        <w:t xml:space="preserve">з) and anti-inflammatory markers (IL-4, IL-6 and </w:t>
      </w:r>
      <w:r>
        <w:rPr>
          <w:sz w:val="24"/>
          <w:szCs w:val="24"/>
        </w:rPr>
        <w:t xml:space="preserve">TNF-α </w:t>
      </w:r>
      <w:r>
        <w:rPr>
          <w:sz w:val="24"/>
          <w:szCs w:val="24"/>
        </w:rPr>
        <w:t>) were assessed using Enzyme-Linked Immunosorbent Assay (ELISA)</w:t>
      </w:r>
      <w:r>
        <w:rPr>
          <w:color w:val="000000"/>
          <w:sz w:val="24"/>
          <w:szCs w:val="24"/>
          <w:lang w:eastAsia="en-GB"/>
        </w:rPr>
        <w:t>.</w:t>
      </w:r>
    </w:p>
    <w:p w:rsidR="001104CA" w:rsidRDefault="00C032A7">
      <w:pPr>
        <w:spacing w:line="480" w:lineRule="auto"/>
        <w:ind w:right="76"/>
        <w:jc w:val="both"/>
        <w:rPr>
          <w:b/>
          <w:bCs/>
          <w:sz w:val="24"/>
          <w:szCs w:val="24"/>
        </w:rPr>
      </w:pPr>
      <w:r>
        <w:rPr>
          <w:b/>
          <w:bCs/>
          <w:sz w:val="24"/>
          <w:szCs w:val="24"/>
        </w:rPr>
        <w:t>3.</w:t>
      </w:r>
      <w:r>
        <w:rPr>
          <w:b/>
          <w:bCs/>
          <w:sz w:val="24"/>
          <w:szCs w:val="24"/>
        </w:rPr>
        <w:tab/>
        <w:t>RESULTS</w:t>
      </w:r>
    </w:p>
    <w:p w:rsidR="001104CA" w:rsidRDefault="00C032A7">
      <w:pPr>
        <w:spacing w:line="480" w:lineRule="auto"/>
        <w:ind w:right="76"/>
        <w:jc w:val="both"/>
        <w:rPr>
          <w:b/>
          <w:bCs/>
          <w:sz w:val="24"/>
          <w:szCs w:val="24"/>
        </w:rPr>
      </w:pPr>
      <w:r>
        <w:rPr>
          <w:b/>
          <w:bCs/>
          <w:sz w:val="24"/>
          <w:szCs w:val="24"/>
        </w:rPr>
        <w:t>3.1</w:t>
      </w:r>
      <w:r>
        <w:rPr>
          <w:b/>
          <w:bCs/>
          <w:sz w:val="24"/>
          <w:szCs w:val="24"/>
        </w:rPr>
        <w:tab/>
        <w:t>Phytochemical Constituents of the Plant Extract</w:t>
      </w:r>
    </w:p>
    <w:p w:rsidR="001104CA" w:rsidRDefault="00C032A7">
      <w:pPr>
        <w:spacing w:line="480" w:lineRule="auto"/>
        <w:ind w:firstLine="720"/>
        <w:jc w:val="both"/>
        <w:rPr>
          <w:iCs/>
          <w:sz w:val="24"/>
          <w:szCs w:val="24"/>
        </w:rPr>
      </w:pPr>
      <w:r>
        <w:rPr>
          <w:bCs/>
          <w:sz w:val="24"/>
          <w:szCs w:val="24"/>
        </w:rPr>
        <w:t xml:space="preserve">Table 1 </w:t>
      </w:r>
      <w:r>
        <w:rPr>
          <w:sz w:val="24"/>
          <w:szCs w:val="24"/>
        </w:rPr>
        <w:t xml:space="preserve">shows some phytochemicals that were found to be present in the </w:t>
      </w:r>
      <w:r>
        <w:rPr>
          <w:sz w:val="24"/>
          <w:szCs w:val="24"/>
        </w:rPr>
        <w:t xml:space="preserve">aqueous and </w:t>
      </w:r>
      <w:r>
        <w:rPr>
          <w:sz w:val="24"/>
          <w:szCs w:val="24"/>
        </w:rPr>
        <w:t xml:space="preserve">extract of </w:t>
      </w:r>
      <w:r>
        <w:rPr>
          <w:i/>
          <w:iCs/>
          <w:sz w:val="24"/>
          <w:szCs w:val="24"/>
        </w:rPr>
        <w:t>Zingiber officinale</w:t>
      </w:r>
      <w:r>
        <w:rPr>
          <w:sz w:val="24"/>
          <w:szCs w:val="24"/>
        </w:rPr>
        <w:t xml:space="preserve"> (Ginger). Alkaloids, flavonoids, tannins, saponins, terpenoids, c</w:t>
      </w:r>
      <w:r>
        <w:rPr>
          <w:iCs/>
          <w:sz w:val="24"/>
          <w:szCs w:val="24"/>
        </w:rPr>
        <w:t>ardiac glycosidase, balsam, carbohydrates, phenols</w:t>
      </w:r>
      <w:r>
        <w:rPr>
          <w:iCs/>
          <w:sz w:val="24"/>
          <w:szCs w:val="24"/>
        </w:rPr>
        <w:t xml:space="preserve">, </w:t>
      </w:r>
      <w:r>
        <w:rPr>
          <w:iCs/>
          <w:sz w:val="24"/>
          <w:szCs w:val="24"/>
        </w:rPr>
        <w:t>resins</w:t>
      </w:r>
      <w:r>
        <w:rPr>
          <w:iCs/>
          <w:sz w:val="24"/>
          <w:szCs w:val="24"/>
        </w:rPr>
        <w:t xml:space="preserve"> and </w:t>
      </w:r>
      <w:r>
        <w:rPr>
          <w:iCs/>
          <w:sz w:val="24"/>
          <w:szCs w:val="24"/>
        </w:rPr>
        <w:lastRenderedPageBreak/>
        <w:t>anthraquinone</w:t>
      </w:r>
      <w:r>
        <w:rPr>
          <w:iCs/>
          <w:sz w:val="24"/>
          <w:szCs w:val="24"/>
        </w:rPr>
        <w:t xml:space="preserve"> were fou</w:t>
      </w:r>
      <w:r>
        <w:rPr>
          <w:iCs/>
          <w:sz w:val="24"/>
          <w:szCs w:val="24"/>
        </w:rPr>
        <w:t>nd to be present</w:t>
      </w:r>
      <w:r>
        <w:rPr>
          <w:iCs/>
          <w:sz w:val="24"/>
          <w:szCs w:val="24"/>
        </w:rPr>
        <w:t xml:space="preserve"> while anthraquinine and balsam were absent in the aqueous extract</w:t>
      </w:r>
      <w:r>
        <w:rPr>
          <w:iCs/>
          <w:sz w:val="24"/>
          <w:szCs w:val="24"/>
        </w:rPr>
        <w:t xml:space="preserve"> while </w:t>
      </w:r>
      <w:r>
        <w:rPr>
          <w:sz w:val="24"/>
          <w:szCs w:val="24"/>
        </w:rPr>
        <w:t xml:space="preserve">some phytochemicals that were found to be present in the </w:t>
      </w:r>
      <w:r>
        <w:rPr>
          <w:sz w:val="24"/>
          <w:szCs w:val="24"/>
        </w:rPr>
        <w:t xml:space="preserve">metanol </w:t>
      </w:r>
      <w:r>
        <w:rPr>
          <w:sz w:val="24"/>
          <w:szCs w:val="24"/>
        </w:rPr>
        <w:t xml:space="preserve">extract of </w:t>
      </w:r>
      <w:r>
        <w:rPr>
          <w:i/>
          <w:iCs/>
          <w:sz w:val="24"/>
          <w:szCs w:val="24"/>
        </w:rPr>
        <w:t>Zingiber officinale</w:t>
      </w:r>
      <w:r>
        <w:rPr>
          <w:sz w:val="24"/>
          <w:szCs w:val="24"/>
        </w:rPr>
        <w:t xml:space="preserve"> (Ginger)</w:t>
      </w:r>
      <w:r>
        <w:rPr>
          <w:sz w:val="24"/>
          <w:szCs w:val="24"/>
        </w:rPr>
        <w:t xml:space="preserve"> were a</w:t>
      </w:r>
      <w:r>
        <w:rPr>
          <w:sz w:val="24"/>
          <w:szCs w:val="24"/>
        </w:rPr>
        <w:t>lkaloids, flavonoids, tannins, saponins, terpenoids, c</w:t>
      </w:r>
      <w:r>
        <w:rPr>
          <w:iCs/>
          <w:sz w:val="24"/>
          <w:szCs w:val="24"/>
        </w:rPr>
        <w:t>ar</w:t>
      </w:r>
      <w:r>
        <w:rPr>
          <w:iCs/>
          <w:sz w:val="24"/>
          <w:szCs w:val="24"/>
        </w:rPr>
        <w:t>diac glycosidase, balsam, carbohydrates, phenols</w:t>
      </w:r>
      <w:r>
        <w:rPr>
          <w:iCs/>
          <w:sz w:val="24"/>
          <w:szCs w:val="24"/>
        </w:rPr>
        <w:t xml:space="preserve">, </w:t>
      </w:r>
      <w:r>
        <w:rPr>
          <w:iCs/>
          <w:sz w:val="24"/>
          <w:szCs w:val="24"/>
        </w:rPr>
        <w:t>resins</w:t>
      </w:r>
      <w:r>
        <w:rPr>
          <w:iCs/>
          <w:sz w:val="24"/>
          <w:szCs w:val="24"/>
        </w:rPr>
        <w:t>,</w:t>
      </w:r>
      <w:r>
        <w:rPr>
          <w:iCs/>
          <w:sz w:val="24"/>
          <w:szCs w:val="24"/>
        </w:rPr>
        <w:t xml:space="preserve"> anthraquinone and balsam</w:t>
      </w:r>
      <w:r>
        <w:rPr>
          <w:iCs/>
          <w:sz w:val="24"/>
          <w:szCs w:val="24"/>
        </w:rPr>
        <w:t>.</w:t>
      </w:r>
    </w:p>
    <w:p w:rsidR="001104CA" w:rsidRDefault="00C032A7">
      <w:pPr>
        <w:spacing w:line="480" w:lineRule="auto"/>
        <w:ind w:firstLine="720"/>
        <w:jc w:val="both"/>
        <w:rPr>
          <w:iCs/>
          <w:sz w:val="24"/>
          <w:szCs w:val="24"/>
        </w:rPr>
      </w:pPr>
      <w:r>
        <w:rPr>
          <w:bCs/>
          <w:iCs/>
          <w:sz w:val="24"/>
          <w:szCs w:val="24"/>
        </w:rPr>
        <w:t xml:space="preserve">Table </w:t>
      </w:r>
      <w:r>
        <w:rPr>
          <w:bCs/>
          <w:iCs/>
          <w:sz w:val="24"/>
          <w:szCs w:val="24"/>
        </w:rPr>
        <w:t>2</w:t>
      </w:r>
      <w:r>
        <w:rPr>
          <w:bCs/>
          <w:iCs/>
          <w:sz w:val="24"/>
          <w:szCs w:val="24"/>
        </w:rPr>
        <w:t xml:space="preserve"> </w:t>
      </w:r>
      <w:r>
        <w:rPr>
          <w:iCs/>
          <w:sz w:val="24"/>
          <w:szCs w:val="24"/>
        </w:rPr>
        <w:t>shows the quantity of some</w:t>
      </w:r>
      <w:r>
        <w:rPr>
          <w:iCs/>
          <w:spacing w:val="14"/>
          <w:sz w:val="24"/>
          <w:szCs w:val="24"/>
        </w:rPr>
        <w:t xml:space="preserve"> p</w:t>
      </w:r>
      <w:r>
        <w:rPr>
          <w:iCs/>
          <w:sz w:val="24"/>
          <w:szCs w:val="24"/>
        </w:rPr>
        <w:t>hytochemicals that were present in the aqu</w:t>
      </w:r>
      <w:r>
        <w:rPr>
          <w:iCs/>
          <w:spacing w:val="-1"/>
          <w:sz w:val="24"/>
          <w:szCs w:val="24"/>
        </w:rPr>
        <w:t>e</w:t>
      </w:r>
      <w:r>
        <w:rPr>
          <w:iCs/>
          <w:sz w:val="24"/>
          <w:szCs w:val="24"/>
        </w:rPr>
        <w:t>ous</w:t>
      </w:r>
      <w:r>
        <w:rPr>
          <w:iCs/>
          <w:spacing w:val="14"/>
          <w:sz w:val="24"/>
          <w:szCs w:val="24"/>
        </w:rPr>
        <w:t xml:space="preserve"> e</w:t>
      </w:r>
      <w:r>
        <w:rPr>
          <w:iCs/>
          <w:spacing w:val="2"/>
          <w:sz w:val="24"/>
          <w:szCs w:val="24"/>
        </w:rPr>
        <w:t>x</w:t>
      </w:r>
      <w:r>
        <w:rPr>
          <w:iCs/>
          <w:sz w:val="24"/>
          <w:szCs w:val="24"/>
        </w:rPr>
        <w:t>tr</w:t>
      </w:r>
      <w:r>
        <w:rPr>
          <w:iCs/>
          <w:spacing w:val="-1"/>
          <w:sz w:val="24"/>
          <w:szCs w:val="24"/>
        </w:rPr>
        <w:t>ac</w:t>
      </w:r>
      <w:r>
        <w:rPr>
          <w:iCs/>
          <w:sz w:val="24"/>
          <w:szCs w:val="24"/>
        </w:rPr>
        <w:t>t</w:t>
      </w:r>
      <w:r>
        <w:rPr>
          <w:iCs/>
          <w:spacing w:val="15"/>
          <w:sz w:val="24"/>
          <w:szCs w:val="24"/>
        </w:rPr>
        <w:t xml:space="preserve"> of</w:t>
      </w:r>
      <w:r>
        <w:rPr>
          <w:iCs/>
          <w:sz w:val="24"/>
          <w:szCs w:val="24"/>
        </w:rPr>
        <w:t xml:space="preserve"> </w:t>
      </w:r>
      <w:r>
        <w:rPr>
          <w:i/>
          <w:spacing w:val="10"/>
          <w:sz w:val="24"/>
          <w:szCs w:val="24"/>
        </w:rPr>
        <w:t xml:space="preserve">Zingiber </w:t>
      </w:r>
      <w:r>
        <w:rPr>
          <w:i/>
          <w:sz w:val="24"/>
          <w:szCs w:val="24"/>
        </w:rPr>
        <w:t>of</w:t>
      </w:r>
      <w:r>
        <w:rPr>
          <w:i/>
          <w:spacing w:val="1"/>
          <w:sz w:val="24"/>
          <w:szCs w:val="24"/>
        </w:rPr>
        <w:t>f</w:t>
      </w:r>
      <w:r>
        <w:rPr>
          <w:i/>
          <w:sz w:val="24"/>
          <w:szCs w:val="24"/>
        </w:rPr>
        <w:t>icinale</w:t>
      </w:r>
      <w:r>
        <w:rPr>
          <w:iCs/>
          <w:sz w:val="24"/>
          <w:szCs w:val="24"/>
        </w:rPr>
        <w:t xml:space="preserve">. Alkaloids had the highest amount with a percentage of </w:t>
      </w:r>
      <w:r>
        <w:rPr>
          <w:iCs/>
          <w:sz w:val="24"/>
          <w:szCs w:val="24"/>
        </w:rPr>
        <w:t>6.11 ± 0.03% and steroids was found to be the least in quantity with 0.06 ± 0.01%</w:t>
      </w:r>
      <w:r>
        <w:rPr>
          <w:iCs/>
          <w:sz w:val="24"/>
          <w:szCs w:val="24"/>
        </w:rPr>
        <w:t xml:space="preserve"> while</w:t>
      </w:r>
      <w:r>
        <w:rPr>
          <w:iCs/>
          <w:spacing w:val="11"/>
          <w:sz w:val="24"/>
          <w:szCs w:val="24"/>
        </w:rPr>
        <w:t xml:space="preserve"> some </w:t>
      </w:r>
      <w:r>
        <w:rPr>
          <w:iCs/>
          <w:spacing w:val="11"/>
          <w:sz w:val="24"/>
          <w:szCs w:val="24"/>
        </w:rPr>
        <w:t xml:space="preserve">of the </w:t>
      </w:r>
      <w:r>
        <w:rPr>
          <w:iCs/>
          <w:spacing w:val="11"/>
          <w:sz w:val="24"/>
          <w:szCs w:val="24"/>
        </w:rPr>
        <w:t xml:space="preserve">phytochemicals that were present in </w:t>
      </w:r>
      <w:r>
        <w:rPr>
          <w:iCs/>
          <w:spacing w:val="11"/>
          <w:sz w:val="24"/>
          <w:szCs w:val="24"/>
        </w:rPr>
        <w:t xml:space="preserve">the </w:t>
      </w:r>
      <w:r>
        <w:rPr>
          <w:iCs/>
          <w:spacing w:val="11"/>
          <w:sz w:val="24"/>
          <w:szCs w:val="24"/>
        </w:rPr>
        <w:t xml:space="preserve">methanol extract of </w:t>
      </w:r>
      <w:r>
        <w:rPr>
          <w:i/>
          <w:spacing w:val="11"/>
          <w:sz w:val="24"/>
          <w:szCs w:val="24"/>
        </w:rPr>
        <w:t>Zingiber officinale</w:t>
      </w:r>
      <w:r>
        <w:rPr>
          <w:i/>
          <w:spacing w:val="11"/>
          <w:sz w:val="24"/>
          <w:szCs w:val="24"/>
        </w:rPr>
        <w:t xml:space="preserve"> </w:t>
      </w:r>
      <w:r>
        <w:rPr>
          <w:iCs/>
          <w:spacing w:val="11"/>
          <w:sz w:val="24"/>
          <w:szCs w:val="24"/>
        </w:rPr>
        <w:t>as shown on the table</w:t>
      </w:r>
      <w:r>
        <w:rPr>
          <w:i/>
          <w:spacing w:val="11"/>
          <w:sz w:val="24"/>
          <w:szCs w:val="24"/>
        </w:rPr>
        <w:t xml:space="preserve">. </w:t>
      </w:r>
      <w:r>
        <w:rPr>
          <w:iCs/>
          <w:spacing w:val="11"/>
          <w:sz w:val="24"/>
          <w:szCs w:val="24"/>
        </w:rPr>
        <w:t xml:space="preserve">Flavonoids had the highest amount with a percentage </w:t>
      </w:r>
      <w:r>
        <w:rPr>
          <w:iCs/>
          <w:spacing w:val="11"/>
          <w:sz w:val="24"/>
          <w:szCs w:val="24"/>
        </w:rPr>
        <w:t>of 8.60 ± 0.23% and anthraquinone was found to be the least in quantity with 2.17 ± 0.01%.</w:t>
      </w:r>
    </w:p>
    <w:p w:rsidR="001104CA" w:rsidRDefault="00C032A7">
      <w:pPr>
        <w:jc w:val="both"/>
        <w:rPr>
          <w:b/>
          <w:bCs/>
          <w:iCs/>
          <w:sz w:val="24"/>
          <w:szCs w:val="24"/>
        </w:rPr>
      </w:pPr>
      <w:r>
        <w:rPr>
          <w:b/>
          <w:bCs/>
          <w:sz w:val="24"/>
          <w:szCs w:val="24"/>
        </w:rPr>
        <w:t>Ta</w:t>
      </w:r>
      <w:r>
        <w:rPr>
          <w:b/>
          <w:bCs/>
          <w:spacing w:val="1"/>
          <w:sz w:val="24"/>
          <w:szCs w:val="24"/>
        </w:rPr>
        <w:t>b</w:t>
      </w:r>
      <w:r>
        <w:rPr>
          <w:b/>
          <w:bCs/>
          <w:sz w:val="24"/>
          <w:szCs w:val="24"/>
        </w:rPr>
        <w:t>le</w:t>
      </w:r>
      <w:r>
        <w:rPr>
          <w:b/>
          <w:bCs/>
          <w:spacing w:val="40"/>
          <w:sz w:val="24"/>
          <w:szCs w:val="24"/>
        </w:rPr>
        <w:t xml:space="preserve"> </w:t>
      </w:r>
      <w:r>
        <w:rPr>
          <w:b/>
          <w:bCs/>
          <w:spacing w:val="40"/>
          <w:sz w:val="24"/>
          <w:szCs w:val="24"/>
        </w:rPr>
        <w:t>1.</w:t>
      </w:r>
      <w:r>
        <w:rPr>
          <w:b/>
          <w:bCs/>
          <w:spacing w:val="1"/>
          <w:sz w:val="24"/>
          <w:szCs w:val="24"/>
        </w:rPr>
        <w:t>P</w:t>
      </w:r>
      <w:r>
        <w:rPr>
          <w:b/>
          <w:bCs/>
          <w:spacing w:val="2"/>
          <w:sz w:val="24"/>
          <w:szCs w:val="24"/>
        </w:rPr>
        <w:t>h</w:t>
      </w:r>
      <w:r>
        <w:rPr>
          <w:b/>
          <w:bCs/>
          <w:spacing w:val="-5"/>
          <w:sz w:val="24"/>
          <w:szCs w:val="24"/>
        </w:rPr>
        <w:t>y</w:t>
      </w:r>
      <w:r>
        <w:rPr>
          <w:b/>
          <w:bCs/>
          <w:sz w:val="24"/>
          <w:szCs w:val="24"/>
        </w:rPr>
        <w:t>toc</w:t>
      </w:r>
      <w:r>
        <w:rPr>
          <w:b/>
          <w:bCs/>
          <w:spacing w:val="2"/>
          <w:sz w:val="24"/>
          <w:szCs w:val="24"/>
        </w:rPr>
        <w:t>h</w:t>
      </w:r>
      <w:r>
        <w:rPr>
          <w:b/>
          <w:bCs/>
          <w:spacing w:val="-1"/>
          <w:sz w:val="24"/>
          <w:szCs w:val="24"/>
        </w:rPr>
        <w:t>e</w:t>
      </w:r>
      <w:r>
        <w:rPr>
          <w:b/>
          <w:bCs/>
          <w:sz w:val="24"/>
          <w:szCs w:val="24"/>
        </w:rPr>
        <w:t>m</w:t>
      </w:r>
      <w:r>
        <w:rPr>
          <w:b/>
          <w:bCs/>
          <w:spacing w:val="1"/>
          <w:sz w:val="24"/>
          <w:szCs w:val="24"/>
        </w:rPr>
        <w:t>i</w:t>
      </w:r>
      <w:r>
        <w:rPr>
          <w:b/>
          <w:bCs/>
          <w:spacing w:val="-1"/>
          <w:sz w:val="24"/>
          <w:szCs w:val="24"/>
        </w:rPr>
        <w:t>ca</w:t>
      </w:r>
      <w:r>
        <w:rPr>
          <w:b/>
          <w:bCs/>
          <w:sz w:val="24"/>
          <w:szCs w:val="24"/>
        </w:rPr>
        <w:t>l</w:t>
      </w:r>
      <w:r>
        <w:rPr>
          <w:b/>
          <w:bCs/>
          <w:spacing w:val="43"/>
          <w:sz w:val="24"/>
          <w:szCs w:val="24"/>
        </w:rPr>
        <w:t xml:space="preserve"> </w:t>
      </w:r>
      <w:r>
        <w:rPr>
          <w:b/>
          <w:bCs/>
          <w:sz w:val="24"/>
          <w:szCs w:val="24"/>
        </w:rPr>
        <w:t xml:space="preserve">Content of </w:t>
      </w:r>
      <w:r>
        <w:rPr>
          <w:b/>
          <w:bCs/>
          <w:sz w:val="24"/>
          <w:szCs w:val="24"/>
        </w:rPr>
        <w:t>Aqueous</w:t>
      </w:r>
      <w:r>
        <w:rPr>
          <w:b/>
          <w:bCs/>
          <w:sz w:val="24"/>
          <w:szCs w:val="24"/>
        </w:rPr>
        <w:t xml:space="preserve"> </w:t>
      </w:r>
      <w:r>
        <w:rPr>
          <w:b/>
          <w:bCs/>
          <w:sz w:val="24"/>
          <w:szCs w:val="24"/>
        </w:rPr>
        <w:t xml:space="preserve">and Methanol </w:t>
      </w:r>
      <w:r>
        <w:rPr>
          <w:b/>
          <w:bCs/>
          <w:sz w:val="24"/>
          <w:szCs w:val="24"/>
        </w:rPr>
        <w:t>Extract</w:t>
      </w:r>
      <w:r>
        <w:rPr>
          <w:b/>
          <w:bCs/>
          <w:spacing w:val="41"/>
          <w:sz w:val="24"/>
          <w:szCs w:val="24"/>
        </w:rPr>
        <w:t xml:space="preserve"> </w:t>
      </w:r>
      <w:r>
        <w:rPr>
          <w:b/>
          <w:bCs/>
          <w:sz w:val="24"/>
          <w:szCs w:val="24"/>
        </w:rPr>
        <w:t>of Ginger (</w:t>
      </w:r>
      <w:r>
        <w:rPr>
          <w:b/>
          <w:bCs/>
          <w:i/>
          <w:spacing w:val="1"/>
          <w:sz w:val="24"/>
          <w:szCs w:val="24"/>
        </w:rPr>
        <w:t>Z</w:t>
      </w:r>
      <w:r>
        <w:rPr>
          <w:b/>
          <w:bCs/>
          <w:i/>
          <w:sz w:val="24"/>
          <w:szCs w:val="24"/>
        </w:rPr>
        <w:t>ing</w:t>
      </w:r>
      <w:r>
        <w:rPr>
          <w:b/>
          <w:bCs/>
          <w:i/>
          <w:spacing w:val="1"/>
          <w:sz w:val="24"/>
          <w:szCs w:val="24"/>
        </w:rPr>
        <w:t>i</w:t>
      </w:r>
      <w:r>
        <w:rPr>
          <w:b/>
          <w:bCs/>
          <w:i/>
          <w:sz w:val="24"/>
          <w:szCs w:val="24"/>
        </w:rPr>
        <w:t>b</w:t>
      </w:r>
      <w:r>
        <w:rPr>
          <w:b/>
          <w:bCs/>
          <w:i/>
          <w:spacing w:val="-1"/>
          <w:sz w:val="24"/>
          <w:szCs w:val="24"/>
        </w:rPr>
        <w:t>e</w:t>
      </w:r>
      <w:r>
        <w:rPr>
          <w:b/>
          <w:bCs/>
          <w:i/>
          <w:sz w:val="24"/>
          <w:szCs w:val="24"/>
        </w:rPr>
        <w:t>r</w:t>
      </w:r>
      <w:r>
        <w:rPr>
          <w:b/>
          <w:bCs/>
          <w:i/>
          <w:spacing w:val="41"/>
          <w:sz w:val="24"/>
          <w:szCs w:val="24"/>
        </w:rPr>
        <w:t xml:space="preserve"> </w:t>
      </w:r>
      <w:r>
        <w:rPr>
          <w:b/>
          <w:bCs/>
          <w:i/>
          <w:sz w:val="24"/>
          <w:szCs w:val="24"/>
        </w:rPr>
        <w:t>of</w:t>
      </w:r>
      <w:r>
        <w:rPr>
          <w:b/>
          <w:bCs/>
          <w:i/>
          <w:spacing w:val="1"/>
          <w:sz w:val="24"/>
          <w:szCs w:val="24"/>
        </w:rPr>
        <w:t>f</w:t>
      </w:r>
      <w:r>
        <w:rPr>
          <w:b/>
          <w:bCs/>
          <w:i/>
          <w:sz w:val="24"/>
          <w:szCs w:val="24"/>
        </w:rPr>
        <w:t>icinale</w:t>
      </w:r>
      <w:r>
        <w:rPr>
          <w:b/>
          <w:bCs/>
          <w:iCs/>
          <w:sz w:val="24"/>
          <w:szCs w:val="24"/>
        </w:rPr>
        <w:t>)</w:t>
      </w:r>
    </w:p>
    <w:tbl>
      <w:tblPr>
        <w:tblStyle w:val="TableGrid"/>
        <w:tblW w:w="98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2801"/>
        <w:gridCol w:w="4090"/>
      </w:tblGrid>
      <w:tr w:rsidR="001104CA">
        <w:trPr>
          <w:trHeight w:val="177"/>
        </w:trPr>
        <w:tc>
          <w:tcPr>
            <w:tcW w:w="2918" w:type="dxa"/>
            <w:tcBorders>
              <w:top w:val="single" w:sz="4" w:space="0" w:color="auto"/>
              <w:bottom w:val="single" w:sz="4" w:space="0" w:color="auto"/>
            </w:tcBorders>
            <w:shd w:val="clear" w:color="auto" w:fill="FFFFFF"/>
          </w:tcPr>
          <w:p w:rsidR="001104CA" w:rsidRDefault="00C032A7">
            <w:pPr>
              <w:rPr>
                <w:b/>
                <w:bCs/>
                <w:iCs/>
                <w:color w:val="000000"/>
                <w:sz w:val="24"/>
                <w:szCs w:val="24"/>
              </w:rPr>
            </w:pPr>
            <w:r>
              <w:rPr>
                <w:b/>
                <w:bCs/>
                <w:iCs/>
                <w:color w:val="000000"/>
                <w:sz w:val="24"/>
                <w:szCs w:val="24"/>
              </w:rPr>
              <w:t>Chemical Constituents</w:t>
            </w:r>
          </w:p>
        </w:tc>
        <w:tc>
          <w:tcPr>
            <w:tcW w:w="2801" w:type="dxa"/>
            <w:tcBorders>
              <w:top w:val="single" w:sz="4" w:space="0" w:color="auto"/>
              <w:bottom w:val="single" w:sz="4" w:space="0" w:color="auto"/>
            </w:tcBorders>
            <w:shd w:val="clear" w:color="auto" w:fill="FFFFFF"/>
          </w:tcPr>
          <w:p w:rsidR="001104CA" w:rsidRDefault="00C032A7">
            <w:pPr>
              <w:rPr>
                <w:b/>
                <w:bCs/>
                <w:iCs/>
                <w:color w:val="000000"/>
                <w:sz w:val="24"/>
                <w:szCs w:val="24"/>
              </w:rPr>
            </w:pPr>
            <w:r>
              <w:rPr>
                <w:b/>
                <w:bCs/>
                <w:iCs/>
                <w:color w:val="000000"/>
                <w:sz w:val="24"/>
                <w:szCs w:val="24"/>
              </w:rPr>
              <w:t>Aqueous</w:t>
            </w:r>
            <w:r>
              <w:rPr>
                <w:b/>
                <w:bCs/>
                <w:i/>
                <w:color w:val="000000"/>
                <w:sz w:val="24"/>
                <w:szCs w:val="24"/>
              </w:rPr>
              <w:t xml:space="preserve"> </w:t>
            </w:r>
            <w:r>
              <w:rPr>
                <w:b/>
                <w:bCs/>
                <w:i/>
                <w:color w:val="000000"/>
                <w:sz w:val="24"/>
                <w:szCs w:val="24"/>
              </w:rPr>
              <w:t>Z.officinale</w:t>
            </w:r>
          </w:p>
        </w:tc>
        <w:tc>
          <w:tcPr>
            <w:tcW w:w="4090" w:type="dxa"/>
            <w:tcBorders>
              <w:top w:val="single" w:sz="4" w:space="0" w:color="auto"/>
              <w:bottom w:val="single" w:sz="4" w:space="0" w:color="auto"/>
            </w:tcBorders>
            <w:shd w:val="clear" w:color="auto" w:fill="FFFFFF"/>
          </w:tcPr>
          <w:p w:rsidR="001104CA" w:rsidRDefault="00C032A7">
            <w:pPr>
              <w:rPr>
                <w:b/>
                <w:bCs/>
                <w:iCs/>
                <w:color w:val="000000"/>
                <w:sz w:val="24"/>
                <w:szCs w:val="24"/>
              </w:rPr>
            </w:pPr>
            <w:r>
              <w:rPr>
                <w:b/>
                <w:bCs/>
                <w:iCs/>
                <w:color w:val="000000"/>
                <w:sz w:val="24"/>
                <w:szCs w:val="24"/>
              </w:rPr>
              <w:t>Methanol</w:t>
            </w:r>
            <w:r>
              <w:rPr>
                <w:b/>
                <w:bCs/>
                <w:i/>
                <w:color w:val="000000"/>
                <w:sz w:val="24"/>
                <w:szCs w:val="24"/>
              </w:rPr>
              <w:t xml:space="preserve"> </w:t>
            </w:r>
            <w:r>
              <w:rPr>
                <w:b/>
                <w:bCs/>
                <w:i/>
                <w:color w:val="000000"/>
                <w:sz w:val="24"/>
                <w:szCs w:val="24"/>
              </w:rPr>
              <w:t>Z.officinale</w:t>
            </w:r>
          </w:p>
        </w:tc>
      </w:tr>
      <w:tr w:rsidR="001104CA">
        <w:trPr>
          <w:trHeight w:val="516"/>
        </w:trPr>
        <w:tc>
          <w:tcPr>
            <w:tcW w:w="2918" w:type="dxa"/>
            <w:tcBorders>
              <w:top w:val="single" w:sz="4" w:space="0" w:color="auto"/>
            </w:tcBorders>
            <w:shd w:val="clear" w:color="auto" w:fill="FFFFFF"/>
          </w:tcPr>
          <w:p w:rsidR="001104CA" w:rsidRDefault="00C032A7">
            <w:pPr>
              <w:spacing w:line="480" w:lineRule="auto"/>
              <w:rPr>
                <w:iCs/>
                <w:color w:val="000000"/>
                <w:sz w:val="24"/>
                <w:szCs w:val="24"/>
              </w:rPr>
            </w:pPr>
            <w:r>
              <w:rPr>
                <w:iCs/>
                <w:color w:val="000000"/>
                <w:sz w:val="24"/>
                <w:szCs w:val="24"/>
              </w:rPr>
              <w:t>Alkaloids</w:t>
            </w:r>
          </w:p>
        </w:tc>
        <w:tc>
          <w:tcPr>
            <w:tcW w:w="2801" w:type="dxa"/>
            <w:tcBorders>
              <w:top w:val="single" w:sz="4" w:space="0" w:color="auto"/>
            </w:tcBorders>
            <w:shd w:val="clear" w:color="auto" w:fill="FFFFFF"/>
          </w:tcPr>
          <w:p w:rsidR="001104CA" w:rsidRDefault="00C032A7">
            <w:pPr>
              <w:spacing w:line="480" w:lineRule="auto"/>
              <w:rPr>
                <w:iCs/>
                <w:color w:val="000000"/>
                <w:sz w:val="24"/>
                <w:szCs w:val="24"/>
              </w:rPr>
            </w:pPr>
            <w:r>
              <w:rPr>
                <w:iCs/>
                <w:color w:val="000000"/>
                <w:sz w:val="24"/>
                <w:szCs w:val="24"/>
              </w:rPr>
              <w:t>+</w:t>
            </w:r>
          </w:p>
        </w:tc>
        <w:tc>
          <w:tcPr>
            <w:tcW w:w="4090" w:type="dxa"/>
            <w:tcBorders>
              <w:top w:val="single" w:sz="4" w:space="0" w:color="auto"/>
            </w:tcBorders>
            <w:shd w:val="clear" w:color="auto" w:fill="FFFFFF"/>
          </w:tcPr>
          <w:p w:rsidR="001104CA" w:rsidRDefault="00C032A7">
            <w:pPr>
              <w:spacing w:line="480" w:lineRule="auto"/>
              <w:rPr>
                <w:iCs/>
                <w:color w:val="000000"/>
                <w:sz w:val="24"/>
                <w:szCs w:val="24"/>
              </w:rPr>
            </w:pPr>
            <w:r>
              <w:rPr>
                <w:iCs/>
                <w:color w:val="000000"/>
                <w:sz w:val="24"/>
                <w:szCs w:val="24"/>
              </w:rPr>
              <w:t>+</w:t>
            </w:r>
          </w:p>
        </w:tc>
      </w:tr>
      <w:tr w:rsidR="001104CA">
        <w:trPr>
          <w:trHeight w:val="257"/>
        </w:trPr>
        <w:tc>
          <w:tcPr>
            <w:tcW w:w="2918" w:type="dxa"/>
            <w:shd w:val="clear" w:color="auto" w:fill="FFFFFF"/>
          </w:tcPr>
          <w:p w:rsidR="001104CA" w:rsidRDefault="00C032A7">
            <w:pPr>
              <w:spacing w:line="480" w:lineRule="auto"/>
              <w:rPr>
                <w:iCs/>
                <w:color w:val="000000"/>
                <w:sz w:val="24"/>
                <w:szCs w:val="24"/>
              </w:rPr>
            </w:pPr>
            <w:r>
              <w:rPr>
                <w:iCs/>
                <w:color w:val="000000"/>
                <w:sz w:val="24"/>
                <w:szCs w:val="24"/>
              </w:rPr>
              <w:t>Flavonoids</w:t>
            </w:r>
          </w:p>
        </w:tc>
        <w:tc>
          <w:tcPr>
            <w:tcW w:w="2801" w:type="dxa"/>
            <w:shd w:val="clear" w:color="auto" w:fill="FFFFFF"/>
          </w:tcPr>
          <w:p w:rsidR="001104CA" w:rsidRDefault="00C032A7">
            <w:pPr>
              <w:spacing w:line="480" w:lineRule="auto"/>
              <w:rPr>
                <w:iCs/>
                <w:color w:val="000000"/>
                <w:sz w:val="24"/>
                <w:szCs w:val="24"/>
              </w:rPr>
            </w:pPr>
            <w:r>
              <w:rPr>
                <w:iCs/>
                <w:color w:val="000000"/>
                <w:sz w:val="24"/>
                <w:szCs w:val="24"/>
              </w:rPr>
              <w:t>+</w:t>
            </w:r>
          </w:p>
        </w:tc>
        <w:tc>
          <w:tcPr>
            <w:tcW w:w="4090" w:type="dxa"/>
            <w:shd w:val="clear" w:color="auto" w:fill="FFFFFF"/>
          </w:tcPr>
          <w:p w:rsidR="001104CA" w:rsidRDefault="00C032A7">
            <w:pPr>
              <w:spacing w:line="480" w:lineRule="auto"/>
              <w:rPr>
                <w:iCs/>
                <w:color w:val="000000"/>
                <w:sz w:val="24"/>
                <w:szCs w:val="24"/>
              </w:rPr>
            </w:pPr>
            <w:r>
              <w:rPr>
                <w:iCs/>
                <w:color w:val="000000"/>
                <w:sz w:val="24"/>
                <w:szCs w:val="24"/>
              </w:rPr>
              <w:t>+</w:t>
            </w:r>
          </w:p>
        </w:tc>
      </w:tr>
      <w:tr w:rsidR="001104CA">
        <w:tc>
          <w:tcPr>
            <w:tcW w:w="2918" w:type="dxa"/>
            <w:shd w:val="clear" w:color="auto" w:fill="FFFFFF"/>
          </w:tcPr>
          <w:p w:rsidR="001104CA" w:rsidRDefault="00C032A7">
            <w:pPr>
              <w:spacing w:line="480" w:lineRule="auto"/>
              <w:rPr>
                <w:iCs/>
                <w:color w:val="000000"/>
                <w:sz w:val="24"/>
                <w:szCs w:val="24"/>
              </w:rPr>
            </w:pPr>
            <w:r>
              <w:rPr>
                <w:iCs/>
                <w:color w:val="000000"/>
                <w:sz w:val="24"/>
                <w:szCs w:val="24"/>
              </w:rPr>
              <w:t>Tanins</w:t>
            </w:r>
          </w:p>
        </w:tc>
        <w:tc>
          <w:tcPr>
            <w:tcW w:w="2801" w:type="dxa"/>
            <w:shd w:val="clear" w:color="auto" w:fill="FFFFFF"/>
          </w:tcPr>
          <w:p w:rsidR="001104CA" w:rsidRDefault="00C032A7">
            <w:pPr>
              <w:spacing w:line="480" w:lineRule="auto"/>
              <w:rPr>
                <w:iCs/>
                <w:color w:val="000000"/>
                <w:sz w:val="24"/>
                <w:szCs w:val="24"/>
              </w:rPr>
            </w:pPr>
            <w:r>
              <w:rPr>
                <w:iCs/>
                <w:color w:val="000000"/>
                <w:sz w:val="24"/>
                <w:szCs w:val="24"/>
              </w:rPr>
              <w:t>+</w:t>
            </w:r>
          </w:p>
        </w:tc>
        <w:tc>
          <w:tcPr>
            <w:tcW w:w="4090" w:type="dxa"/>
            <w:shd w:val="clear" w:color="auto" w:fill="FFFFFF"/>
          </w:tcPr>
          <w:p w:rsidR="001104CA" w:rsidRDefault="00C032A7">
            <w:pPr>
              <w:spacing w:line="480" w:lineRule="auto"/>
              <w:rPr>
                <w:iCs/>
                <w:color w:val="000000"/>
                <w:sz w:val="24"/>
                <w:szCs w:val="24"/>
              </w:rPr>
            </w:pPr>
            <w:r>
              <w:rPr>
                <w:iCs/>
                <w:color w:val="000000"/>
                <w:sz w:val="24"/>
                <w:szCs w:val="24"/>
              </w:rPr>
              <w:t>+</w:t>
            </w:r>
          </w:p>
        </w:tc>
      </w:tr>
      <w:tr w:rsidR="001104CA">
        <w:trPr>
          <w:trHeight w:val="98"/>
        </w:trPr>
        <w:tc>
          <w:tcPr>
            <w:tcW w:w="2918" w:type="dxa"/>
            <w:shd w:val="clear" w:color="auto" w:fill="FFFFFF"/>
          </w:tcPr>
          <w:p w:rsidR="001104CA" w:rsidRDefault="00C032A7">
            <w:pPr>
              <w:spacing w:line="480" w:lineRule="auto"/>
              <w:rPr>
                <w:iCs/>
                <w:color w:val="000000"/>
                <w:sz w:val="24"/>
                <w:szCs w:val="24"/>
              </w:rPr>
            </w:pPr>
            <w:r>
              <w:rPr>
                <w:iCs/>
                <w:color w:val="000000"/>
                <w:sz w:val="24"/>
                <w:szCs w:val="24"/>
              </w:rPr>
              <w:t>Saponin</w:t>
            </w:r>
          </w:p>
        </w:tc>
        <w:tc>
          <w:tcPr>
            <w:tcW w:w="2801" w:type="dxa"/>
            <w:shd w:val="clear" w:color="auto" w:fill="FFFFFF"/>
          </w:tcPr>
          <w:p w:rsidR="001104CA" w:rsidRDefault="00C032A7">
            <w:pPr>
              <w:spacing w:line="480" w:lineRule="auto"/>
              <w:rPr>
                <w:iCs/>
                <w:color w:val="000000"/>
                <w:sz w:val="24"/>
                <w:szCs w:val="24"/>
              </w:rPr>
            </w:pPr>
            <w:r>
              <w:rPr>
                <w:iCs/>
                <w:color w:val="000000"/>
                <w:sz w:val="24"/>
                <w:szCs w:val="24"/>
              </w:rPr>
              <w:t>+</w:t>
            </w:r>
          </w:p>
        </w:tc>
        <w:tc>
          <w:tcPr>
            <w:tcW w:w="4090" w:type="dxa"/>
            <w:shd w:val="clear" w:color="auto" w:fill="FFFFFF"/>
          </w:tcPr>
          <w:p w:rsidR="001104CA" w:rsidRDefault="00C032A7">
            <w:pPr>
              <w:spacing w:line="480" w:lineRule="auto"/>
              <w:rPr>
                <w:iCs/>
                <w:color w:val="000000"/>
                <w:sz w:val="24"/>
                <w:szCs w:val="24"/>
              </w:rPr>
            </w:pPr>
            <w:r>
              <w:rPr>
                <w:iCs/>
                <w:color w:val="000000"/>
                <w:sz w:val="24"/>
                <w:szCs w:val="24"/>
              </w:rPr>
              <w:t>+</w:t>
            </w:r>
          </w:p>
        </w:tc>
      </w:tr>
      <w:tr w:rsidR="001104CA">
        <w:tc>
          <w:tcPr>
            <w:tcW w:w="2918" w:type="dxa"/>
            <w:shd w:val="clear" w:color="auto" w:fill="FFFFFF"/>
          </w:tcPr>
          <w:p w:rsidR="001104CA" w:rsidRDefault="00C032A7">
            <w:pPr>
              <w:spacing w:line="480" w:lineRule="auto"/>
              <w:rPr>
                <w:iCs/>
                <w:color w:val="000000"/>
                <w:sz w:val="24"/>
                <w:szCs w:val="24"/>
              </w:rPr>
            </w:pPr>
            <w:r>
              <w:rPr>
                <w:iCs/>
                <w:color w:val="000000"/>
                <w:sz w:val="24"/>
                <w:szCs w:val="24"/>
              </w:rPr>
              <w:t>Terpenoids</w:t>
            </w:r>
          </w:p>
        </w:tc>
        <w:tc>
          <w:tcPr>
            <w:tcW w:w="2801" w:type="dxa"/>
            <w:shd w:val="clear" w:color="auto" w:fill="FFFFFF"/>
          </w:tcPr>
          <w:p w:rsidR="001104CA" w:rsidRDefault="00C032A7">
            <w:pPr>
              <w:spacing w:line="480" w:lineRule="auto"/>
              <w:rPr>
                <w:iCs/>
                <w:color w:val="000000"/>
                <w:sz w:val="24"/>
                <w:szCs w:val="24"/>
              </w:rPr>
            </w:pPr>
            <w:r>
              <w:rPr>
                <w:iCs/>
                <w:color w:val="000000"/>
                <w:sz w:val="24"/>
                <w:szCs w:val="24"/>
              </w:rPr>
              <w:t>+</w:t>
            </w:r>
          </w:p>
        </w:tc>
        <w:tc>
          <w:tcPr>
            <w:tcW w:w="4090" w:type="dxa"/>
            <w:shd w:val="clear" w:color="auto" w:fill="FFFFFF"/>
          </w:tcPr>
          <w:p w:rsidR="001104CA" w:rsidRDefault="00C032A7">
            <w:pPr>
              <w:spacing w:line="480" w:lineRule="auto"/>
              <w:rPr>
                <w:iCs/>
                <w:color w:val="000000"/>
                <w:sz w:val="24"/>
                <w:szCs w:val="24"/>
              </w:rPr>
            </w:pPr>
            <w:r>
              <w:rPr>
                <w:iCs/>
                <w:color w:val="000000"/>
                <w:sz w:val="24"/>
                <w:szCs w:val="24"/>
              </w:rPr>
              <w:t>+</w:t>
            </w:r>
          </w:p>
        </w:tc>
      </w:tr>
      <w:tr w:rsidR="001104CA">
        <w:tc>
          <w:tcPr>
            <w:tcW w:w="2918" w:type="dxa"/>
            <w:shd w:val="clear" w:color="auto" w:fill="FFFFFF"/>
          </w:tcPr>
          <w:p w:rsidR="001104CA" w:rsidRDefault="00C032A7">
            <w:pPr>
              <w:spacing w:line="480" w:lineRule="auto"/>
              <w:rPr>
                <w:iCs/>
                <w:color w:val="000000"/>
                <w:sz w:val="24"/>
                <w:szCs w:val="24"/>
              </w:rPr>
            </w:pPr>
            <w:r>
              <w:rPr>
                <w:iCs/>
                <w:color w:val="000000"/>
                <w:sz w:val="24"/>
                <w:szCs w:val="24"/>
              </w:rPr>
              <w:t>Cardiac glycosidase</w:t>
            </w:r>
          </w:p>
        </w:tc>
        <w:tc>
          <w:tcPr>
            <w:tcW w:w="2801" w:type="dxa"/>
            <w:shd w:val="clear" w:color="auto" w:fill="FFFFFF"/>
          </w:tcPr>
          <w:p w:rsidR="001104CA" w:rsidRDefault="00C032A7">
            <w:pPr>
              <w:spacing w:line="480" w:lineRule="auto"/>
              <w:rPr>
                <w:iCs/>
                <w:color w:val="000000"/>
                <w:sz w:val="24"/>
                <w:szCs w:val="24"/>
              </w:rPr>
            </w:pPr>
            <w:r>
              <w:rPr>
                <w:iCs/>
                <w:color w:val="000000"/>
                <w:sz w:val="24"/>
                <w:szCs w:val="24"/>
              </w:rPr>
              <w:t>+</w:t>
            </w:r>
          </w:p>
        </w:tc>
        <w:tc>
          <w:tcPr>
            <w:tcW w:w="4090" w:type="dxa"/>
            <w:shd w:val="clear" w:color="auto" w:fill="FFFFFF"/>
          </w:tcPr>
          <w:p w:rsidR="001104CA" w:rsidRDefault="00C032A7">
            <w:pPr>
              <w:spacing w:line="480" w:lineRule="auto"/>
              <w:rPr>
                <w:iCs/>
                <w:color w:val="000000"/>
                <w:sz w:val="24"/>
                <w:szCs w:val="24"/>
              </w:rPr>
            </w:pPr>
            <w:r>
              <w:rPr>
                <w:iCs/>
                <w:color w:val="000000"/>
                <w:sz w:val="24"/>
                <w:szCs w:val="24"/>
              </w:rPr>
              <w:t>+</w:t>
            </w:r>
          </w:p>
        </w:tc>
      </w:tr>
      <w:tr w:rsidR="001104CA">
        <w:tc>
          <w:tcPr>
            <w:tcW w:w="2918" w:type="dxa"/>
            <w:shd w:val="clear" w:color="auto" w:fill="FFFFFF"/>
          </w:tcPr>
          <w:p w:rsidR="001104CA" w:rsidRDefault="00C032A7">
            <w:pPr>
              <w:spacing w:line="480" w:lineRule="auto"/>
              <w:rPr>
                <w:iCs/>
                <w:color w:val="000000"/>
                <w:sz w:val="24"/>
                <w:szCs w:val="24"/>
              </w:rPr>
            </w:pPr>
            <w:r>
              <w:rPr>
                <w:iCs/>
                <w:color w:val="000000"/>
                <w:sz w:val="24"/>
                <w:szCs w:val="24"/>
              </w:rPr>
              <w:t>Balsam</w:t>
            </w:r>
          </w:p>
        </w:tc>
        <w:tc>
          <w:tcPr>
            <w:tcW w:w="2801" w:type="dxa"/>
            <w:shd w:val="clear" w:color="auto" w:fill="FFFFFF"/>
          </w:tcPr>
          <w:p w:rsidR="001104CA" w:rsidRDefault="00C032A7">
            <w:pPr>
              <w:spacing w:line="480" w:lineRule="auto"/>
              <w:rPr>
                <w:iCs/>
                <w:color w:val="000000"/>
                <w:sz w:val="24"/>
                <w:szCs w:val="24"/>
              </w:rPr>
            </w:pPr>
            <w:r>
              <w:rPr>
                <w:iCs/>
                <w:color w:val="000000"/>
                <w:sz w:val="24"/>
                <w:szCs w:val="24"/>
              </w:rPr>
              <w:t>-</w:t>
            </w:r>
          </w:p>
        </w:tc>
        <w:tc>
          <w:tcPr>
            <w:tcW w:w="4090" w:type="dxa"/>
            <w:shd w:val="clear" w:color="auto" w:fill="FFFFFF"/>
          </w:tcPr>
          <w:p w:rsidR="001104CA" w:rsidRDefault="00C032A7">
            <w:pPr>
              <w:spacing w:line="480" w:lineRule="auto"/>
              <w:rPr>
                <w:iCs/>
                <w:color w:val="000000"/>
                <w:sz w:val="24"/>
                <w:szCs w:val="24"/>
              </w:rPr>
            </w:pPr>
            <w:r>
              <w:rPr>
                <w:iCs/>
                <w:color w:val="000000"/>
                <w:sz w:val="24"/>
                <w:szCs w:val="24"/>
              </w:rPr>
              <w:t>+</w:t>
            </w:r>
          </w:p>
        </w:tc>
      </w:tr>
      <w:tr w:rsidR="001104CA">
        <w:tc>
          <w:tcPr>
            <w:tcW w:w="2918" w:type="dxa"/>
            <w:shd w:val="clear" w:color="auto" w:fill="FFFFFF"/>
          </w:tcPr>
          <w:p w:rsidR="001104CA" w:rsidRDefault="00C032A7">
            <w:pPr>
              <w:spacing w:line="480" w:lineRule="auto"/>
              <w:rPr>
                <w:iCs/>
                <w:color w:val="000000"/>
                <w:sz w:val="24"/>
                <w:szCs w:val="24"/>
              </w:rPr>
            </w:pPr>
            <w:r>
              <w:rPr>
                <w:iCs/>
                <w:color w:val="000000"/>
                <w:sz w:val="24"/>
                <w:szCs w:val="24"/>
              </w:rPr>
              <w:t>Carbohydrates</w:t>
            </w:r>
          </w:p>
        </w:tc>
        <w:tc>
          <w:tcPr>
            <w:tcW w:w="2801" w:type="dxa"/>
            <w:shd w:val="clear" w:color="auto" w:fill="FFFFFF"/>
          </w:tcPr>
          <w:p w:rsidR="001104CA" w:rsidRDefault="00C032A7">
            <w:pPr>
              <w:spacing w:line="480" w:lineRule="auto"/>
              <w:rPr>
                <w:iCs/>
                <w:color w:val="000000"/>
                <w:sz w:val="24"/>
                <w:szCs w:val="24"/>
              </w:rPr>
            </w:pPr>
            <w:r>
              <w:rPr>
                <w:iCs/>
                <w:color w:val="000000"/>
                <w:sz w:val="24"/>
                <w:szCs w:val="24"/>
              </w:rPr>
              <w:t>+</w:t>
            </w:r>
          </w:p>
        </w:tc>
        <w:tc>
          <w:tcPr>
            <w:tcW w:w="4090" w:type="dxa"/>
            <w:shd w:val="clear" w:color="auto" w:fill="FFFFFF"/>
          </w:tcPr>
          <w:p w:rsidR="001104CA" w:rsidRDefault="00C032A7">
            <w:pPr>
              <w:spacing w:line="480" w:lineRule="auto"/>
              <w:rPr>
                <w:iCs/>
                <w:color w:val="000000"/>
                <w:sz w:val="24"/>
                <w:szCs w:val="24"/>
              </w:rPr>
            </w:pPr>
            <w:r>
              <w:rPr>
                <w:iCs/>
                <w:color w:val="000000"/>
                <w:sz w:val="24"/>
                <w:szCs w:val="24"/>
              </w:rPr>
              <w:t>+</w:t>
            </w:r>
          </w:p>
        </w:tc>
      </w:tr>
      <w:tr w:rsidR="001104CA">
        <w:tc>
          <w:tcPr>
            <w:tcW w:w="2918" w:type="dxa"/>
            <w:shd w:val="clear" w:color="auto" w:fill="FFFFFF"/>
          </w:tcPr>
          <w:p w:rsidR="001104CA" w:rsidRDefault="00C032A7">
            <w:pPr>
              <w:spacing w:line="480" w:lineRule="auto"/>
              <w:rPr>
                <w:iCs/>
                <w:color w:val="000000"/>
                <w:sz w:val="24"/>
                <w:szCs w:val="24"/>
              </w:rPr>
            </w:pPr>
            <w:r>
              <w:rPr>
                <w:iCs/>
                <w:color w:val="000000"/>
                <w:sz w:val="24"/>
                <w:szCs w:val="24"/>
              </w:rPr>
              <w:t>Phenols</w:t>
            </w:r>
          </w:p>
        </w:tc>
        <w:tc>
          <w:tcPr>
            <w:tcW w:w="2801" w:type="dxa"/>
            <w:shd w:val="clear" w:color="auto" w:fill="FFFFFF"/>
          </w:tcPr>
          <w:p w:rsidR="001104CA" w:rsidRDefault="00C032A7">
            <w:pPr>
              <w:spacing w:line="480" w:lineRule="auto"/>
              <w:rPr>
                <w:iCs/>
                <w:color w:val="000000"/>
                <w:sz w:val="24"/>
                <w:szCs w:val="24"/>
              </w:rPr>
            </w:pPr>
            <w:r>
              <w:rPr>
                <w:iCs/>
                <w:color w:val="000000"/>
                <w:sz w:val="24"/>
                <w:szCs w:val="24"/>
              </w:rPr>
              <w:t>+</w:t>
            </w:r>
          </w:p>
        </w:tc>
        <w:tc>
          <w:tcPr>
            <w:tcW w:w="4090" w:type="dxa"/>
            <w:shd w:val="clear" w:color="auto" w:fill="FFFFFF"/>
          </w:tcPr>
          <w:p w:rsidR="001104CA" w:rsidRDefault="00C032A7">
            <w:pPr>
              <w:spacing w:line="480" w:lineRule="auto"/>
              <w:rPr>
                <w:iCs/>
                <w:color w:val="000000"/>
                <w:sz w:val="24"/>
                <w:szCs w:val="24"/>
              </w:rPr>
            </w:pPr>
            <w:r>
              <w:rPr>
                <w:iCs/>
                <w:color w:val="000000"/>
                <w:sz w:val="24"/>
                <w:szCs w:val="24"/>
              </w:rPr>
              <w:t>+</w:t>
            </w:r>
          </w:p>
        </w:tc>
      </w:tr>
      <w:tr w:rsidR="001104CA">
        <w:tc>
          <w:tcPr>
            <w:tcW w:w="2918" w:type="dxa"/>
            <w:shd w:val="clear" w:color="auto" w:fill="FFFFFF"/>
          </w:tcPr>
          <w:p w:rsidR="001104CA" w:rsidRDefault="00C032A7">
            <w:pPr>
              <w:spacing w:line="480" w:lineRule="auto"/>
              <w:rPr>
                <w:iCs/>
                <w:color w:val="000000"/>
                <w:sz w:val="24"/>
                <w:szCs w:val="24"/>
              </w:rPr>
            </w:pPr>
            <w:r>
              <w:rPr>
                <w:iCs/>
                <w:color w:val="000000"/>
                <w:sz w:val="24"/>
                <w:szCs w:val="24"/>
              </w:rPr>
              <w:t>Resins</w:t>
            </w:r>
          </w:p>
        </w:tc>
        <w:tc>
          <w:tcPr>
            <w:tcW w:w="2801" w:type="dxa"/>
            <w:shd w:val="clear" w:color="auto" w:fill="FFFFFF"/>
          </w:tcPr>
          <w:p w:rsidR="001104CA" w:rsidRDefault="00C032A7">
            <w:pPr>
              <w:spacing w:line="480" w:lineRule="auto"/>
              <w:rPr>
                <w:iCs/>
                <w:color w:val="000000"/>
                <w:sz w:val="24"/>
                <w:szCs w:val="24"/>
              </w:rPr>
            </w:pPr>
            <w:r>
              <w:rPr>
                <w:iCs/>
                <w:color w:val="000000"/>
                <w:sz w:val="24"/>
                <w:szCs w:val="24"/>
              </w:rPr>
              <w:t>+</w:t>
            </w:r>
          </w:p>
        </w:tc>
        <w:tc>
          <w:tcPr>
            <w:tcW w:w="4090" w:type="dxa"/>
            <w:shd w:val="clear" w:color="auto" w:fill="FFFFFF"/>
          </w:tcPr>
          <w:p w:rsidR="001104CA" w:rsidRDefault="00C032A7">
            <w:pPr>
              <w:spacing w:line="480" w:lineRule="auto"/>
              <w:rPr>
                <w:iCs/>
                <w:color w:val="000000"/>
                <w:sz w:val="24"/>
                <w:szCs w:val="24"/>
              </w:rPr>
            </w:pPr>
            <w:r>
              <w:rPr>
                <w:iCs/>
                <w:color w:val="000000"/>
                <w:sz w:val="24"/>
                <w:szCs w:val="24"/>
              </w:rPr>
              <w:t>+</w:t>
            </w:r>
          </w:p>
        </w:tc>
      </w:tr>
      <w:tr w:rsidR="001104CA">
        <w:tc>
          <w:tcPr>
            <w:tcW w:w="2918" w:type="dxa"/>
            <w:shd w:val="clear" w:color="auto" w:fill="FFFFFF"/>
          </w:tcPr>
          <w:p w:rsidR="001104CA" w:rsidRDefault="00C032A7">
            <w:pPr>
              <w:spacing w:line="480" w:lineRule="auto"/>
              <w:rPr>
                <w:iCs/>
                <w:color w:val="000000"/>
                <w:sz w:val="24"/>
                <w:szCs w:val="24"/>
              </w:rPr>
            </w:pPr>
            <w:r>
              <w:rPr>
                <w:iCs/>
                <w:color w:val="000000"/>
                <w:sz w:val="24"/>
                <w:szCs w:val="24"/>
              </w:rPr>
              <w:t>Anthraquinone</w:t>
            </w:r>
          </w:p>
        </w:tc>
        <w:tc>
          <w:tcPr>
            <w:tcW w:w="2801" w:type="dxa"/>
            <w:shd w:val="clear" w:color="auto" w:fill="FFFFFF"/>
          </w:tcPr>
          <w:p w:rsidR="001104CA" w:rsidRDefault="00C032A7">
            <w:pPr>
              <w:spacing w:line="480" w:lineRule="auto"/>
              <w:rPr>
                <w:iCs/>
                <w:color w:val="000000"/>
                <w:sz w:val="24"/>
                <w:szCs w:val="24"/>
              </w:rPr>
            </w:pPr>
            <w:r>
              <w:rPr>
                <w:iCs/>
                <w:color w:val="000000"/>
                <w:sz w:val="24"/>
                <w:szCs w:val="24"/>
              </w:rPr>
              <w:t>-</w:t>
            </w:r>
          </w:p>
        </w:tc>
        <w:tc>
          <w:tcPr>
            <w:tcW w:w="4090" w:type="dxa"/>
            <w:shd w:val="clear" w:color="auto" w:fill="FFFFFF"/>
          </w:tcPr>
          <w:p w:rsidR="001104CA" w:rsidRDefault="00C032A7">
            <w:pPr>
              <w:spacing w:line="480" w:lineRule="auto"/>
              <w:rPr>
                <w:iCs/>
                <w:color w:val="000000"/>
                <w:sz w:val="24"/>
                <w:szCs w:val="24"/>
              </w:rPr>
            </w:pPr>
            <w:r>
              <w:rPr>
                <w:iCs/>
                <w:color w:val="000000"/>
                <w:sz w:val="24"/>
                <w:szCs w:val="24"/>
              </w:rPr>
              <w:t>+</w:t>
            </w:r>
          </w:p>
        </w:tc>
      </w:tr>
    </w:tbl>
    <w:p w:rsidR="001104CA" w:rsidRDefault="00C032A7">
      <w:pPr>
        <w:spacing w:line="360" w:lineRule="auto"/>
        <w:jc w:val="both"/>
        <w:rPr>
          <w:iCs/>
          <w:sz w:val="24"/>
          <w:szCs w:val="24"/>
        </w:rPr>
      </w:pPr>
      <w:r>
        <w:rPr>
          <w:iCs/>
          <w:sz w:val="24"/>
          <w:szCs w:val="24"/>
        </w:rPr>
        <w:t xml:space="preserve">Key: </w:t>
      </w:r>
    </w:p>
    <w:p w:rsidR="001104CA" w:rsidRDefault="00C032A7">
      <w:pPr>
        <w:spacing w:line="360" w:lineRule="auto"/>
        <w:jc w:val="both"/>
        <w:rPr>
          <w:iCs/>
          <w:sz w:val="24"/>
          <w:szCs w:val="24"/>
        </w:rPr>
      </w:pPr>
      <w:r>
        <w:rPr>
          <w:iCs/>
          <w:sz w:val="24"/>
          <w:szCs w:val="24"/>
        </w:rPr>
        <w:lastRenderedPageBreak/>
        <w:t>+=Present</w:t>
      </w:r>
      <w:r>
        <w:rPr>
          <w:iCs/>
          <w:sz w:val="24"/>
          <w:szCs w:val="24"/>
        </w:rPr>
        <w:t xml:space="preserve"> -=Absent</w:t>
      </w:r>
    </w:p>
    <w:p w:rsidR="001104CA" w:rsidRDefault="001104CA">
      <w:pPr>
        <w:spacing w:line="360" w:lineRule="auto"/>
        <w:jc w:val="both"/>
        <w:rPr>
          <w:iCs/>
          <w:sz w:val="24"/>
          <w:szCs w:val="24"/>
        </w:rPr>
      </w:pPr>
    </w:p>
    <w:p w:rsidR="001104CA" w:rsidRDefault="00C032A7">
      <w:pPr>
        <w:jc w:val="both"/>
        <w:rPr>
          <w:b/>
          <w:bCs/>
          <w:position w:val="-1"/>
          <w:sz w:val="24"/>
          <w:szCs w:val="24"/>
        </w:rPr>
      </w:pPr>
      <w:r>
        <w:rPr>
          <w:b/>
          <w:bCs/>
          <w:sz w:val="24"/>
          <w:szCs w:val="24"/>
        </w:rPr>
        <w:t>Ta</w:t>
      </w:r>
      <w:r>
        <w:rPr>
          <w:b/>
          <w:bCs/>
          <w:spacing w:val="1"/>
          <w:sz w:val="24"/>
          <w:szCs w:val="24"/>
        </w:rPr>
        <w:t>b</w:t>
      </w:r>
      <w:r>
        <w:rPr>
          <w:b/>
          <w:bCs/>
          <w:sz w:val="24"/>
          <w:szCs w:val="24"/>
        </w:rPr>
        <w:t xml:space="preserve">le </w:t>
      </w:r>
      <w:r>
        <w:rPr>
          <w:b/>
          <w:bCs/>
          <w:sz w:val="24"/>
          <w:szCs w:val="24"/>
        </w:rPr>
        <w:t xml:space="preserve">2. </w:t>
      </w:r>
      <w:r>
        <w:rPr>
          <w:b/>
          <w:bCs/>
          <w:sz w:val="24"/>
          <w:szCs w:val="24"/>
        </w:rPr>
        <w:t>Quantitative</w:t>
      </w:r>
      <w:r>
        <w:rPr>
          <w:b/>
          <w:bCs/>
          <w:spacing w:val="14"/>
          <w:sz w:val="24"/>
          <w:szCs w:val="24"/>
        </w:rPr>
        <w:t xml:space="preserve"> </w:t>
      </w:r>
      <w:r>
        <w:rPr>
          <w:b/>
          <w:bCs/>
          <w:sz w:val="24"/>
          <w:szCs w:val="24"/>
        </w:rPr>
        <w:t>Phytochemical Constituents</w:t>
      </w:r>
      <w:r>
        <w:rPr>
          <w:b/>
          <w:bCs/>
          <w:spacing w:val="15"/>
          <w:sz w:val="24"/>
          <w:szCs w:val="24"/>
        </w:rPr>
        <w:t xml:space="preserve"> </w:t>
      </w:r>
      <w:r>
        <w:rPr>
          <w:b/>
          <w:bCs/>
          <w:sz w:val="24"/>
          <w:szCs w:val="24"/>
        </w:rPr>
        <w:t>of</w:t>
      </w:r>
      <w:r>
        <w:rPr>
          <w:b/>
          <w:bCs/>
          <w:spacing w:val="15"/>
          <w:sz w:val="24"/>
          <w:szCs w:val="24"/>
        </w:rPr>
        <w:t xml:space="preserve"> </w:t>
      </w:r>
      <w:r>
        <w:rPr>
          <w:b/>
          <w:bCs/>
          <w:sz w:val="24"/>
          <w:szCs w:val="24"/>
        </w:rPr>
        <w:t>Aqu</w:t>
      </w:r>
      <w:r>
        <w:rPr>
          <w:b/>
          <w:bCs/>
          <w:spacing w:val="-1"/>
          <w:sz w:val="24"/>
          <w:szCs w:val="24"/>
        </w:rPr>
        <w:t>e</w:t>
      </w:r>
      <w:r>
        <w:rPr>
          <w:b/>
          <w:bCs/>
          <w:sz w:val="24"/>
          <w:szCs w:val="24"/>
        </w:rPr>
        <w:t>ous</w:t>
      </w:r>
      <w:r>
        <w:rPr>
          <w:b/>
          <w:bCs/>
          <w:spacing w:val="14"/>
          <w:sz w:val="24"/>
          <w:szCs w:val="24"/>
        </w:rPr>
        <w:t xml:space="preserve"> </w:t>
      </w:r>
      <w:r>
        <w:rPr>
          <w:b/>
          <w:bCs/>
          <w:spacing w:val="14"/>
          <w:sz w:val="24"/>
          <w:szCs w:val="24"/>
        </w:rPr>
        <w:t xml:space="preserve">and Methanol </w:t>
      </w:r>
      <w:r>
        <w:rPr>
          <w:b/>
          <w:bCs/>
          <w:sz w:val="24"/>
          <w:szCs w:val="24"/>
        </w:rPr>
        <w:t>E</w:t>
      </w:r>
      <w:r>
        <w:rPr>
          <w:b/>
          <w:bCs/>
          <w:spacing w:val="2"/>
          <w:sz w:val="24"/>
          <w:szCs w:val="24"/>
        </w:rPr>
        <w:t>x</w:t>
      </w:r>
      <w:r>
        <w:rPr>
          <w:b/>
          <w:bCs/>
          <w:sz w:val="24"/>
          <w:szCs w:val="24"/>
        </w:rPr>
        <w:t>tr</w:t>
      </w:r>
      <w:r>
        <w:rPr>
          <w:b/>
          <w:bCs/>
          <w:spacing w:val="-1"/>
          <w:sz w:val="24"/>
          <w:szCs w:val="24"/>
        </w:rPr>
        <w:t>ac</w:t>
      </w:r>
      <w:r>
        <w:rPr>
          <w:b/>
          <w:bCs/>
          <w:sz w:val="24"/>
          <w:szCs w:val="24"/>
        </w:rPr>
        <w:t>t</w:t>
      </w:r>
      <w:r>
        <w:rPr>
          <w:b/>
          <w:bCs/>
          <w:spacing w:val="15"/>
          <w:sz w:val="24"/>
          <w:szCs w:val="24"/>
        </w:rPr>
        <w:t xml:space="preserve"> of</w:t>
      </w:r>
      <w:r>
        <w:rPr>
          <w:b/>
          <w:bCs/>
          <w:sz w:val="24"/>
          <w:szCs w:val="24"/>
        </w:rPr>
        <w:t xml:space="preserve"> </w:t>
      </w:r>
      <w:r>
        <w:rPr>
          <w:b/>
          <w:bCs/>
          <w:i/>
          <w:iCs/>
          <w:spacing w:val="10"/>
          <w:sz w:val="24"/>
          <w:szCs w:val="24"/>
        </w:rPr>
        <w:t>Zingiber</w:t>
      </w:r>
      <w:r>
        <w:rPr>
          <w:b/>
          <w:bCs/>
          <w:i/>
          <w:spacing w:val="10"/>
          <w:sz w:val="24"/>
          <w:szCs w:val="24"/>
        </w:rPr>
        <w:t xml:space="preserve"> </w:t>
      </w:r>
      <w:r>
        <w:rPr>
          <w:b/>
          <w:bCs/>
          <w:i/>
          <w:sz w:val="24"/>
          <w:szCs w:val="24"/>
        </w:rPr>
        <w:t>of</w:t>
      </w:r>
      <w:r>
        <w:rPr>
          <w:b/>
          <w:bCs/>
          <w:i/>
          <w:spacing w:val="1"/>
          <w:sz w:val="24"/>
          <w:szCs w:val="24"/>
        </w:rPr>
        <w:t>f</w:t>
      </w:r>
      <w:r>
        <w:rPr>
          <w:b/>
          <w:bCs/>
          <w:i/>
          <w:sz w:val="24"/>
          <w:szCs w:val="24"/>
        </w:rPr>
        <w:t>icinale</w:t>
      </w:r>
      <w:r>
        <w:rPr>
          <w:b/>
          <w:bCs/>
          <w:spacing w:val="11"/>
          <w:sz w:val="24"/>
          <w:szCs w:val="24"/>
        </w:rPr>
        <w:t xml:space="preserve"> </w:t>
      </w:r>
      <w:r>
        <w:rPr>
          <w:b/>
          <w:bCs/>
          <w:sz w:val="24"/>
          <w:szCs w:val="24"/>
        </w:rPr>
        <w:t xml:space="preserve">in </w:t>
      </w:r>
      <w:r>
        <w:rPr>
          <w:b/>
          <w:bCs/>
          <w:spacing w:val="1"/>
          <w:position w:val="-1"/>
          <w:sz w:val="24"/>
          <w:szCs w:val="24"/>
        </w:rPr>
        <w:t>P</w:t>
      </w:r>
      <w:r>
        <w:rPr>
          <w:b/>
          <w:bCs/>
          <w:spacing w:val="-1"/>
          <w:position w:val="-1"/>
          <w:sz w:val="24"/>
          <w:szCs w:val="24"/>
        </w:rPr>
        <w:t>e</w:t>
      </w:r>
      <w:r>
        <w:rPr>
          <w:b/>
          <w:bCs/>
          <w:position w:val="-1"/>
          <w:sz w:val="24"/>
          <w:szCs w:val="24"/>
        </w:rPr>
        <w:t>r</w:t>
      </w:r>
      <w:r>
        <w:rPr>
          <w:b/>
          <w:bCs/>
          <w:spacing w:val="-2"/>
          <w:position w:val="-1"/>
          <w:sz w:val="24"/>
          <w:szCs w:val="24"/>
        </w:rPr>
        <w:t>c</w:t>
      </w:r>
      <w:r>
        <w:rPr>
          <w:b/>
          <w:bCs/>
          <w:spacing w:val="-1"/>
          <w:position w:val="-1"/>
          <w:sz w:val="24"/>
          <w:szCs w:val="24"/>
        </w:rPr>
        <w:t>e</w:t>
      </w:r>
      <w:r>
        <w:rPr>
          <w:b/>
          <w:bCs/>
          <w:position w:val="-1"/>
          <w:sz w:val="24"/>
          <w:szCs w:val="24"/>
        </w:rPr>
        <w:t>nt</w:t>
      </w:r>
      <w:r>
        <w:rPr>
          <w:b/>
          <w:bCs/>
          <w:spacing w:val="2"/>
          <w:position w:val="-1"/>
          <w:sz w:val="24"/>
          <w:szCs w:val="24"/>
        </w:rPr>
        <w:t>a</w:t>
      </w:r>
      <w:r>
        <w:rPr>
          <w:b/>
          <w:bCs/>
          <w:position w:val="-1"/>
          <w:sz w:val="24"/>
          <w:szCs w:val="24"/>
        </w:rPr>
        <w:t>ge</w:t>
      </w:r>
      <w:r>
        <w:rPr>
          <w:b/>
          <w:bCs/>
          <w:spacing w:val="-1"/>
          <w:position w:val="-1"/>
          <w:sz w:val="24"/>
          <w:szCs w:val="24"/>
        </w:rPr>
        <w:t xml:space="preserve"> </w:t>
      </w:r>
      <w:r>
        <w:rPr>
          <w:b/>
          <w:bCs/>
          <w:position w:val="-1"/>
          <w:sz w:val="24"/>
          <w:szCs w:val="24"/>
        </w:rPr>
        <w:t>(</w:t>
      </w:r>
      <w:r>
        <w:rPr>
          <w:b/>
          <w:bCs/>
          <w:spacing w:val="1"/>
          <w:position w:val="-1"/>
          <w:sz w:val="24"/>
          <w:szCs w:val="24"/>
        </w:rPr>
        <w:t>%</w:t>
      </w:r>
      <w:r>
        <w:rPr>
          <w:b/>
          <w:bCs/>
          <w:position w:val="-1"/>
          <w:sz w:val="24"/>
          <w:szCs w:val="24"/>
        </w:rPr>
        <w:t>)</w:t>
      </w:r>
    </w:p>
    <w:tbl>
      <w:tblPr>
        <w:tblStyle w:val="TableGrid"/>
        <w:tblW w:w="9416" w:type="dxa"/>
        <w:tblLook w:val="04A0" w:firstRow="1" w:lastRow="0" w:firstColumn="1" w:lastColumn="0" w:noHBand="0" w:noVBand="1"/>
      </w:tblPr>
      <w:tblGrid>
        <w:gridCol w:w="998"/>
        <w:gridCol w:w="2272"/>
        <w:gridCol w:w="2625"/>
        <w:gridCol w:w="3521"/>
      </w:tblGrid>
      <w:tr w:rsidR="001104CA">
        <w:tc>
          <w:tcPr>
            <w:tcW w:w="998" w:type="dxa"/>
            <w:tcBorders>
              <w:top w:val="single" w:sz="4" w:space="0" w:color="auto"/>
              <w:left w:val="nil"/>
              <w:bottom w:val="single" w:sz="4" w:space="0" w:color="auto"/>
              <w:right w:val="nil"/>
            </w:tcBorders>
            <w:shd w:val="clear" w:color="auto" w:fill="FFFFFF"/>
          </w:tcPr>
          <w:p w:rsidR="001104CA" w:rsidRDefault="00C032A7">
            <w:pPr>
              <w:spacing w:line="480" w:lineRule="auto"/>
              <w:rPr>
                <w:b/>
                <w:bCs/>
                <w:color w:val="000000"/>
                <w:position w:val="-1"/>
                <w:sz w:val="24"/>
                <w:szCs w:val="24"/>
              </w:rPr>
            </w:pPr>
            <w:r>
              <w:rPr>
                <w:b/>
                <w:bCs/>
                <w:color w:val="000000"/>
                <w:position w:val="-1"/>
                <w:sz w:val="24"/>
                <w:szCs w:val="24"/>
              </w:rPr>
              <w:t>S/N</w:t>
            </w:r>
          </w:p>
        </w:tc>
        <w:tc>
          <w:tcPr>
            <w:tcW w:w="2272" w:type="dxa"/>
            <w:tcBorders>
              <w:top w:val="single" w:sz="4" w:space="0" w:color="auto"/>
              <w:left w:val="nil"/>
              <w:bottom w:val="single" w:sz="4" w:space="0" w:color="auto"/>
              <w:right w:val="nil"/>
            </w:tcBorders>
            <w:shd w:val="clear" w:color="auto" w:fill="FFFFFF"/>
          </w:tcPr>
          <w:p w:rsidR="001104CA" w:rsidRDefault="00C032A7">
            <w:pPr>
              <w:spacing w:line="480" w:lineRule="auto"/>
              <w:rPr>
                <w:b/>
                <w:bCs/>
                <w:color w:val="000000"/>
                <w:position w:val="-1"/>
                <w:sz w:val="24"/>
                <w:szCs w:val="24"/>
              </w:rPr>
            </w:pPr>
            <w:r>
              <w:rPr>
                <w:b/>
                <w:bCs/>
                <w:color w:val="000000"/>
                <w:position w:val="-1"/>
                <w:sz w:val="24"/>
                <w:szCs w:val="24"/>
              </w:rPr>
              <w:t>Phytochemical</w:t>
            </w:r>
          </w:p>
        </w:tc>
        <w:tc>
          <w:tcPr>
            <w:tcW w:w="2625" w:type="dxa"/>
            <w:tcBorders>
              <w:top w:val="single" w:sz="4" w:space="0" w:color="auto"/>
              <w:left w:val="nil"/>
              <w:bottom w:val="single" w:sz="4" w:space="0" w:color="auto"/>
              <w:right w:val="nil"/>
            </w:tcBorders>
            <w:shd w:val="clear" w:color="auto" w:fill="FFFFFF"/>
          </w:tcPr>
          <w:p w:rsidR="001104CA" w:rsidRDefault="00C032A7">
            <w:pPr>
              <w:spacing w:line="480" w:lineRule="auto"/>
              <w:jc w:val="left"/>
              <w:rPr>
                <w:b/>
                <w:bCs/>
                <w:color w:val="000000"/>
                <w:position w:val="-1"/>
                <w:sz w:val="24"/>
                <w:szCs w:val="24"/>
              </w:rPr>
            </w:pPr>
            <w:r>
              <w:rPr>
                <w:b/>
                <w:bCs/>
                <w:iCs/>
                <w:color w:val="000000"/>
                <w:sz w:val="24"/>
                <w:szCs w:val="24"/>
              </w:rPr>
              <w:t>Aqueous</w:t>
            </w:r>
            <w:r>
              <w:rPr>
                <w:b/>
                <w:bCs/>
                <w:i/>
                <w:color w:val="000000"/>
                <w:sz w:val="24"/>
                <w:szCs w:val="24"/>
              </w:rPr>
              <w:t xml:space="preserve">  </w:t>
            </w:r>
            <w:r>
              <w:rPr>
                <w:b/>
                <w:bCs/>
                <w:i/>
                <w:color w:val="000000"/>
                <w:sz w:val="24"/>
                <w:szCs w:val="24"/>
              </w:rPr>
              <w:t>Z</w:t>
            </w:r>
            <w:r>
              <w:rPr>
                <w:b/>
                <w:bCs/>
                <w:i/>
                <w:color w:val="000000"/>
                <w:sz w:val="24"/>
                <w:szCs w:val="24"/>
              </w:rPr>
              <w:t xml:space="preserve">. </w:t>
            </w:r>
            <w:r>
              <w:rPr>
                <w:b/>
                <w:bCs/>
                <w:i/>
                <w:color w:val="000000"/>
                <w:sz w:val="24"/>
                <w:szCs w:val="24"/>
              </w:rPr>
              <w:t>of</w:t>
            </w:r>
            <w:r>
              <w:rPr>
                <w:b/>
                <w:bCs/>
                <w:i/>
                <w:color w:val="000000"/>
                <w:spacing w:val="-1"/>
                <w:sz w:val="24"/>
                <w:szCs w:val="24"/>
              </w:rPr>
              <w:t>f</w:t>
            </w:r>
            <w:r>
              <w:rPr>
                <w:b/>
                <w:bCs/>
                <w:i/>
                <w:color w:val="000000"/>
                <w:sz w:val="24"/>
                <w:szCs w:val="24"/>
              </w:rPr>
              <w:t>icia</w:t>
            </w:r>
            <w:r>
              <w:rPr>
                <w:b/>
                <w:bCs/>
                <w:i/>
                <w:color w:val="000000"/>
                <w:spacing w:val="1"/>
                <w:sz w:val="24"/>
                <w:szCs w:val="24"/>
              </w:rPr>
              <w:t>n</w:t>
            </w:r>
            <w:r>
              <w:rPr>
                <w:b/>
                <w:bCs/>
                <w:i/>
                <w:color w:val="000000"/>
                <w:sz w:val="24"/>
                <w:szCs w:val="24"/>
              </w:rPr>
              <w:t>ale</w:t>
            </w:r>
          </w:p>
        </w:tc>
        <w:tc>
          <w:tcPr>
            <w:tcW w:w="3521" w:type="dxa"/>
            <w:tcBorders>
              <w:top w:val="single" w:sz="4" w:space="0" w:color="auto"/>
              <w:left w:val="nil"/>
              <w:bottom w:val="single" w:sz="4" w:space="0" w:color="auto"/>
              <w:right w:val="nil"/>
            </w:tcBorders>
            <w:shd w:val="clear" w:color="auto" w:fill="FFFFFF"/>
          </w:tcPr>
          <w:p w:rsidR="001104CA" w:rsidRDefault="00C032A7">
            <w:pPr>
              <w:spacing w:line="480" w:lineRule="auto"/>
              <w:rPr>
                <w:b/>
                <w:bCs/>
                <w:color w:val="000000"/>
                <w:position w:val="-1"/>
                <w:sz w:val="24"/>
                <w:szCs w:val="24"/>
              </w:rPr>
            </w:pPr>
            <w:r>
              <w:rPr>
                <w:b/>
                <w:bCs/>
                <w:color w:val="000000"/>
                <w:position w:val="-1"/>
                <w:sz w:val="24"/>
                <w:szCs w:val="24"/>
              </w:rPr>
              <w:t>Methanol</w:t>
            </w:r>
            <w:r>
              <w:rPr>
                <w:b/>
                <w:bCs/>
                <w:i/>
                <w:iCs/>
                <w:color w:val="000000"/>
                <w:position w:val="-1"/>
                <w:sz w:val="24"/>
                <w:szCs w:val="24"/>
              </w:rPr>
              <w:t xml:space="preserve"> </w:t>
            </w:r>
            <w:r>
              <w:rPr>
                <w:b/>
                <w:bCs/>
                <w:i/>
                <w:iCs/>
                <w:color w:val="000000"/>
                <w:position w:val="-1"/>
                <w:sz w:val="24"/>
                <w:szCs w:val="24"/>
              </w:rPr>
              <w:t>Z</w:t>
            </w:r>
            <w:r>
              <w:rPr>
                <w:b/>
                <w:bCs/>
                <w:i/>
                <w:iCs/>
                <w:color w:val="000000"/>
                <w:position w:val="-1"/>
                <w:sz w:val="24"/>
                <w:szCs w:val="24"/>
              </w:rPr>
              <w:t>.</w:t>
            </w:r>
            <w:r>
              <w:rPr>
                <w:b/>
                <w:bCs/>
                <w:i/>
                <w:iCs/>
                <w:color w:val="000000"/>
                <w:position w:val="-1"/>
                <w:sz w:val="24"/>
                <w:szCs w:val="24"/>
              </w:rPr>
              <w:t xml:space="preserve"> </w:t>
            </w:r>
            <w:r>
              <w:rPr>
                <w:b/>
                <w:bCs/>
                <w:i/>
                <w:iCs/>
                <w:color w:val="000000"/>
                <w:position w:val="-1"/>
                <w:sz w:val="24"/>
                <w:szCs w:val="24"/>
              </w:rPr>
              <w:t>o</w:t>
            </w:r>
            <w:r>
              <w:rPr>
                <w:b/>
                <w:bCs/>
                <w:i/>
                <w:iCs/>
                <w:color w:val="000000"/>
                <w:position w:val="-1"/>
                <w:sz w:val="24"/>
                <w:szCs w:val="24"/>
              </w:rPr>
              <w:t>fficinale</w:t>
            </w:r>
          </w:p>
        </w:tc>
      </w:tr>
      <w:tr w:rsidR="001104CA">
        <w:tc>
          <w:tcPr>
            <w:tcW w:w="998" w:type="dxa"/>
            <w:tcBorders>
              <w:top w:val="single" w:sz="4" w:space="0" w:color="auto"/>
              <w:left w:val="nil"/>
              <w:bottom w:val="nil"/>
              <w:right w:val="nil"/>
            </w:tcBorders>
            <w:shd w:val="clear" w:color="auto" w:fill="FFFFFF"/>
          </w:tcPr>
          <w:p w:rsidR="001104CA" w:rsidRDefault="00C032A7">
            <w:pPr>
              <w:spacing w:line="480" w:lineRule="auto"/>
              <w:rPr>
                <w:color w:val="000000"/>
                <w:position w:val="-1"/>
                <w:sz w:val="24"/>
                <w:szCs w:val="24"/>
              </w:rPr>
            </w:pPr>
            <w:r>
              <w:rPr>
                <w:color w:val="000000"/>
                <w:position w:val="-1"/>
                <w:sz w:val="24"/>
                <w:szCs w:val="24"/>
              </w:rPr>
              <w:t>1</w:t>
            </w:r>
          </w:p>
        </w:tc>
        <w:tc>
          <w:tcPr>
            <w:tcW w:w="2272" w:type="dxa"/>
            <w:tcBorders>
              <w:top w:val="single" w:sz="4" w:space="0" w:color="auto"/>
              <w:left w:val="nil"/>
              <w:bottom w:val="nil"/>
              <w:right w:val="nil"/>
            </w:tcBorders>
            <w:shd w:val="clear" w:color="auto" w:fill="FFFFFF"/>
          </w:tcPr>
          <w:p w:rsidR="001104CA" w:rsidRDefault="00C032A7">
            <w:pPr>
              <w:spacing w:line="480" w:lineRule="auto"/>
              <w:rPr>
                <w:color w:val="000000"/>
                <w:position w:val="-1"/>
                <w:sz w:val="24"/>
                <w:szCs w:val="24"/>
              </w:rPr>
            </w:pPr>
            <w:r>
              <w:rPr>
                <w:color w:val="000000"/>
                <w:position w:val="-1"/>
                <w:sz w:val="24"/>
                <w:szCs w:val="24"/>
              </w:rPr>
              <w:t>Alkaloids</w:t>
            </w:r>
          </w:p>
        </w:tc>
        <w:tc>
          <w:tcPr>
            <w:tcW w:w="2625" w:type="dxa"/>
            <w:tcBorders>
              <w:top w:val="single" w:sz="4" w:space="0" w:color="auto"/>
              <w:left w:val="nil"/>
              <w:bottom w:val="nil"/>
              <w:right w:val="nil"/>
            </w:tcBorders>
            <w:shd w:val="clear" w:color="auto" w:fill="FFFFFF"/>
          </w:tcPr>
          <w:p w:rsidR="001104CA" w:rsidRDefault="00C032A7">
            <w:pPr>
              <w:spacing w:line="480" w:lineRule="auto"/>
              <w:rPr>
                <w:color w:val="000000"/>
                <w:position w:val="-1"/>
                <w:sz w:val="24"/>
                <w:szCs w:val="24"/>
              </w:rPr>
            </w:pPr>
            <w:r>
              <w:rPr>
                <w:color w:val="000000"/>
                <w:sz w:val="24"/>
                <w:szCs w:val="24"/>
              </w:rPr>
              <w:t>6.11 ± 0.03</w:t>
            </w:r>
          </w:p>
        </w:tc>
        <w:tc>
          <w:tcPr>
            <w:tcW w:w="3521" w:type="dxa"/>
            <w:tcBorders>
              <w:top w:val="single" w:sz="4" w:space="0" w:color="auto"/>
              <w:left w:val="nil"/>
              <w:bottom w:val="nil"/>
              <w:right w:val="nil"/>
            </w:tcBorders>
            <w:shd w:val="clear" w:color="auto" w:fill="FFFFFF"/>
          </w:tcPr>
          <w:p w:rsidR="001104CA" w:rsidRDefault="00C032A7">
            <w:pPr>
              <w:spacing w:line="480" w:lineRule="auto"/>
              <w:rPr>
                <w:color w:val="000000"/>
                <w:position w:val="-1"/>
                <w:sz w:val="24"/>
                <w:szCs w:val="24"/>
              </w:rPr>
            </w:pPr>
            <w:r>
              <w:rPr>
                <w:color w:val="000000"/>
                <w:sz w:val="24"/>
                <w:szCs w:val="24"/>
              </w:rPr>
              <w:t>5.12 ± 0.03</w:t>
            </w:r>
          </w:p>
        </w:tc>
      </w:tr>
      <w:tr w:rsidR="001104CA">
        <w:tc>
          <w:tcPr>
            <w:tcW w:w="998"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position w:val="-1"/>
                <w:sz w:val="24"/>
                <w:szCs w:val="24"/>
              </w:rPr>
              <w:t>2</w:t>
            </w:r>
          </w:p>
        </w:tc>
        <w:tc>
          <w:tcPr>
            <w:tcW w:w="2272"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position w:val="-1"/>
                <w:sz w:val="24"/>
                <w:szCs w:val="24"/>
              </w:rPr>
              <w:t>Saponins</w:t>
            </w:r>
          </w:p>
        </w:tc>
        <w:tc>
          <w:tcPr>
            <w:tcW w:w="2625"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sz w:val="24"/>
                <w:szCs w:val="24"/>
              </w:rPr>
              <w:t>4.01 ± 0.05</w:t>
            </w:r>
          </w:p>
        </w:tc>
        <w:tc>
          <w:tcPr>
            <w:tcW w:w="3521"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sz w:val="24"/>
                <w:szCs w:val="24"/>
              </w:rPr>
              <w:t>3.12 ± 0.11</w:t>
            </w:r>
          </w:p>
        </w:tc>
      </w:tr>
      <w:tr w:rsidR="001104CA">
        <w:tc>
          <w:tcPr>
            <w:tcW w:w="998"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position w:val="-1"/>
                <w:sz w:val="24"/>
                <w:szCs w:val="24"/>
              </w:rPr>
              <w:t>3</w:t>
            </w:r>
          </w:p>
        </w:tc>
        <w:tc>
          <w:tcPr>
            <w:tcW w:w="2272"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position w:val="-1"/>
                <w:sz w:val="24"/>
                <w:szCs w:val="24"/>
              </w:rPr>
              <w:t>Phenols</w:t>
            </w:r>
          </w:p>
        </w:tc>
        <w:tc>
          <w:tcPr>
            <w:tcW w:w="2625"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sz w:val="24"/>
                <w:szCs w:val="24"/>
              </w:rPr>
              <w:t>5.61 ± 0.01</w:t>
            </w:r>
          </w:p>
        </w:tc>
        <w:tc>
          <w:tcPr>
            <w:tcW w:w="3521"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sz w:val="24"/>
                <w:szCs w:val="24"/>
              </w:rPr>
              <w:t>7.11 ± 0.10</w:t>
            </w:r>
          </w:p>
        </w:tc>
      </w:tr>
      <w:tr w:rsidR="001104CA">
        <w:tc>
          <w:tcPr>
            <w:tcW w:w="998"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position w:val="-1"/>
                <w:sz w:val="24"/>
                <w:szCs w:val="24"/>
              </w:rPr>
              <w:t>4</w:t>
            </w:r>
          </w:p>
        </w:tc>
        <w:tc>
          <w:tcPr>
            <w:tcW w:w="2272"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position w:val="-1"/>
                <w:sz w:val="24"/>
                <w:szCs w:val="24"/>
              </w:rPr>
              <w:t>Tannins</w:t>
            </w:r>
          </w:p>
        </w:tc>
        <w:tc>
          <w:tcPr>
            <w:tcW w:w="2625"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sz w:val="24"/>
                <w:szCs w:val="24"/>
              </w:rPr>
              <w:t>5.10 ±</w:t>
            </w:r>
            <w:r>
              <w:rPr>
                <w:color w:val="000000"/>
                <w:sz w:val="24"/>
                <w:szCs w:val="24"/>
              </w:rPr>
              <w:t xml:space="preserve"> 0.02</w:t>
            </w:r>
          </w:p>
        </w:tc>
        <w:tc>
          <w:tcPr>
            <w:tcW w:w="3521"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sz w:val="24"/>
                <w:szCs w:val="24"/>
              </w:rPr>
              <w:t>6.11 ± 0.12</w:t>
            </w:r>
          </w:p>
        </w:tc>
      </w:tr>
      <w:tr w:rsidR="001104CA">
        <w:tc>
          <w:tcPr>
            <w:tcW w:w="998"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position w:val="-1"/>
                <w:sz w:val="24"/>
                <w:szCs w:val="24"/>
              </w:rPr>
              <w:t>5</w:t>
            </w:r>
          </w:p>
        </w:tc>
        <w:tc>
          <w:tcPr>
            <w:tcW w:w="2272"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position w:val="-1"/>
                <w:sz w:val="24"/>
                <w:szCs w:val="24"/>
              </w:rPr>
              <w:t>Flavonoids</w:t>
            </w:r>
          </w:p>
        </w:tc>
        <w:tc>
          <w:tcPr>
            <w:tcW w:w="2625"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sz w:val="24"/>
                <w:szCs w:val="24"/>
              </w:rPr>
              <w:t>2.30 ± 0.03</w:t>
            </w:r>
          </w:p>
        </w:tc>
        <w:tc>
          <w:tcPr>
            <w:tcW w:w="3521"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sz w:val="24"/>
                <w:szCs w:val="24"/>
              </w:rPr>
              <w:t>8.60 ± 0.23</w:t>
            </w:r>
          </w:p>
        </w:tc>
      </w:tr>
      <w:tr w:rsidR="001104CA">
        <w:tc>
          <w:tcPr>
            <w:tcW w:w="998"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position w:val="-1"/>
                <w:sz w:val="24"/>
                <w:szCs w:val="24"/>
              </w:rPr>
              <w:t>6</w:t>
            </w:r>
          </w:p>
        </w:tc>
        <w:tc>
          <w:tcPr>
            <w:tcW w:w="2272"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position w:val="-1"/>
                <w:sz w:val="24"/>
                <w:szCs w:val="24"/>
              </w:rPr>
              <w:t>Anthraquinone</w:t>
            </w:r>
          </w:p>
        </w:tc>
        <w:tc>
          <w:tcPr>
            <w:tcW w:w="2625"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position w:val="-1"/>
                <w:sz w:val="24"/>
                <w:szCs w:val="24"/>
              </w:rPr>
              <w:t>0.42 ± 0.03</w:t>
            </w:r>
          </w:p>
        </w:tc>
        <w:tc>
          <w:tcPr>
            <w:tcW w:w="3521"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sz w:val="24"/>
                <w:szCs w:val="24"/>
              </w:rPr>
              <w:t>2.17 ± 0.01</w:t>
            </w:r>
          </w:p>
        </w:tc>
      </w:tr>
      <w:tr w:rsidR="001104CA">
        <w:tc>
          <w:tcPr>
            <w:tcW w:w="998"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position w:val="-1"/>
                <w:sz w:val="24"/>
                <w:szCs w:val="24"/>
              </w:rPr>
              <w:t>7</w:t>
            </w:r>
          </w:p>
        </w:tc>
        <w:tc>
          <w:tcPr>
            <w:tcW w:w="2272"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position w:val="-1"/>
                <w:sz w:val="24"/>
                <w:szCs w:val="24"/>
              </w:rPr>
              <w:t>Reducing sugars</w:t>
            </w:r>
          </w:p>
        </w:tc>
        <w:tc>
          <w:tcPr>
            <w:tcW w:w="2625"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sz w:val="24"/>
                <w:szCs w:val="24"/>
              </w:rPr>
              <w:t>0.13 ± 0.02</w:t>
            </w:r>
          </w:p>
        </w:tc>
        <w:tc>
          <w:tcPr>
            <w:tcW w:w="3521"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sz w:val="24"/>
                <w:szCs w:val="24"/>
              </w:rPr>
              <w:t>3.27 ± 0.11</w:t>
            </w:r>
          </w:p>
        </w:tc>
      </w:tr>
      <w:tr w:rsidR="001104CA">
        <w:tc>
          <w:tcPr>
            <w:tcW w:w="998"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position w:val="-1"/>
                <w:sz w:val="24"/>
                <w:szCs w:val="24"/>
              </w:rPr>
              <w:t>8</w:t>
            </w:r>
          </w:p>
        </w:tc>
        <w:tc>
          <w:tcPr>
            <w:tcW w:w="2272"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position w:val="-1"/>
                <w:sz w:val="24"/>
                <w:szCs w:val="24"/>
              </w:rPr>
              <w:t>Terpenoids</w:t>
            </w:r>
          </w:p>
        </w:tc>
        <w:tc>
          <w:tcPr>
            <w:tcW w:w="2625"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sz w:val="24"/>
                <w:szCs w:val="24"/>
              </w:rPr>
              <w:t>0.51 ± 0.03</w:t>
            </w:r>
          </w:p>
        </w:tc>
        <w:tc>
          <w:tcPr>
            <w:tcW w:w="3521" w:type="dxa"/>
            <w:tcBorders>
              <w:top w:val="nil"/>
              <w:left w:val="nil"/>
              <w:bottom w:val="nil"/>
              <w:right w:val="nil"/>
            </w:tcBorders>
            <w:shd w:val="clear" w:color="auto" w:fill="FFFFFF"/>
          </w:tcPr>
          <w:p w:rsidR="001104CA" w:rsidRDefault="00C032A7">
            <w:pPr>
              <w:spacing w:line="480" w:lineRule="auto"/>
              <w:rPr>
                <w:color w:val="000000"/>
                <w:position w:val="-1"/>
                <w:sz w:val="24"/>
                <w:szCs w:val="24"/>
              </w:rPr>
            </w:pPr>
            <w:r>
              <w:rPr>
                <w:color w:val="000000"/>
                <w:sz w:val="24"/>
                <w:szCs w:val="24"/>
              </w:rPr>
              <w:t>4.83± 0.12</w:t>
            </w:r>
          </w:p>
        </w:tc>
      </w:tr>
      <w:tr w:rsidR="001104CA">
        <w:tc>
          <w:tcPr>
            <w:tcW w:w="998" w:type="dxa"/>
            <w:tcBorders>
              <w:top w:val="nil"/>
              <w:left w:val="nil"/>
              <w:bottom w:val="single" w:sz="4" w:space="0" w:color="auto"/>
              <w:right w:val="nil"/>
            </w:tcBorders>
            <w:shd w:val="clear" w:color="auto" w:fill="FFFFFF"/>
          </w:tcPr>
          <w:p w:rsidR="001104CA" w:rsidRDefault="00C032A7">
            <w:pPr>
              <w:spacing w:line="480" w:lineRule="auto"/>
              <w:rPr>
                <w:color w:val="000000"/>
                <w:position w:val="-1"/>
                <w:sz w:val="24"/>
                <w:szCs w:val="24"/>
              </w:rPr>
            </w:pPr>
            <w:r>
              <w:rPr>
                <w:color w:val="000000"/>
                <w:position w:val="-1"/>
                <w:sz w:val="24"/>
                <w:szCs w:val="24"/>
              </w:rPr>
              <w:t>9</w:t>
            </w:r>
          </w:p>
        </w:tc>
        <w:tc>
          <w:tcPr>
            <w:tcW w:w="2272" w:type="dxa"/>
            <w:tcBorders>
              <w:top w:val="nil"/>
              <w:left w:val="nil"/>
              <w:bottom w:val="single" w:sz="4" w:space="0" w:color="auto"/>
              <w:right w:val="nil"/>
            </w:tcBorders>
            <w:shd w:val="clear" w:color="auto" w:fill="FFFFFF"/>
          </w:tcPr>
          <w:p w:rsidR="001104CA" w:rsidRDefault="00C032A7">
            <w:pPr>
              <w:spacing w:line="480" w:lineRule="auto"/>
              <w:rPr>
                <w:color w:val="000000"/>
                <w:position w:val="-1"/>
                <w:sz w:val="24"/>
                <w:szCs w:val="24"/>
              </w:rPr>
            </w:pPr>
            <w:r>
              <w:rPr>
                <w:color w:val="000000"/>
                <w:position w:val="-1"/>
                <w:sz w:val="24"/>
                <w:szCs w:val="24"/>
              </w:rPr>
              <w:t>Steroids</w:t>
            </w:r>
          </w:p>
        </w:tc>
        <w:tc>
          <w:tcPr>
            <w:tcW w:w="2625" w:type="dxa"/>
            <w:tcBorders>
              <w:top w:val="nil"/>
              <w:left w:val="nil"/>
              <w:bottom w:val="single" w:sz="4" w:space="0" w:color="auto"/>
              <w:right w:val="nil"/>
            </w:tcBorders>
            <w:shd w:val="clear" w:color="auto" w:fill="FFFFFF"/>
          </w:tcPr>
          <w:p w:rsidR="001104CA" w:rsidRDefault="00C032A7">
            <w:pPr>
              <w:spacing w:line="480" w:lineRule="auto"/>
              <w:rPr>
                <w:color w:val="000000"/>
                <w:position w:val="-1"/>
                <w:sz w:val="24"/>
                <w:szCs w:val="24"/>
              </w:rPr>
            </w:pPr>
            <w:r>
              <w:rPr>
                <w:color w:val="000000"/>
                <w:position w:val="-1"/>
                <w:sz w:val="24"/>
                <w:szCs w:val="24"/>
              </w:rPr>
              <w:t>0.06 ± 0.01</w:t>
            </w:r>
          </w:p>
        </w:tc>
        <w:tc>
          <w:tcPr>
            <w:tcW w:w="3521" w:type="dxa"/>
            <w:tcBorders>
              <w:top w:val="nil"/>
              <w:left w:val="nil"/>
              <w:bottom w:val="single" w:sz="4" w:space="0" w:color="auto"/>
              <w:right w:val="nil"/>
            </w:tcBorders>
            <w:shd w:val="clear" w:color="auto" w:fill="FFFFFF"/>
          </w:tcPr>
          <w:p w:rsidR="001104CA" w:rsidRDefault="00C032A7">
            <w:pPr>
              <w:spacing w:line="480" w:lineRule="auto"/>
              <w:rPr>
                <w:color w:val="000000"/>
                <w:position w:val="-1"/>
                <w:sz w:val="24"/>
                <w:szCs w:val="24"/>
              </w:rPr>
            </w:pPr>
            <w:r>
              <w:rPr>
                <w:color w:val="000000"/>
                <w:position w:val="-1"/>
                <w:sz w:val="24"/>
                <w:szCs w:val="24"/>
              </w:rPr>
              <w:t>2.19 ± 0.02</w:t>
            </w:r>
          </w:p>
        </w:tc>
      </w:tr>
    </w:tbl>
    <w:p w:rsidR="001104CA" w:rsidRDefault="00C032A7">
      <w:pPr>
        <w:ind w:left="100"/>
        <w:jc w:val="both"/>
        <w:rPr>
          <w:b/>
          <w:bCs/>
          <w:sz w:val="24"/>
          <w:szCs w:val="24"/>
        </w:rPr>
      </w:pPr>
      <w:r>
        <w:rPr>
          <w:position w:val="-1"/>
          <w:sz w:val="24"/>
          <w:szCs w:val="24"/>
        </w:rPr>
        <w:t>All values are mean ± SEM</w:t>
      </w:r>
    </w:p>
    <w:p w:rsidR="001104CA" w:rsidRDefault="001104CA">
      <w:pPr>
        <w:spacing w:line="480" w:lineRule="auto"/>
        <w:ind w:right="76"/>
        <w:jc w:val="both"/>
        <w:rPr>
          <w:b/>
          <w:bCs/>
          <w:sz w:val="24"/>
          <w:szCs w:val="24"/>
        </w:rPr>
      </w:pPr>
    </w:p>
    <w:p w:rsidR="001104CA" w:rsidRDefault="00C032A7">
      <w:pPr>
        <w:spacing w:line="480" w:lineRule="auto"/>
        <w:ind w:right="76"/>
        <w:jc w:val="both"/>
        <w:rPr>
          <w:b/>
          <w:bCs/>
          <w:i/>
          <w:iCs/>
          <w:sz w:val="24"/>
          <w:szCs w:val="24"/>
        </w:rPr>
      </w:pPr>
      <w:r>
        <w:rPr>
          <w:b/>
          <w:bCs/>
          <w:sz w:val="24"/>
          <w:szCs w:val="24"/>
        </w:rPr>
        <w:t xml:space="preserve">3.2 </w:t>
      </w:r>
      <w:r>
        <w:rPr>
          <w:b/>
          <w:bCs/>
          <w:sz w:val="24"/>
          <w:szCs w:val="24"/>
        </w:rPr>
        <w:tab/>
      </w:r>
      <w:r>
        <w:rPr>
          <w:b/>
          <w:bCs/>
          <w:sz w:val="24"/>
          <w:szCs w:val="24"/>
        </w:rPr>
        <w:t xml:space="preserve">MIC Inhibition Zone Diameter (IZD) of </w:t>
      </w:r>
      <w:r>
        <w:rPr>
          <w:b/>
          <w:bCs/>
          <w:i/>
          <w:iCs/>
          <w:sz w:val="24"/>
          <w:szCs w:val="24"/>
        </w:rPr>
        <w:t>Zingiber officinale</w:t>
      </w:r>
      <w:r>
        <w:rPr>
          <w:b/>
          <w:bCs/>
          <w:sz w:val="24"/>
          <w:szCs w:val="24"/>
        </w:rPr>
        <w:t xml:space="preserve"> against </w:t>
      </w:r>
      <w:r>
        <w:rPr>
          <w:b/>
          <w:bCs/>
          <w:i/>
          <w:iCs/>
          <w:sz w:val="24"/>
          <w:szCs w:val="24"/>
        </w:rPr>
        <w:t>C.albicans</w:t>
      </w:r>
    </w:p>
    <w:p w:rsidR="001104CA" w:rsidRDefault="00C032A7">
      <w:pPr>
        <w:spacing w:line="480" w:lineRule="auto"/>
        <w:jc w:val="both"/>
        <w:rPr>
          <w:sz w:val="24"/>
          <w:szCs w:val="24"/>
        </w:rPr>
      </w:pPr>
      <w:r>
        <w:rPr>
          <w:bCs/>
          <w:sz w:val="24"/>
          <w:szCs w:val="24"/>
        </w:rPr>
        <w:t xml:space="preserve">Table </w:t>
      </w:r>
      <w:r>
        <w:rPr>
          <w:bCs/>
          <w:sz w:val="24"/>
          <w:szCs w:val="24"/>
        </w:rPr>
        <w:t>3</w:t>
      </w:r>
      <w:r>
        <w:rPr>
          <w:sz w:val="24"/>
          <w:szCs w:val="24"/>
        </w:rPr>
        <w:t xml:space="preserve"> shows the result of the inhibition zone diameter (IZD) of </w:t>
      </w:r>
      <w:r>
        <w:rPr>
          <w:i/>
          <w:iCs/>
          <w:sz w:val="24"/>
          <w:szCs w:val="24"/>
        </w:rPr>
        <w:t xml:space="preserve">Zingiber officinale </w:t>
      </w:r>
      <w:r>
        <w:rPr>
          <w:sz w:val="24"/>
          <w:szCs w:val="24"/>
        </w:rPr>
        <w:t xml:space="preserve">against </w:t>
      </w:r>
      <w:r>
        <w:rPr>
          <w:i/>
          <w:iCs/>
          <w:sz w:val="24"/>
          <w:szCs w:val="24"/>
        </w:rPr>
        <w:t>C. albicans</w:t>
      </w:r>
      <w:r>
        <w:rPr>
          <w:sz w:val="24"/>
          <w:szCs w:val="24"/>
        </w:rPr>
        <w:t xml:space="preserve"> by well diffusion method. The result showed that the rate of inhibitory z</w:t>
      </w:r>
      <w:r>
        <w:rPr>
          <w:sz w:val="24"/>
          <w:szCs w:val="24"/>
        </w:rPr>
        <w:t xml:space="preserve">ones fluctuated between 25-30 mm, p &gt; 0.05 in the preparation of </w:t>
      </w:r>
      <w:r>
        <w:rPr>
          <w:i/>
          <w:iCs/>
          <w:sz w:val="24"/>
          <w:szCs w:val="24"/>
        </w:rPr>
        <w:t>C.albicans</w:t>
      </w:r>
      <w:r>
        <w:rPr>
          <w:sz w:val="24"/>
          <w:szCs w:val="24"/>
        </w:rPr>
        <w:t xml:space="preserve"> compared to the drug  control (fluconazole). </w:t>
      </w:r>
    </w:p>
    <w:p w:rsidR="001104CA" w:rsidRDefault="00C032A7">
      <w:pPr>
        <w:spacing w:line="480" w:lineRule="auto"/>
        <w:jc w:val="both"/>
        <w:rPr>
          <w:sz w:val="24"/>
          <w:szCs w:val="24"/>
        </w:rPr>
      </w:pPr>
      <w:r>
        <w:rPr>
          <w:bCs/>
          <w:sz w:val="24"/>
          <w:szCs w:val="24"/>
        </w:rPr>
        <w:t xml:space="preserve">Table </w:t>
      </w:r>
      <w:r>
        <w:rPr>
          <w:bCs/>
          <w:sz w:val="24"/>
          <w:szCs w:val="24"/>
        </w:rPr>
        <w:t>4</w:t>
      </w:r>
      <w:r>
        <w:rPr>
          <w:sz w:val="24"/>
          <w:szCs w:val="24"/>
        </w:rPr>
        <w:t xml:space="preserve"> shows the result of the minimal inhibitory concentration (MIC) and the minimal bactericidal concentration (MBC). The MIC of </w:t>
      </w:r>
      <w:r>
        <w:rPr>
          <w:i/>
          <w:iCs/>
          <w:sz w:val="24"/>
          <w:szCs w:val="24"/>
        </w:rPr>
        <w:t>Zi</w:t>
      </w:r>
      <w:r>
        <w:rPr>
          <w:i/>
          <w:iCs/>
          <w:sz w:val="24"/>
          <w:szCs w:val="24"/>
        </w:rPr>
        <w:t>ngiber officinale</w:t>
      </w:r>
      <w:r>
        <w:rPr>
          <w:sz w:val="24"/>
          <w:szCs w:val="24"/>
        </w:rPr>
        <w:t xml:space="preserve"> was recorded at 18.75 mg/ml which indicates significant positive effect on the microorganism (</w:t>
      </w:r>
      <w:r>
        <w:rPr>
          <w:i/>
          <w:iCs/>
          <w:sz w:val="24"/>
          <w:szCs w:val="24"/>
        </w:rPr>
        <w:t>C.albicans</w:t>
      </w:r>
      <w:r>
        <w:rPr>
          <w:sz w:val="24"/>
          <w:szCs w:val="24"/>
        </w:rPr>
        <w:t xml:space="preserve">) when compared with the drug control group. The result </w:t>
      </w:r>
      <w:r>
        <w:rPr>
          <w:sz w:val="24"/>
          <w:szCs w:val="24"/>
        </w:rPr>
        <w:lastRenderedPageBreak/>
        <w:t>of the MBC indicat</w:t>
      </w:r>
      <w:r>
        <w:rPr>
          <w:sz w:val="24"/>
          <w:szCs w:val="24"/>
        </w:rPr>
        <w:t>es</w:t>
      </w:r>
      <w:r>
        <w:rPr>
          <w:sz w:val="24"/>
          <w:szCs w:val="24"/>
        </w:rPr>
        <w:t xml:space="preserve"> a significant positive bactericidal effect recorded at co</w:t>
      </w:r>
      <w:r>
        <w:rPr>
          <w:sz w:val="24"/>
          <w:szCs w:val="24"/>
        </w:rPr>
        <w:t>ncentration group (9.37, 18.75, 37.5, 75, 150, 300) mg/ ml.</w:t>
      </w:r>
    </w:p>
    <w:p w:rsidR="001104CA" w:rsidRDefault="00C032A7">
      <w:pPr>
        <w:tabs>
          <w:tab w:val="left" w:pos="2860"/>
        </w:tabs>
        <w:rPr>
          <w:b/>
          <w:bCs/>
          <w:i/>
          <w:iCs/>
          <w:sz w:val="24"/>
          <w:szCs w:val="24"/>
        </w:rPr>
      </w:pPr>
      <w:r>
        <w:rPr>
          <w:b/>
          <w:bCs/>
          <w:sz w:val="24"/>
          <w:szCs w:val="24"/>
        </w:rPr>
        <w:t xml:space="preserve">Table 3. </w:t>
      </w:r>
      <w:r>
        <w:rPr>
          <w:b/>
          <w:bCs/>
          <w:sz w:val="24"/>
          <w:szCs w:val="24"/>
        </w:rPr>
        <w:t xml:space="preserve">MIC Inhibition Zone Diameter (IZD) of </w:t>
      </w:r>
      <w:r>
        <w:rPr>
          <w:b/>
          <w:bCs/>
          <w:i/>
          <w:iCs/>
          <w:sz w:val="24"/>
          <w:szCs w:val="24"/>
        </w:rPr>
        <w:t xml:space="preserve">Zingiber officinale </w:t>
      </w:r>
      <w:r>
        <w:rPr>
          <w:b/>
          <w:bCs/>
          <w:sz w:val="24"/>
          <w:szCs w:val="24"/>
        </w:rPr>
        <w:t xml:space="preserve">against </w:t>
      </w:r>
      <w:r>
        <w:rPr>
          <w:b/>
          <w:bCs/>
          <w:i/>
          <w:iCs/>
          <w:sz w:val="24"/>
          <w:szCs w:val="24"/>
        </w:rPr>
        <w:t>C.albicans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1946"/>
        <w:gridCol w:w="3736"/>
      </w:tblGrid>
      <w:tr w:rsidR="001104CA">
        <w:tc>
          <w:tcPr>
            <w:tcW w:w="2840" w:type="dxa"/>
            <w:tcBorders>
              <w:top w:val="single" w:sz="4" w:space="0" w:color="auto"/>
              <w:bottom w:val="single" w:sz="4" w:space="0" w:color="auto"/>
            </w:tcBorders>
          </w:tcPr>
          <w:p w:rsidR="001104CA" w:rsidRDefault="00C032A7">
            <w:pPr>
              <w:tabs>
                <w:tab w:val="left" w:pos="2860"/>
              </w:tabs>
              <w:rPr>
                <w:b/>
                <w:bCs/>
                <w:sz w:val="24"/>
                <w:szCs w:val="24"/>
              </w:rPr>
            </w:pPr>
            <w:r>
              <w:rPr>
                <w:b/>
                <w:bCs/>
                <w:sz w:val="24"/>
                <w:szCs w:val="24"/>
              </w:rPr>
              <w:t>Concentation (μg/mL)</w:t>
            </w:r>
          </w:p>
        </w:tc>
        <w:tc>
          <w:tcPr>
            <w:tcW w:w="1946" w:type="dxa"/>
            <w:tcBorders>
              <w:top w:val="single" w:sz="4" w:space="0" w:color="auto"/>
              <w:bottom w:val="single" w:sz="4" w:space="0" w:color="auto"/>
            </w:tcBorders>
          </w:tcPr>
          <w:p w:rsidR="001104CA" w:rsidRDefault="00C032A7">
            <w:pPr>
              <w:tabs>
                <w:tab w:val="left" w:pos="2860"/>
              </w:tabs>
              <w:rPr>
                <w:b/>
                <w:bCs/>
                <w:sz w:val="24"/>
                <w:szCs w:val="24"/>
              </w:rPr>
            </w:pPr>
            <w:r>
              <w:rPr>
                <w:b/>
                <w:bCs/>
                <w:sz w:val="24"/>
                <w:szCs w:val="24"/>
              </w:rPr>
              <w:t>IZD (mm)</w:t>
            </w:r>
          </w:p>
        </w:tc>
        <w:tc>
          <w:tcPr>
            <w:tcW w:w="3736" w:type="dxa"/>
            <w:tcBorders>
              <w:top w:val="single" w:sz="4" w:space="0" w:color="auto"/>
              <w:bottom w:val="single" w:sz="4" w:space="0" w:color="auto"/>
            </w:tcBorders>
          </w:tcPr>
          <w:p w:rsidR="001104CA" w:rsidRDefault="00C032A7">
            <w:pPr>
              <w:tabs>
                <w:tab w:val="left" w:pos="2860"/>
              </w:tabs>
              <w:rPr>
                <w:b/>
                <w:bCs/>
                <w:sz w:val="24"/>
                <w:szCs w:val="24"/>
              </w:rPr>
            </w:pPr>
            <w:r>
              <w:rPr>
                <w:b/>
                <w:bCs/>
                <w:sz w:val="24"/>
                <w:szCs w:val="24"/>
              </w:rPr>
              <w:t>Relative efficacy Vs Control (%)</w:t>
            </w:r>
          </w:p>
        </w:tc>
      </w:tr>
      <w:tr w:rsidR="001104CA">
        <w:tc>
          <w:tcPr>
            <w:tcW w:w="2840" w:type="dxa"/>
            <w:tcBorders>
              <w:top w:val="single" w:sz="4" w:space="0" w:color="auto"/>
            </w:tcBorders>
          </w:tcPr>
          <w:p w:rsidR="001104CA" w:rsidRDefault="00C032A7">
            <w:pPr>
              <w:tabs>
                <w:tab w:val="left" w:pos="2860"/>
              </w:tabs>
              <w:spacing w:line="480" w:lineRule="auto"/>
              <w:rPr>
                <w:sz w:val="24"/>
                <w:szCs w:val="24"/>
              </w:rPr>
            </w:pPr>
            <w:r>
              <w:rPr>
                <w:sz w:val="24"/>
                <w:szCs w:val="24"/>
              </w:rPr>
              <w:t>300</w:t>
            </w:r>
          </w:p>
        </w:tc>
        <w:tc>
          <w:tcPr>
            <w:tcW w:w="1946" w:type="dxa"/>
            <w:tcBorders>
              <w:top w:val="single" w:sz="4" w:space="0" w:color="auto"/>
            </w:tcBorders>
          </w:tcPr>
          <w:p w:rsidR="001104CA" w:rsidRDefault="00C032A7">
            <w:pPr>
              <w:tabs>
                <w:tab w:val="left" w:pos="2860"/>
              </w:tabs>
              <w:spacing w:line="480" w:lineRule="auto"/>
              <w:rPr>
                <w:sz w:val="24"/>
                <w:szCs w:val="24"/>
              </w:rPr>
            </w:pPr>
            <w:r>
              <w:rPr>
                <w:sz w:val="24"/>
                <w:szCs w:val="24"/>
              </w:rPr>
              <w:t>30</w:t>
            </w:r>
          </w:p>
        </w:tc>
        <w:tc>
          <w:tcPr>
            <w:tcW w:w="3736" w:type="dxa"/>
            <w:tcBorders>
              <w:top w:val="single" w:sz="4" w:space="0" w:color="auto"/>
            </w:tcBorders>
          </w:tcPr>
          <w:p w:rsidR="001104CA" w:rsidRDefault="00C032A7">
            <w:pPr>
              <w:tabs>
                <w:tab w:val="left" w:pos="2860"/>
              </w:tabs>
              <w:spacing w:line="480" w:lineRule="auto"/>
              <w:rPr>
                <w:sz w:val="24"/>
                <w:szCs w:val="24"/>
              </w:rPr>
            </w:pPr>
            <w:r>
              <w:rPr>
                <w:sz w:val="24"/>
                <w:szCs w:val="24"/>
              </w:rPr>
              <w:t>107.14</w:t>
            </w:r>
          </w:p>
        </w:tc>
      </w:tr>
      <w:tr w:rsidR="001104CA">
        <w:tc>
          <w:tcPr>
            <w:tcW w:w="2840" w:type="dxa"/>
          </w:tcPr>
          <w:p w:rsidR="001104CA" w:rsidRDefault="00C032A7">
            <w:pPr>
              <w:tabs>
                <w:tab w:val="left" w:pos="2860"/>
              </w:tabs>
              <w:spacing w:line="480" w:lineRule="auto"/>
              <w:rPr>
                <w:sz w:val="24"/>
                <w:szCs w:val="24"/>
              </w:rPr>
            </w:pPr>
            <w:r>
              <w:rPr>
                <w:sz w:val="24"/>
                <w:szCs w:val="24"/>
              </w:rPr>
              <w:t>200</w:t>
            </w:r>
          </w:p>
        </w:tc>
        <w:tc>
          <w:tcPr>
            <w:tcW w:w="1946" w:type="dxa"/>
          </w:tcPr>
          <w:p w:rsidR="001104CA" w:rsidRDefault="00C032A7">
            <w:pPr>
              <w:tabs>
                <w:tab w:val="left" w:pos="2860"/>
              </w:tabs>
              <w:spacing w:line="480" w:lineRule="auto"/>
              <w:rPr>
                <w:sz w:val="24"/>
                <w:szCs w:val="24"/>
              </w:rPr>
            </w:pPr>
            <w:r>
              <w:rPr>
                <w:sz w:val="24"/>
                <w:szCs w:val="24"/>
              </w:rPr>
              <w:t>27</w:t>
            </w:r>
          </w:p>
        </w:tc>
        <w:tc>
          <w:tcPr>
            <w:tcW w:w="3736" w:type="dxa"/>
          </w:tcPr>
          <w:p w:rsidR="001104CA" w:rsidRDefault="00C032A7">
            <w:pPr>
              <w:tabs>
                <w:tab w:val="left" w:pos="2860"/>
              </w:tabs>
              <w:spacing w:line="480" w:lineRule="auto"/>
              <w:rPr>
                <w:sz w:val="24"/>
                <w:szCs w:val="24"/>
              </w:rPr>
            </w:pPr>
            <w:r>
              <w:rPr>
                <w:sz w:val="24"/>
                <w:szCs w:val="24"/>
              </w:rPr>
              <w:t>96.43</w:t>
            </w:r>
          </w:p>
        </w:tc>
      </w:tr>
      <w:tr w:rsidR="001104CA">
        <w:tc>
          <w:tcPr>
            <w:tcW w:w="2840" w:type="dxa"/>
          </w:tcPr>
          <w:p w:rsidR="001104CA" w:rsidRDefault="00C032A7">
            <w:pPr>
              <w:tabs>
                <w:tab w:val="left" w:pos="2860"/>
              </w:tabs>
              <w:spacing w:line="480" w:lineRule="auto"/>
              <w:rPr>
                <w:sz w:val="24"/>
                <w:szCs w:val="24"/>
              </w:rPr>
            </w:pPr>
            <w:r>
              <w:rPr>
                <w:sz w:val="24"/>
                <w:szCs w:val="24"/>
              </w:rPr>
              <w:t>100</w:t>
            </w:r>
          </w:p>
        </w:tc>
        <w:tc>
          <w:tcPr>
            <w:tcW w:w="1946" w:type="dxa"/>
          </w:tcPr>
          <w:p w:rsidR="001104CA" w:rsidRDefault="00C032A7">
            <w:pPr>
              <w:tabs>
                <w:tab w:val="left" w:pos="2860"/>
              </w:tabs>
              <w:spacing w:line="480" w:lineRule="auto"/>
              <w:rPr>
                <w:sz w:val="24"/>
                <w:szCs w:val="24"/>
              </w:rPr>
            </w:pPr>
            <w:r>
              <w:rPr>
                <w:sz w:val="24"/>
                <w:szCs w:val="24"/>
              </w:rPr>
              <w:t>25</w:t>
            </w:r>
          </w:p>
        </w:tc>
        <w:tc>
          <w:tcPr>
            <w:tcW w:w="3736" w:type="dxa"/>
          </w:tcPr>
          <w:p w:rsidR="001104CA" w:rsidRDefault="00C032A7">
            <w:pPr>
              <w:tabs>
                <w:tab w:val="left" w:pos="2860"/>
              </w:tabs>
              <w:spacing w:line="480" w:lineRule="auto"/>
              <w:rPr>
                <w:sz w:val="24"/>
                <w:szCs w:val="24"/>
              </w:rPr>
            </w:pPr>
            <w:r>
              <w:rPr>
                <w:sz w:val="24"/>
                <w:szCs w:val="24"/>
              </w:rPr>
              <w:t>89.29</w:t>
            </w:r>
          </w:p>
        </w:tc>
      </w:tr>
      <w:tr w:rsidR="001104CA">
        <w:tc>
          <w:tcPr>
            <w:tcW w:w="2840" w:type="dxa"/>
          </w:tcPr>
          <w:p w:rsidR="001104CA" w:rsidRDefault="00C032A7">
            <w:pPr>
              <w:tabs>
                <w:tab w:val="left" w:pos="2860"/>
              </w:tabs>
              <w:spacing w:line="480" w:lineRule="auto"/>
              <w:rPr>
                <w:sz w:val="24"/>
                <w:szCs w:val="24"/>
              </w:rPr>
            </w:pPr>
            <w:r>
              <w:rPr>
                <w:sz w:val="24"/>
                <w:szCs w:val="24"/>
              </w:rPr>
              <w:t>Drug control (fluconazole)</w:t>
            </w:r>
          </w:p>
        </w:tc>
        <w:tc>
          <w:tcPr>
            <w:tcW w:w="1946" w:type="dxa"/>
          </w:tcPr>
          <w:p w:rsidR="001104CA" w:rsidRDefault="00C032A7">
            <w:pPr>
              <w:tabs>
                <w:tab w:val="left" w:pos="2860"/>
              </w:tabs>
              <w:spacing w:line="480" w:lineRule="auto"/>
              <w:rPr>
                <w:sz w:val="24"/>
                <w:szCs w:val="24"/>
              </w:rPr>
            </w:pPr>
            <w:r>
              <w:rPr>
                <w:sz w:val="24"/>
                <w:szCs w:val="24"/>
              </w:rPr>
              <w:t>28</w:t>
            </w:r>
          </w:p>
        </w:tc>
        <w:tc>
          <w:tcPr>
            <w:tcW w:w="3736" w:type="dxa"/>
          </w:tcPr>
          <w:p w:rsidR="001104CA" w:rsidRDefault="00C032A7">
            <w:pPr>
              <w:tabs>
                <w:tab w:val="left" w:pos="2860"/>
              </w:tabs>
              <w:spacing w:line="480" w:lineRule="auto"/>
              <w:rPr>
                <w:sz w:val="24"/>
                <w:szCs w:val="24"/>
              </w:rPr>
            </w:pPr>
            <w:r>
              <w:rPr>
                <w:sz w:val="24"/>
                <w:szCs w:val="24"/>
              </w:rPr>
              <w:t>100.00</w:t>
            </w:r>
          </w:p>
        </w:tc>
      </w:tr>
    </w:tbl>
    <w:p w:rsidR="001104CA" w:rsidRDefault="00C032A7">
      <w:pPr>
        <w:tabs>
          <w:tab w:val="left" w:pos="2860"/>
        </w:tabs>
        <w:jc w:val="both"/>
        <w:rPr>
          <w:sz w:val="24"/>
          <w:szCs w:val="24"/>
        </w:rPr>
      </w:pPr>
      <w:r>
        <w:rPr>
          <w:sz w:val="24"/>
          <w:szCs w:val="24"/>
        </w:rPr>
        <w:t>Concentration dependent inhibitory effect; 300 μg/mL dose more effective than standard drug control with significance P &gt; 0.05, n=3.</w:t>
      </w:r>
    </w:p>
    <w:p w:rsidR="001104CA" w:rsidRDefault="001104CA">
      <w:pPr>
        <w:tabs>
          <w:tab w:val="left" w:pos="2860"/>
        </w:tabs>
        <w:jc w:val="both"/>
        <w:rPr>
          <w:sz w:val="24"/>
          <w:szCs w:val="24"/>
        </w:rPr>
      </w:pPr>
    </w:p>
    <w:p w:rsidR="001104CA" w:rsidRDefault="00C032A7">
      <w:pPr>
        <w:tabs>
          <w:tab w:val="left" w:pos="2860"/>
        </w:tabs>
        <w:rPr>
          <w:b/>
          <w:bCs/>
          <w:i/>
          <w:iCs/>
          <w:sz w:val="24"/>
          <w:szCs w:val="24"/>
        </w:rPr>
      </w:pPr>
      <w:r>
        <w:rPr>
          <w:b/>
          <w:bCs/>
          <w:sz w:val="24"/>
          <w:szCs w:val="24"/>
        </w:rPr>
        <w:t>Table 4.</w:t>
      </w:r>
      <w:r>
        <w:rPr>
          <w:b/>
          <w:bCs/>
          <w:i/>
          <w:iCs/>
          <w:sz w:val="24"/>
          <w:szCs w:val="24"/>
        </w:rPr>
        <w:t xml:space="preserve"> </w:t>
      </w:r>
      <w:r>
        <w:rPr>
          <w:b/>
          <w:bCs/>
          <w:i/>
          <w:iCs/>
          <w:sz w:val="24"/>
          <w:szCs w:val="24"/>
        </w:rPr>
        <w:t>In vitro</w:t>
      </w:r>
      <w:r>
        <w:rPr>
          <w:b/>
          <w:bCs/>
          <w:sz w:val="24"/>
          <w:szCs w:val="24"/>
        </w:rPr>
        <w:t xml:space="preserve"> Minimal inhibitory concentration (MIC) and Minimal bactericidal co</w:t>
      </w:r>
      <w:r>
        <w:rPr>
          <w:b/>
          <w:bCs/>
          <w:sz w:val="24"/>
          <w:szCs w:val="24"/>
        </w:rPr>
        <w:t xml:space="preserve">ncentration (MBC) of </w:t>
      </w:r>
      <w:r>
        <w:rPr>
          <w:b/>
          <w:bCs/>
          <w:i/>
          <w:iCs/>
          <w:sz w:val="24"/>
          <w:szCs w:val="24"/>
        </w:rPr>
        <w:t>Zingiber  officinale</w:t>
      </w:r>
      <w:r>
        <w:rPr>
          <w:b/>
          <w:bCs/>
          <w:sz w:val="24"/>
          <w:szCs w:val="24"/>
        </w:rPr>
        <w:t xml:space="preserve"> against </w:t>
      </w:r>
      <w:r>
        <w:rPr>
          <w:b/>
          <w:bCs/>
          <w:i/>
          <w:iCs/>
          <w:sz w:val="24"/>
          <w:szCs w:val="24"/>
        </w:rPr>
        <w:t>C.albicans</w:t>
      </w:r>
    </w:p>
    <w:tbl>
      <w:tblPr>
        <w:tblStyle w:val="TableGrid"/>
        <w:tblW w:w="0" w:type="auto"/>
        <w:tblLook w:val="04A0" w:firstRow="1" w:lastRow="0" w:firstColumn="1" w:lastColumn="0" w:noHBand="0" w:noVBand="1"/>
      </w:tblPr>
      <w:tblGrid>
        <w:gridCol w:w="2840"/>
        <w:gridCol w:w="2840"/>
        <w:gridCol w:w="2840"/>
      </w:tblGrid>
      <w:tr w:rsidR="001104CA">
        <w:tc>
          <w:tcPr>
            <w:tcW w:w="2840" w:type="dxa"/>
            <w:tcBorders>
              <w:top w:val="single" w:sz="4" w:space="0" w:color="auto"/>
              <w:left w:val="nil"/>
              <w:bottom w:val="single" w:sz="4" w:space="0" w:color="auto"/>
              <w:right w:val="nil"/>
            </w:tcBorders>
            <w:shd w:val="clear" w:color="auto" w:fill="FFFFFF"/>
          </w:tcPr>
          <w:p w:rsidR="001104CA" w:rsidRDefault="00C032A7">
            <w:pPr>
              <w:tabs>
                <w:tab w:val="left" w:pos="2860"/>
              </w:tabs>
              <w:spacing w:line="360" w:lineRule="auto"/>
              <w:rPr>
                <w:b/>
                <w:bCs/>
                <w:color w:val="000000"/>
                <w:sz w:val="24"/>
                <w:szCs w:val="24"/>
              </w:rPr>
            </w:pPr>
            <w:r>
              <w:rPr>
                <w:b/>
                <w:bCs/>
                <w:color w:val="000000"/>
                <w:sz w:val="24"/>
                <w:szCs w:val="24"/>
              </w:rPr>
              <w:t>Concentration (μg/ml)</w:t>
            </w:r>
          </w:p>
        </w:tc>
        <w:tc>
          <w:tcPr>
            <w:tcW w:w="2840" w:type="dxa"/>
            <w:tcBorders>
              <w:top w:val="single" w:sz="4" w:space="0" w:color="auto"/>
              <w:left w:val="nil"/>
              <w:bottom w:val="single" w:sz="4" w:space="0" w:color="auto"/>
              <w:right w:val="nil"/>
            </w:tcBorders>
            <w:shd w:val="clear" w:color="auto" w:fill="FFFFFF"/>
          </w:tcPr>
          <w:p w:rsidR="001104CA" w:rsidRDefault="00C032A7">
            <w:pPr>
              <w:tabs>
                <w:tab w:val="left" w:pos="2860"/>
              </w:tabs>
              <w:spacing w:line="360" w:lineRule="auto"/>
              <w:rPr>
                <w:b/>
                <w:bCs/>
                <w:color w:val="000000"/>
                <w:sz w:val="24"/>
                <w:szCs w:val="24"/>
              </w:rPr>
            </w:pPr>
            <w:r>
              <w:rPr>
                <w:b/>
                <w:bCs/>
                <w:color w:val="000000"/>
                <w:sz w:val="24"/>
                <w:szCs w:val="24"/>
              </w:rPr>
              <w:t>MIC</w:t>
            </w:r>
          </w:p>
        </w:tc>
        <w:tc>
          <w:tcPr>
            <w:tcW w:w="2840" w:type="dxa"/>
            <w:tcBorders>
              <w:top w:val="single" w:sz="4" w:space="0" w:color="auto"/>
              <w:left w:val="nil"/>
              <w:bottom w:val="single" w:sz="4" w:space="0" w:color="auto"/>
              <w:right w:val="nil"/>
            </w:tcBorders>
            <w:shd w:val="clear" w:color="auto" w:fill="FFFFFF"/>
          </w:tcPr>
          <w:p w:rsidR="001104CA" w:rsidRDefault="00C032A7">
            <w:pPr>
              <w:tabs>
                <w:tab w:val="left" w:pos="2860"/>
              </w:tabs>
              <w:spacing w:line="360" w:lineRule="auto"/>
              <w:rPr>
                <w:b/>
                <w:bCs/>
                <w:color w:val="000000"/>
                <w:sz w:val="24"/>
                <w:szCs w:val="24"/>
              </w:rPr>
            </w:pPr>
            <w:r>
              <w:rPr>
                <w:b/>
                <w:bCs/>
                <w:color w:val="000000"/>
                <w:sz w:val="24"/>
                <w:szCs w:val="24"/>
              </w:rPr>
              <w:t>MBC</w:t>
            </w:r>
          </w:p>
        </w:tc>
      </w:tr>
      <w:tr w:rsidR="001104CA">
        <w:trPr>
          <w:trHeight w:val="614"/>
        </w:trPr>
        <w:tc>
          <w:tcPr>
            <w:tcW w:w="2840" w:type="dxa"/>
            <w:tcBorders>
              <w:top w:val="single" w:sz="4" w:space="0" w:color="auto"/>
              <w:left w:val="nil"/>
              <w:bottom w:val="nil"/>
              <w:right w:val="nil"/>
            </w:tcBorders>
            <w:shd w:val="clear" w:color="auto" w:fill="FFFFFF"/>
          </w:tcPr>
          <w:p w:rsidR="001104CA" w:rsidRDefault="00C032A7">
            <w:pPr>
              <w:tabs>
                <w:tab w:val="left" w:pos="2860"/>
              </w:tabs>
              <w:spacing w:line="360" w:lineRule="auto"/>
              <w:rPr>
                <w:color w:val="000000"/>
                <w:sz w:val="24"/>
                <w:szCs w:val="24"/>
              </w:rPr>
            </w:pPr>
            <w:r>
              <w:rPr>
                <w:color w:val="000000"/>
                <w:sz w:val="24"/>
                <w:szCs w:val="24"/>
              </w:rPr>
              <w:t>300</w:t>
            </w:r>
          </w:p>
        </w:tc>
        <w:tc>
          <w:tcPr>
            <w:tcW w:w="2840" w:type="dxa"/>
            <w:tcBorders>
              <w:top w:val="single" w:sz="4" w:space="0" w:color="auto"/>
              <w:left w:val="nil"/>
              <w:bottom w:val="nil"/>
              <w:right w:val="nil"/>
            </w:tcBorders>
            <w:shd w:val="clear" w:color="auto" w:fill="FFFFFF"/>
          </w:tcPr>
          <w:p w:rsidR="001104CA" w:rsidRDefault="00C032A7">
            <w:pPr>
              <w:tabs>
                <w:tab w:val="left" w:pos="2860"/>
              </w:tabs>
              <w:spacing w:line="360" w:lineRule="auto"/>
              <w:rPr>
                <w:color w:val="000000"/>
                <w:sz w:val="24"/>
                <w:szCs w:val="24"/>
              </w:rPr>
            </w:pPr>
            <w:r>
              <w:rPr>
                <w:color w:val="000000"/>
                <w:sz w:val="24"/>
                <w:szCs w:val="24"/>
              </w:rPr>
              <w:t>-</w:t>
            </w:r>
          </w:p>
        </w:tc>
        <w:tc>
          <w:tcPr>
            <w:tcW w:w="2840" w:type="dxa"/>
            <w:tcBorders>
              <w:top w:val="single" w:sz="4" w:space="0" w:color="auto"/>
              <w:left w:val="nil"/>
              <w:bottom w:val="nil"/>
              <w:right w:val="nil"/>
            </w:tcBorders>
            <w:shd w:val="clear" w:color="auto" w:fill="FFFFFF"/>
          </w:tcPr>
          <w:p w:rsidR="001104CA" w:rsidRDefault="00C032A7">
            <w:pPr>
              <w:tabs>
                <w:tab w:val="left" w:pos="2860"/>
              </w:tabs>
              <w:spacing w:line="360" w:lineRule="auto"/>
              <w:rPr>
                <w:color w:val="000000"/>
                <w:sz w:val="24"/>
                <w:szCs w:val="24"/>
              </w:rPr>
            </w:pPr>
            <w:r>
              <w:rPr>
                <w:color w:val="000000"/>
                <w:sz w:val="24"/>
                <w:szCs w:val="24"/>
              </w:rPr>
              <w:t>-</w:t>
            </w:r>
          </w:p>
        </w:tc>
      </w:tr>
      <w:tr w:rsidR="001104CA">
        <w:tc>
          <w:tcPr>
            <w:tcW w:w="2840" w:type="dxa"/>
            <w:tcBorders>
              <w:top w:val="nil"/>
              <w:left w:val="nil"/>
              <w:bottom w:val="nil"/>
              <w:right w:val="nil"/>
            </w:tcBorders>
            <w:shd w:val="clear" w:color="auto" w:fill="FFFFFF"/>
          </w:tcPr>
          <w:p w:rsidR="001104CA" w:rsidRDefault="00C032A7">
            <w:pPr>
              <w:tabs>
                <w:tab w:val="left" w:pos="2860"/>
              </w:tabs>
              <w:spacing w:line="360" w:lineRule="auto"/>
              <w:rPr>
                <w:color w:val="000000"/>
                <w:sz w:val="24"/>
                <w:szCs w:val="24"/>
              </w:rPr>
            </w:pPr>
            <w:r>
              <w:rPr>
                <w:color w:val="000000"/>
                <w:sz w:val="24"/>
                <w:szCs w:val="24"/>
              </w:rPr>
              <w:t>150</w:t>
            </w:r>
          </w:p>
        </w:tc>
        <w:tc>
          <w:tcPr>
            <w:tcW w:w="2840" w:type="dxa"/>
            <w:tcBorders>
              <w:top w:val="nil"/>
              <w:left w:val="nil"/>
              <w:bottom w:val="nil"/>
              <w:right w:val="nil"/>
            </w:tcBorders>
            <w:shd w:val="clear" w:color="auto" w:fill="FFFFFF"/>
          </w:tcPr>
          <w:p w:rsidR="001104CA" w:rsidRDefault="00C032A7">
            <w:pPr>
              <w:tabs>
                <w:tab w:val="left" w:pos="2860"/>
              </w:tabs>
              <w:spacing w:line="360" w:lineRule="auto"/>
              <w:rPr>
                <w:color w:val="000000"/>
                <w:sz w:val="24"/>
                <w:szCs w:val="24"/>
              </w:rPr>
            </w:pPr>
            <w:r>
              <w:rPr>
                <w:color w:val="000000"/>
                <w:sz w:val="24"/>
                <w:szCs w:val="24"/>
              </w:rPr>
              <w:t>-</w:t>
            </w:r>
          </w:p>
        </w:tc>
        <w:tc>
          <w:tcPr>
            <w:tcW w:w="2840" w:type="dxa"/>
            <w:tcBorders>
              <w:top w:val="nil"/>
              <w:left w:val="nil"/>
              <w:bottom w:val="nil"/>
              <w:right w:val="nil"/>
            </w:tcBorders>
            <w:shd w:val="clear" w:color="auto" w:fill="FFFFFF"/>
          </w:tcPr>
          <w:p w:rsidR="001104CA" w:rsidRDefault="00C032A7">
            <w:pPr>
              <w:tabs>
                <w:tab w:val="left" w:pos="2860"/>
              </w:tabs>
              <w:spacing w:line="360" w:lineRule="auto"/>
              <w:rPr>
                <w:color w:val="000000"/>
                <w:sz w:val="24"/>
                <w:szCs w:val="24"/>
              </w:rPr>
            </w:pPr>
            <w:r>
              <w:rPr>
                <w:color w:val="000000"/>
                <w:sz w:val="24"/>
                <w:szCs w:val="24"/>
              </w:rPr>
              <w:t>-</w:t>
            </w:r>
          </w:p>
        </w:tc>
      </w:tr>
      <w:tr w:rsidR="001104CA">
        <w:tc>
          <w:tcPr>
            <w:tcW w:w="2840" w:type="dxa"/>
            <w:tcBorders>
              <w:top w:val="nil"/>
              <w:left w:val="nil"/>
              <w:bottom w:val="nil"/>
              <w:right w:val="nil"/>
            </w:tcBorders>
            <w:shd w:val="clear" w:color="auto" w:fill="FFFFFF"/>
          </w:tcPr>
          <w:p w:rsidR="001104CA" w:rsidRDefault="00C032A7">
            <w:pPr>
              <w:tabs>
                <w:tab w:val="left" w:pos="2860"/>
              </w:tabs>
              <w:spacing w:line="360" w:lineRule="auto"/>
              <w:rPr>
                <w:color w:val="000000"/>
                <w:sz w:val="24"/>
                <w:szCs w:val="24"/>
              </w:rPr>
            </w:pPr>
            <w:r>
              <w:rPr>
                <w:color w:val="000000"/>
                <w:sz w:val="24"/>
                <w:szCs w:val="24"/>
              </w:rPr>
              <w:t>75</w:t>
            </w:r>
          </w:p>
        </w:tc>
        <w:tc>
          <w:tcPr>
            <w:tcW w:w="2840" w:type="dxa"/>
            <w:tcBorders>
              <w:top w:val="nil"/>
              <w:left w:val="nil"/>
              <w:bottom w:val="nil"/>
              <w:right w:val="nil"/>
            </w:tcBorders>
            <w:shd w:val="clear" w:color="auto" w:fill="FFFFFF"/>
          </w:tcPr>
          <w:p w:rsidR="001104CA" w:rsidRDefault="00C032A7">
            <w:pPr>
              <w:tabs>
                <w:tab w:val="left" w:pos="2860"/>
              </w:tabs>
              <w:spacing w:line="360" w:lineRule="auto"/>
              <w:rPr>
                <w:color w:val="000000"/>
                <w:sz w:val="24"/>
                <w:szCs w:val="24"/>
              </w:rPr>
            </w:pPr>
            <w:r>
              <w:rPr>
                <w:color w:val="000000"/>
                <w:sz w:val="24"/>
                <w:szCs w:val="24"/>
              </w:rPr>
              <w:t>-</w:t>
            </w:r>
          </w:p>
        </w:tc>
        <w:tc>
          <w:tcPr>
            <w:tcW w:w="2840" w:type="dxa"/>
            <w:tcBorders>
              <w:top w:val="nil"/>
              <w:left w:val="nil"/>
              <w:bottom w:val="nil"/>
              <w:right w:val="nil"/>
            </w:tcBorders>
            <w:shd w:val="clear" w:color="auto" w:fill="FFFFFF"/>
          </w:tcPr>
          <w:p w:rsidR="001104CA" w:rsidRDefault="00C032A7">
            <w:pPr>
              <w:tabs>
                <w:tab w:val="left" w:pos="2860"/>
              </w:tabs>
              <w:spacing w:line="360" w:lineRule="auto"/>
              <w:rPr>
                <w:color w:val="000000"/>
                <w:sz w:val="24"/>
                <w:szCs w:val="24"/>
              </w:rPr>
            </w:pPr>
            <w:r>
              <w:rPr>
                <w:color w:val="000000"/>
                <w:sz w:val="24"/>
                <w:szCs w:val="24"/>
              </w:rPr>
              <w:t>-</w:t>
            </w:r>
          </w:p>
        </w:tc>
      </w:tr>
      <w:tr w:rsidR="001104CA">
        <w:tc>
          <w:tcPr>
            <w:tcW w:w="2840" w:type="dxa"/>
            <w:tcBorders>
              <w:top w:val="nil"/>
              <w:left w:val="nil"/>
              <w:bottom w:val="nil"/>
              <w:right w:val="nil"/>
            </w:tcBorders>
            <w:shd w:val="clear" w:color="auto" w:fill="FFFFFF"/>
          </w:tcPr>
          <w:p w:rsidR="001104CA" w:rsidRDefault="00C032A7">
            <w:pPr>
              <w:tabs>
                <w:tab w:val="left" w:pos="2860"/>
              </w:tabs>
              <w:spacing w:line="360" w:lineRule="auto"/>
              <w:rPr>
                <w:color w:val="000000"/>
                <w:sz w:val="24"/>
                <w:szCs w:val="24"/>
              </w:rPr>
            </w:pPr>
            <w:r>
              <w:rPr>
                <w:color w:val="000000"/>
                <w:sz w:val="24"/>
                <w:szCs w:val="24"/>
              </w:rPr>
              <w:t>37.5</w:t>
            </w:r>
          </w:p>
        </w:tc>
        <w:tc>
          <w:tcPr>
            <w:tcW w:w="2840" w:type="dxa"/>
            <w:tcBorders>
              <w:top w:val="nil"/>
              <w:left w:val="nil"/>
              <w:bottom w:val="nil"/>
              <w:right w:val="nil"/>
            </w:tcBorders>
            <w:shd w:val="clear" w:color="auto" w:fill="FFFFFF"/>
          </w:tcPr>
          <w:p w:rsidR="001104CA" w:rsidRDefault="00C032A7">
            <w:pPr>
              <w:tabs>
                <w:tab w:val="left" w:pos="2860"/>
              </w:tabs>
              <w:spacing w:line="360" w:lineRule="auto"/>
              <w:rPr>
                <w:color w:val="000000"/>
                <w:sz w:val="24"/>
                <w:szCs w:val="24"/>
              </w:rPr>
            </w:pPr>
            <w:r>
              <w:rPr>
                <w:color w:val="000000"/>
                <w:sz w:val="24"/>
                <w:szCs w:val="24"/>
              </w:rPr>
              <w:t>-</w:t>
            </w:r>
          </w:p>
        </w:tc>
        <w:tc>
          <w:tcPr>
            <w:tcW w:w="2840" w:type="dxa"/>
            <w:tcBorders>
              <w:top w:val="nil"/>
              <w:left w:val="nil"/>
              <w:bottom w:val="nil"/>
              <w:right w:val="nil"/>
            </w:tcBorders>
            <w:shd w:val="clear" w:color="auto" w:fill="FFFFFF"/>
          </w:tcPr>
          <w:p w:rsidR="001104CA" w:rsidRDefault="00C032A7">
            <w:pPr>
              <w:tabs>
                <w:tab w:val="left" w:pos="2860"/>
              </w:tabs>
              <w:spacing w:line="360" w:lineRule="auto"/>
              <w:rPr>
                <w:color w:val="000000"/>
                <w:sz w:val="24"/>
                <w:szCs w:val="24"/>
              </w:rPr>
            </w:pPr>
            <w:r>
              <w:rPr>
                <w:color w:val="000000"/>
                <w:sz w:val="24"/>
                <w:szCs w:val="24"/>
              </w:rPr>
              <w:t>-</w:t>
            </w:r>
          </w:p>
        </w:tc>
      </w:tr>
      <w:tr w:rsidR="001104CA">
        <w:tc>
          <w:tcPr>
            <w:tcW w:w="2840" w:type="dxa"/>
            <w:tcBorders>
              <w:top w:val="nil"/>
              <w:left w:val="nil"/>
              <w:bottom w:val="nil"/>
              <w:right w:val="nil"/>
            </w:tcBorders>
            <w:shd w:val="clear" w:color="auto" w:fill="FFFFFF"/>
          </w:tcPr>
          <w:p w:rsidR="001104CA" w:rsidRDefault="00C032A7">
            <w:pPr>
              <w:tabs>
                <w:tab w:val="left" w:pos="2860"/>
              </w:tabs>
              <w:spacing w:line="360" w:lineRule="auto"/>
              <w:rPr>
                <w:color w:val="000000"/>
                <w:sz w:val="24"/>
                <w:szCs w:val="24"/>
              </w:rPr>
            </w:pPr>
            <w:r>
              <w:rPr>
                <w:color w:val="000000"/>
                <w:sz w:val="24"/>
                <w:szCs w:val="24"/>
              </w:rPr>
              <w:t>18.75</w:t>
            </w:r>
          </w:p>
        </w:tc>
        <w:tc>
          <w:tcPr>
            <w:tcW w:w="2840" w:type="dxa"/>
            <w:tcBorders>
              <w:top w:val="nil"/>
              <w:left w:val="nil"/>
              <w:bottom w:val="nil"/>
              <w:right w:val="nil"/>
            </w:tcBorders>
            <w:shd w:val="clear" w:color="auto" w:fill="FFFFFF"/>
          </w:tcPr>
          <w:p w:rsidR="001104CA" w:rsidRDefault="00C032A7">
            <w:pPr>
              <w:tabs>
                <w:tab w:val="left" w:pos="2860"/>
              </w:tabs>
              <w:spacing w:line="360" w:lineRule="auto"/>
              <w:rPr>
                <w:color w:val="000000"/>
                <w:sz w:val="24"/>
                <w:szCs w:val="24"/>
              </w:rPr>
            </w:pPr>
            <w:r>
              <w:rPr>
                <w:color w:val="000000"/>
                <w:sz w:val="24"/>
                <w:szCs w:val="24"/>
              </w:rPr>
              <w:t>-</w:t>
            </w:r>
          </w:p>
        </w:tc>
        <w:tc>
          <w:tcPr>
            <w:tcW w:w="2840" w:type="dxa"/>
            <w:tcBorders>
              <w:top w:val="nil"/>
              <w:left w:val="nil"/>
              <w:bottom w:val="nil"/>
              <w:right w:val="nil"/>
            </w:tcBorders>
            <w:shd w:val="clear" w:color="auto" w:fill="FFFFFF"/>
          </w:tcPr>
          <w:p w:rsidR="001104CA" w:rsidRDefault="00C032A7">
            <w:pPr>
              <w:tabs>
                <w:tab w:val="left" w:pos="2860"/>
              </w:tabs>
              <w:spacing w:line="360" w:lineRule="auto"/>
              <w:rPr>
                <w:color w:val="000000"/>
                <w:sz w:val="24"/>
                <w:szCs w:val="24"/>
              </w:rPr>
            </w:pPr>
            <w:r>
              <w:rPr>
                <w:color w:val="000000"/>
                <w:sz w:val="24"/>
                <w:szCs w:val="24"/>
              </w:rPr>
              <w:t>-</w:t>
            </w:r>
          </w:p>
        </w:tc>
      </w:tr>
      <w:tr w:rsidR="001104CA">
        <w:tc>
          <w:tcPr>
            <w:tcW w:w="2840" w:type="dxa"/>
            <w:tcBorders>
              <w:top w:val="nil"/>
              <w:left w:val="nil"/>
              <w:bottom w:val="single" w:sz="4" w:space="0" w:color="auto"/>
              <w:right w:val="nil"/>
            </w:tcBorders>
            <w:shd w:val="clear" w:color="auto" w:fill="FFFFFF"/>
          </w:tcPr>
          <w:p w:rsidR="001104CA" w:rsidRDefault="00C032A7">
            <w:pPr>
              <w:tabs>
                <w:tab w:val="left" w:pos="2860"/>
              </w:tabs>
              <w:spacing w:line="360" w:lineRule="auto"/>
              <w:rPr>
                <w:color w:val="000000"/>
                <w:sz w:val="24"/>
                <w:szCs w:val="24"/>
              </w:rPr>
            </w:pPr>
            <w:r>
              <w:rPr>
                <w:color w:val="000000"/>
                <w:sz w:val="24"/>
                <w:szCs w:val="24"/>
              </w:rPr>
              <w:t>9.37</w:t>
            </w:r>
          </w:p>
        </w:tc>
        <w:tc>
          <w:tcPr>
            <w:tcW w:w="2840" w:type="dxa"/>
            <w:tcBorders>
              <w:top w:val="nil"/>
              <w:left w:val="nil"/>
              <w:bottom w:val="single" w:sz="4" w:space="0" w:color="auto"/>
              <w:right w:val="nil"/>
            </w:tcBorders>
            <w:shd w:val="clear" w:color="auto" w:fill="FFFFFF"/>
          </w:tcPr>
          <w:p w:rsidR="001104CA" w:rsidRDefault="00C032A7">
            <w:pPr>
              <w:tabs>
                <w:tab w:val="left" w:pos="2860"/>
              </w:tabs>
              <w:spacing w:line="360" w:lineRule="auto"/>
              <w:rPr>
                <w:color w:val="000000"/>
                <w:sz w:val="24"/>
                <w:szCs w:val="24"/>
              </w:rPr>
            </w:pPr>
            <w:r>
              <w:rPr>
                <w:color w:val="000000"/>
                <w:sz w:val="24"/>
                <w:szCs w:val="24"/>
              </w:rPr>
              <w:t xml:space="preserve">+   </w:t>
            </w:r>
          </w:p>
        </w:tc>
        <w:tc>
          <w:tcPr>
            <w:tcW w:w="2840" w:type="dxa"/>
            <w:tcBorders>
              <w:top w:val="nil"/>
              <w:left w:val="nil"/>
              <w:bottom w:val="single" w:sz="4" w:space="0" w:color="auto"/>
              <w:right w:val="nil"/>
            </w:tcBorders>
            <w:shd w:val="clear" w:color="auto" w:fill="FFFFFF"/>
          </w:tcPr>
          <w:p w:rsidR="001104CA" w:rsidRDefault="00C032A7">
            <w:pPr>
              <w:tabs>
                <w:tab w:val="left" w:pos="2860"/>
              </w:tabs>
              <w:spacing w:line="360" w:lineRule="auto"/>
              <w:rPr>
                <w:color w:val="000000"/>
                <w:sz w:val="24"/>
                <w:szCs w:val="24"/>
              </w:rPr>
            </w:pPr>
            <w:r>
              <w:rPr>
                <w:color w:val="000000"/>
                <w:sz w:val="24"/>
                <w:szCs w:val="24"/>
              </w:rPr>
              <w:t>-</w:t>
            </w:r>
          </w:p>
        </w:tc>
      </w:tr>
    </w:tbl>
    <w:p w:rsidR="001104CA" w:rsidRDefault="00C032A7">
      <w:pPr>
        <w:tabs>
          <w:tab w:val="left" w:pos="2860"/>
        </w:tabs>
        <w:spacing w:line="360" w:lineRule="auto"/>
        <w:jc w:val="both"/>
        <w:rPr>
          <w:sz w:val="24"/>
          <w:szCs w:val="24"/>
        </w:rPr>
      </w:pPr>
      <w:r>
        <w:rPr>
          <w:sz w:val="24"/>
          <w:szCs w:val="24"/>
        </w:rPr>
        <w:t>KEY: += Slight growth, -= No growth</w:t>
      </w:r>
    </w:p>
    <w:p w:rsidR="001104CA" w:rsidRDefault="001104CA">
      <w:pPr>
        <w:tabs>
          <w:tab w:val="left" w:pos="2860"/>
        </w:tabs>
        <w:spacing w:line="360" w:lineRule="auto"/>
        <w:jc w:val="both"/>
        <w:rPr>
          <w:sz w:val="24"/>
          <w:szCs w:val="24"/>
        </w:rPr>
      </w:pPr>
    </w:p>
    <w:p w:rsidR="001104CA" w:rsidRDefault="00C032A7">
      <w:pPr>
        <w:spacing w:line="480" w:lineRule="auto"/>
        <w:ind w:right="76"/>
        <w:jc w:val="both"/>
        <w:rPr>
          <w:b/>
          <w:bCs/>
          <w:sz w:val="24"/>
          <w:szCs w:val="24"/>
        </w:rPr>
      </w:pPr>
      <w:r>
        <w:rPr>
          <w:b/>
          <w:bCs/>
          <w:sz w:val="24"/>
          <w:szCs w:val="24"/>
        </w:rPr>
        <w:t>3.3</w:t>
      </w:r>
      <w:r>
        <w:rPr>
          <w:b/>
          <w:bCs/>
          <w:sz w:val="24"/>
          <w:szCs w:val="24"/>
        </w:rPr>
        <w:tab/>
      </w:r>
      <w:r>
        <w:rPr>
          <w:b/>
          <w:bCs/>
          <w:i/>
          <w:iCs/>
          <w:sz w:val="24"/>
          <w:szCs w:val="24"/>
        </w:rPr>
        <w:t xml:space="preserve"> In vivo</w:t>
      </w:r>
      <w:r>
        <w:rPr>
          <w:b/>
          <w:bCs/>
          <w:sz w:val="24"/>
          <w:szCs w:val="24"/>
        </w:rPr>
        <w:t xml:space="preserve"> Serum Electrolytes Analysis</w:t>
      </w:r>
    </w:p>
    <w:p w:rsidR="001104CA" w:rsidRDefault="00C032A7">
      <w:pPr>
        <w:spacing w:line="480" w:lineRule="auto"/>
        <w:ind w:firstLine="720"/>
        <w:jc w:val="both"/>
        <w:rPr>
          <w:sz w:val="24"/>
          <w:szCs w:val="24"/>
        </w:rPr>
      </w:pPr>
      <w:r>
        <w:rPr>
          <w:bCs/>
          <w:sz w:val="24"/>
          <w:szCs w:val="24"/>
        </w:rPr>
        <w:t>Table</w:t>
      </w:r>
      <w:r>
        <w:rPr>
          <w:bCs/>
          <w:sz w:val="24"/>
          <w:szCs w:val="24"/>
        </w:rPr>
        <w:t xml:space="preserve"> 5</w:t>
      </w:r>
      <w:r>
        <w:rPr>
          <w:sz w:val="24"/>
          <w:szCs w:val="24"/>
        </w:rPr>
        <w:t xml:space="preserve"> shows the result of serum electrolytes which includes; sodium</w:t>
      </w:r>
      <w:r>
        <w:rPr>
          <w:sz w:val="24"/>
          <w:szCs w:val="24"/>
        </w:rPr>
        <w:t xml:space="preserve"> (Na)</w:t>
      </w:r>
      <w:r>
        <w:rPr>
          <w:sz w:val="24"/>
          <w:szCs w:val="24"/>
        </w:rPr>
        <w:t>, potassium</w:t>
      </w:r>
      <w:r>
        <w:rPr>
          <w:sz w:val="24"/>
          <w:szCs w:val="24"/>
        </w:rPr>
        <w:t xml:space="preserve"> (K)</w:t>
      </w:r>
      <w:r>
        <w:rPr>
          <w:sz w:val="24"/>
          <w:szCs w:val="24"/>
        </w:rPr>
        <w:t>, chloride</w:t>
      </w:r>
      <w:r>
        <w:rPr>
          <w:sz w:val="24"/>
          <w:szCs w:val="24"/>
        </w:rPr>
        <w:t xml:space="preserve"> (Cl)</w:t>
      </w:r>
      <w:r>
        <w:rPr>
          <w:sz w:val="24"/>
          <w:szCs w:val="24"/>
        </w:rPr>
        <w:t xml:space="preserve"> and bicarbonate</w:t>
      </w:r>
      <w:r>
        <w:rPr>
          <w:sz w:val="24"/>
          <w:szCs w:val="24"/>
        </w:rPr>
        <w:t xml:space="preserve"> (HCO</w:t>
      </w:r>
      <w:r>
        <w:rPr>
          <w:sz w:val="24"/>
          <w:szCs w:val="24"/>
        </w:rPr>
        <w:t>з</w:t>
      </w:r>
      <w:r>
        <w:rPr>
          <w:sz w:val="24"/>
          <w:szCs w:val="24"/>
        </w:rPr>
        <w:t>)</w:t>
      </w:r>
      <w:r>
        <w:rPr>
          <w:sz w:val="24"/>
          <w:szCs w:val="24"/>
        </w:rPr>
        <w:t>.</w:t>
      </w:r>
    </w:p>
    <w:p w:rsidR="001104CA" w:rsidRDefault="00C032A7">
      <w:pPr>
        <w:jc w:val="both"/>
        <w:rPr>
          <w:sz w:val="24"/>
          <w:szCs w:val="24"/>
        </w:rPr>
      </w:pPr>
      <w:r>
        <w:rPr>
          <w:b/>
          <w:bCs/>
          <w:sz w:val="24"/>
          <w:szCs w:val="24"/>
        </w:rPr>
        <w:t xml:space="preserve">Table 5. </w:t>
      </w:r>
      <w:r>
        <w:rPr>
          <w:b/>
          <w:bCs/>
          <w:sz w:val="24"/>
          <w:szCs w:val="24"/>
        </w:rPr>
        <w:t>Serum Electrolytes</w:t>
      </w:r>
    </w:p>
    <w:tbl>
      <w:tblPr>
        <w:tblStyle w:val="TableGrid"/>
        <w:tblW w:w="9180" w:type="dxa"/>
        <w:tblLayout w:type="fixed"/>
        <w:tblLook w:val="04A0" w:firstRow="1" w:lastRow="0" w:firstColumn="1" w:lastColumn="0" w:noHBand="0" w:noVBand="1"/>
      </w:tblPr>
      <w:tblGrid>
        <w:gridCol w:w="2518"/>
        <w:gridCol w:w="1701"/>
        <w:gridCol w:w="1559"/>
        <w:gridCol w:w="1701"/>
        <w:gridCol w:w="1701"/>
      </w:tblGrid>
      <w:tr w:rsidR="001104CA">
        <w:tc>
          <w:tcPr>
            <w:tcW w:w="2518" w:type="dxa"/>
            <w:tcBorders>
              <w:top w:val="single" w:sz="4" w:space="0" w:color="auto"/>
              <w:left w:val="nil"/>
              <w:bottom w:val="single" w:sz="4" w:space="0" w:color="auto"/>
              <w:right w:val="nil"/>
            </w:tcBorders>
            <w:shd w:val="clear" w:color="auto" w:fill="FFFFFF"/>
          </w:tcPr>
          <w:p w:rsidR="001104CA" w:rsidRDefault="00C032A7">
            <w:pPr>
              <w:rPr>
                <w:b/>
                <w:bCs/>
                <w:color w:val="000000"/>
                <w:sz w:val="24"/>
                <w:szCs w:val="24"/>
              </w:rPr>
            </w:pPr>
            <w:r>
              <w:rPr>
                <w:b/>
                <w:bCs/>
                <w:color w:val="000000"/>
                <w:sz w:val="24"/>
                <w:szCs w:val="24"/>
              </w:rPr>
              <w:t>GROUP</w:t>
            </w:r>
          </w:p>
        </w:tc>
        <w:tc>
          <w:tcPr>
            <w:tcW w:w="1701" w:type="dxa"/>
            <w:tcBorders>
              <w:top w:val="single" w:sz="4" w:space="0" w:color="auto"/>
              <w:left w:val="nil"/>
              <w:bottom w:val="single" w:sz="4" w:space="0" w:color="auto"/>
              <w:right w:val="nil"/>
            </w:tcBorders>
            <w:shd w:val="clear" w:color="auto" w:fill="FFFFFF"/>
          </w:tcPr>
          <w:p w:rsidR="001104CA" w:rsidRDefault="00C032A7">
            <w:pPr>
              <w:rPr>
                <w:b/>
                <w:bCs/>
                <w:color w:val="000000"/>
                <w:sz w:val="24"/>
                <w:szCs w:val="24"/>
              </w:rPr>
            </w:pPr>
            <w:r>
              <w:rPr>
                <w:b/>
                <w:bCs/>
                <w:color w:val="000000"/>
                <w:sz w:val="24"/>
                <w:szCs w:val="24"/>
              </w:rPr>
              <w:t>Na (mmol/L)</w:t>
            </w:r>
          </w:p>
        </w:tc>
        <w:tc>
          <w:tcPr>
            <w:tcW w:w="1559" w:type="dxa"/>
            <w:tcBorders>
              <w:top w:val="single" w:sz="4" w:space="0" w:color="auto"/>
              <w:left w:val="nil"/>
              <w:bottom w:val="single" w:sz="4" w:space="0" w:color="auto"/>
              <w:right w:val="nil"/>
            </w:tcBorders>
            <w:shd w:val="clear" w:color="auto" w:fill="FFFFFF"/>
          </w:tcPr>
          <w:p w:rsidR="001104CA" w:rsidRDefault="00C032A7">
            <w:pPr>
              <w:rPr>
                <w:b/>
                <w:bCs/>
                <w:color w:val="000000"/>
                <w:sz w:val="24"/>
                <w:szCs w:val="24"/>
              </w:rPr>
            </w:pPr>
            <w:r>
              <w:rPr>
                <w:b/>
                <w:bCs/>
                <w:color w:val="000000"/>
                <w:sz w:val="24"/>
                <w:szCs w:val="24"/>
              </w:rPr>
              <w:t>K (mmol/L)</w:t>
            </w:r>
          </w:p>
        </w:tc>
        <w:tc>
          <w:tcPr>
            <w:tcW w:w="1701" w:type="dxa"/>
            <w:tcBorders>
              <w:top w:val="single" w:sz="4" w:space="0" w:color="auto"/>
              <w:left w:val="nil"/>
              <w:bottom w:val="single" w:sz="4" w:space="0" w:color="auto"/>
              <w:right w:val="nil"/>
            </w:tcBorders>
            <w:shd w:val="clear" w:color="auto" w:fill="FFFFFF"/>
          </w:tcPr>
          <w:p w:rsidR="001104CA" w:rsidRDefault="00C032A7">
            <w:pPr>
              <w:rPr>
                <w:b/>
                <w:bCs/>
                <w:color w:val="000000"/>
                <w:sz w:val="24"/>
                <w:szCs w:val="24"/>
              </w:rPr>
            </w:pPr>
            <w:r>
              <w:rPr>
                <w:b/>
                <w:bCs/>
                <w:color w:val="000000"/>
                <w:sz w:val="24"/>
                <w:szCs w:val="24"/>
              </w:rPr>
              <w:t>Cl (mmol/L)</w:t>
            </w:r>
          </w:p>
        </w:tc>
        <w:tc>
          <w:tcPr>
            <w:tcW w:w="1701" w:type="dxa"/>
            <w:tcBorders>
              <w:top w:val="single" w:sz="4" w:space="0" w:color="auto"/>
              <w:left w:val="nil"/>
              <w:bottom w:val="single" w:sz="4" w:space="0" w:color="auto"/>
              <w:right w:val="nil"/>
            </w:tcBorders>
            <w:shd w:val="clear" w:color="auto" w:fill="FFFFFF"/>
          </w:tcPr>
          <w:p w:rsidR="001104CA" w:rsidRDefault="00C032A7">
            <w:pPr>
              <w:rPr>
                <w:b/>
                <w:bCs/>
                <w:color w:val="000000"/>
                <w:sz w:val="24"/>
                <w:szCs w:val="24"/>
              </w:rPr>
            </w:pPr>
            <w:r>
              <w:rPr>
                <w:b/>
                <w:bCs/>
                <w:color w:val="000000"/>
                <w:sz w:val="24"/>
                <w:szCs w:val="24"/>
              </w:rPr>
              <w:t>HCOз (mmol/L)</w:t>
            </w:r>
          </w:p>
        </w:tc>
      </w:tr>
      <w:tr w:rsidR="001104CA">
        <w:tc>
          <w:tcPr>
            <w:tcW w:w="2518" w:type="dxa"/>
            <w:tcBorders>
              <w:top w:val="single" w:sz="4" w:space="0" w:color="auto"/>
              <w:left w:val="nil"/>
              <w:bottom w:val="nil"/>
              <w:right w:val="nil"/>
            </w:tcBorders>
            <w:shd w:val="clear" w:color="auto" w:fill="FFFFFF"/>
          </w:tcPr>
          <w:p w:rsidR="001104CA" w:rsidRDefault="00C032A7">
            <w:pPr>
              <w:spacing w:line="480" w:lineRule="auto"/>
              <w:jc w:val="left"/>
              <w:rPr>
                <w:color w:val="000000"/>
                <w:sz w:val="24"/>
                <w:szCs w:val="24"/>
              </w:rPr>
            </w:pPr>
            <w:r>
              <w:rPr>
                <w:color w:val="000000"/>
                <w:sz w:val="24"/>
                <w:szCs w:val="24"/>
              </w:rPr>
              <w:t>NEG. CONT.(mg/kg)</w:t>
            </w:r>
          </w:p>
        </w:tc>
        <w:tc>
          <w:tcPr>
            <w:tcW w:w="1701" w:type="dxa"/>
            <w:tcBorders>
              <w:top w:val="single" w:sz="4" w:space="0" w:color="auto"/>
              <w:left w:val="nil"/>
              <w:bottom w:val="nil"/>
              <w:right w:val="nil"/>
            </w:tcBorders>
            <w:shd w:val="clear" w:color="auto" w:fill="FFFFFF"/>
          </w:tcPr>
          <w:p w:rsidR="001104CA" w:rsidRDefault="00C032A7">
            <w:pPr>
              <w:spacing w:line="480" w:lineRule="auto"/>
              <w:rPr>
                <w:color w:val="000000"/>
                <w:sz w:val="24"/>
                <w:szCs w:val="24"/>
              </w:rPr>
            </w:pPr>
            <w:r>
              <w:rPr>
                <w:rFonts w:eastAsia="SimSun"/>
                <w:sz w:val="24"/>
                <w:szCs w:val="24"/>
              </w:rPr>
              <w:t>131.50 ± 2.10</w:t>
            </w:r>
          </w:p>
        </w:tc>
        <w:tc>
          <w:tcPr>
            <w:tcW w:w="1559" w:type="dxa"/>
            <w:tcBorders>
              <w:top w:val="single" w:sz="4" w:space="0" w:color="auto"/>
              <w:left w:val="nil"/>
              <w:bottom w:val="nil"/>
              <w:right w:val="nil"/>
            </w:tcBorders>
            <w:shd w:val="clear" w:color="auto" w:fill="FFFFFF"/>
          </w:tcPr>
          <w:p w:rsidR="001104CA" w:rsidRDefault="00C032A7">
            <w:pPr>
              <w:spacing w:line="480" w:lineRule="auto"/>
              <w:rPr>
                <w:color w:val="000000"/>
                <w:sz w:val="24"/>
                <w:szCs w:val="24"/>
              </w:rPr>
            </w:pPr>
            <w:r>
              <w:rPr>
                <w:rFonts w:eastAsia="SimSun"/>
                <w:sz w:val="24"/>
                <w:szCs w:val="24"/>
              </w:rPr>
              <w:t>5.45 ± 0.42</w:t>
            </w:r>
          </w:p>
        </w:tc>
        <w:tc>
          <w:tcPr>
            <w:tcW w:w="1701" w:type="dxa"/>
            <w:tcBorders>
              <w:top w:val="single" w:sz="4" w:space="0" w:color="auto"/>
              <w:left w:val="nil"/>
              <w:bottom w:val="nil"/>
              <w:right w:val="nil"/>
            </w:tcBorders>
            <w:shd w:val="clear" w:color="auto" w:fill="FFFFFF"/>
          </w:tcPr>
          <w:p w:rsidR="001104CA" w:rsidRDefault="00C032A7">
            <w:pPr>
              <w:spacing w:line="480" w:lineRule="auto"/>
              <w:rPr>
                <w:color w:val="000000"/>
                <w:sz w:val="24"/>
                <w:szCs w:val="24"/>
              </w:rPr>
            </w:pPr>
            <w:r>
              <w:rPr>
                <w:rFonts w:eastAsia="SimSun"/>
                <w:sz w:val="24"/>
                <w:szCs w:val="24"/>
              </w:rPr>
              <w:t xml:space="preserve">94.00 </w:t>
            </w:r>
            <w:r>
              <w:rPr>
                <w:rFonts w:eastAsia="SimSun"/>
                <w:sz w:val="24"/>
                <w:szCs w:val="24"/>
              </w:rPr>
              <w:t>± 1.90</w:t>
            </w:r>
          </w:p>
        </w:tc>
        <w:tc>
          <w:tcPr>
            <w:tcW w:w="1701" w:type="dxa"/>
            <w:tcBorders>
              <w:top w:val="single" w:sz="4" w:space="0" w:color="auto"/>
              <w:left w:val="nil"/>
              <w:bottom w:val="nil"/>
              <w:right w:val="nil"/>
            </w:tcBorders>
            <w:shd w:val="clear" w:color="auto" w:fill="FFFFFF"/>
          </w:tcPr>
          <w:p w:rsidR="001104CA" w:rsidRDefault="00C032A7">
            <w:pPr>
              <w:spacing w:line="480" w:lineRule="auto"/>
              <w:rPr>
                <w:color w:val="000000"/>
                <w:sz w:val="24"/>
                <w:szCs w:val="24"/>
              </w:rPr>
            </w:pPr>
            <w:r>
              <w:rPr>
                <w:rFonts w:eastAsia="SimSun"/>
                <w:sz w:val="24"/>
                <w:szCs w:val="24"/>
              </w:rPr>
              <w:t>20.30 ± 1.70</w:t>
            </w:r>
          </w:p>
        </w:tc>
      </w:tr>
      <w:tr w:rsidR="001104CA">
        <w:tc>
          <w:tcPr>
            <w:tcW w:w="2518" w:type="dxa"/>
            <w:tcBorders>
              <w:top w:val="nil"/>
              <w:left w:val="nil"/>
              <w:bottom w:val="nil"/>
              <w:right w:val="nil"/>
            </w:tcBorders>
            <w:shd w:val="clear" w:color="auto" w:fill="FFFFFF"/>
          </w:tcPr>
          <w:p w:rsidR="001104CA" w:rsidRDefault="00C032A7">
            <w:pPr>
              <w:spacing w:line="480" w:lineRule="auto"/>
              <w:jc w:val="left"/>
              <w:rPr>
                <w:color w:val="000000"/>
                <w:sz w:val="24"/>
                <w:szCs w:val="24"/>
              </w:rPr>
            </w:pPr>
            <w:r>
              <w:rPr>
                <w:color w:val="000000"/>
                <w:szCs w:val="24"/>
              </w:rPr>
              <w:t>NORM. CONT</w:t>
            </w:r>
            <w:r>
              <w:rPr>
                <w:color w:val="000000"/>
                <w:sz w:val="24"/>
                <w:szCs w:val="24"/>
              </w:rPr>
              <w:t>. (mg/kg)</w:t>
            </w:r>
          </w:p>
        </w:tc>
        <w:tc>
          <w:tcPr>
            <w:tcW w:w="1701"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lang w:val="en-GB"/>
              </w:rPr>
              <w:t>137.00±0.5</w:t>
            </w:r>
            <w:r>
              <w:rPr>
                <w:color w:val="000000"/>
                <w:sz w:val="24"/>
                <w:szCs w:val="24"/>
              </w:rPr>
              <w:t>8</w:t>
            </w:r>
          </w:p>
        </w:tc>
        <w:tc>
          <w:tcPr>
            <w:tcW w:w="1559" w:type="dxa"/>
            <w:tcBorders>
              <w:top w:val="nil"/>
              <w:left w:val="nil"/>
              <w:bottom w:val="nil"/>
              <w:right w:val="nil"/>
            </w:tcBorders>
            <w:shd w:val="clear" w:color="auto" w:fill="FFFFFF"/>
          </w:tcPr>
          <w:p w:rsidR="001104CA" w:rsidRDefault="00C032A7">
            <w:pPr>
              <w:spacing w:line="480" w:lineRule="auto"/>
              <w:rPr>
                <w:color w:val="000000"/>
                <w:sz w:val="24"/>
                <w:szCs w:val="24"/>
                <w:lang w:val="en-GB"/>
              </w:rPr>
            </w:pPr>
            <w:r>
              <w:rPr>
                <w:color w:val="000000"/>
                <w:sz w:val="24"/>
                <w:szCs w:val="24"/>
                <w:lang w:val="en-GB"/>
              </w:rPr>
              <w:t>4.33±0.28</w:t>
            </w:r>
          </w:p>
        </w:tc>
        <w:tc>
          <w:tcPr>
            <w:tcW w:w="1701"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lang w:val="en-GB"/>
              </w:rPr>
              <w:t>99.00±0.5</w:t>
            </w:r>
            <w:r>
              <w:rPr>
                <w:color w:val="000000"/>
                <w:sz w:val="24"/>
                <w:szCs w:val="24"/>
              </w:rPr>
              <w:t>8</w:t>
            </w:r>
          </w:p>
        </w:tc>
        <w:tc>
          <w:tcPr>
            <w:tcW w:w="1701" w:type="dxa"/>
            <w:tcBorders>
              <w:top w:val="nil"/>
              <w:left w:val="nil"/>
              <w:bottom w:val="nil"/>
              <w:right w:val="nil"/>
            </w:tcBorders>
            <w:shd w:val="clear" w:color="auto" w:fill="FFFFFF"/>
          </w:tcPr>
          <w:p w:rsidR="001104CA" w:rsidRDefault="00C032A7">
            <w:pPr>
              <w:spacing w:line="480" w:lineRule="auto"/>
              <w:rPr>
                <w:color w:val="000000"/>
                <w:sz w:val="24"/>
                <w:szCs w:val="24"/>
                <w:lang w:val="en-GB"/>
              </w:rPr>
            </w:pPr>
            <w:r>
              <w:rPr>
                <w:color w:val="000000"/>
                <w:sz w:val="24"/>
                <w:szCs w:val="24"/>
                <w:lang w:val="en-GB"/>
              </w:rPr>
              <w:t>25.33±0.88</w:t>
            </w:r>
          </w:p>
        </w:tc>
      </w:tr>
      <w:tr w:rsidR="001104CA">
        <w:tc>
          <w:tcPr>
            <w:tcW w:w="2518"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rPr>
              <w:t>STD (mg/kg)</w:t>
            </w:r>
          </w:p>
        </w:tc>
        <w:tc>
          <w:tcPr>
            <w:tcW w:w="1701"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lang w:val="en-GB"/>
              </w:rPr>
              <w:t>140.33±1.6</w:t>
            </w:r>
            <w:r>
              <w:rPr>
                <w:color w:val="000000"/>
                <w:sz w:val="24"/>
                <w:szCs w:val="24"/>
              </w:rPr>
              <w:t>7</w:t>
            </w:r>
          </w:p>
        </w:tc>
        <w:tc>
          <w:tcPr>
            <w:tcW w:w="1559"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lang w:val="en-GB"/>
              </w:rPr>
              <w:t>4.83±0.1</w:t>
            </w:r>
            <w:r>
              <w:rPr>
                <w:color w:val="000000"/>
                <w:sz w:val="24"/>
                <w:szCs w:val="24"/>
              </w:rPr>
              <w:t>8</w:t>
            </w:r>
          </w:p>
        </w:tc>
        <w:tc>
          <w:tcPr>
            <w:tcW w:w="1701" w:type="dxa"/>
            <w:tcBorders>
              <w:top w:val="nil"/>
              <w:left w:val="nil"/>
              <w:bottom w:val="nil"/>
              <w:right w:val="nil"/>
            </w:tcBorders>
            <w:shd w:val="clear" w:color="auto" w:fill="FFFFFF"/>
          </w:tcPr>
          <w:p w:rsidR="001104CA" w:rsidRDefault="00C032A7">
            <w:pPr>
              <w:spacing w:line="480" w:lineRule="auto"/>
              <w:rPr>
                <w:color w:val="000000"/>
                <w:sz w:val="24"/>
                <w:szCs w:val="24"/>
                <w:lang w:val="en-GB"/>
              </w:rPr>
            </w:pPr>
            <w:r>
              <w:rPr>
                <w:color w:val="000000"/>
                <w:sz w:val="24"/>
                <w:szCs w:val="24"/>
                <w:lang w:val="en-GB"/>
              </w:rPr>
              <w:t>99.66±0.33</w:t>
            </w:r>
          </w:p>
        </w:tc>
        <w:tc>
          <w:tcPr>
            <w:tcW w:w="1701" w:type="dxa"/>
            <w:tcBorders>
              <w:top w:val="nil"/>
              <w:left w:val="nil"/>
              <w:bottom w:val="nil"/>
              <w:right w:val="nil"/>
            </w:tcBorders>
            <w:shd w:val="clear" w:color="auto" w:fill="FFFFFF"/>
          </w:tcPr>
          <w:p w:rsidR="001104CA" w:rsidRDefault="00C032A7">
            <w:pPr>
              <w:spacing w:line="480" w:lineRule="auto"/>
              <w:rPr>
                <w:color w:val="000000"/>
                <w:sz w:val="24"/>
                <w:szCs w:val="24"/>
                <w:lang w:val="en-GB"/>
              </w:rPr>
            </w:pPr>
            <w:r>
              <w:rPr>
                <w:color w:val="000000"/>
                <w:sz w:val="24"/>
                <w:szCs w:val="24"/>
                <w:lang w:val="en-GB"/>
              </w:rPr>
              <w:t>26.33±1.45</w:t>
            </w:r>
          </w:p>
        </w:tc>
      </w:tr>
      <w:tr w:rsidR="001104CA">
        <w:tc>
          <w:tcPr>
            <w:tcW w:w="2518"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rPr>
              <w:lastRenderedPageBreak/>
              <w:t>250 (mg/kg)</w:t>
            </w:r>
          </w:p>
        </w:tc>
        <w:tc>
          <w:tcPr>
            <w:tcW w:w="1701" w:type="dxa"/>
            <w:tcBorders>
              <w:top w:val="nil"/>
              <w:left w:val="nil"/>
              <w:bottom w:val="nil"/>
              <w:right w:val="nil"/>
            </w:tcBorders>
            <w:shd w:val="clear" w:color="auto" w:fill="FFFFFF"/>
          </w:tcPr>
          <w:p w:rsidR="001104CA" w:rsidRDefault="00C032A7">
            <w:pPr>
              <w:spacing w:line="480" w:lineRule="auto"/>
              <w:rPr>
                <w:color w:val="000000"/>
                <w:sz w:val="24"/>
                <w:szCs w:val="24"/>
                <w:lang w:val="en-GB"/>
              </w:rPr>
            </w:pPr>
            <w:r>
              <w:rPr>
                <w:color w:val="000000"/>
                <w:sz w:val="24"/>
                <w:szCs w:val="24"/>
                <w:lang w:val="en-GB"/>
              </w:rPr>
              <w:t>139.33±0.33</w:t>
            </w:r>
          </w:p>
        </w:tc>
        <w:tc>
          <w:tcPr>
            <w:tcW w:w="1559" w:type="dxa"/>
            <w:tcBorders>
              <w:top w:val="nil"/>
              <w:left w:val="nil"/>
              <w:bottom w:val="nil"/>
              <w:right w:val="nil"/>
            </w:tcBorders>
            <w:shd w:val="clear" w:color="auto" w:fill="FFFFFF"/>
          </w:tcPr>
          <w:p w:rsidR="001104CA" w:rsidRDefault="00C032A7">
            <w:pPr>
              <w:spacing w:line="480" w:lineRule="auto"/>
              <w:rPr>
                <w:color w:val="000000"/>
                <w:sz w:val="24"/>
                <w:szCs w:val="24"/>
                <w:lang w:val="en-GB"/>
              </w:rPr>
            </w:pPr>
            <w:r>
              <w:rPr>
                <w:color w:val="000000"/>
                <w:sz w:val="24"/>
                <w:szCs w:val="24"/>
                <w:lang w:val="en-GB"/>
              </w:rPr>
              <w:t>4.73±0.38</w:t>
            </w:r>
          </w:p>
        </w:tc>
        <w:tc>
          <w:tcPr>
            <w:tcW w:w="1701"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lang w:val="en-GB"/>
              </w:rPr>
              <w:t>101.00±0.5</w:t>
            </w:r>
            <w:r>
              <w:rPr>
                <w:color w:val="000000"/>
                <w:sz w:val="24"/>
                <w:szCs w:val="24"/>
              </w:rPr>
              <w:t>8</w:t>
            </w:r>
          </w:p>
        </w:tc>
        <w:tc>
          <w:tcPr>
            <w:tcW w:w="1701"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lang w:val="en-GB"/>
              </w:rPr>
              <w:t>24.00±1.1</w:t>
            </w:r>
            <w:r>
              <w:rPr>
                <w:color w:val="000000"/>
                <w:sz w:val="24"/>
                <w:szCs w:val="24"/>
              </w:rPr>
              <w:t>6</w:t>
            </w:r>
          </w:p>
        </w:tc>
      </w:tr>
      <w:tr w:rsidR="001104CA">
        <w:tc>
          <w:tcPr>
            <w:tcW w:w="2518"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rPr>
              <w:t>500 (mg/kg)</w:t>
            </w:r>
          </w:p>
        </w:tc>
        <w:tc>
          <w:tcPr>
            <w:tcW w:w="1701" w:type="dxa"/>
            <w:tcBorders>
              <w:top w:val="nil"/>
              <w:left w:val="nil"/>
              <w:bottom w:val="nil"/>
              <w:right w:val="nil"/>
            </w:tcBorders>
            <w:shd w:val="clear" w:color="auto" w:fill="FFFFFF"/>
          </w:tcPr>
          <w:p w:rsidR="001104CA" w:rsidRDefault="00C032A7">
            <w:pPr>
              <w:spacing w:line="480" w:lineRule="auto"/>
              <w:rPr>
                <w:color w:val="000000"/>
                <w:sz w:val="24"/>
                <w:szCs w:val="24"/>
                <w:lang w:val="en-GB"/>
              </w:rPr>
            </w:pPr>
            <w:r>
              <w:rPr>
                <w:color w:val="000000"/>
                <w:sz w:val="24"/>
                <w:szCs w:val="24"/>
                <w:lang w:val="en-GB"/>
              </w:rPr>
              <w:t>144.00±1.00</w:t>
            </w:r>
          </w:p>
        </w:tc>
        <w:tc>
          <w:tcPr>
            <w:tcW w:w="1559" w:type="dxa"/>
            <w:tcBorders>
              <w:top w:val="nil"/>
              <w:left w:val="nil"/>
              <w:bottom w:val="nil"/>
              <w:right w:val="nil"/>
            </w:tcBorders>
            <w:shd w:val="clear" w:color="auto" w:fill="FFFFFF"/>
          </w:tcPr>
          <w:p w:rsidR="001104CA" w:rsidRDefault="00C032A7">
            <w:pPr>
              <w:spacing w:line="480" w:lineRule="auto"/>
              <w:rPr>
                <w:color w:val="000000"/>
                <w:sz w:val="24"/>
                <w:szCs w:val="24"/>
                <w:lang w:val="en-GB"/>
              </w:rPr>
            </w:pPr>
            <w:r>
              <w:rPr>
                <w:color w:val="000000"/>
                <w:sz w:val="24"/>
                <w:szCs w:val="24"/>
                <w:lang w:val="en-GB"/>
              </w:rPr>
              <w:t>4.66±0.23</w:t>
            </w:r>
          </w:p>
        </w:tc>
        <w:tc>
          <w:tcPr>
            <w:tcW w:w="1701" w:type="dxa"/>
            <w:tcBorders>
              <w:top w:val="nil"/>
              <w:left w:val="nil"/>
              <w:bottom w:val="nil"/>
              <w:right w:val="nil"/>
            </w:tcBorders>
            <w:shd w:val="clear" w:color="auto" w:fill="FFFFFF"/>
          </w:tcPr>
          <w:p w:rsidR="001104CA" w:rsidRDefault="00C032A7">
            <w:pPr>
              <w:spacing w:line="480" w:lineRule="auto"/>
              <w:rPr>
                <w:color w:val="000000"/>
                <w:sz w:val="24"/>
                <w:szCs w:val="24"/>
                <w:lang w:val="en-GB"/>
              </w:rPr>
            </w:pPr>
            <w:r>
              <w:rPr>
                <w:color w:val="000000"/>
                <w:sz w:val="24"/>
                <w:szCs w:val="24"/>
                <w:lang w:val="en-GB"/>
              </w:rPr>
              <w:t>102.00±0.5</w:t>
            </w:r>
            <w:r>
              <w:rPr>
                <w:color w:val="000000"/>
                <w:sz w:val="24"/>
                <w:szCs w:val="24"/>
              </w:rPr>
              <w:t>8</w:t>
            </w:r>
            <w:r>
              <w:rPr>
                <w:color w:val="000000"/>
                <w:sz w:val="24"/>
                <w:szCs w:val="24"/>
                <w:vertAlign w:val="superscript"/>
                <w:lang w:val="en-GB"/>
              </w:rPr>
              <w:t>a</w:t>
            </w:r>
          </w:p>
        </w:tc>
        <w:tc>
          <w:tcPr>
            <w:tcW w:w="1701"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lang w:val="en-GB"/>
              </w:rPr>
              <w:t>24.00±1.5</w:t>
            </w:r>
            <w:r>
              <w:rPr>
                <w:color w:val="000000"/>
                <w:sz w:val="24"/>
                <w:szCs w:val="24"/>
              </w:rPr>
              <w:t>3</w:t>
            </w:r>
          </w:p>
        </w:tc>
      </w:tr>
      <w:tr w:rsidR="001104CA">
        <w:trPr>
          <w:trHeight w:val="153"/>
        </w:trPr>
        <w:tc>
          <w:tcPr>
            <w:tcW w:w="2518"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rPr>
              <w:t>1000 (mg/kg)</w:t>
            </w:r>
          </w:p>
        </w:tc>
        <w:tc>
          <w:tcPr>
            <w:tcW w:w="1701"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lang w:val="en-GB"/>
              </w:rPr>
              <w:t>141.67±0.6</w:t>
            </w:r>
            <w:r>
              <w:rPr>
                <w:color w:val="000000"/>
                <w:sz w:val="24"/>
                <w:szCs w:val="24"/>
              </w:rPr>
              <w:t>7</w:t>
            </w:r>
          </w:p>
        </w:tc>
        <w:tc>
          <w:tcPr>
            <w:tcW w:w="1559"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lang w:val="en-GB"/>
              </w:rPr>
              <w:t>4.66±0.3</w:t>
            </w:r>
            <w:r>
              <w:rPr>
                <w:color w:val="000000"/>
                <w:sz w:val="24"/>
                <w:szCs w:val="24"/>
              </w:rPr>
              <w:t>7</w:t>
            </w:r>
          </w:p>
        </w:tc>
        <w:tc>
          <w:tcPr>
            <w:tcW w:w="1701"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lang w:val="en-GB"/>
              </w:rPr>
              <w:t>10</w:t>
            </w:r>
            <w:r>
              <w:rPr>
                <w:color w:val="000000"/>
                <w:sz w:val="24"/>
                <w:szCs w:val="24"/>
              </w:rPr>
              <w:t>3</w:t>
            </w:r>
            <w:r>
              <w:rPr>
                <w:color w:val="000000"/>
                <w:sz w:val="24"/>
                <w:szCs w:val="24"/>
                <w:lang w:val="en-GB"/>
              </w:rPr>
              <w:t>.33±0.881</w:t>
            </w:r>
            <w:r>
              <w:rPr>
                <w:color w:val="000000"/>
                <w:sz w:val="24"/>
                <w:szCs w:val="24"/>
                <w:vertAlign w:val="superscript"/>
              </w:rPr>
              <w:t>a</w:t>
            </w:r>
          </w:p>
        </w:tc>
        <w:tc>
          <w:tcPr>
            <w:tcW w:w="1701" w:type="dxa"/>
            <w:tcBorders>
              <w:top w:val="nil"/>
              <w:left w:val="nil"/>
              <w:bottom w:val="nil"/>
              <w:right w:val="nil"/>
            </w:tcBorders>
            <w:shd w:val="clear" w:color="auto" w:fill="FFFFFF"/>
          </w:tcPr>
          <w:p w:rsidR="001104CA" w:rsidRDefault="00C032A7">
            <w:pPr>
              <w:spacing w:line="480" w:lineRule="auto"/>
              <w:rPr>
                <w:color w:val="000000"/>
                <w:sz w:val="24"/>
                <w:szCs w:val="24"/>
                <w:lang w:val="en-GB"/>
              </w:rPr>
            </w:pPr>
            <w:r>
              <w:rPr>
                <w:color w:val="000000"/>
                <w:sz w:val="24"/>
                <w:szCs w:val="24"/>
                <w:lang w:val="en-GB"/>
              </w:rPr>
              <w:t>25.66±1.33</w:t>
            </w:r>
          </w:p>
        </w:tc>
      </w:tr>
      <w:tr w:rsidR="001104CA">
        <w:tc>
          <w:tcPr>
            <w:tcW w:w="2518" w:type="dxa"/>
            <w:tcBorders>
              <w:top w:val="nil"/>
              <w:left w:val="nil"/>
              <w:bottom w:val="single" w:sz="4" w:space="0" w:color="auto"/>
              <w:right w:val="nil"/>
            </w:tcBorders>
            <w:shd w:val="clear" w:color="auto" w:fill="FFFFFF"/>
          </w:tcPr>
          <w:p w:rsidR="001104CA" w:rsidRDefault="00C032A7">
            <w:pPr>
              <w:spacing w:line="480" w:lineRule="auto"/>
              <w:rPr>
                <w:color w:val="000000"/>
                <w:sz w:val="24"/>
                <w:szCs w:val="24"/>
              </w:rPr>
            </w:pPr>
            <w:r>
              <w:rPr>
                <w:color w:val="000000"/>
                <w:sz w:val="24"/>
                <w:szCs w:val="24"/>
              </w:rPr>
              <w:t>p-value</w:t>
            </w:r>
          </w:p>
        </w:tc>
        <w:tc>
          <w:tcPr>
            <w:tcW w:w="1701" w:type="dxa"/>
            <w:tcBorders>
              <w:top w:val="nil"/>
              <w:left w:val="nil"/>
              <w:bottom w:val="single" w:sz="4" w:space="0" w:color="auto"/>
              <w:right w:val="nil"/>
            </w:tcBorders>
            <w:shd w:val="clear" w:color="auto" w:fill="FFFFFF"/>
          </w:tcPr>
          <w:p w:rsidR="001104CA" w:rsidRDefault="00C032A7">
            <w:pPr>
              <w:spacing w:line="480" w:lineRule="auto"/>
              <w:rPr>
                <w:color w:val="000000"/>
                <w:sz w:val="24"/>
                <w:szCs w:val="24"/>
                <w:lang w:val="en-GB"/>
              </w:rPr>
            </w:pPr>
            <w:r>
              <w:rPr>
                <w:color w:val="000000"/>
                <w:sz w:val="24"/>
                <w:szCs w:val="24"/>
                <w:lang w:val="en-GB"/>
              </w:rPr>
              <w:t>0.0051</w:t>
            </w:r>
          </w:p>
        </w:tc>
        <w:tc>
          <w:tcPr>
            <w:tcW w:w="1559" w:type="dxa"/>
            <w:tcBorders>
              <w:top w:val="nil"/>
              <w:left w:val="nil"/>
              <w:bottom w:val="single" w:sz="4" w:space="0" w:color="auto"/>
              <w:right w:val="nil"/>
            </w:tcBorders>
            <w:shd w:val="clear" w:color="auto" w:fill="FFFFFF"/>
          </w:tcPr>
          <w:p w:rsidR="001104CA" w:rsidRDefault="00C032A7">
            <w:pPr>
              <w:spacing w:line="480" w:lineRule="auto"/>
              <w:rPr>
                <w:color w:val="000000"/>
                <w:sz w:val="24"/>
                <w:szCs w:val="24"/>
                <w:lang w:val="en-GB"/>
              </w:rPr>
            </w:pPr>
            <w:r>
              <w:rPr>
                <w:color w:val="000000"/>
                <w:sz w:val="24"/>
                <w:szCs w:val="24"/>
                <w:lang w:val="en-GB"/>
              </w:rPr>
              <w:t>0.</w:t>
            </w:r>
            <w:r>
              <w:rPr>
                <w:color w:val="000000"/>
                <w:sz w:val="24"/>
                <w:szCs w:val="24"/>
              </w:rPr>
              <w:t>01</w:t>
            </w:r>
            <w:r>
              <w:rPr>
                <w:color w:val="000000"/>
                <w:sz w:val="24"/>
                <w:szCs w:val="24"/>
                <w:lang w:val="en-GB"/>
              </w:rPr>
              <w:t>80</w:t>
            </w:r>
          </w:p>
        </w:tc>
        <w:tc>
          <w:tcPr>
            <w:tcW w:w="1701" w:type="dxa"/>
            <w:tcBorders>
              <w:top w:val="nil"/>
              <w:left w:val="nil"/>
              <w:bottom w:val="single" w:sz="4" w:space="0" w:color="auto"/>
              <w:right w:val="nil"/>
            </w:tcBorders>
            <w:shd w:val="clear" w:color="auto" w:fill="FFFFFF"/>
          </w:tcPr>
          <w:p w:rsidR="001104CA" w:rsidRDefault="00C032A7">
            <w:pPr>
              <w:spacing w:line="480" w:lineRule="auto"/>
              <w:rPr>
                <w:color w:val="000000"/>
                <w:sz w:val="24"/>
                <w:szCs w:val="24"/>
                <w:lang w:val="en-GB"/>
              </w:rPr>
            </w:pPr>
            <w:r>
              <w:rPr>
                <w:color w:val="000000"/>
                <w:sz w:val="24"/>
                <w:szCs w:val="24"/>
                <w:lang w:val="en-GB"/>
              </w:rPr>
              <w:t>0.0336</w:t>
            </w:r>
          </w:p>
        </w:tc>
        <w:tc>
          <w:tcPr>
            <w:tcW w:w="1701" w:type="dxa"/>
            <w:tcBorders>
              <w:top w:val="nil"/>
              <w:left w:val="nil"/>
              <w:bottom w:val="single" w:sz="4" w:space="0" w:color="auto"/>
              <w:right w:val="nil"/>
            </w:tcBorders>
            <w:shd w:val="clear" w:color="auto" w:fill="FFFFFF"/>
          </w:tcPr>
          <w:p w:rsidR="001104CA" w:rsidRDefault="00C032A7">
            <w:pPr>
              <w:spacing w:line="480" w:lineRule="auto"/>
              <w:rPr>
                <w:color w:val="000000"/>
                <w:sz w:val="24"/>
                <w:szCs w:val="24"/>
                <w:lang w:val="en-GB"/>
              </w:rPr>
            </w:pPr>
            <w:r>
              <w:rPr>
                <w:color w:val="000000"/>
                <w:sz w:val="24"/>
                <w:szCs w:val="24"/>
                <w:lang w:val="en-GB"/>
              </w:rPr>
              <w:t>0.</w:t>
            </w:r>
            <w:r>
              <w:rPr>
                <w:color w:val="000000"/>
                <w:sz w:val="24"/>
                <w:szCs w:val="24"/>
              </w:rPr>
              <w:t>0</w:t>
            </w:r>
            <w:r>
              <w:rPr>
                <w:color w:val="000000"/>
                <w:sz w:val="24"/>
                <w:szCs w:val="24"/>
                <w:lang w:val="en-GB"/>
              </w:rPr>
              <w:t>418</w:t>
            </w:r>
          </w:p>
        </w:tc>
      </w:tr>
    </w:tbl>
    <w:p w:rsidR="001104CA" w:rsidRDefault="00C032A7">
      <w:pPr>
        <w:jc w:val="both"/>
        <w:rPr>
          <w:sz w:val="24"/>
          <w:szCs w:val="24"/>
        </w:rPr>
      </w:pPr>
      <w:r>
        <w:rPr>
          <w:sz w:val="24"/>
          <w:szCs w:val="24"/>
        </w:rPr>
        <w:t>Values are expressed as mean ± SEM, n = 3.</w:t>
      </w:r>
    </w:p>
    <w:p w:rsidR="001104CA" w:rsidRDefault="00C032A7">
      <w:pPr>
        <w:jc w:val="both"/>
        <w:rPr>
          <w:sz w:val="24"/>
          <w:szCs w:val="24"/>
        </w:rPr>
      </w:pPr>
      <w:r>
        <w:rPr>
          <w:sz w:val="24"/>
          <w:szCs w:val="24"/>
          <w:vertAlign w:val="superscript"/>
        </w:rPr>
        <w:t>a</w:t>
      </w:r>
      <w:r>
        <w:rPr>
          <w:sz w:val="24"/>
          <w:szCs w:val="24"/>
        </w:rPr>
        <w:t>Values are statistically significant when compared to Normal Control.</w:t>
      </w:r>
    </w:p>
    <w:p w:rsidR="001104CA" w:rsidRDefault="001104CA">
      <w:pPr>
        <w:tabs>
          <w:tab w:val="left" w:pos="2860"/>
        </w:tabs>
        <w:spacing w:line="480" w:lineRule="auto"/>
        <w:jc w:val="both"/>
        <w:rPr>
          <w:bCs/>
          <w:sz w:val="24"/>
          <w:szCs w:val="24"/>
        </w:rPr>
      </w:pPr>
    </w:p>
    <w:p w:rsidR="001104CA" w:rsidRDefault="00C032A7">
      <w:pPr>
        <w:tabs>
          <w:tab w:val="left" w:pos="2860"/>
        </w:tabs>
        <w:spacing w:line="480" w:lineRule="auto"/>
        <w:jc w:val="both"/>
        <w:rPr>
          <w:bCs/>
          <w:sz w:val="24"/>
          <w:szCs w:val="24"/>
        </w:rPr>
      </w:pPr>
      <w:r>
        <w:rPr>
          <w:b/>
          <w:sz w:val="24"/>
          <w:szCs w:val="24"/>
        </w:rPr>
        <w:t xml:space="preserve">3.4      </w:t>
      </w:r>
      <w:r>
        <w:rPr>
          <w:b/>
          <w:i/>
          <w:iCs/>
          <w:sz w:val="24"/>
          <w:szCs w:val="24"/>
        </w:rPr>
        <w:t>In vivo</w:t>
      </w:r>
      <w:r>
        <w:rPr>
          <w:b/>
          <w:sz w:val="24"/>
          <w:szCs w:val="24"/>
        </w:rPr>
        <w:t xml:space="preserve"> Anti-inflammatory Markers</w:t>
      </w:r>
      <w:r>
        <w:rPr>
          <w:bCs/>
          <w:sz w:val="24"/>
          <w:szCs w:val="24"/>
        </w:rPr>
        <w:tab/>
      </w:r>
    </w:p>
    <w:p w:rsidR="001104CA" w:rsidRDefault="00C032A7">
      <w:pPr>
        <w:tabs>
          <w:tab w:val="left" w:pos="2860"/>
        </w:tabs>
        <w:spacing w:line="480" w:lineRule="auto"/>
        <w:ind w:firstLineChars="300" w:firstLine="720"/>
        <w:jc w:val="both"/>
        <w:rPr>
          <w:sz w:val="24"/>
          <w:szCs w:val="24"/>
        </w:rPr>
      </w:pPr>
      <w:r>
        <w:rPr>
          <w:bCs/>
          <w:sz w:val="24"/>
          <w:szCs w:val="24"/>
        </w:rPr>
        <w:t xml:space="preserve">Table </w:t>
      </w:r>
      <w:r>
        <w:rPr>
          <w:bCs/>
          <w:sz w:val="24"/>
          <w:szCs w:val="24"/>
        </w:rPr>
        <w:t>6</w:t>
      </w:r>
      <w:r>
        <w:rPr>
          <w:sz w:val="24"/>
          <w:szCs w:val="24"/>
        </w:rPr>
        <w:t xml:space="preserve"> shows the result of anti-inflammatory markers which includes; T</w:t>
      </w:r>
      <w:r>
        <w:rPr>
          <w:rFonts w:eastAsia="SimSun"/>
          <w:sz w:val="24"/>
          <w:szCs w:val="24"/>
        </w:rPr>
        <w:t>umor Necrosis Factor alpha</w:t>
      </w:r>
      <w:r>
        <w:rPr>
          <w:sz w:val="24"/>
          <w:szCs w:val="24"/>
        </w:rPr>
        <w:t xml:space="preserve"> (TNF-</w:t>
      </w:r>
      <w:r>
        <w:rPr>
          <w:sz w:val="24"/>
          <w:szCs w:val="24"/>
        </w:rPr>
        <w:t>α</w:t>
      </w:r>
      <w:r>
        <w:rPr>
          <w:sz w:val="24"/>
          <w:szCs w:val="24"/>
        </w:rPr>
        <w:t xml:space="preserve">), </w:t>
      </w:r>
      <w:r>
        <w:rPr>
          <w:rFonts w:eastAsia="SimSun"/>
          <w:sz w:val="24"/>
          <w:szCs w:val="24"/>
        </w:rPr>
        <w:t>Interleukin (</w:t>
      </w:r>
      <w:r>
        <w:rPr>
          <w:sz w:val="24"/>
          <w:szCs w:val="24"/>
        </w:rPr>
        <w:t xml:space="preserve">IL-4) and </w:t>
      </w:r>
      <w:r>
        <w:rPr>
          <w:rFonts w:eastAsia="SimSun"/>
          <w:sz w:val="24"/>
          <w:szCs w:val="24"/>
        </w:rPr>
        <w:t>Interleukin (</w:t>
      </w:r>
      <w:r>
        <w:rPr>
          <w:sz w:val="24"/>
          <w:szCs w:val="24"/>
        </w:rPr>
        <w:t>IL-6).</w:t>
      </w:r>
    </w:p>
    <w:p w:rsidR="001104CA" w:rsidRDefault="00C032A7">
      <w:pPr>
        <w:jc w:val="both"/>
        <w:rPr>
          <w:b/>
          <w:bCs/>
          <w:sz w:val="24"/>
          <w:szCs w:val="24"/>
        </w:rPr>
      </w:pPr>
      <w:r>
        <w:rPr>
          <w:b/>
          <w:bCs/>
          <w:sz w:val="24"/>
          <w:szCs w:val="24"/>
        </w:rPr>
        <w:t xml:space="preserve">Table </w:t>
      </w:r>
      <w:r>
        <w:rPr>
          <w:b/>
          <w:bCs/>
          <w:sz w:val="24"/>
          <w:szCs w:val="24"/>
        </w:rPr>
        <w:t xml:space="preserve">6. </w:t>
      </w:r>
      <w:r>
        <w:rPr>
          <w:b/>
          <w:bCs/>
          <w:sz w:val="24"/>
          <w:szCs w:val="24"/>
        </w:rPr>
        <w:t>Anti-Inflammatory Markers</w:t>
      </w:r>
    </w:p>
    <w:tbl>
      <w:tblPr>
        <w:tblStyle w:val="TableGrid"/>
        <w:tblW w:w="0" w:type="auto"/>
        <w:tblLook w:val="04A0" w:firstRow="1" w:lastRow="0" w:firstColumn="1" w:lastColumn="0" w:noHBand="0" w:noVBand="1"/>
      </w:tblPr>
      <w:tblGrid>
        <w:gridCol w:w="2715"/>
        <w:gridCol w:w="1681"/>
        <w:gridCol w:w="1859"/>
        <w:gridCol w:w="2267"/>
      </w:tblGrid>
      <w:tr w:rsidR="001104CA">
        <w:tc>
          <w:tcPr>
            <w:tcW w:w="2802" w:type="dxa"/>
            <w:tcBorders>
              <w:top w:val="single" w:sz="4" w:space="0" w:color="auto"/>
              <w:left w:val="nil"/>
              <w:bottom w:val="single" w:sz="4" w:space="0" w:color="auto"/>
              <w:right w:val="nil"/>
            </w:tcBorders>
            <w:shd w:val="clear" w:color="auto" w:fill="FFFFFF"/>
          </w:tcPr>
          <w:p w:rsidR="001104CA" w:rsidRDefault="00C032A7">
            <w:pPr>
              <w:rPr>
                <w:b/>
                <w:bCs/>
                <w:color w:val="000000"/>
                <w:sz w:val="24"/>
                <w:szCs w:val="24"/>
              </w:rPr>
            </w:pPr>
            <w:r>
              <w:rPr>
                <w:b/>
                <w:bCs/>
                <w:color w:val="000000"/>
                <w:sz w:val="24"/>
                <w:szCs w:val="24"/>
              </w:rPr>
              <w:t>GROUP</w:t>
            </w:r>
          </w:p>
        </w:tc>
        <w:tc>
          <w:tcPr>
            <w:tcW w:w="1701" w:type="dxa"/>
            <w:tcBorders>
              <w:top w:val="single" w:sz="4" w:space="0" w:color="auto"/>
              <w:left w:val="nil"/>
              <w:bottom w:val="single" w:sz="4" w:space="0" w:color="auto"/>
              <w:right w:val="nil"/>
            </w:tcBorders>
            <w:shd w:val="clear" w:color="auto" w:fill="FFFFFF"/>
          </w:tcPr>
          <w:p w:rsidR="001104CA" w:rsidRDefault="00C032A7">
            <w:pPr>
              <w:rPr>
                <w:b/>
                <w:bCs/>
                <w:color w:val="000000"/>
                <w:sz w:val="24"/>
                <w:szCs w:val="24"/>
              </w:rPr>
            </w:pPr>
            <w:r>
              <w:rPr>
                <w:b/>
                <w:bCs/>
                <w:color w:val="000000"/>
                <w:sz w:val="24"/>
                <w:szCs w:val="24"/>
              </w:rPr>
              <w:t xml:space="preserve">TNF-a </w:t>
            </w:r>
          </w:p>
          <w:p w:rsidR="001104CA" w:rsidRDefault="00C032A7">
            <w:pPr>
              <w:rPr>
                <w:b/>
                <w:bCs/>
                <w:color w:val="000000"/>
                <w:sz w:val="24"/>
                <w:szCs w:val="24"/>
              </w:rPr>
            </w:pPr>
            <w:r>
              <w:rPr>
                <w:b/>
                <w:bCs/>
                <w:color w:val="000000"/>
                <w:sz w:val="24"/>
                <w:szCs w:val="24"/>
              </w:rPr>
              <w:t>(pg/ml)</w:t>
            </w:r>
          </w:p>
        </w:tc>
        <w:tc>
          <w:tcPr>
            <w:tcW w:w="1888" w:type="dxa"/>
            <w:tcBorders>
              <w:top w:val="single" w:sz="4" w:space="0" w:color="auto"/>
              <w:left w:val="nil"/>
              <w:bottom w:val="single" w:sz="4" w:space="0" w:color="auto"/>
              <w:right w:val="nil"/>
            </w:tcBorders>
            <w:shd w:val="clear" w:color="auto" w:fill="FFFFFF"/>
          </w:tcPr>
          <w:p w:rsidR="001104CA" w:rsidRDefault="00C032A7">
            <w:pPr>
              <w:rPr>
                <w:b/>
                <w:bCs/>
                <w:color w:val="000000"/>
                <w:sz w:val="24"/>
                <w:szCs w:val="24"/>
              </w:rPr>
            </w:pPr>
            <w:r>
              <w:rPr>
                <w:b/>
                <w:bCs/>
                <w:color w:val="000000"/>
                <w:sz w:val="24"/>
                <w:szCs w:val="24"/>
              </w:rPr>
              <w:t xml:space="preserve">IL-4 </w:t>
            </w:r>
          </w:p>
          <w:p w:rsidR="001104CA" w:rsidRDefault="00C032A7">
            <w:pPr>
              <w:rPr>
                <w:b/>
                <w:bCs/>
                <w:color w:val="000000"/>
                <w:sz w:val="24"/>
                <w:szCs w:val="24"/>
                <w:lang w:eastAsia="en-GB"/>
              </w:rPr>
            </w:pPr>
            <w:r>
              <w:rPr>
                <w:b/>
                <w:bCs/>
                <w:color w:val="000000"/>
                <w:sz w:val="24"/>
                <w:szCs w:val="24"/>
              </w:rPr>
              <w:t>(pg/ml)</w:t>
            </w:r>
          </w:p>
          <w:p w:rsidR="001104CA" w:rsidRDefault="001104CA">
            <w:pPr>
              <w:rPr>
                <w:b/>
                <w:bCs/>
                <w:color w:val="000000"/>
                <w:sz w:val="24"/>
                <w:szCs w:val="24"/>
              </w:rPr>
            </w:pPr>
          </w:p>
        </w:tc>
        <w:tc>
          <w:tcPr>
            <w:tcW w:w="2311" w:type="dxa"/>
            <w:tcBorders>
              <w:top w:val="single" w:sz="4" w:space="0" w:color="auto"/>
              <w:left w:val="nil"/>
              <w:bottom w:val="single" w:sz="4" w:space="0" w:color="auto"/>
              <w:right w:val="nil"/>
            </w:tcBorders>
            <w:shd w:val="clear" w:color="auto" w:fill="FFFFFF"/>
          </w:tcPr>
          <w:p w:rsidR="001104CA" w:rsidRDefault="00C032A7">
            <w:pPr>
              <w:rPr>
                <w:b/>
                <w:bCs/>
                <w:color w:val="000000"/>
                <w:sz w:val="24"/>
                <w:szCs w:val="24"/>
              </w:rPr>
            </w:pPr>
            <w:r>
              <w:rPr>
                <w:b/>
                <w:bCs/>
                <w:color w:val="000000"/>
                <w:sz w:val="24"/>
                <w:szCs w:val="24"/>
              </w:rPr>
              <w:t>IL-6</w:t>
            </w:r>
          </w:p>
          <w:p w:rsidR="001104CA" w:rsidRDefault="00C032A7">
            <w:pPr>
              <w:rPr>
                <w:b/>
                <w:bCs/>
                <w:color w:val="000000"/>
                <w:sz w:val="24"/>
                <w:szCs w:val="24"/>
                <w:lang w:eastAsia="en-GB"/>
              </w:rPr>
            </w:pPr>
            <w:r>
              <w:rPr>
                <w:b/>
                <w:bCs/>
                <w:color w:val="000000"/>
                <w:sz w:val="24"/>
                <w:szCs w:val="24"/>
              </w:rPr>
              <w:t>(pg/ml)</w:t>
            </w:r>
          </w:p>
          <w:p w:rsidR="001104CA" w:rsidRDefault="001104CA">
            <w:pPr>
              <w:rPr>
                <w:b/>
                <w:bCs/>
                <w:color w:val="000000"/>
                <w:sz w:val="24"/>
                <w:szCs w:val="24"/>
              </w:rPr>
            </w:pPr>
          </w:p>
        </w:tc>
      </w:tr>
      <w:tr w:rsidR="001104CA">
        <w:tc>
          <w:tcPr>
            <w:tcW w:w="2802" w:type="dxa"/>
            <w:tcBorders>
              <w:top w:val="single" w:sz="4" w:space="0" w:color="auto"/>
              <w:left w:val="nil"/>
              <w:bottom w:val="nil"/>
              <w:right w:val="nil"/>
            </w:tcBorders>
            <w:shd w:val="clear" w:color="auto" w:fill="FFFFFF"/>
          </w:tcPr>
          <w:p w:rsidR="001104CA" w:rsidRDefault="00C032A7">
            <w:pPr>
              <w:spacing w:line="480" w:lineRule="auto"/>
              <w:jc w:val="left"/>
              <w:rPr>
                <w:color w:val="000000"/>
                <w:sz w:val="24"/>
                <w:szCs w:val="24"/>
              </w:rPr>
            </w:pPr>
            <w:r>
              <w:rPr>
                <w:color w:val="000000"/>
                <w:sz w:val="24"/>
                <w:szCs w:val="24"/>
              </w:rPr>
              <w:t>NEG. CONT. (mg/kg)</w:t>
            </w:r>
          </w:p>
        </w:tc>
        <w:tc>
          <w:tcPr>
            <w:tcW w:w="1701" w:type="dxa"/>
            <w:tcBorders>
              <w:top w:val="single" w:sz="4" w:space="0" w:color="auto"/>
              <w:left w:val="nil"/>
              <w:bottom w:val="nil"/>
              <w:right w:val="nil"/>
            </w:tcBorders>
            <w:shd w:val="clear" w:color="auto" w:fill="FFFFFF"/>
          </w:tcPr>
          <w:p w:rsidR="001104CA" w:rsidRDefault="00C032A7">
            <w:pPr>
              <w:spacing w:line="480" w:lineRule="auto"/>
              <w:rPr>
                <w:color w:val="000000"/>
                <w:sz w:val="24"/>
                <w:szCs w:val="24"/>
              </w:rPr>
            </w:pPr>
            <w:r>
              <w:rPr>
                <w:rFonts w:eastAsia="SimSun"/>
                <w:color w:val="000000"/>
                <w:sz w:val="24"/>
                <w:szCs w:val="24"/>
              </w:rPr>
              <w:t>34.80 ± 2.40</w:t>
            </w:r>
          </w:p>
        </w:tc>
        <w:tc>
          <w:tcPr>
            <w:tcW w:w="1888" w:type="dxa"/>
            <w:tcBorders>
              <w:top w:val="single" w:sz="4" w:space="0" w:color="auto"/>
              <w:left w:val="nil"/>
              <w:bottom w:val="nil"/>
              <w:right w:val="nil"/>
            </w:tcBorders>
            <w:shd w:val="clear" w:color="auto" w:fill="FFFFFF"/>
          </w:tcPr>
          <w:p w:rsidR="001104CA" w:rsidRDefault="00C032A7">
            <w:pPr>
              <w:spacing w:line="480" w:lineRule="auto"/>
              <w:rPr>
                <w:color w:val="000000"/>
                <w:sz w:val="24"/>
                <w:szCs w:val="24"/>
              </w:rPr>
            </w:pPr>
            <w:r>
              <w:rPr>
                <w:rFonts w:eastAsia="SimSun"/>
                <w:color w:val="000000"/>
                <w:sz w:val="24"/>
                <w:szCs w:val="24"/>
              </w:rPr>
              <w:t>28.60 ± 3.90</w:t>
            </w:r>
          </w:p>
        </w:tc>
        <w:tc>
          <w:tcPr>
            <w:tcW w:w="2311" w:type="dxa"/>
            <w:tcBorders>
              <w:top w:val="single" w:sz="4" w:space="0" w:color="auto"/>
              <w:left w:val="nil"/>
              <w:bottom w:val="nil"/>
              <w:right w:val="nil"/>
            </w:tcBorders>
            <w:shd w:val="clear" w:color="auto" w:fill="FFFFFF"/>
          </w:tcPr>
          <w:p w:rsidR="001104CA" w:rsidRDefault="00C032A7">
            <w:pPr>
              <w:spacing w:line="480" w:lineRule="auto"/>
              <w:rPr>
                <w:color w:val="000000"/>
                <w:sz w:val="24"/>
                <w:szCs w:val="24"/>
              </w:rPr>
            </w:pPr>
            <w:r>
              <w:rPr>
                <w:rFonts w:eastAsia="SimSun"/>
                <w:color w:val="000000"/>
                <w:sz w:val="24"/>
                <w:szCs w:val="24"/>
              </w:rPr>
              <w:t>165.40 ± 8.70</w:t>
            </w:r>
          </w:p>
        </w:tc>
      </w:tr>
      <w:tr w:rsidR="001104CA">
        <w:tc>
          <w:tcPr>
            <w:tcW w:w="2802" w:type="dxa"/>
            <w:tcBorders>
              <w:top w:val="nil"/>
              <w:left w:val="nil"/>
              <w:bottom w:val="nil"/>
              <w:right w:val="nil"/>
            </w:tcBorders>
            <w:shd w:val="clear" w:color="auto" w:fill="FFFFFF"/>
          </w:tcPr>
          <w:p w:rsidR="001104CA" w:rsidRDefault="00C032A7">
            <w:pPr>
              <w:spacing w:line="480" w:lineRule="auto"/>
              <w:jc w:val="left"/>
              <w:rPr>
                <w:color w:val="000000"/>
                <w:sz w:val="24"/>
                <w:szCs w:val="24"/>
              </w:rPr>
            </w:pPr>
            <w:r>
              <w:rPr>
                <w:color w:val="000000"/>
                <w:sz w:val="24"/>
                <w:szCs w:val="24"/>
              </w:rPr>
              <w:t>NORM. CONT.</w:t>
            </w:r>
            <w:r>
              <w:rPr>
                <w:color w:val="000000"/>
                <w:sz w:val="26"/>
                <w:szCs w:val="24"/>
              </w:rPr>
              <w:t xml:space="preserve"> </w:t>
            </w:r>
            <w:r>
              <w:rPr>
                <w:color w:val="000000"/>
                <w:sz w:val="24"/>
                <w:szCs w:val="24"/>
              </w:rPr>
              <w:t>(mg/kg)</w:t>
            </w:r>
          </w:p>
        </w:tc>
        <w:tc>
          <w:tcPr>
            <w:tcW w:w="1701"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lang w:val="en-GB"/>
              </w:rPr>
              <w:t>24.86±0.69</w:t>
            </w:r>
          </w:p>
        </w:tc>
        <w:tc>
          <w:tcPr>
            <w:tcW w:w="1888"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lang w:val="en-GB"/>
              </w:rPr>
              <w:t>45.95±5.59</w:t>
            </w:r>
          </w:p>
        </w:tc>
        <w:tc>
          <w:tcPr>
            <w:tcW w:w="2311" w:type="dxa"/>
            <w:tcBorders>
              <w:top w:val="nil"/>
              <w:left w:val="nil"/>
              <w:bottom w:val="nil"/>
              <w:right w:val="nil"/>
            </w:tcBorders>
            <w:shd w:val="clear" w:color="auto" w:fill="FFFFFF"/>
          </w:tcPr>
          <w:p w:rsidR="001104CA" w:rsidRDefault="00C032A7">
            <w:pPr>
              <w:spacing w:line="480" w:lineRule="auto"/>
              <w:rPr>
                <w:rFonts w:eastAsia="Calibri"/>
                <w:color w:val="000000"/>
                <w:sz w:val="24"/>
                <w:szCs w:val="24"/>
              </w:rPr>
            </w:pPr>
            <w:r>
              <w:rPr>
                <w:rFonts w:eastAsia="Calibri"/>
                <w:color w:val="000000"/>
                <w:sz w:val="24"/>
                <w:szCs w:val="24"/>
                <w:lang w:val="en-GB"/>
              </w:rPr>
              <w:t>114.51</w:t>
            </w:r>
            <w:r>
              <w:rPr>
                <w:color w:val="000000"/>
                <w:sz w:val="24"/>
                <w:szCs w:val="24"/>
                <w:lang w:val="en-GB"/>
              </w:rPr>
              <w:t>±3.4</w:t>
            </w:r>
            <w:r>
              <w:rPr>
                <w:color w:val="000000"/>
                <w:sz w:val="24"/>
                <w:szCs w:val="24"/>
              </w:rPr>
              <w:t>2</w:t>
            </w:r>
          </w:p>
        </w:tc>
      </w:tr>
      <w:tr w:rsidR="001104CA">
        <w:tc>
          <w:tcPr>
            <w:tcW w:w="2802"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rPr>
              <w:t>STD (mg/kg)</w:t>
            </w:r>
          </w:p>
        </w:tc>
        <w:tc>
          <w:tcPr>
            <w:tcW w:w="1701"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lang w:val="en-GB"/>
              </w:rPr>
              <w:t>21.47±0.8</w:t>
            </w:r>
            <w:r>
              <w:rPr>
                <w:color w:val="000000"/>
                <w:sz w:val="24"/>
                <w:szCs w:val="24"/>
              </w:rPr>
              <w:t>9</w:t>
            </w:r>
          </w:p>
        </w:tc>
        <w:tc>
          <w:tcPr>
            <w:tcW w:w="1888"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lang w:val="en-GB"/>
              </w:rPr>
              <w:t>49.90±3.39</w:t>
            </w:r>
          </w:p>
        </w:tc>
        <w:tc>
          <w:tcPr>
            <w:tcW w:w="2311" w:type="dxa"/>
            <w:tcBorders>
              <w:top w:val="nil"/>
              <w:left w:val="nil"/>
              <w:bottom w:val="nil"/>
              <w:right w:val="nil"/>
            </w:tcBorders>
            <w:shd w:val="clear" w:color="auto" w:fill="FFFFFF"/>
          </w:tcPr>
          <w:p w:rsidR="001104CA" w:rsidRDefault="00C032A7">
            <w:pPr>
              <w:spacing w:line="480" w:lineRule="auto"/>
              <w:rPr>
                <w:rFonts w:eastAsia="Calibri"/>
                <w:color w:val="000000"/>
                <w:sz w:val="24"/>
                <w:szCs w:val="24"/>
              </w:rPr>
            </w:pPr>
            <w:r>
              <w:rPr>
                <w:rFonts w:eastAsia="Calibri"/>
                <w:color w:val="000000"/>
                <w:sz w:val="24"/>
                <w:szCs w:val="24"/>
                <w:lang w:val="en-GB"/>
              </w:rPr>
              <w:t>101.94</w:t>
            </w:r>
            <w:r>
              <w:rPr>
                <w:color w:val="000000"/>
                <w:sz w:val="24"/>
                <w:szCs w:val="24"/>
                <w:lang w:val="en-GB"/>
              </w:rPr>
              <w:t>±1.99</w:t>
            </w:r>
          </w:p>
        </w:tc>
      </w:tr>
      <w:tr w:rsidR="001104CA">
        <w:tc>
          <w:tcPr>
            <w:tcW w:w="2802"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rPr>
              <w:t>250 (mg/kg)</w:t>
            </w:r>
          </w:p>
        </w:tc>
        <w:tc>
          <w:tcPr>
            <w:tcW w:w="1701"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lang w:val="en-GB"/>
              </w:rPr>
              <w:t>20.85±0.97</w:t>
            </w:r>
          </w:p>
        </w:tc>
        <w:tc>
          <w:tcPr>
            <w:tcW w:w="1888"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lang w:val="en-GB"/>
              </w:rPr>
              <w:t>39.86±0.7</w:t>
            </w:r>
            <w:r>
              <w:rPr>
                <w:color w:val="000000"/>
                <w:sz w:val="24"/>
                <w:szCs w:val="24"/>
              </w:rPr>
              <w:t>2</w:t>
            </w:r>
          </w:p>
        </w:tc>
        <w:tc>
          <w:tcPr>
            <w:tcW w:w="2311" w:type="dxa"/>
            <w:tcBorders>
              <w:top w:val="nil"/>
              <w:left w:val="nil"/>
              <w:bottom w:val="nil"/>
              <w:right w:val="nil"/>
            </w:tcBorders>
            <w:shd w:val="clear" w:color="auto" w:fill="FFFFFF"/>
          </w:tcPr>
          <w:p w:rsidR="001104CA" w:rsidRDefault="00C032A7">
            <w:pPr>
              <w:spacing w:line="480" w:lineRule="auto"/>
              <w:rPr>
                <w:rFonts w:eastAsia="Calibri"/>
                <w:color w:val="000000"/>
                <w:sz w:val="24"/>
                <w:szCs w:val="24"/>
              </w:rPr>
            </w:pPr>
            <w:r>
              <w:rPr>
                <w:rFonts w:eastAsia="Calibri"/>
                <w:color w:val="000000"/>
                <w:sz w:val="24"/>
                <w:szCs w:val="24"/>
                <w:lang w:val="en-GB"/>
              </w:rPr>
              <w:t>103.31</w:t>
            </w:r>
            <w:r>
              <w:rPr>
                <w:color w:val="000000"/>
                <w:sz w:val="24"/>
                <w:szCs w:val="24"/>
                <w:lang w:val="en-GB"/>
              </w:rPr>
              <w:t>±3.19</w:t>
            </w:r>
          </w:p>
        </w:tc>
      </w:tr>
      <w:tr w:rsidR="001104CA">
        <w:tc>
          <w:tcPr>
            <w:tcW w:w="2802"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rPr>
              <w:t>500 (mg/kg)</w:t>
            </w:r>
          </w:p>
        </w:tc>
        <w:tc>
          <w:tcPr>
            <w:tcW w:w="1701"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lang w:val="en-GB"/>
              </w:rPr>
              <w:t>20.50±1.3</w:t>
            </w:r>
            <w:r>
              <w:rPr>
                <w:color w:val="000000"/>
                <w:sz w:val="24"/>
                <w:szCs w:val="24"/>
              </w:rPr>
              <w:t>5</w:t>
            </w:r>
          </w:p>
        </w:tc>
        <w:tc>
          <w:tcPr>
            <w:tcW w:w="1888"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lang w:val="en-GB"/>
              </w:rPr>
              <w:t>41.35±0.53</w:t>
            </w:r>
          </w:p>
        </w:tc>
        <w:tc>
          <w:tcPr>
            <w:tcW w:w="2311"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lang w:val="en-GB"/>
              </w:rPr>
              <w:t>108.89±1.1</w:t>
            </w:r>
            <w:r>
              <w:rPr>
                <w:color w:val="000000"/>
                <w:sz w:val="24"/>
                <w:szCs w:val="24"/>
              </w:rPr>
              <w:t>5</w:t>
            </w:r>
          </w:p>
        </w:tc>
      </w:tr>
      <w:tr w:rsidR="001104CA">
        <w:tc>
          <w:tcPr>
            <w:tcW w:w="2802"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rPr>
              <w:t>1000 (mg/kg)</w:t>
            </w:r>
          </w:p>
        </w:tc>
        <w:tc>
          <w:tcPr>
            <w:tcW w:w="1701"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lang w:val="en-GB"/>
              </w:rPr>
              <w:t>21.58±0.7</w:t>
            </w:r>
            <w:r>
              <w:rPr>
                <w:color w:val="000000"/>
                <w:sz w:val="24"/>
                <w:szCs w:val="24"/>
              </w:rPr>
              <w:t>5</w:t>
            </w:r>
          </w:p>
        </w:tc>
        <w:tc>
          <w:tcPr>
            <w:tcW w:w="1888"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lang w:val="en-GB"/>
              </w:rPr>
              <w:t>41.25±1.1</w:t>
            </w:r>
            <w:r>
              <w:rPr>
                <w:color w:val="000000"/>
                <w:sz w:val="24"/>
                <w:szCs w:val="24"/>
              </w:rPr>
              <w:t>8</w:t>
            </w:r>
          </w:p>
        </w:tc>
        <w:tc>
          <w:tcPr>
            <w:tcW w:w="2311" w:type="dxa"/>
            <w:tcBorders>
              <w:top w:val="nil"/>
              <w:left w:val="nil"/>
              <w:bottom w:val="nil"/>
              <w:right w:val="nil"/>
            </w:tcBorders>
            <w:shd w:val="clear" w:color="auto" w:fill="FFFFFF"/>
          </w:tcPr>
          <w:p w:rsidR="001104CA" w:rsidRDefault="00C032A7">
            <w:pPr>
              <w:spacing w:line="480" w:lineRule="auto"/>
              <w:rPr>
                <w:color w:val="000000"/>
                <w:sz w:val="24"/>
                <w:szCs w:val="24"/>
              </w:rPr>
            </w:pPr>
            <w:r>
              <w:rPr>
                <w:color w:val="000000"/>
                <w:sz w:val="24"/>
                <w:szCs w:val="24"/>
                <w:lang w:val="en-GB"/>
              </w:rPr>
              <w:t>113.55±2.1</w:t>
            </w:r>
            <w:r>
              <w:rPr>
                <w:color w:val="000000"/>
                <w:sz w:val="24"/>
                <w:szCs w:val="24"/>
              </w:rPr>
              <w:t>4</w:t>
            </w:r>
          </w:p>
        </w:tc>
      </w:tr>
      <w:tr w:rsidR="001104CA">
        <w:tc>
          <w:tcPr>
            <w:tcW w:w="2802" w:type="dxa"/>
            <w:tcBorders>
              <w:top w:val="nil"/>
              <w:left w:val="nil"/>
              <w:bottom w:val="single" w:sz="4" w:space="0" w:color="auto"/>
              <w:right w:val="nil"/>
            </w:tcBorders>
            <w:shd w:val="clear" w:color="auto" w:fill="FFFFFF"/>
          </w:tcPr>
          <w:p w:rsidR="001104CA" w:rsidRDefault="00C032A7">
            <w:pPr>
              <w:spacing w:line="480" w:lineRule="auto"/>
              <w:rPr>
                <w:color w:val="000000"/>
                <w:sz w:val="24"/>
                <w:szCs w:val="24"/>
              </w:rPr>
            </w:pPr>
            <w:r>
              <w:rPr>
                <w:color w:val="000000"/>
                <w:sz w:val="24"/>
                <w:szCs w:val="24"/>
              </w:rPr>
              <w:t>p-value</w:t>
            </w:r>
          </w:p>
        </w:tc>
        <w:tc>
          <w:tcPr>
            <w:tcW w:w="1701" w:type="dxa"/>
            <w:tcBorders>
              <w:top w:val="nil"/>
              <w:left w:val="nil"/>
              <w:bottom w:val="single" w:sz="4" w:space="0" w:color="auto"/>
              <w:right w:val="nil"/>
            </w:tcBorders>
            <w:shd w:val="clear" w:color="auto" w:fill="FFFFFF"/>
          </w:tcPr>
          <w:p w:rsidR="001104CA" w:rsidRDefault="00C032A7">
            <w:pPr>
              <w:spacing w:line="480" w:lineRule="auto"/>
              <w:rPr>
                <w:color w:val="000000"/>
                <w:sz w:val="24"/>
                <w:szCs w:val="24"/>
              </w:rPr>
            </w:pPr>
            <w:r>
              <w:rPr>
                <w:color w:val="000000"/>
                <w:sz w:val="24"/>
                <w:szCs w:val="24"/>
                <w:lang w:val="en-GB"/>
              </w:rPr>
              <w:t>0.0574</w:t>
            </w:r>
          </w:p>
        </w:tc>
        <w:tc>
          <w:tcPr>
            <w:tcW w:w="1888" w:type="dxa"/>
            <w:tcBorders>
              <w:top w:val="nil"/>
              <w:left w:val="nil"/>
              <w:bottom w:val="single" w:sz="4" w:space="0" w:color="auto"/>
              <w:right w:val="nil"/>
            </w:tcBorders>
            <w:shd w:val="clear" w:color="auto" w:fill="FFFFFF"/>
          </w:tcPr>
          <w:p w:rsidR="001104CA" w:rsidRDefault="00C032A7">
            <w:pPr>
              <w:spacing w:line="480" w:lineRule="auto"/>
              <w:rPr>
                <w:color w:val="000000"/>
                <w:sz w:val="24"/>
                <w:szCs w:val="24"/>
              </w:rPr>
            </w:pPr>
            <w:r>
              <w:rPr>
                <w:color w:val="000000"/>
                <w:sz w:val="24"/>
                <w:szCs w:val="24"/>
                <w:lang w:val="en-GB"/>
              </w:rPr>
              <w:t>0.1795</w:t>
            </w:r>
          </w:p>
        </w:tc>
        <w:tc>
          <w:tcPr>
            <w:tcW w:w="2311" w:type="dxa"/>
            <w:tcBorders>
              <w:top w:val="nil"/>
              <w:left w:val="nil"/>
              <w:bottom w:val="single" w:sz="4" w:space="0" w:color="auto"/>
              <w:right w:val="nil"/>
            </w:tcBorders>
            <w:shd w:val="clear" w:color="auto" w:fill="FFFFFF"/>
          </w:tcPr>
          <w:p w:rsidR="001104CA" w:rsidRDefault="00C032A7">
            <w:pPr>
              <w:spacing w:line="480" w:lineRule="auto"/>
              <w:rPr>
                <w:color w:val="000000"/>
                <w:sz w:val="24"/>
                <w:szCs w:val="24"/>
              </w:rPr>
            </w:pPr>
            <w:r>
              <w:rPr>
                <w:color w:val="000000"/>
                <w:sz w:val="24"/>
                <w:szCs w:val="24"/>
                <w:lang w:val="en-GB"/>
              </w:rPr>
              <w:t>0.0159</w:t>
            </w:r>
          </w:p>
        </w:tc>
      </w:tr>
    </w:tbl>
    <w:p w:rsidR="001104CA" w:rsidRDefault="00C032A7">
      <w:pPr>
        <w:jc w:val="both"/>
        <w:rPr>
          <w:sz w:val="24"/>
          <w:szCs w:val="24"/>
        </w:rPr>
      </w:pPr>
      <w:r>
        <w:rPr>
          <w:sz w:val="24"/>
          <w:szCs w:val="24"/>
        </w:rPr>
        <w:t>Values are expressed as mean ± SEM, n = 3</w:t>
      </w:r>
    </w:p>
    <w:p w:rsidR="001104CA" w:rsidRDefault="00C032A7">
      <w:pPr>
        <w:jc w:val="both"/>
        <w:rPr>
          <w:sz w:val="24"/>
          <w:szCs w:val="24"/>
        </w:rPr>
      </w:pPr>
      <w:r>
        <w:rPr>
          <w:sz w:val="24"/>
          <w:szCs w:val="24"/>
          <w:vertAlign w:val="superscript"/>
        </w:rPr>
        <w:t>a</w:t>
      </w:r>
      <w:r>
        <w:rPr>
          <w:sz w:val="24"/>
          <w:szCs w:val="24"/>
        </w:rPr>
        <w:t>Values are statistically significant when compared to Normal Control</w:t>
      </w:r>
    </w:p>
    <w:p w:rsidR="001104CA" w:rsidRDefault="001104CA">
      <w:pPr>
        <w:spacing w:line="480" w:lineRule="auto"/>
        <w:ind w:right="76"/>
        <w:jc w:val="both"/>
        <w:rPr>
          <w:b/>
          <w:bCs/>
          <w:sz w:val="24"/>
          <w:szCs w:val="24"/>
        </w:rPr>
      </w:pPr>
    </w:p>
    <w:p w:rsidR="001104CA" w:rsidRDefault="00C032A7">
      <w:pPr>
        <w:spacing w:line="480" w:lineRule="auto"/>
        <w:ind w:right="76"/>
        <w:jc w:val="both"/>
        <w:rPr>
          <w:b/>
          <w:bCs/>
          <w:sz w:val="24"/>
          <w:szCs w:val="24"/>
        </w:rPr>
      </w:pPr>
      <w:r>
        <w:rPr>
          <w:b/>
          <w:bCs/>
          <w:sz w:val="24"/>
          <w:szCs w:val="24"/>
        </w:rPr>
        <w:t>4     DISCUSSION</w:t>
      </w:r>
    </w:p>
    <w:p w:rsidR="001104CA" w:rsidRDefault="00C032A7">
      <w:pPr>
        <w:spacing w:line="480" w:lineRule="auto"/>
        <w:ind w:left="240" w:right="76"/>
        <w:jc w:val="both"/>
        <w:rPr>
          <w:rFonts w:eastAsia="SimSun"/>
          <w:color w:val="000000"/>
          <w:sz w:val="24"/>
          <w:szCs w:val="24"/>
          <w:lang w:eastAsia="zh-CN"/>
        </w:rPr>
      </w:pPr>
      <w:r>
        <w:rPr>
          <w:sz w:val="24"/>
          <w:szCs w:val="24"/>
        </w:rPr>
        <w:t xml:space="preserve">A medicinal plant is any plant which contains substances that can be used for therapeutic purpose, also serve as precursors for the synthesis of useful drugs (Erb &amp; Kliebenstein, 2020). </w:t>
      </w:r>
      <w:r>
        <w:rPr>
          <w:rFonts w:eastAsia="Garamond"/>
          <w:color w:val="231F20"/>
          <w:sz w:val="24"/>
          <w:szCs w:val="24"/>
          <w:lang w:eastAsia="zh-CN"/>
        </w:rPr>
        <w:t xml:space="preserve">Preliminary phytochemical screening of the extract of </w:t>
      </w:r>
      <w:r>
        <w:rPr>
          <w:rFonts w:eastAsia="Garamond-Italic"/>
          <w:i/>
          <w:iCs/>
          <w:color w:val="231F20"/>
          <w:sz w:val="24"/>
          <w:szCs w:val="24"/>
          <w:lang w:eastAsia="zh-CN"/>
        </w:rPr>
        <w:t xml:space="preserve">Z. </w:t>
      </w:r>
      <w:r>
        <w:rPr>
          <w:rFonts w:eastAsia="Garamond"/>
          <w:i/>
          <w:iCs/>
          <w:color w:val="231F20"/>
          <w:sz w:val="24"/>
          <w:szCs w:val="24"/>
          <w:lang w:eastAsia="zh-CN"/>
        </w:rPr>
        <w:t>officinale</w:t>
      </w:r>
      <w:r>
        <w:rPr>
          <w:rFonts w:eastAsia="Garamond"/>
          <w:color w:val="231F20"/>
          <w:sz w:val="24"/>
          <w:szCs w:val="24"/>
          <w:lang w:eastAsia="zh-CN"/>
        </w:rPr>
        <w:t xml:space="preserve"> re</w:t>
      </w:r>
      <w:r>
        <w:rPr>
          <w:rFonts w:eastAsia="Garamond"/>
          <w:color w:val="231F20"/>
          <w:sz w:val="24"/>
          <w:szCs w:val="24"/>
          <w:lang w:eastAsia="zh-CN"/>
        </w:rPr>
        <w:t xml:space="preserve">vealed the presence of various bioactive components of which </w:t>
      </w:r>
      <w:r>
        <w:rPr>
          <w:rFonts w:eastAsia="Garamond"/>
          <w:color w:val="231F20"/>
          <w:sz w:val="24"/>
          <w:szCs w:val="24"/>
          <w:lang w:eastAsia="zh-CN"/>
        </w:rPr>
        <w:lastRenderedPageBreak/>
        <w:t>a</w:t>
      </w:r>
      <w:r>
        <w:rPr>
          <w:sz w:val="24"/>
          <w:szCs w:val="24"/>
        </w:rPr>
        <w:t>lkaloids, flavonoids, tannins, saponins, terpenoids, c</w:t>
      </w:r>
      <w:r>
        <w:rPr>
          <w:iCs/>
          <w:sz w:val="24"/>
          <w:szCs w:val="24"/>
        </w:rPr>
        <w:t>ardiac glycosidase, balsam, carbohydrates, phenols and resins were the most prominent.</w:t>
      </w:r>
      <w:r>
        <w:rPr>
          <w:iCs/>
          <w:sz w:val="24"/>
          <w:szCs w:val="24"/>
        </w:rPr>
        <w:t xml:space="preserve"> </w:t>
      </w:r>
      <w:r>
        <w:rPr>
          <w:sz w:val="24"/>
          <w:szCs w:val="24"/>
        </w:rPr>
        <w:t>Phytochemicals such as alkaloids, terpenoids, saponin</w:t>
      </w:r>
      <w:r>
        <w:rPr>
          <w:sz w:val="24"/>
          <w:szCs w:val="24"/>
        </w:rPr>
        <w:t>s and phenolics are considered strong antimicrobial and antifungal agents that can aid in solving the problem of antibiotic resistance (Anwer et al., 2017). Alkaloids, phenols, tannins and flavonoids were found in high amounts. Tannins have been found to p</w:t>
      </w:r>
      <w:r>
        <w:rPr>
          <w:sz w:val="24"/>
          <w:szCs w:val="24"/>
        </w:rPr>
        <w:t>ossess antifungal activity as reported by Agi and Azike, (2019). Alkaloids which are one of the largest groups of phytochemicals in plants have led to the development of powerful pain killer medications as well as antifungal as reported by (Doughari, 2016)</w:t>
      </w:r>
      <w:r>
        <w:rPr>
          <w:sz w:val="24"/>
          <w:szCs w:val="24"/>
        </w:rPr>
        <w:t xml:space="preserve">. </w:t>
      </w:r>
      <w:r>
        <w:rPr>
          <w:rFonts w:eastAsia="Garamond"/>
          <w:color w:val="231F20"/>
          <w:sz w:val="24"/>
          <w:szCs w:val="24"/>
          <w:lang w:eastAsia="zh-CN"/>
        </w:rPr>
        <w:t xml:space="preserve">It has been recognized that flavonoids show antioxidant activity and their effects on human nutrition and health are considerable. The mechanisms of action of flavonoids are through scavenging or chelating process. </w:t>
      </w:r>
      <w:r>
        <w:rPr>
          <w:rFonts w:eastAsia="SimSun"/>
          <w:color w:val="000000"/>
          <w:sz w:val="24"/>
          <w:szCs w:val="24"/>
          <w:lang w:eastAsia="zh-CN"/>
        </w:rPr>
        <w:t>Flavonoids are important in plant bioch</w:t>
      </w:r>
      <w:r>
        <w:rPr>
          <w:rFonts w:eastAsia="SimSun"/>
          <w:color w:val="000000"/>
          <w:sz w:val="24"/>
          <w:szCs w:val="24"/>
          <w:lang w:eastAsia="zh-CN"/>
        </w:rPr>
        <w:t xml:space="preserve">emistry and play an important role in plant physiology, acting as antioxidants, enzyme inhibitors, pigments and light screens (Ghasemzadeh et al., 2010). </w:t>
      </w:r>
      <w:r>
        <w:rPr>
          <w:rFonts w:eastAsia="Garamond"/>
          <w:color w:val="231F20"/>
          <w:sz w:val="24"/>
          <w:szCs w:val="24"/>
          <w:lang w:eastAsia="zh-CN"/>
        </w:rPr>
        <w:t>Flavonoids have been shown to have antioxidant, antibacterial anti-inflammatory, antiallergic activity</w:t>
      </w:r>
      <w:r>
        <w:rPr>
          <w:rFonts w:eastAsia="Garamond"/>
          <w:color w:val="231F20"/>
          <w:sz w:val="24"/>
          <w:szCs w:val="24"/>
          <w:lang w:eastAsia="zh-CN"/>
        </w:rPr>
        <w:t xml:space="preserve"> etc (</w:t>
      </w:r>
      <w:r>
        <w:rPr>
          <w:rFonts w:eastAsia="SimSun"/>
          <w:color w:val="000000"/>
          <w:sz w:val="24"/>
          <w:szCs w:val="24"/>
          <w:lang w:eastAsia="zh-CN"/>
        </w:rPr>
        <w:t>Riyazi et al., 2007).</w:t>
      </w:r>
    </w:p>
    <w:p w:rsidR="001104CA" w:rsidRDefault="00C032A7">
      <w:pPr>
        <w:pStyle w:val="NormalWeb"/>
        <w:spacing w:before="0" w:beforeAutospacing="0" w:after="0" w:afterAutospacing="0" w:line="480" w:lineRule="auto"/>
        <w:ind w:firstLine="720"/>
        <w:jc w:val="both"/>
      </w:pPr>
      <w:r>
        <w:t xml:space="preserve">The assessment of electrolyte parameters revealed significant alterations associated with </w:t>
      </w:r>
      <w:r>
        <w:rPr>
          <w:rStyle w:val="Emphasis"/>
        </w:rPr>
        <w:t>Candida albicans</w:t>
      </w:r>
      <w:r>
        <w:t xml:space="preserve"> infection and subsequent treatment with </w:t>
      </w:r>
      <w:r>
        <w:rPr>
          <w:rStyle w:val="Emphasis"/>
        </w:rPr>
        <w:t>Zingiber officinale</w:t>
      </w:r>
      <w:r>
        <w:t>. Sodium (Na</w:t>
      </w:r>
      <w:r>
        <w:rPr>
          <w:rFonts w:ascii="Cambria Math" w:hAnsi="Cambria Math" w:cs="Cambria Math"/>
        </w:rPr>
        <w:t>⁺</w:t>
      </w:r>
      <w:r>
        <w:t xml:space="preserve">) levels ranged from 131.50 ± 2.10 mmol/L in the negative control group to 144.00 ± 1.00 mmol/L in the 500 mg/kg ginger-treated group. The reduced sodium concentration observed in the infected untreated group suggests that </w:t>
      </w:r>
      <w:r>
        <w:rPr>
          <w:rStyle w:val="Emphasis"/>
        </w:rPr>
        <w:t>Candida albicans</w:t>
      </w:r>
      <w:r>
        <w:t xml:space="preserve"> infection may di</w:t>
      </w:r>
      <w:r>
        <w:t>srupt electrolyte balance, possibly through impaired renal regulation, dehydration, or inflammatory-mediated sodium loss (Liamis et al., 2010). The normal control group exhibited higher sodium levels, reflecting physiological electrolyte balance. Ginger-tr</w:t>
      </w:r>
      <w:r>
        <w:t xml:space="preserve">eated groups showed marked </w:t>
      </w:r>
      <w:r>
        <w:lastRenderedPageBreak/>
        <w:t>increases in sodium levels, indicating a restorative effect on electrolyte homeostasis. This improvement may be attributed to the ability of ginger to enhance renal function and reduce inflammation-induced electrolyte disturbance</w:t>
      </w:r>
      <w:r>
        <w:t>s (Rahmani et al., 2014; Nile &amp; Park, 2015). Notably, the p-value (0.0051) indicates a statistically significant difference among groups (p &lt; 0.05), confirming that ginger treatment significantly influenced sodium regulation. Potassium (K</w:t>
      </w:r>
      <w:r>
        <w:rPr>
          <w:rFonts w:ascii="Cambria Math" w:hAnsi="Cambria Math" w:cs="Cambria Math"/>
        </w:rPr>
        <w:t>⁺</w:t>
      </w:r>
      <w:r>
        <w:t>) levels were hig</w:t>
      </w:r>
      <w:r>
        <w:t>hest in the negative control group, suggesting impaired renal excretion or cellular ion imbalance during infection. Elevated potassium is often associated with renal dysfunction and tissue breakdown (Palmer &amp; Clegg, 2016). Ginger-treated groups demonstrate</w:t>
      </w:r>
      <w:r>
        <w:t xml:space="preserve">d potassium levels closer to normal control values, suggesting a normalization of potassium homeostasis. </w:t>
      </w:r>
      <w:r>
        <w:t xml:space="preserve">Therefore, with </w:t>
      </w:r>
      <w:r>
        <w:t>statistical significance (p = 0.</w:t>
      </w:r>
      <w:r>
        <w:t>01</w:t>
      </w:r>
      <w:r>
        <w:t>80) indicates that these changes can be conclusively attributed to treatment. Chloride (Cl</w:t>
      </w:r>
      <w:r>
        <w:rPr>
          <w:rFonts w:ascii="Cambria Math" w:hAnsi="Cambria Math" w:cs="Cambria Math"/>
        </w:rPr>
        <w:t>⁻</w:t>
      </w:r>
      <w:r>
        <w:t>) levels w</w:t>
      </w:r>
      <w:r>
        <w:t>ere lowest in the infected untreated group, indicating electrolyte imbalance and possible metabolic disturbances. Ginger-treated groups showed progressive increases in chloride levels, suggesting improved electrolyte regulation and fluid balance.</w:t>
      </w:r>
      <w:r>
        <w:t xml:space="preserve"> </w:t>
      </w:r>
      <w:r>
        <w:t xml:space="preserve">This may </w:t>
      </w:r>
      <w:r>
        <w:t>reflect the role of ginger in modulating renal ion transport and maintaining osmotic balance (Nile &amp; Park, 2015). The p-value (0.0336) indicates a statistically significant difference among groups (p &lt; 0.05), demonstrating that ginger treatment significant</w:t>
      </w:r>
      <w:r>
        <w:t>ly affected chloride levels. Bicarbonate (HCO</w:t>
      </w:r>
      <w:r>
        <w:rPr>
          <w:rFonts w:ascii="Cambria Math" w:hAnsi="Cambria Math" w:cs="Cambria Math"/>
        </w:rPr>
        <w:t>₃⁻</w:t>
      </w:r>
      <w:r>
        <w:t>) levels were reduced in the negative control group, suggesting the presence of metabolic acidosis or acid–base imbalance, which is commonly observed in systemic infections (Kraut &amp; Madias, 2012). Ginger-treat</w:t>
      </w:r>
      <w:r>
        <w:t>ed groups showed improved bicarbonate levels, indicating a potential role in restoring acid</w:t>
      </w:r>
      <w:r>
        <w:t xml:space="preserve"> </w:t>
      </w:r>
      <w:r>
        <w:t xml:space="preserve">base equilibrium. This effect may be linked to improved renal function and reduced systemic inflammation. </w:t>
      </w:r>
      <w:r>
        <w:t>T</w:t>
      </w:r>
      <w:r>
        <w:t>he</w:t>
      </w:r>
      <w:r>
        <w:t>se</w:t>
      </w:r>
      <w:r>
        <w:t xml:space="preserve"> differences were statistically significant (p = 0.</w:t>
      </w:r>
      <w:r>
        <w:t>0</w:t>
      </w:r>
      <w:r>
        <w:t>4</w:t>
      </w:r>
      <w:r>
        <w:t>18).</w:t>
      </w:r>
      <w:r>
        <w:t xml:space="preserve"> </w:t>
      </w:r>
      <w:r>
        <w:t xml:space="preserve">The overall electrolyte profile indicates that </w:t>
      </w:r>
      <w:r>
        <w:rPr>
          <w:rStyle w:val="Emphasis"/>
        </w:rPr>
        <w:lastRenderedPageBreak/>
        <w:t>Candida albicans</w:t>
      </w:r>
      <w:r>
        <w:t xml:space="preserve"> infection disrupts electrolyte and acid</w:t>
      </w:r>
      <w:r>
        <w:t xml:space="preserve"> </w:t>
      </w:r>
      <w:r>
        <w:t>base balance, as evidenced by reduced sodium and chloride levels, elevated potassium levels, and decreased bicarbonate concentrations. These altera</w:t>
      </w:r>
      <w:r>
        <w:t xml:space="preserve">tions may result from renal dysfunction, dehydration, or systemic inflammatory responses associated with infection (Liamis et al., 2010; Kraut &amp; Madias, 2012). Treatment with </w:t>
      </w:r>
      <w:r>
        <w:rPr>
          <w:rStyle w:val="Emphasis"/>
        </w:rPr>
        <w:t>Zingiber officinale</w:t>
      </w:r>
      <w:r>
        <w:t xml:space="preserve"> extract (250 mg/kg–1000 mg/kg)</w:t>
      </w:r>
      <w:r>
        <w:t xml:space="preserve"> however</w:t>
      </w:r>
      <w:r>
        <w:t xml:space="preserve"> generally improved ele</w:t>
      </w:r>
      <w:r>
        <w:t>ctrolyte balance, including significant increases in sodium and chloride levels, normalization of potassium levels, and improved bicarbonate concentrations. Among the treatment groups, the 1000 mg/kg dose showed the most pronounced improvement, with the hi</w:t>
      </w:r>
      <w:r>
        <w:t xml:space="preserve">ghest sodium and chloride levels, suggesting that higher doses may be more effective in restoring electrolyte homeostasis. Importantly, statistically significant differences were observed </w:t>
      </w:r>
      <w:r>
        <w:t>across groups</w:t>
      </w:r>
      <w:r>
        <w:t>, indicating that ginger treatment had a measurable eff</w:t>
      </w:r>
      <w:r>
        <w:t xml:space="preserve">ect on these electrolytes. These findings suggest that ginger may help correct electrolyte imbalances induced by </w:t>
      </w:r>
      <w:r>
        <w:rPr>
          <w:rStyle w:val="Emphasis"/>
        </w:rPr>
        <w:t>Candida albicans</w:t>
      </w:r>
      <w:r>
        <w:t xml:space="preserve"> infection, potentially through improved kidney function, enhanced fluid regulation, and its anti-inflammatory and antioxidant </w:t>
      </w:r>
      <w:r>
        <w:t>properties (Rahmani et al., 2014; Nile &amp; Park, 2015).</w:t>
      </w:r>
    </w:p>
    <w:p w:rsidR="001104CA" w:rsidRDefault="00C032A7">
      <w:pPr>
        <w:spacing w:line="480" w:lineRule="auto"/>
        <w:ind w:right="76"/>
        <w:jc w:val="both"/>
        <w:rPr>
          <w:sz w:val="24"/>
          <w:szCs w:val="24"/>
        </w:rPr>
      </w:pPr>
      <w:r>
        <w:rPr>
          <w:sz w:val="24"/>
          <w:szCs w:val="24"/>
        </w:rPr>
        <w:t xml:space="preserve">The effects of ginger treatment on inflammatory and anti-inflammatory cytokines (TNF-α, IL-6, and IL-4) are summarized in Table </w:t>
      </w:r>
      <w:r>
        <w:rPr>
          <w:sz w:val="24"/>
          <w:szCs w:val="24"/>
        </w:rPr>
        <w:t>6</w:t>
      </w:r>
      <w:r>
        <w:rPr>
          <w:sz w:val="24"/>
          <w:szCs w:val="24"/>
        </w:rPr>
        <w:t>. The negative control group (infected untreated) exhibited elevated pro-</w:t>
      </w:r>
      <w:r>
        <w:rPr>
          <w:sz w:val="24"/>
          <w:szCs w:val="24"/>
        </w:rPr>
        <w:t>inflammatory cytokines</w:t>
      </w:r>
      <w:r>
        <w:rPr>
          <w:sz w:val="24"/>
          <w:szCs w:val="24"/>
        </w:rPr>
        <w:t xml:space="preserve"> </w:t>
      </w:r>
      <w:r>
        <w:rPr>
          <w:sz w:val="24"/>
          <w:szCs w:val="24"/>
        </w:rPr>
        <w:t>TNF-α (34.80 ± 2.40 pg/ml) and IL-6 (165.40 ± 8.70 pg/ml)</w:t>
      </w:r>
      <w:r>
        <w:rPr>
          <w:sz w:val="24"/>
          <w:szCs w:val="24"/>
        </w:rPr>
        <w:t xml:space="preserve"> </w:t>
      </w:r>
      <w:r>
        <w:rPr>
          <w:sz w:val="24"/>
          <w:szCs w:val="24"/>
        </w:rPr>
        <w:t>with a comparatively low anti-inflammatory cytokine IL-4 (28.60 ± 3.90 pg/ml). Elevated TNF-α and IL-6 are well-established indicators of systemic inflammation and immune acti</w:t>
      </w:r>
      <w:r>
        <w:rPr>
          <w:sz w:val="24"/>
          <w:szCs w:val="24"/>
        </w:rPr>
        <w:t>vation (Cerami, 1989; Kishimoto, 2005). Administration of ginger at 250, 500, and 1000 mg/kg resulted in consistent reductions in TNF-α levels (20.85 ± 0.97, 20.50 ± 1.35, and 21.58 ± 0.75 pg/ml, respectively) and IL-6 levels (103.31 ± 3.19, 108.89 ± 1.15,</w:t>
      </w:r>
      <w:r>
        <w:rPr>
          <w:sz w:val="24"/>
          <w:szCs w:val="24"/>
        </w:rPr>
        <w:t xml:space="preserve"> and </w:t>
      </w:r>
      <w:r>
        <w:rPr>
          <w:sz w:val="24"/>
          <w:szCs w:val="24"/>
        </w:rPr>
        <w:lastRenderedPageBreak/>
        <w:t>113.55 ± 2.14 pg/ml), while IL-4 levels increased (39.86 ± 0.72, 41.35 ± 0.53, and 41.25 ± 1.18 pg/ml). The standard drug group showed comparable effects (TNF-α: 21.47 ± 0.89 pg/ml; IL-6: 101.94 ± 1.99 pg/ml; IL-4: 49.90 ± 3.39 pg/ml). Modulation of t</w:t>
      </w:r>
      <w:r>
        <w:rPr>
          <w:sz w:val="24"/>
          <w:szCs w:val="24"/>
        </w:rPr>
        <w:t xml:space="preserve">hese cytokines is a recognized mechanism for evaluating anti-inflammatory potential (Dinarello, 2000). Statistical analysis revealed a significant reduction in IL-6 (p = 0.0159), whereas TNF-α (p = 0.0574) and IL-4 (p = 0.1795) did not reach significance. </w:t>
      </w:r>
      <w:r>
        <w:rPr>
          <w:sz w:val="24"/>
          <w:szCs w:val="24"/>
        </w:rPr>
        <w:t>Nevertheless, the observed biological trends remain meaningful, reflecting relevant anti-inflammatory activity (Altman, 1995). The suppression of TNF-α aligns with prior studies highlighting its central role in mediating inflammation and tissue damage duri</w:t>
      </w:r>
      <w:r>
        <w:rPr>
          <w:sz w:val="24"/>
          <w:szCs w:val="24"/>
        </w:rPr>
        <w:t>ng infection (McInnes &amp; Schett, 2007). IL-6 inhibition, particularly at 250 mg/kg, underscores ginger’s anti-inflammatory potential, consistent with its established capacity to regulate pro-inflammatory signaling pathways (Kishimoto, 2005). Elevated IL-4 l</w:t>
      </w:r>
      <w:r>
        <w:rPr>
          <w:sz w:val="24"/>
          <w:szCs w:val="24"/>
        </w:rPr>
        <w:t>evels further suggest an immune-regulatory effect, promoting an anti-inflammatory environment and suppression of pro-inflammatory cytokine production (Paul, 1991; O’Garra</w:t>
      </w:r>
      <w:r>
        <w:rPr>
          <w:sz w:val="24"/>
          <w:szCs w:val="24"/>
        </w:rPr>
        <w:t xml:space="preserve">, </w:t>
      </w:r>
      <w:r>
        <w:rPr>
          <w:sz w:val="24"/>
          <w:szCs w:val="24"/>
        </w:rPr>
        <w:t xml:space="preserve">2007). </w:t>
      </w:r>
    </w:p>
    <w:p w:rsidR="001104CA" w:rsidRDefault="00C032A7">
      <w:pPr>
        <w:numPr>
          <w:ilvl w:val="0"/>
          <w:numId w:val="2"/>
        </w:numPr>
        <w:spacing w:line="480" w:lineRule="auto"/>
        <w:ind w:right="76"/>
        <w:jc w:val="both"/>
        <w:rPr>
          <w:b/>
          <w:bCs/>
          <w:sz w:val="24"/>
          <w:szCs w:val="24"/>
          <w:lang w:eastAsia="zh-CN"/>
        </w:rPr>
      </w:pPr>
      <w:r>
        <w:rPr>
          <w:b/>
          <w:bCs/>
          <w:sz w:val="24"/>
          <w:szCs w:val="24"/>
          <w:lang w:eastAsia="zh-CN"/>
        </w:rPr>
        <w:t>CONCLUSION</w:t>
      </w:r>
    </w:p>
    <w:p w:rsidR="001104CA" w:rsidRDefault="00C032A7">
      <w:pPr>
        <w:spacing w:line="480" w:lineRule="auto"/>
        <w:ind w:firstLine="720"/>
        <w:jc w:val="both"/>
        <w:rPr>
          <w:sz w:val="24"/>
          <w:szCs w:val="24"/>
        </w:rPr>
      </w:pPr>
      <w:r>
        <w:rPr>
          <w:sz w:val="24"/>
          <w:szCs w:val="24"/>
          <w:lang w:eastAsia="zh-CN"/>
        </w:rPr>
        <w:t>In conclusion, anti-Candida albican activity of the methanol extr</w:t>
      </w:r>
      <w:r>
        <w:rPr>
          <w:sz w:val="24"/>
          <w:szCs w:val="24"/>
          <w:lang w:eastAsia="zh-CN"/>
        </w:rPr>
        <w:t xml:space="preserve">act of Zingiber officinale (Ginger) was evaluated and the results revealed that the plant act significantly against </w:t>
      </w:r>
      <w:r>
        <w:rPr>
          <w:i/>
          <w:iCs/>
          <w:sz w:val="24"/>
          <w:szCs w:val="24"/>
          <w:lang w:eastAsia="zh-CN"/>
        </w:rPr>
        <w:t>Candida albicans</w:t>
      </w:r>
      <w:r>
        <w:rPr>
          <w:sz w:val="24"/>
          <w:szCs w:val="24"/>
          <w:lang w:eastAsia="zh-CN"/>
        </w:rPr>
        <w:t xml:space="preserve">. This might be as a result of the phytochemicals found to be present that makes it act against microorganisms. </w:t>
      </w:r>
      <w:r>
        <w:rPr>
          <w:rFonts w:eastAsia="Garamond"/>
          <w:color w:val="231F20"/>
          <w:sz w:val="24"/>
          <w:szCs w:val="24"/>
          <w:lang w:eastAsia="zh-CN"/>
        </w:rPr>
        <w:t xml:space="preserve">The findings of the present study suggested that </w:t>
      </w:r>
      <w:r>
        <w:rPr>
          <w:rFonts w:eastAsia="Garamond-Italic"/>
          <w:i/>
          <w:iCs/>
          <w:color w:val="231F20"/>
          <w:sz w:val="24"/>
          <w:szCs w:val="24"/>
          <w:lang w:eastAsia="zh-CN"/>
        </w:rPr>
        <w:t xml:space="preserve">Z. </w:t>
      </w:r>
      <w:r>
        <w:rPr>
          <w:rFonts w:eastAsia="Garamond"/>
          <w:i/>
          <w:iCs/>
          <w:color w:val="231F20"/>
          <w:sz w:val="24"/>
          <w:szCs w:val="24"/>
          <w:lang w:eastAsia="zh-CN"/>
        </w:rPr>
        <w:t>officinale</w:t>
      </w:r>
      <w:r>
        <w:rPr>
          <w:rFonts w:eastAsia="Garamond"/>
          <w:color w:val="231F20"/>
          <w:sz w:val="24"/>
          <w:szCs w:val="24"/>
          <w:lang w:eastAsia="zh-CN"/>
        </w:rPr>
        <w:t xml:space="preserve"> could be a potential source of natural antioxidant that could have great importance as therapeutic agents in preventing or slowing the progress of aging and age associated oxidative stress rela</w:t>
      </w:r>
      <w:r>
        <w:rPr>
          <w:rFonts w:eastAsia="Garamond"/>
          <w:color w:val="231F20"/>
          <w:sz w:val="24"/>
          <w:szCs w:val="24"/>
          <w:lang w:eastAsia="zh-CN"/>
        </w:rPr>
        <w:t xml:space="preserve">ted degenerative diseases. </w:t>
      </w:r>
      <w:r>
        <w:rPr>
          <w:sz w:val="24"/>
          <w:szCs w:val="24"/>
        </w:rPr>
        <w:t xml:space="preserve">Systemic infection with </w:t>
      </w:r>
      <w:r>
        <w:rPr>
          <w:rStyle w:val="Emphasis"/>
          <w:sz w:val="24"/>
          <w:szCs w:val="24"/>
        </w:rPr>
        <w:t>Candida albicans</w:t>
      </w:r>
      <w:r>
        <w:rPr>
          <w:sz w:val="24"/>
          <w:szCs w:val="24"/>
        </w:rPr>
        <w:t xml:space="preserve"> induces widespread </w:t>
      </w:r>
      <w:r>
        <w:rPr>
          <w:rStyle w:val="Strong"/>
          <w:b w:val="0"/>
          <w:bCs w:val="0"/>
          <w:sz w:val="24"/>
          <w:szCs w:val="24"/>
        </w:rPr>
        <w:lastRenderedPageBreak/>
        <w:t>physiological derangements</w:t>
      </w:r>
      <w:r>
        <w:rPr>
          <w:sz w:val="24"/>
          <w:szCs w:val="24"/>
        </w:rPr>
        <w:t xml:space="preserve"> due to a combination of </w:t>
      </w:r>
      <w:r>
        <w:rPr>
          <w:rStyle w:val="Strong"/>
          <w:b w:val="0"/>
          <w:bCs w:val="0"/>
          <w:sz w:val="24"/>
          <w:szCs w:val="24"/>
        </w:rPr>
        <w:t>inflammatory immune activation</w:t>
      </w:r>
      <w:r>
        <w:rPr>
          <w:sz w:val="24"/>
          <w:szCs w:val="24"/>
        </w:rPr>
        <w:t xml:space="preserve">, </w:t>
      </w:r>
      <w:r>
        <w:rPr>
          <w:rStyle w:val="Strong"/>
          <w:b w:val="0"/>
          <w:bCs w:val="0"/>
          <w:sz w:val="24"/>
          <w:szCs w:val="24"/>
        </w:rPr>
        <w:t>oxidative stress</w:t>
      </w:r>
      <w:r>
        <w:rPr>
          <w:sz w:val="24"/>
          <w:szCs w:val="24"/>
        </w:rPr>
        <w:t xml:space="preserve">, and </w:t>
      </w:r>
      <w:r>
        <w:rPr>
          <w:rStyle w:val="Strong"/>
          <w:b w:val="0"/>
          <w:bCs w:val="0"/>
          <w:sz w:val="24"/>
          <w:szCs w:val="24"/>
        </w:rPr>
        <w:t>organ dysfunction</w:t>
      </w:r>
      <w:r>
        <w:rPr>
          <w:sz w:val="24"/>
          <w:szCs w:val="24"/>
        </w:rPr>
        <w:t>. In this study, untreated infected rats (negat</w:t>
      </w:r>
      <w:r>
        <w:rPr>
          <w:sz w:val="24"/>
          <w:szCs w:val="24"/>
        </w:rPr>
        <w:t>ive control) exhibited multiple pathological changes</w:t>
      </w:r>
      <w:r>
        <w:rPr>
          <w:sz w:val="24"/>
          <w:szCs w:val="24"/>
        </w:rPr>
        <w:t xml:space="preserve">. </w:t>
      </w:r>
      <w:r>
        <w:rPr>
          <w:sz w:val="24"/>
          <w:szCs w:val="24"/>
        </w:rPr>
        <w:t xml:space="preserve">Treatment with graded doses of </w:t>
      </w:r>
      <w:r>
        <w:rPr>
          <w:rStyle w:val="Strong"/>
          <w:b w:val="0"/>
          <w:bCs w:val="0"/>
          <w:sz w:val="24"/>
          <w:szCs w:val="24"/>
        </w:rPr>
        <w:t>ginger extract (250 mg/kg –1000 mg/kg)</w:t>
      </w:r>
      <w:r>
        <w:rPr>
          <w:sz w:val="24"/>
          <w:szCs w:val="24"/>
        </w:rPr>
        <w:t xml:space="preserve"> resulted in coordinated improvements across all domains, indicative of multi</w:t>
      </w:r>
      <w:r>
        <w:rPr>
          <w:sz w:val="24"/>
          <w:szCs w:val="24"/>
        </w:rPr>
        <w:noBreakHyphen/>
        <w:t>system modulation of host responses by the bioactive co</w:t>
      </w:r>
      <w:r>
        <w:rPr>
          <w:sz w:val="24"/>
          <w:szCs w:val="24"/>
        </w:rPr>
        <w:t xml:space="preserve">nstituents of </w:t>
      </w:r>
      <w:r>
        <w:rPr>
          <w:rStyle w:val="Emphasis"/>
          <w:sz w:val="24"/>
          <w:szCs w:val="24"/>
        </w:rPr>
        <w:t>Zingiber officinale</w:t>
      </w:r>
      <w:r>
        <w:rPr>
          <w:sz w:val="24"/>
          <w:szCs w:val="24"/>
        </w:rPr>
        <w:t>. Sodium and chloride levels were significantly restored in ginger</w:t>
      </w:r>
      <w:r>
        <w:rPr>
          <w:sz w:val="24"/>
          <w:szCs w:val="24"/>
        </w:rPr>
        <w:noBreakHyphen/>
        <w:t>treated rats, indicating improved renal electrolyte regulation and fluid balance. Electrolyte disturbances during systemic infection are linked to inflammat</w:t>
      </w:r>
      <w:r>
        <w:rPr>
          <w:sz w:val="24"/>
          <w:szCs w:val="24"/>
        </w:rPr>
        <w:t>ion</w:t>
      </w:r>
      <w:r>
        <w:rPr>
          <w:sz w:val="24"/>
          <w:szCs w:val="24"/>
        </w:rPr>
        <w:noBreakHyphen/>
        <w:t>mediated renal tubular dysfunction and dysregulated ion transport. Ginger likely improved electrolyte homeostasis through anti</w:t>
      </w:r>
      <w:r>
        <w:rPr>
          <w:sz w:val="24"/>
          <w:szCs w:val="24"/>
        </w:rPr>
        <w:noBreakHyphen/>
        <w:t>inflammatory mechanisms and enhanced renal perfusion, contributing to normalized ion exchange. A defining pathological featur</w:t>
      </w:r>
      <w:r>
        <w:rPr>
          <w:sz w:val="24"/>
          <w:szCs w:val="24"/>
        </w:rPr>
        <w:t xml:space="preserve">e of </w:t>
      </w:r>
      <w:r>
        <w:rPr>
          <w:rStyle w:val="Emphasis"/>
          <w:sz w:val="24"/>
          <w:szCs w:val="24"/>
        </w:rPr>
        <w:t>Candida</w:t>
      </w:r>
      <w:r>
        <w:rPr>
          <w:sz w:val="24"/>
          <w:szCs w:val="24"/>
        </w:rPr>
        <w:t xml:space="preserve"> infection is robust pro</w:t>
      </w:r>
      <w:r>
        <w:rPr>
          <w:sz w:val="24"/>
          <w:szCs w:val="24"/>
        </w:rPr>
        <w:noBreakHyphen/>
        <w:t>inflammatory cytokine activation. Elevated TNF</w:t>
      </w:r>
      <w:r>
        <w:rPr>
          <w:sz w:val="24"/>
          <w:szCs w:val="24"/>
        </w:rPr>
        <w:noBreakHyphen/>
        <w:t>α and IL</w:t>
      </w:r>
      <w:r>
        <w:rPr>
          <w:sz w:val="24"/>
          <w:szCs w:val="24"/>
        </w:rPr>
        <w:noBreakHyphen/>
        <w:t>6 in the negative control group reflect an activated innate immune response, while IL</w:t>
      </w:r>
      <w:r>
        <w:rPr>
          <w:sz w:val="24"/>
          <w:szCs w:val="24"/>
        </w:rPr>
        <w:noBreakHyphen/>
        <w:t>4, an anti</w:t>
      </w:r>
      <w:r>
        <w:rPr>
          <w:sz w:val="24"/>
          <w:szCs w:val="24"/>
        </w:rPr>
        <w:noBreakHyphen/>
        <w:t>inflammatory Th2 cytokine was suppressed. Ginger treatment shifted</w:t>
      </w:r>
      <w:r>
        <w:rPr>
          <w:sz w:val="24"/>
          <w:szCs w:val="24"/>
        </w:rPr>
        <w:t xml:space="preserve"> this balance: it significantly reduced IL</w:t>
      </w:r>
      <w:r>
        <w:rPr>
          <w:sz w:val="24"/>
          <w:szCs w:val="24"/>
        </w:rPr>
        <w:noBreakHyphen/>
        <w:t>6 (p &lt; 0.05) and lowered TNF</w:t>
      </w:r>
      <w:r>
        <w:rPr>
          <w:sz w:val="24"/>
          <w:szCs w:val="24"/>
        </w:rPr>
        <w:noBreakHyphen/>
        <w:t>α, while elevating IL</w:t>
      </w:r>
      <w:r>
        <w:rPr>
          <w:sz w:val="24"/>
          <w:szCs w:val="24"/>
        </w:rPr>
        <w:noBreakHyphen/>
        <w:t xml:space="preserve">4. This pattern supports </w:t>
      </w:r>
      <w:r>
        <w:rPr>
          <w:rStyle w:val="Strong"/>
          <w:b w:val="0"/>
          <w:bCs w:val="0"/>
          <w:sz w:val="24"/>
          <w:szCs w:val="24"/>
        </w:rPr>
        <w:t>immune modulation, suppression of excessive pro</w:t>
      </w:r>
      <w:r>
        <w:rPr>
          <w:rStyle w:val="Strong"/>
          <w:b w:val="0"/>
          <w:bCs w:val="0"/>
          <w:sz w:val="24"/>
          <w:szCs w:val="24"/>
        </w:rPr>
        <w:noBreakHyphen/>
        <w:t>inflammatory signaling and enhancement of anti</w:t>
      </w:r>
      <w:r>
        <w:rPr>
          <w:rStyle w:val="Strong"/>
          <w:b w:val="0"/>
          <w:bCs w:val="0"/>
          <w:sz w:val="24"/>
          <w:szCs w:val="24"/>
        </w:rPr>
        <w:noBreakHyphen/>
        <w:t>inflammatory pathways</w:t>
      </w:r>
      <w:r>
        <w:rPr>
          <w:sz w:val="24"/>
          <w:szCs w:val="24"/>
        </w:rPr>
        <w:t>. Mechanistically, gi</w:t>
      </w:r>
      <w:r>
        <w:rPr>
          <w:sz w:val="24"/>
          <w:szCs w:val="24"/>
        </w:rPr>
        <w:t>nger has been shown to inhibit nuclear factor</w:t>
      </w:r>
      <w:r>
        <w:rPr>
          <w:sz w:val="24"/>
          <w:szCs w:val="24"/>
        </w:rPr>
        <w:noBreakHyphen/>
        <w:t>κB (NF</w:t>
      </w:r>
      <w:r>
        <w:rPr>
          <w:sz w:val="24"/>
          <w:szCs w:val="24"/>
        </w:rPr>
        <w:noBreakHyphen/>
        <w:t>κB) activation, resulting in reduced expression of TNF</w:t>
      </w:r>
      <w:r>
        <w:rPr>
          <w:sz w:val="24"/>
          <w:szCs w:val="24"/>
        </w:rPr>
        <w:noBreakHyphen/>
        <w:t>α, IL</w:t>
      </w:r>
      <w:r>
        <w:rPr>
          <w:sz w:val="24"/>
          <w:szCs w:val="24"/>
        </w:rPr>
        <w:noBreakHyphen/>
        <w:t>6, and other inflammatory mediators. The increase in IL</w:t>
      </w:r>
      <w:r>
        <w:rPr>
          <w:sz w:val="24"/>
          <w:szCs w:val="24"/>
        </w:rPr>
        <w:noBreakHyphen/>
        <w:t xml:space="preserve">4 further suggests that ginger may steer immune responses toward regulatory profiles, </w:t>
      </w:r>
      <w:r>
        <w:rPr>
          <w:sz w:val="24"/>
          <w:szCs w:val="24"/>
        </w:rPr>
        <w:t xml:space="preserve">diminishing tissue damage while preserving antifungal defense. </w:t>
      </w:r>
    </w:p>
    <w:p w:rsidR="001104CA" w:rsidRDefault="00C032A7">
      <w:pPr>
        <w:spacing w:line="480" w:lineRule="auto"/>
        <w:ind w:right="76"/>
        <w:jc w:val="both"/>
        <w:rPr>
          <w:b/>
          <w:bCs/>
          <w:sz w:val="24"/>
          <w:szCs w:val="24"/>
          <w:lang w:eastAsia="zh-CN"/>
        </w:rPr>
      </w:pPr>
      <w:r>
        <w:rPr>
          <w:b/>
          <w:bCs/>
          <w:sz w:val="24"/>
          <w:szCs w:val="24"/>
          <w:lang w:eastAsia="zh-CN"/>
        </w:rPr>
        <w:t>REFERENCES</w:t>
      </w:r>
    </w:p>
    <w:p w:rsidR="001104CA" w:rsidRDefault="00C032A7">
      <w:pPr>
        <w:spacing w:before="240" w:line="480" w:lineRule="auto"/>
        <w:ind w:left="720" w:hanging="720"/>
        <w:jc w:val="both"/>
        <w:rPr>
          <w:b/>
          <w:bCs/>
          <w:sz w:val="24"/>
          <w:szCs w:val="24"/>
          <w:lang w:eastAsia="zh-CN"/>
        </w:rPr>
      </w:pPr>
      <w:r>
        <w:rPr>
          <w:rFonts w:eastAsia="SimSun"/>
          <w:color w:val="222222"/>
          <w:sz w:val="24"/>
          <w:szCs w:val="24"/>
          <w:shd w:val="clear" w:color="auto" w:fill="FFFFFF"/>
        </w:rPr>
        <w:lastRenderedPageBreak/>
        <w:t>Abdallah, E. M., Alhatlani, B. Y., de Paula Menezes, R., &amp; Martins, C. H. G. (2023). Back to Nature: Medicinal plants as promising sources for antibacterial drugs in the post-antibi</w:t>
      </w:r>
      <w:r>
        <w:rPr>
          <w:rFonts w:eastAsia="SimSun"/>
          <w:color w:val="222222"/>
          <w:sz w:val="24"/>
          <w:szCs w:val="24"/>
          <w:shd w:val="clear" w:color="auto" w:fill="FFFFFF"/>
        </w:rPr>
        <w:t>otic era. </w:t>
      </w:r>
      <w:r>
        <w:rPr>
          <w:rFonts w:eastAsia="SimSun"/>
          <w:i/>
          <w:iCs/>
          <w:color w:val="222222"/>
          <w:sz w:val="24"/>
          <w:szCs w:val="24"/>
          <w:shd w:val="clear" w:color="auto" w:fill="FFFFFF"/>
        </w:rPr>
        <w:t>Plants</w:t>
      </w:r>
      <w:r>
        <w:rPr>
          <w:rFonts w:eastAsia="SimSun"/>
          <w:color w:val="222222"/>
          <w:sz w:val="24"/>
          <w:szCs w:val="24"/>
          <w:shd w:val="clear" w:color="auto" w:fill="FFFFFF"/>
        </w:rPr>
        <w:t>, </w:t>
      </w:r>
      <w:r>
        <w:rPr>
          <w:rFonts w:eastAsia="SimSun"/>
          <w:i/>
          <w:iCs/>
          <w:color w:val="222222"/>
          <w:sz w:val="24"/>
          <w:szCs w:val="24"/>
          <w:shd w:val="clear" w:color="auto" w:fill="FFFFFF"/>
        </w:rPr>
        <w:t>12</w:t>
      </w:r>
      <w:r>
        <w:rPr>
          <w:rFonts w:eastAsia="SimSun"/>
          <w:color w:val="222222"/>
          <w:sz w:val="24"/>
          <w:szCs w:val="24"/>
          <w:shd w:val="clear" w:color="auto" w:fill="FFFFFF"/>
        </w:rPr>
        <w:t>(17), 3077.</w:t>
      </w:r>
    </w:p>
    <w:p w:rsidR="001104CA" w:rsidRDefault="00C032A7">
      <w:pPr>
        <w:spacing w:line="480" w:lineRule="auto"/>
        <w:ind w:right="76"/>
        <w:jc w:val="both"/>
        <w:rPr>
          <w:sz w:val="24"/>
          <w:szCs w:val="24"/>
        </w:rPr>
      </w:pPr>
      <w:r>
        <w:rPr>
          <w:sz w:val="24"/>
          <w:szCs w:val="24"/>
        </w:rPr>
        <w:t xml:space="preserve">Agi, V. N., &amp; Azike C. A. (2019). Antifungal action of garlic (Allium sativum) and </w:t>
      </w:r>
      <w:r>
        <w:rPr>
          <w:sz w:val="24"/>
          <w:szCs w:val="24"/>
        </w:rPr>
        <w:tab/>
        <w:t xml:space="preserve">ginger (Zingiber officinale) on some pathologenic fungi. Asian Journal of </w:t>
      </w:r>
      <w:r>
        <w:rPr>
          <w:sz w:val="24"/>
          <w:szCs w:val="24"/>
        </w:rPr>
        <w:tab/>
        <w:t>Research in Biochemistry, 4(4), 1-6.</w:t>
      </w:r>
    </w:p>
    <w:p w:rsidR="001104CA" w:rsidRDefault="00C032A7">
      <w:pPr>
        <w:spacing w:line="480" w:lineRule="auto"/>
        <w:ind w:right="76"/>
        <w:jc w:val="both"/>
        <w:rPr>
          <w:sz w:val="24"/>
          <w:szCs w:val="24"/>
        </w:rPr>
      </w:pPr>
      <w:r>
        <w:rPr>
          <w:sz w:val="24"/>
          <w:szCs w:val="24"/>
        </w:rPr>
        <w:t>Al</w:t>
      </w:r>
      <w:r>
        <w:rPr>
          <w:spacing w:val="-1"/>
          <w:sz w:val="24"/>
          <w:szCs w:val="24"/>
        </w:rPr>
        <w:t>-</w:t>
      </w:r>
      <w:r>
        <w:rPr>
          <w:sz w:val="24"/>
          <w:szCs w:val="24"/>
        </w:rPr>
        <w:t>Gbou</w:t>
      </w:r>
      <w:r>
        <w:rPr>
          <w:spacing w:val="-1"/>
          <w:sz w:val="24"/>
          <w:szCs w:val="24"/>
        </w:rPr>
        <w:t>r</w:t>
      </w:r>
      <w:r>
        <w:rPr>
          <w:sz w:val="24"/>
          <w:szCs w:val="24"/>
        </w:rPr>
        <w:t>i</w:t>
      </w:r>
      <w:r>
        <w:rPr>
          <w:spacing w:val="1"/>
          <w:sz w:val="24"/>
          <w:szCs w:val="24"/>
        </w:rPr>
        <w:t xml:space="preserve"> </w:t>
      </w:r>
      <w:r>
        <w:rPr>
          <w:spacing w:val="-1"/>
          <w:sz w:val="24"/>
          <w:szCs w:val="24"/>
        </w:rPr>
        <w:t>a</w:t>
      </w:r>
      <w:r>
        <w:rPr>
          <w:sz w:val="24"/>
          <w:szCs w:val="24"/>
        </w:rPr>
        <w:t>nd</w:t>
      </w:r>
      <w:r>
        <w:rPr>
          <w:spacing w:val="3"/>
          <w:sz w:val="24"/>
          <w:szCs w:val="24"/>
        </w:rPr>
        <w:t xml:space="preserve"> </w:t>
      </w:r>
      <w:r>
        <w:rPr>
          <w:sz w:val="24"/>
          <w:szCs w:val="24"/>
        </w:rPr>
        <w:t xml:space="preserve">A. G. </w:t>
      </w:r>
      <w:r>
        <w:rPr>
          <w:spacing w:val="2"/>
          <w:sz w:val="24"/>
          <w:szCs w:val="24"/>
        </w:rPr>
        <w:t>H</w:t>
      </w:r>
      <w:r>
        <w:rPr>
          <w:spacing w:val="1"/>
          <w:sz w:val="24"/>
          <w:szCs w:val="24"/>
        </w:rPr>
        <w:t>a</w:t>
      </w:r>
      <w:r>
        <w:rPr>
          <w:sz w:val="24"/>
          <w:szCs w:val="24"/>
        </w:rPr>
        <w:t>m</w:t>
      </w:r>
      <w:r>
        <w:rPr>
          <w:spacing w:val="2"/>
          <w:sz w:val="24"/>
          <w:szCs w:val="24"/>
        </w:rPr>
        <w:t>z</w:t>
      </w:r>
      <w:r>
        <w:rPr>
          <w:spacing w:val="-1"/>
          <w:sz w:val="24"/>
          <w:szCs w:val="24"/>
        </w:rPr>
        <w:t>a</w:t>
      </w:r>
      <w:r>
        <w:rPr>
          <w:sz w:val="24"/>
          <w:szCs w:val="24"/>
        </w:rPr>
        <w:t>.</w:t>
      </w:r>
      <w:r>
        <w:rPr>
          <w:spacing w:val="2"/>
          <w:sz w:val="24"/>
          <w:szCs w:val="24"/>
        </w:rPr>
        <w:t xml:space="preserve"> </w:t>
      </w:r>
      <w:r>
        <w:rPr>
          <w:spacing w:val="-1"/>
          <w:sz w:val="24"/>
          <w:szCs w:val="24"/>
        </w:rPr>
        <w:t>(</w:t>
      </w:r>
      <w:r>
        <w:rPr>
          <w:sz w:val="24"/>
          <w:szCs w:val="24"/>
        </w:rPr>
        <w:t>2018</w:t>
      </w:r>
      <w:r>
        <w:rPr>
          <w:spacing w:val="-1"/>
          <w:sz w:val="24"/>
          <w:szCs w:val="24"/>
        </w:rPr>
        <w:t>)</w:t>
      </w:r>
      <w:r>
        <w:rPr>
          <w:sz w:val="24"/>
          <w:szCs w:val="24"/>
        </w:rPr>
        <w:t>. Ev</w:t>
      </w:r>
      <w:r>
        <w:rPr>
          <w:spacing w:val="-1"/>
          <w:sz w:val="24"/>
          <w:szCs w:val="24"/>
        </w:rPr>
        <w:t>a</w:t>
      </w:r>
      <w:r>
        <w:rPr>
          <w:sz w:val="24"/>
          <w:szCs w:val="24"/>
        </w:rPr>
        <w:t>luation</w:t>
      </w:r>
      <w:r>
        <w:rPr>
          <w:spacing w:val="3"/>
          <w:sz w:val="24"/>
          <w:szCs w:val="24"/>
        </w:rPr>
        <w:t xml:space="preserve"> </w:t>
      </w:r>
      <w:r>
        <w:rPr>
          <w:sz w:val="24"/>
          <w:szCs w:val="24"/>
        </w:rPr>
        <w:t xml:space="preserve">of </w:t>
      </w:r>
      <w:r>
        <w:rPr>
          <w:i/>
          <w:sz w:val="24"/>
          <w:szCs w:val="24"/>
        </w:rPr>
        <w:t>ph</w:t>
      </w:r>
      <w:r>
        <w:rPr>
          <w:i/>
          <w:spacing w:val="-1"/>
          <w:sz w:val="24"/>
          <w:szCs w:val="24"/>
        </w:rPr>
        <w:t>y</w:t>
      </w:r>
      <w:r>
        <w:rPr>
          <w:i/>
          <w:sz w:val="24"/>
          <w:szCs w:val="24"/>
        </w:rPr>
        <w:t>l</w:t>
      </w:r>
      <w:r>
        <w:rPr>
          <w:i/>
          <w:spacing w:val="1"/>
          <w:sz w:val="24"/>
          <w:szCs w:val="24"/>
        </w:rPr>
        <w:t>l</w:t>
      </w:r>
      <w:r>
        <w:rPr>
          <w:i/>
          <w:sz w:val="24"/>
          <w:szCs w:val="24"/>
        </w:rPr>
        <w:t>anthus</w:t>
      </w:r>
      <w:r>
        <w:rPr>
          <w:i/>
          <w:spacing w:val="1"/>
          <w:sz w:val="24"/>
          <w:szCs w:val="24"/>
        </w:rPr>
        <w:t xml:space="preserve"> </w:t>
      </w:r>
      <w:r>
        <w:rPr>
          <w:i/>
          <w:sz w:val="24"/>
          <w:szCs w:val="24"/>
        </w:rPr>
        <w:t>mplica</w:t>
      </w:r>
      <w:r>
        <w:rPr>
          <w:i/>
          <w:spacing w:val="1"/>
          <w:sz w:val="24"/>
          <w:szCs w:val="24"/>
        </w:rPr>
        <w:t xml:space="preserve"> </w:t>
      </w:r>
      <w:r>
        <w:rPr>
          <w:spacing w:val="2"/>
          <w:sz w:val="24"/>
          <w:szCs w:val="24"/>
        </w:rPr>
        <w:t>ex</w:t>
      </w:r>
      <w:r>
        <w:rPr>
          <w:sz w:val="24"/>
          <w:szCs w:val="24"/>
        </w:rPr>
        <w:t>tr</w:t>
      </w:r>
      <w:r>
        <w:rPr>
          <w:spacing w:val="-1"/>
          <w:sz w:val="24"/>
          <w:szCs w:val="24"/>
        </w:rPr>
        <w:t>ac</w:t>
      </w:r>
      <w:r>
        <w:rPr>
          <w:sz w:val="24"/>
          <w:szCs w:val="24"/>
        </w:rPr>
        <w:t>t</w:t>
      </w:r>
      <w:r>
        <w:rPr>
          <w:spacing w:val="1"/>
          <w:sz w:val="24"/>
          <w:szCs w:val="24"/>
        </w:rPr>
        <w:t xml:space="preserve"> </w:t>
      </w:r>
      <w:r>
        <w:rPr>
          <w:spacing w:val="-1"/>
          <w:sz w:val="24"/>
          <w:szCs w:val="24"/>
        </w:rPr>
        <w:t>a</w:t>
      </w:r>
      <w:r>
        <w:rPr>
          <w:sz w:val="24"/>
          <w:szCs w:val="24"/>
        </w:rPr>
        <w:t>s</w:t>
      </w:r>
      <w:r>
        <w:rPr>
          <w:spacing w:val="4"/>
          <w:sz w:val="24"/>
          <w:szCs w:val="24"/>
        </w:rPr>
        <w:t xml:space="preserve"> </w:t>
      </w:r>
      <w:r>
        <w:rPr>
          <w:spacing w:val="4"/>
          <w:sz w:val="24"/>
          <w:szCs w:val="24"/>
        </w:rPr>
        <w:tab/>
      </w:r>
      <w:r>
        <w:rPr>
          <w:spacing w:val="-1"/>
          <w:sz w:val="24"/>
          <w:szCs w:val="24"/>
        </w:rPr>
        <w:t>a</w:t>
      </w:r>
      <w:r>
        <w:rPr>
          <w:sz w:val="24"/>
          <w:szCs w:val="24"/>
        </w:rPr>
        <w:t>nt</w:t>
      </w:r>
      <w:r>
        <w:rPr>
          <w:spacing w:val="1"/>
          <w:sz w:val="24"/>
          <w:szCs w:val="24"/>
        </w:rPr>
        <w:t>i</w:t>
      </w:r>
      <w:r>
        <w:rPr>
          <w:sz w:val="24"/>
          <w:szCs w:val="24"/>
        </w:rPr>
        <w:t>b</w:t>
      </w:r>
      <w:r>
        <w:rPr>
          <w:spacing w:val="-1"/>
          <w:sz w:val="24"/>
          <w:szCs w:val="24"/>
        </w:rPr>
        <w:t>ac</w:t>
      </w:r>
      <w:r>
        <w:rPr>
          <w:sz w:val="24"/>
          <w:szCs w:val="24"/>
        </w:rPr>
        <w:t>te</w:t>
      </w:r>
      <w:r>
        <w:rPr>
          <w:spacing w:val="-1"/>
          <w:sz w:val="24"/>
          <w:szCs w:val="24"/>
        </w:rPr>
        <w:t>r</w:t>
      </w:r>
      <w:r>
        <w:rPr>
          <w:spacing w:val="3"/>
          <w:sz w:val="24"/>
          <w:szCs w:val="24"/>
        </w:rPr>
        <w:t>i</w:t>
      </w:r>
      <w:r>
        <w:rPr>
          <w:spacing w:val="-1"/>
          <w:sz w:val="24"/>
          <w:szCs w:val="24"/>
        </w:rPr>
        <w:t>a</w:t>
      </w:r>
      <w:r>
        <w:rPr>
          <w:sz w:val="24"/>
          <w:szCs w:val="24"/>
        </w:rPr>
        <w:t xml:space="preserve">l </w:t>
      </w:r>
      <w:r>
        <w:rPr>
          <w:sz w:val="24"/>
          <w:szCs w:val="24"/>
        </w:rPr>
        <w:tab/>
      </w:r>
      <w:r>
        <w:rPr>
          <w:spacing w:val="-1"/>
          <w:sz w:val="24"/>
          <w:szCs w:val="24"/>
        </w:rPr>
        <w:t>a</w:t>
      </w:r>
      <w:r>
        <w:rPr>
          <w:sz w:val="24"/>
          <w:szCs w:val="24"/>
        </w:rPr>
        <w:t xml:space="preserve">nd </w:t>
      </w:r>
      <w:r>
        <w:rPr>
          <w:spacing w:val="-1"/>
          <w:sz w:val="24"/>
          <w:szCs w:val="24"/>
        </w:rPr>
        <w:t>a</w:t>
      </w:r>
      <w:r>
        <w:rPr>
          <w:sz w:val="24"/>
          <w:szCs w:val="24"/>
        </w:rPr>
        <w:t>nt</w:t>
      </w:r>
      <w:r>
        <w:rPr>
          <w:spacing w:val="1"/>
          <w:sz w:val="24"/>
          <w:szCs w:val="24"/>
        </w:rPr>
        <w:t>i</w:t>
      </w:r>
      <w:r>
        <w:rPr>
          <w:sz w:val="24"/>
          <w:szCs w:val="24"/>
        </w:rPr>
        <w:t>biofilm</w:t>
      </w:r>
      <w:r>
        <w:rPr>
          <w:spacing w:val="55"/>
          <w:sz w:val="24"/>
          <w:szCs w:val="24"/>
        </w:rPr>
        <w:t xml:space="preserve"> </w:t>
      </w:r>
      <w:r>
        <w:rPr>
          <w:spacing w:val="-1"/>
          <w:sz w:val="24"/>
          <w:szCs w:val="24"/>
        </w:rPr>
        <w:t>a</w:t>
      </w:r>
      <w:r>
        <w:rPr>
          <w:spacing w:val="-2"/>
          <w:sz w:val="24"/>
          <w:szCs w:val="24"/>
        </w:rPr>
        <w:t>g</w:t>
      </w:r>
      <w:r>
        <w:rPr>
          <w:spacing w:val="-1"/>
          <w:sz w:val="24"/>
          <w:szCs w:val="24"/>
        </w:rPr>
        <w:t>a</w:t>
      </w:r>
      <w:r>
        <w:rPr>
          <w:sz w:val="24"/>
          <w:szCs w:val="24"/>
        </w:rPr>
        <w:t>inst</w:t>
      </w:r>
      <w:r>
        <w:rPr>
          <w:spacing w:val="56"/>
          <w:sz w:val="24"/>
          <w:szCs w:val="24"/>
        </w:rPr>
        <w:t xml:space="preserve"> </w:t>
      </w:r>
      <w:r>
        <w:rPr>
          <w:sz w:val="24"/>
          <w:szCs w:val="24"/>
        </w:rPr>
        <w:t>biofilm</w:t>
      </w:r>
      <w:r>
        <w:rPr>
          <w:spacing w:val="58"/>
          <w:sz w:val="24"/>
          <w:szCs w:val="24"/>
        </w:rPr>
        <w:t xml:space="preserve"> </w:t>
      </w:r>
      <w:r>
        <w:rPr>
          <w:sz w:val="24"/>
          <w:szCs w:val="24"/>
        </w:rPr>
        <w:t>fo</w:t>
      </w:r>
      <w:r>
        <w:rPr>
          <w:spacing w:val="-1"/>
          <w:sz w:val="24"/>
          <w:szCs w:val="24"/>
        </w:rPr>
        <w:t>r</w:t>
      </w:r>
      <w:r>
        <w:rPr>
          <w:sz w:val="24"/>
          <w:szCs w:val="24"/>
        </w:rPr>
        <w:t>mation</w:t>
      </w:r>
      <w:r>
        <w:rPr>
          <w:spacing w:val="55"/>
          <w:sz w:val="24"/>
          <w:szCs w:val="24"/>
        </w:rPr>
        <w:t xml:space="preserve"> </w:t>
      </w:r>
      <w:r>
        <w:rPr>
          <w:sz w:val="24"/>
          <w:szCs w:val="24"/>
        </w:rPr>
        <w:t>b</w:t>
      </w:r>
      <w:r>
        <w:rPr>
          <w:spacing w:val="-1"/>
          <w:sz w:val="24"/>
          <w:szCs w:val="24"/>
        </w:rPr>
        <w:t>ac</w:t>
      </w:r>
      <w:r>
        <w:rPr>
          <w:sz w:val="24"/>
          <w:szCs w:val="24"/>
        </w:rPr>
        <w:t>te</w:t>
      </w:r>
      <w:r>
        <w:rPr>
          <w:spacing w:val="-1"/>
          <w:sz w:val="24"/>
          <w:szCs w:val="24"/>
        </w:rPr>
        <w:t>r</w:t>
      </w:r>
      <w:r>
        <w:rPr>
          <w:sz w:val="24"/>
          <w:szCs w:val="24"/>
        </w:rPr>
        <w:t>ia.</w:t>
      </w:r>
      <w:r>
        <w:rPr>
          <w:spacing w:val="55"/>
          <w:sz w:val="24"/>
          <w:szCs w:val="24"/>
        </w:rPr>
        <w:t xml:space="preserve"> </w:t>
      </w:r>
      <w:r>
        <w:rPr>
          <w:i/>
          <w:spacing w:val="1"/>
          <w:sz w:val="24"/>
          <w:szCs w:val="24"/>
        </w:rPr>
        <w:t>I</w:t>
      </w:r>
      <w:r>
        <w:rPr>
          <w:i/>
          <w:sz w:val="24"/>
          <w:szCs w:val="24"/>
        </w:rPr>
        <w:t>raqi</w:t>
      </w:r>
      <w:r>
        <w:rPr>
          <w:i/>
          <w:spacing w:val="55"/>
          <w:sz w:val="24"/>
          <w:szCs w:val="24"/>
        </w:rPr>
        <w:t xml:space="preserve"> </w:t>
      </w:r>
      <w:r>
        <w:rPr>
          <w:i/>
          <w:spacing w:val="55"/>
          <w:sz w:val="24"/>
          <w:szCs w:val="24"/>
        </w:rPr>
        <w:tab/>
      </w:r>
      <w:r>
        <w:rPr>
          <w:i/>
          <w:spacing w:val="-1"/>
          <w:sz w:val="24"/>
          <w:szCs w:val="24"/>
        </w:rPr>
        <w:t>J</w:t>
      </w:r>
      <w:r>
        <w:rPr>
          <w:i/>
          <w:sz w:val="24"/>
          <w:szCs w:val="24"/>
        </w:rPr>
        <w:t>ournal</w:t>
      </w:r>
      <w:r>
        <w:rPr>
          <w:i/>
          <w:spacing w:val="55"/>
          <w:sz w:val="24"/>
          <w:szCs w:val="24"/>
        </w:rPr>
        <w:t xml:space="preserve"> </w:t>
      </w:r>
      <w:r>
        <w:rPr>
          <w:i/>
          <w:sz w:val="24"/>
          <w:szCs w:val="24"/>
        </w:rPr>
        <w:t>of</w:t>
      </w:r>
      <w:r>
        <w:rPr>
          <w:i/>
          <w:spacing w:val="53"/>
          <w:sz w:val="24"/>
          <w:szCs w:val="24"/>
        </w:rPr>
        <w:t xml:space="preserve"> </w:t>
      </w:r>
      <w:r>
        <w:rPr>
          <w:i/>
          <w:sz w:val="24"/>
          <w:szCs w:val="24"/>
        </w:rPr>
        <w:t>Agricu</w:t>
      </w:r>
      <w:r>
        <w:rPr>
          <w:i/>
          <w:spacing w:val="-2"/>
          <w:sz w:val="24"/>
          <w:szCs w:val="24"/>
        </w:rPr>
        <w:t>l</w:t>
      </w:r>
      <w:r>
        <w:rPr>
          <w:i/>
          <w:sz w:val="24"/>
          <w:szCs w:val="24"/>
        </w:rPr>
        <w:t>tural</w:t>
      </w:r>
      <w:r>
        <w:rPr>
          <w:i/>
          <w:spacing w:val="56"/>
          <w:sz w:val="24"/>
          <w:szCs w:val="24"/>
        </w:rPr>
        <w:t xml:space="preserve"> </w:t>
      </w:r>
      <w:r>
        <w:rPr>
          <w:i/>
          <w:sz w:val="24"/>
          <w:szCs w:val="24"/>
        </w:rPr>
        <w:t>S</w:t>
      </w:r>
      <w:r>
        <w:rPr>
          <w:i/>
          <w:spacing w:val="-1"/>
          <w:sz w:val="24"/>
          <w:szCs w:val="24"/>
        </w:rPr>
        <w:t>c</w:t>
      </w:r>
      <w:r>
        <w:rPr>
          <w:i/>
          <w:sz w:val="24"/>
          <w:szCs w:val="24"/>
        </w:rPr>
        <w:t>ien</w:t>
      </w:r>
      <w:r>
        <w:rPr>
          <w:i/>
          <w:spacing w:val="-1"/>
          <w:sz w:val="24"/>
          <w:szCs w:val="24"/>
        </w:rPr>
        <w:t>c</w:t>
      </w:r>
      <w:r>
        <w:rPr>
          <w:i/>
          <w:spacing w:val="2"/>
          <w:sz w:val="24"/>
          <w:szCs w:val="24"/>
        </w:rPr>
        <w:t>e</w:t>
      </w:r>
      <w:r>
        <w:rPr>
          <w:sz w:val="24"/>
          <w:szCs w:val="24"/>
        </w:rPr>
        <w:t>.49(1</w:t>
      </w:r>
      <w:r>
        <w:rPr>
          <w:spacing w:val="-1"/>
          <w:sz w:val="24"/>
          <w:szCs w:val="24"/>
        </w:rPr>
        <w:t>)</w:t>
      </w:r>
      <w:r>
        <w:rPr>
          <w:sz w:val="24"/>
          <w:szCs w:val="24"/>
        </w:rPr>
        <w:t>:24</w:t>
      </w:r>
      <w:r>
        <w:rPr>
          <w:spacing w:val="-1"/>
          <w:sz w:val="24"/>
          <w:szCs w:val="24"/>
        </w:rPr>
        <w:t>-</w:t>
      </w:r>
      <w:r>
        <w:rPr>
          <w:sz w:val="24"/>
          <w:szCs w:val="24"/>
        </w:rPr>
        <w:t>30.</w:t>
      </w:r>
    </w:p>
    <w:p w:rsidR="001104CA" w:rsidRDefault="00C032A7">
      <w:pPr>
        <w:spacing w:before="240" w:line="480" w:lineRule="auto"/>
        <w:ind w:left="720" w:hanging="720"/>
        <w:jc w:val="both"/>
        <w:rPr>
          <w:sz w:val="24"/>
          <w:szCs w:val="24"/>
        </w:rPr>
      </w:pPr>
      <w:r>
        <w:rPr>
          <w:rFonts w:eastAsia="SimSun"/>
          <w:sz w:val="24"/>
          <w:szCs w:val="24"/>
        </w:rPr>
        <w:t xml:space="preserve">Altman, D. G. (1995). Absence of evidence is not evidence of absence. </w:t>
      </w:r>
      <w:r>
        <w:rPr>
          <w:rStyle w:val="Emphasis"/>
          <w:rFonts w:eastAsia="SimSun"/>
          <w:sz w:val="24"/>
          <w:szCs w:val="24"/>
        </w:rPr>
        <w:t>BMJ</w:t>
      </w:r>
      <w:r>
        <w:rPr>
          <w:rFonts w:eastAsia="SimSun"/>
          <w:sz w:val="24"/>
          <w:szCs w:val="24"/>
        </w:rPr>
        <w:t>, 311(7003),</w:t>
      </w:r>
      <w:r>
        <w:rPr>
          <w:rFonts w:eastAsia="SimSun"/>
          <w:sz w:val="24"/>
          <w:szCs w:val="24"/>
        </w:rPr>
        <w:t xml:space="preserve"> 485.</w:t>
      </w:r>
    </w:p>
    <w:p w:rsidR="001104CA" w:rsidRDefault="00C032A7">
      <w:pPr>
        <w:pStyle w:val="NormalWeb"/>
        <w:shd w:val="clear" w:color="auto" w:fill="FFFFFF"/>
        <w:spacing w:before="240" w:beforeAutospacing="0" w:after="0" w:afterAutospacing="0" w:line="480" w:lineRule="auto"/>
        <w:ind w:left="720" w:hanging="720"/>
        <w:jc w:val="both"/>
        <w:rPr>
          <w:rFonts w:eastAsia="SimSun"/>
          <w:color w:val="222222"/>
          <w:shd w:val="clear" w:color="auto" w:fill="FFFFFF"/>
        </w:rPr>
      </w:pPr>
      <w:r>
        <w:t>An</w:t>
      </w:r>
      <w:r>
        <w:rPr>
          <w:spacing w:val="-1"/>
        </w:rPr>
        <w:t>we</w:t>
      </w:r>
      <w:r>
        <w:t>r,</w:t>
      </w:r>
      <w:r>
        <w:rPr>
          <w:spacing w:val="3"/>
        </w:rPr>
        <w:t xml:space="preserve"> </w:t>
      </w:r>
      <w:r>
        <w:t>N.,</w:t>
      </w:r>
      <w:r>
        <w:rPr>
          <w:spacing w:val="1"/>
        </w:rPr>
        <w:t xml:space="preserve"> W</w:t>
      </w:r>
      <w:r>
        <w:rPr>
          <w:spacing w:val="-1"/>
        </w:rPr>
        <w:t>a</w:t>
      </w:r>
      <w:r>
        <w:t>q</w:t>
      </w:r>
      <w:r>
        <w:rPr>
          <w:spacing w:val="-1"/>
        </w:rPr>
        <w:t>a</w:t>
      </w:r>
      <w:r>
        <w:t>r,</w:t>
      </w:r>
      <w:r>
        <w:rPr>
          <w:spacing w:val="4"/>
        </w:rPr>
        <w:t xml:space="preserve"> </w:t>
      </w:r>
      <w:r>
        <w:t>M.</w:t>
      </w:r>
      <w:r>
        <w:rPr>
          <w:spacing w:val="1"/>
        </w:rPr>
        <w:t xml:space="preserve"> </w:t>
      </w:r>
      <w:r>
        <w:rPr>
          <w:spacing w:val="2"/>
        </w:rPr>
        <w:t>A</w:t>
      </w:r>
      <w:r>
        <w:t>.,</w:t>
      </w:r>
      <w:r>
        <w:rPr>
          <w:spacing w:val="4"/>
        </w:rPr>
        <w:t xml:space="preserve"> </w:t>
      </w:r>
      <w:r>
        <w:rPr>
          <w:spacing w:val="-3"/>
        </w:rPr>
        <w:t>I</w:t>
      </w:r>
      <w:r>
        <w:t>qb</w:t>
      </w:r>
      <w:r>
        <w:rPr>
          <w:spacing w:val="-1"/>
        </w:rPr>
        <w:t>a</w:t>
      </w:r>
      <w:r>
        <w:t>l,</w:t>
      </w:r>
      <w:r>
        <w:rPr>
          <w:spacing w:val="2"/>
        </w:rPr>
        <w:t xml:space="preserve"> </w:t>
      </w:r>
      <w:r>
        <w:t>M.,</w:t>
      </w:r>
      <w:r>
        <w:rPr>
          <w:spacing w:val="1"/>
        </w:rPr>
        <w:t xml:space="preserve"> </w:t>
      </w:r>
      <w:r>
        <w:t>Mush</w:t>
      </w:r>
      <w:r>
        <w:rPr>
          <w:spacing w:val="1"/>
        </w:rPr>
        <w:t>t</w:t>
      </w:r>
      <w:r>
        <w:rPr>
          <w:spacing w:val="-1"/>
        </w:rPr>
        <w:t>a</w:t>
      </w:r>
      <w:r>
        <w:t>q,</w:t>
      </w:r>
      <w:r>
        <w:rPr>
          <w:spacing w:val="1"/>
        </w:rPr>
        <w:t xml:space="preserve"> </w:t>
      </w:r>
      <w:r>
        <w:t>M.</w:t>
      </w:r>
      <w:r>
        <w:rPr>
          <w:spacing w:val="4"/>
        </w:rPr>
        <w:t xml:space="preserve"> </w:t>
      </w:r>
      <w:r>
        <w:rPr>
          <w:spacing w:val="-1"/>
        </w:rPr>
        <w:t>a</w:t>
      </w:r>
      <w:r>
        <w:t>nd</w:t>
      </w:r>
      <w:r>
        <w:rPr>
          <w:spacing w:val="5"/>
        </w:rPr>
        <w:t xml:space="preserve"> </w:t>
      </w:r>
      <w:r>
        <w:rPr>
          <w:spacing w:val="1"/>
        </w:rPr>
        <w:t>S</w:t>
      </w:r>
      <w:r>
        <w:t>obia,</w:t>
      </w:r>
      <w:r>
        <w:rPr>
          <w:spacing w:val="1"/>
        </w:rPr>
        <w:t xml:space="preserve"> </w:t>
      </w:r>
      <w:r>
        <w:t>A.</w:t>
      </w:r>
      <w:r>
        <w:rPr>
          <w:spacing w:val="4"/>
        </w:rPr>
        <w:t xml:space="preserve"> </w:t>
      </w:r>
      <w:r>
        <w:t>(201</w:t>
      </w:r>
      <w:r>
        <w:rPr>
          <w:spacing w:val="-1"/>
        </w:rPr>
        <w:t>7</w:t>
      </w:r>
      <w:r>
        <w:t xml:space="preserve">). </w:t>
      </w:r>
      <w:r>
        <w:rPr>
          <w:spacing w:val="1"/>
        </w:rPr>
        <w:t>P</w:t>
      </w:r>
      <w:r>
        <w:rPr>
          <w:spacing w:val="2"/>
        </w:rPr>
        <w:t>h</w:t>
      </w:r>
      <w:r>
        <w:rPr>
          <w:spacing w:val="-5"/>
        </w:rPr>
        <w:t>y</w:t>
      </w:r>
      <w:r>
        <w:rPr>
          <w:spacing w:val="3"/>
        </w:rPr>
        <w:t>t</w:t>
      </w:r>
      <w:r>
        <w:t>o</w:t>
      </w:r>
      <w:r>
        <w:rPr>
          <w:spacing w:val="-1"/>
        </w:rPr>
        <w:t>c</w:t>
      </w:r>
      <w:r>
        <w:rPr>
          <w:spacing w:val="2"/>
        </w:rPr>
        <w:t>h</w:t>
      </w:r>
      <w:r>
        <w:rPr>
          <w:spacing w:val="-1"/>
        </w:rPr>
        <w:t>e</w:t>
      </w:r>
      <w:r>
        <w:t>m</w:t>
      </w:r>
      <w:r>
        <w:rPr>
          <w:spacing w:val="1"/>
        </w:rPr>
        <w:t>i</w:t>
      </w:r>
      <w:r>
        <w:rPr>
          <w:spacing w:val="-1"/>
        </w:rPr>
        <w:t>ca</w:t>
      </w:r>
      <w:r>
        <w:t>l</w:t>
      </w:r>
      <w:r>
        <w:rPr>
          <w:spacing w:val="2"/>
        </w:rPr>
        <w:t xml:space="preserve"> </w:t>
      </w:r>
      <w:r>
        <w:rPr>
          <w:spacing w:val="-1"/>
        </w:rPr>
        <w:t>a</w:t>
      </w:r>
      <w:r>
        <w:rPr>
          <w:spacing w:val="2"/>
        </w:rPr>
        <w:t>n</w:t>
      </w:r>
      <w:r>
        <w:rPr>
          <w:spacing w:val="-1"/>
        </w:rPr>
        <w:t>a</w:t>
      </w:r>
      <w:r>
        <w:rPr>
          <w:spacing w:val="5"/>
        </w:rPr>
        <w:t>l</w:t>
      </w:r>
      <w:r>
        <w:rPr>
          <w:spacing w:val="-7"/>
        </w:rPr>
        <w:t>y</w:t>
      </w:r>
      <w:r>
        <w:t>si</w:t>
      </w:r>
      <w:r>
        <w:rPr>
          <w:spacing w:val="1"/>
        </w:rPr>
        <w:t>s</w:t>
      </w:r>
      <w:r>
        <w:t>, f</w:t>
      </w:r>
      <w:r>
        <w:rPr>
          <w:spacing w:val="-1"/>
        </w:rPr>
        <w:t>re</w:t>
      </w:r>
      <w:r>
        <w:t>e</w:t>
      </w:r>
      <w:r>
        <w:rPr>
          <w:spacing w:val="4"/>
        </w:rPr>
        <w:t xml:space="preserve"> </w:t>
      </w:r>
      <w:r>
        <w:rPr>
          <w:spacing w:val="1"/>
        </w:rPr>
        <w:t>r</w:t>
      </w:r>
      <w:r>
        <w:rPr>
          <w:spacing w:val="-1"/>
        </w:rPr>
        <w:t>a</w:t>
      </w:r>
      <w:r>
        <w:t>dic</w:t>
      </w:r>
      <w:r>
        <w:rPr>
          <w:spacing w:val="-1"/>
        </w:rPr>
        <w:t>a</w:t>
      </w:r>
      <w:r>
        <w:t>l</w:t>
      </w:r>
      <w:r>
        <w:rPr>
          <w:spacing w:val="5"/>
        </w:rPr>
        <w:t xml:space="preserve"> </w:t>
      </w:r>
      <w:r>
        <w:t>s</w:t>
      </w:r>
      <w:r>
        <w:rPr>
          <w:spacing w:val="-1"/>
        </w:rPr>
        <w:t>ca</w:t>
      </w:r>
      <w:r>
        <w:rPr>
          <w:spacing w:val="2"/>
        </w:rPr>
        <w:t>v</w:t>
      </w:r>
      <w:r>
        <w:rPr>
          <w:spacing w:val="-1"/>
        </w:rPr>
        <w:t>e</w:t>
      </w:r>
      <w:r>
        <w:rPr>
          <w:spacing w:val="2"/>
        </w:rPr>
        <w:t>n</w:t>
      </w:r>
      <w:r>
        <w:rPr>
          <w:spacing w:val="-2"/>
        </w:rPr>
        <w:t>g</w:t>
      </w:r>
      <w:r>
        <w:t>i</w:t>
      </w:r>
      <w:r>
        <w:rPr>
          <w:spacing w:val="3"/>
        </w:rPr>
        <w:t>n</w:t>
      </w:r>
      <w:r>
        <w:t>g</w:t>
      </w:r>
      <w:r>
        <w:rPr>
          <w:spacing w:val="3"/>
        </w:rPr>
        <w:t xml:space="preserve"> </w:t>
      </w:r>
      <w:r>
        <w:rPr>
          <w:spacing w:val="1"/>
        </w:rPr>
        <w:t>c</w:t>
      </w:r>
      <w:r>
        <w:rPr>
          <w:spacing w:val="-1"/>
        </w:rPr>
        <w:t>a</w:t>
      </w:r>
      <w:r>
        <w:t>p</w:t>
      </w:r>
      <w:r>
        <w:rPr>
          <w:spacing w:val="-1"/>
        </w:rPr>
        <w:t>ac</w:t>
      </w:r>
      <w:r>
        <w:t>i</w:t>
      </w:r>
      <w:r>
        <w:rPr>
          <w:spacing w:val="6"/>
        </w:rPr>
        <w:t>t</w:t>
      </w:r>
      <w:r>
        <w:t xml:space="preserve">y </w:t>
      </w:r>
      <w:r>
        <w:rPr>
          <w:spacing w:val="-1"/>
        </w:rPr>
        <w:t>a</w:t>
      </w:r>
      <w:r>
        <w:t>nd</w:t>
      </w:r>
      <w:r>
        <w:rPr>
          <w:spacing w:val="5"/>
        </w:rPr>
        <w:t xml:space="preserve"> </w:t>
      </w:r>
      <w:r>
        <w:rPr>
          <w:spacing w:val="-1"/>
        </w:rPr>
        <w:t>a</w:t>
      </w:r>
      <w:r>
        <w:t>nt</w:t>
      </w:r>
      <w:r>
        <w:rPr>
          <w:spacing w:val="1"/>
        </w:rPr>
        <w:t>i</w:t>
      </w:r>
      <w:r>
        <w:t>m</w:t>
      </w:r>
      <w:r>
        <w:rPr>
          <w:spacing w:val="4"/>
        </w:rPr>
        <w:t>i</w:t>
      </w:r>
      <w:r>
        <w:rPr>
          <w:spacing w:val="-1"/>
        </w:rPr>
        <w:t>c</w:t>
      </w:r>
      <w:r>
        <w:t>robi</w:t>
      </w:r>
      <w:r>
        <w:rPr>
          <w:spacing w:val="1"/>
        </w:rPr>
        <w:t>a</w:t>
      </w:r>
      <w:r>
        <w:t>l</w:t>
      </w:r>
      <w:r>
        <w:rPr>
          <w:spacing w:val="5"/>
        </w:rPr>
        <w:t xml:space="preserve"> </w:t>
      </w:r>
      <w:r>
        <w:t>prop</w:t>
      </w:r>
      <w:r>
        <w:rPr>
          <w:spacing w:val="-2"/>
        </w:rPr>
        <w:t>e</w:t>
      </w:r>
      <w:r>
        <w:t>r</w:t>
      </w:r>
      <w:r>
        <w:rPr>
          <w:spacing w:val="1"/>
        </w:rPr>
        <w:t>t</w:t>
      </w:r>
      <w:r>
        <w:t>ies</w:t>
      </w:r>
      <w:r>
        <w:rPr>
          <w:spacing w:val="5"/>
        </w:rPr>
        <w:t xml:space="preserve"> </w:t>
      </w:r>
      <w:r>
        <w:t>of</w:t>
      </w:r>
      <w:r>
        <w:rPr>
          <w:spacing w:val="7"/>
        </w:rPr>
        <w:t xml:space="preserve"> </w:t>
      </w:r>
      <w:r>
        <w:rPr>
          <w:spacing w:val="-6"/>
        </w:rPr>
        <w:t>I</w:t>
      </w:r>
      <w:r>
        <w:t>mpatiens</w:t>
      </w:r>
      <w:r>
        <w:rPr>
          <w:spacing w:val="7"/>
        </w:rPr>
        <w:t xml:space="preserve"> </w:t>
      </w:r>
      <w:r>
        <w:t>bicolor</w:t>
      </w:r>
      <w:r>
        <w:rPr>
          <w:spacing w:val="4"/>
        </w:rPr>
        <w:t xml:space="preserve"> </w:t>
      </w:r>
      <w:r>
        <w:t xml:space="preserve">plant. </w:t>
      </w:r>
      <w:r>
        <w:rPr>
          <w:i/>
        </w:rPr>
        <w:t>Int</w:t>
      </w:r>
      <w:r>
        <w:rPr>
          <w:i/>
          <w:spacing w:val="-1"/>
        </w:rPr>
        <w:t>e</w:t>
      </w:r>
      <w:r>
        <w:rPr>
          <w:i/>
        </w:rPr>
        <w:t>rnational</w:t>
      </w:r>
      <w:r>
        <w:rPr>
          <w:i/>
          <w:spacing w:val="1"/>
        </w:rPr>
        <w:t xml:space="preserve"> </w:t>
      </w:r>
      <w:r>
        <w:rPr>
          <w:i/>
        </w:rPr>
        <w:t>Food R</w:t>
      </w:r>
      <w:r>
        <w:rPr>
          <w:i/>
          <w:spacing w:val="-1"/>
        </w:rPr>
        <w:t>e</w:t>
      </w:r>
      <w:r>
        <w:rPr>
          <w:i/>
        </w:rPr>
        <w:t>s</w:t>
      </w:r>
      <w:r>
        <w:rPr>
          <w:i/>
          <w:spacing w:val="1"/>
        </w:rPr>
        <w:t>e</w:t>
      </w:r>
      <w:r>
        <w:rPr>
          <w:i/>
        </w:rPr>
        <w:t>ar</w:t>
      </w:r>
      <w:r>
        <w:rPr>
          <w:i/>
          <w:spacing w:val="-1"/>
        </w:rPr>
        <w:t>c</w:t>
      </w:r>
      <w:r>
        <w:rPr>
          <w:i/>
        </w:rPr>
        <w:t xml:space="preserve">h </w:t>
      </w:r>
      <w:r>
        <w:rPr>
          <w:i/>
          <w:spacing w:val="-1"/>
        </w:rPr>
        <w:t>J</w:t>
      </w:r>
      <w:r>
        <w:rPr>
          <w:i/>
        </w:rPr>
        <w:t>ourna</w:t>
      </w:r>
      <w:r>
        <w:rPr>
          <w:i/>
          <w:spacing w:val="2"/>
        </w:rPr>
        <w:t>l</w:t>
      </w:r>
      <w:r>
        <w:t>, 20(</w:t>
      </w:r>
      <w:r>
        <w:rPr>
          <w:spacing w:val="-1"/>
        </w:rPr>
        <w:t>1</w:t>
      </w:r>
      <w:r>
        <w:t>):3</w:t>
      </w:r>
      <w:r>
        <w:rPr>
          <w:spacing w:val="-1"/>
        </w:rPr>
        <w:t>-</w:t>
      </w:r>
      <w:r>
        <w:t>9.</w:t>
      </w:r>
    </w:p>
    <w:p w:rsidR="001104CA" w:rsidRDefault="00C032A7">
      <w:pPr>
        <w:spacing w:before="240" w:line="480" w:lineRule="auto"/>
        <w:ind w:left="720" w:hanging="720"/>
        <w:jc w:val="both"/>
        <w:rPr>
          <w:sz w:val="24"/>
          <w:szCs w:val="24"/>
        </w:rPr>
      </w:pPr>
      <w:r>
        <w:rPr>
          <w:sz w:val="24"/>
          <w:szCs w:val="24"/>
        </w:rPr>
        <w:t>A</w:t>
      </w:r>
      <w:r>
        <w:rPr>
          <w:spacing w:val="1"/>
          <w:sz w:val="24"/>
          <w:szCs w:val="24"/>
        </w:rPr>
        <w:t>z</w:t>
      </w:r>
      <w:r>
        <w:rPr>
          <w:spacing w:val="-1"/>
          <w:sz w:val="24"/>
          <w:szCs w:val="24"/>
        </w:rPr>
        <w:t>e</w:t>
      </w:r>
      <w:r>
        <w:rPr>
          <w:sz w:val="24"/>
          <w:szCs w:val="24"/>
        </w:rPr>
        <w:t>n</w:t>
      </w:r>
      <w:r>
        <w:rPr>
          <w:spacing w:val="-1"/>
          <w:sz w:val="24"/>
          <w:szCs w:val="24"/>
        </w:rPr>
        <w:t>e</w:t>
      </w:r>
      <w:r>
        <w:rPr>
          <w:sz w:val="24"/>
          <w:szCs w:val="24"/>
        </w:rPr>
        <w:t xml:space="preserve">, T. </w:t>
      </w:r>
      <w:r>
        <w:rPr>
          <w:spacing w:val="-1"/>
          <w:sz w:val="24"/>
          <w:szCs w:val="24"/>
        </w:rPr>
        <w:t>(</w:t>
      </w:r>
      <w:r>
        <w:rPr>
          <w:sz w:val="24"/>
          <w:szCs w:val="24"/>
        </w:rPr>
        <w:t>2021</w:t>
      </w:r>
      <w:r>
        <w:rPr>
          <w:spacing w:val="-1"/>
          <w:sz w:val="24"/>
          <w:szCs w:val="24"/>
        </w:rPr>
        <w:t>)</w:t>
      </w:r>
      <w:r>
        <w:rPr>
          <w:sz w:val="24"/>
          <w:szCs w:val="24"/>
        </w:rPr>
        <w:t xml:space="preserve">. </w:t>
      </w:r>
      <w:r>
        <w:rPr>
          <w:sz w:val="24"/>
          <w:szCs w:val="24"/>
        </w:rPr>
        <w:t>R</w:t>
      </w:r>
      <w:r>
        <w:rPr>
          <w:spacing w:val="-1"/>
          <w:sz w:val="24"/>
          <w:szCs w:val="24"/>
        </w:rPr>
        <w:t>e</w:t>
      </w:r>
      <w:r>
        <w:rPr>
          <w:sz w:val="24"/>
          <w:szCs w:val="24"/>
        </w:rPr>
        <w:t>v</w:t>
      </w:r>
      <w:r>
        <w:rPr>
          <w:spacing w:val="1"/>
          <w:sz w:val="24"/>
          <w:szCs w:val="24"/>
        </w:rPr>
        <w:t>e</w:t>
      </w:r>
      <w:r>
        <w:rPr>
          <w:spacing w:val="-1"/>
          <w:sz w:val="24"/>
          <w:szCs w:val="24"/>
        </w:rPr>
        <w:t>a</w:t>
      </w:r>
      <w:r>
        <w:rPr>
          <w:sz w:val="24"/>
          <w:szCs w:val="24"/>
        </w:rPr>
        <w:t>l</w:t>
      </w:r>
      <w:r>
        <w:rPr>
          <w:spacing w:val="1"/>
          <w:sz w:val="24"/>
          <w:szCs w:val="24"/>
        </w:rPr>
        <w:t>i</w:t>
      </w:r>
      <w:r>
        <w:rPr>
          <w:sz w:val="24"/>
          <w:szCs w:val="24"/>
        </w:rPr>
        <w:t>ng</w:t>
      </w:r>
      <w:r>
        <w:rPr>
          <w:spacing w:val="-2"/>
          <w:sz w:val="24"/>
          <w:szCs w:val="24"/>
        </w:rPr>
        <w:t xml:space="preserve"> </w:t>
      </w:r>
      <w:r>
        <w:rPr>
          <w:sz w:val="24"/>
          <w:szCs w:val="24"/>
        </w:rPr>
        <w:t xml:space="preserve">the </w:t>
      </w:r>
      <w:r>
        <w:rPr>
          <w:spacing w:val="-1"/>
          <w:sz w:val="24"/>
          <w:szCs w:val="24"/>
        </w:rPr>
        <w:t>T</w:t>
      </w:r>
      <w:r>
        <w:rPr>
          <w:sz w:val="24"/>
          <w:szCs w:val="24"/>
        </w:rPr>
        <w:t>h</w:t>
      </w:r>
      <w:r>
        <w:rPr>
          <w:spacing w:val="1"/>
          <w:sz w:val="24"/>
          <w:szCs w:val="24"/>
        </w:rPr>
        <w:t>e</w:t>
      </w:r>
      <w:r>
        <w:rPr>
          <w:sz w:val="24"/>
          <w:szCs w:val="24"/>
        </w:rPr>
        <w:t>r</w:t>
      </w:r>
      <w:r>
        <w:rPr>
          <w:spacing w:val="-2"/>
          <w:sz w:val="24"/>
          <w:szCs w:val="24"/>
        </w:rPr>
        <w:t>a</w:t>
      </w:r>
      <w:r>
        <w:rPr>
          <w:sz w:val="24"/>
          <w:szCs w:val="24"/>
        </w:rPr>
        <w:t>p</w:t>
      </w:r>
      <w:r>
        <w:rPr>
          <w:spacing w:val="-1"/>
          <w:sz w:val="24"/>
          <w:szCs w:val="24"/>
        </w:rPr>
        <w:t>e</w:t>
      </w:r>
      <w:r>
        <w:rPr>
          <w:sz w:val="24"/>
          <w:szCs w:val="24"/>
        </w:rPr>
        <w:t>ut</w:t>
      </w:r>
      <w:r>
        <w:rPr>
          <w:spacing w:val="1"/>
          <w:sz w:val="24"/>
          <w:szCs w:val="24"/>
        </w:rPr>
        <w:t>i</w:t>
      </w:r>
      <w:r>
        <w:rPr>
          <w:sz w:val="24"/>
          <w:szCs w:val="24"/>
        </w:rPr>
        <w:t>c</w:t>
      </w:r>
      <w:r>
        <w:rPr>
          <w:spacing w:val="-1"/>
          <w:sz w:val="24"/>
          <w:szCs w:val="24"/>
        </w:rPr>
        <w:t xml:space="preserve"> </w:t>
      </w:r>
      <w:r>
        <w:rPr>
          <w:sz w:val="24"/>
          <w:szCs w:val="24"/>
        </w:rPr>
        <w:t>U</w:t>
      </w:r>
      <w:r>
        <w:rPr>
          <w:spacing w:val="2"/>
          <w:sz w:val="24"/>
          <w:szCs w:val="24"/>
        </w:rPr>
        <w:t>s</w:t>
      </w:r>
      <w:r>
        <w:rPr>
          <w:spacing w:val="-1"/>
          <w:sz w:val="24"/>
          <w:szCs w:val="24"/>
        </w:rPr>
        <w:t>e</w:t>
      </w:r>
      <w:r>
        <w:rPr>
          <w:sz w:val="24"/>
          <w:szCs w:val="24"/>
        </w:rPr>
        <w:t>s</w:t>
      </w:r>
      <w:r>
        <w:rPr>
          <w:spacing w:val="2"/>
          <w:sz w:val="24"/>
          <w:szCs w:val="24"/>
        </w:rPr>
        <w:t xml:space="preserve"> </w:t>
      </w:r>
      <w:r>
        <w:rPr>
          <w:sz w:val="24"/>
          <w:szCs w:val="24"/>
        </w:rPr>
        <w:t xml:space="preserve">of </w:t>
      </w:r>
      <w:r>
        <w:rPr>
          <w:spacing w:val="-1"/>
          <w:sz w:val="24"/>
          <w:szCs w:val="24"/>
        </w:rPr>
        <w:t>Ga</w:t>
      </w:r>
      <w:r>
        <w:rPr>
          <w:sz w:val="24"/>
          <w:szCs w:val="24"/>
        </w:rPr>
        <w:t>rlic</w:t>
      </w:r>
      <w:r>
        <w:rPr>
          <w:spacing w:val="-1"/>
          <w:sz w:val="24"/>
          <w:szCs w:val="24"/>
        </w:rPr>
        <w:t xml:space="preserve"> </w:t>
      </w:r>
      <w:r>
        <w:rPr>
          <w:spacing w:val="2"/>
          <w:sz w:val="24"/>
          <w:szCs w:val="24"/>
        </w:rPr>
        <w:t>(</w:t>
      </w:r>
      <w:r>
        <w:rPr>
          <w:i/>
          <w:sz w:val="24"/>
          <w:szCs w:val="24"/>
        </w:rPr>
        <w:t>All</w:t>
      </w:r>
      <w:r>
        <w:rPr>
          <w:i/>
          <w:spacing w:val="1"/>
          <w:sz w:val="24"/>
          <w:szCs w:val="24"/>
        </w:rPr>
        <w:t>i</w:t>
      </w:r>
      <w:r>
        <w:rPr>
          <w:i/>
          <w:sz w:val="24"/>
          <w:szCs w:val="24"/>
        </w:rPr>
        <w:t>um sati</w:t>
      </w:r>
      <w:r>
        <w:rPr>
          <w:i/>
          <w:spacing w:val="-1"/>
          <w:sz w:val="24"/>
          <w:szCs w:val="24"/>
        </w:rPr>
        <w:t>v</w:t>
      </w:r>
      <w:r>
        <w:rPr>
          <w:i/>
          <w:sz w:val="24"/>
          <w:szCs w:val="24"/>
        </w:rPr>
        <w:t>u</w:t>
      </w:r>
      <w:r>
        <w:rPr>
          <w:i/>
          <w:spacing w:val="2"/>
          <w:sz w:val="24"/>
          <w:szCs w:val="24"/>
        </w:rPr>
        <w:t>m</w:t>
      </w:r>
      <w:r>
        <w:rPr>
          <w:sz w:val="24"/>
          <w:szCs w:val="24"/>
        </w:rPr>
        <w:t xml:space="preserve">) </w:t>
      </w:r>
      <w:r>
        <w:rPr>
          <w:spacing w:val="-2"/>
          <w:sz w:val="24"/>
          <w:szCs w:val="24"/>
        </w:rPr>
        <w:t>a</w:t>
      </w:r>
      <w:r>
        <w:rPr>
          <w:sz w:val="24"/>
          <w:szCs w:val="24"/>
        </w:rPr>
        <w:t>nd</w:t>
      </w:r>
      <w:r>
        <w:rPr>
          <w:spacing w:val="2"/>
          <w:sz w:val="24"/>
          <w:szCs w:val="24"/>
        </w:rPr>
        <w:t xml:space="preserve"> </w:t>
      </w:r>
      <w:r>
        <w:rPr>
          <w:spacing w:val="-3"/>
          <w:sz w:val="24"/>
          <w:szCs w:val="24"/>
        </w:rPr>
        <w:t>I</w:t>
      </w:r>
      <w:r>
        <w:rPr>
          <w:sz w:val="24"/>
          <w:szCs w:val="24"/>
        </w:rPr>
        <w:t>ts</w:t>
      </w:r>
      <w:r>
        <w:rPr>
          <w:spacing w:val="2"/>
          <w:sz w:val="24"/>
          <w:szCs w:val="24"/>
        </w:rPr>
        <w:t xml:space="preserve"> </w:t>
      </w:r>
      <w:r>
        <w:rPr>
          <w:spacing w:val="1"/>
          <w:sz w:val="24"/>
          <w:szCs w:val="24"/>
        </w:rPr>
        <w:t>P</w:t>
      </w:r>
      <w:r>
        <w:rPr>
          <w:sz w:val="24"/>
          <w:szCs w:val="24"/>
        </w:rPr>
        <w:t xml:space="preserve">otential </w:t>
      </w:r>
      <w:r>
        <w:rPr>
          <w:spacing w:val="-1"/>
          <w:sz w:val="24"/>
          <w:szCs w:val="24"/>
        </w:rPr>
        <w:t>f</w:t>
      </w:r>
      <w:r>
        <w:rPr>
          <w:sz w:val="24"/>
          <w:szCs w:val="24"/>
        </w:rPr>
        <w:t>or  D</w:t>
      </w:r>
      <w:r>
        <w:rPr>
          <w:spacing w:val="-1"/>
          <w:sz w:val="24"/>
          <w:szCs w:val="24"/>
        </w:rPr>
        <w:t>r</w:t>
      </w:r>
      <w:r>
        <w:rPr>
          <w:spacing w:val="2"/>
          <w:sz w:val="24"/>
          <w:szCs w:val="24"/>
        </w:rPr>
        <w:t>u</w:t>
      </w:r>
      <w:r>
        <w:rPr>
          <w:sz w:val="24"/>
          <w:szCs w:val="24"/>
        </w:rPr>
        <w:t>g</w:t>
      </w:r>
      <w:r>
        <w:rPr>
          <w:spacing w:val="-2"/>
          <w:sz w:val="24"/>
          <w:szCs w:val="24"/>
        </w:rPr>
        <w:t xml:space="preserve"> </w:t>
      </w:r>
      <w:r>
        <w:rPr>
          <w:sz w:val="24"/>
          <w:szCs w:val="24"/>
        </w:rPr>
        <w:t>Dis</w:t>
      </w:r>
      <w:r>
        <w:rPr>
          <w:spacing w:val="-1"/>
          <w:sz w:val="24"/>
          <w:szCs w:val="24"/>
        </w:rPr>
        <w:t>c</w:t>
      </w:r>
      <w:r>
        <w:rPr>
          <w:sz w:val="24"/>
          <w:szCs w:val="24"/>
        </w:rPr>
        <w:t>ov</w:t>
      </w:r>
      <w:r>
        <w:rPr>
          <w:spacing w:val="1"/>
          <w:sz w:val="24"/>
          <w:szCs w:val="24"/>
        </w:rPr>
        <w:t>e</w:t>
      </w:r>
      <w:r>
        <w:rPr>
          <w:spacing w:val="4"/>
          <w:sz w:val="24"/>
          <w:szCs w:val="24"/>
        </w:rPr>
        <w:t>r</w:t>
      </w:r>
      <w:r>
        <w:rPr>
          <w:spacing w:val="-4"/>
          <w:sz w:val="24"/>
          <w:szCs w:val="24"/>
        </w:rPr>
        <w:t>y</w:t>
      </w:r>
      <w:r>
        <w:rPr>
          <w:sz w:val="24"/>
          <w:szCs w:val="24"/>
        </w:rPr>
        <w:t>.</w:t>
      </w:r>
      <w:r>
        <w:rPr>
          <w:spacing w:val="22"/>
          <w:sz w:val="24"/>
          <w:szCs w:val="24"/>
        </w:rPr>
        <w:t xml:space="preserve"> </w:t>
      </w:r>
      <w:r>
        <w:rPr>
          <w:i/>
          <w:sz w:val="24"/>
          <w:szCs w:val="24"/>
        </w:rPr>
        <w:t>Hindawi</w:t>
      </w:r>
      <w:r>
        <w:rPr>
          <w:i/>
          <w:spacing w:val="1"/>
          <w:sz w:val="24"/>
          <w:szCs w:val="24"/>
        </w:rPr>
        <w:t xml:space="preserve"> </w:t>
      </w:r>
      <w:r>
        <w:rPr>
          <w:i/>
          <w:sz w:val="24"/>
          <w:szCs w:val="24"/>
        </w:rPr>
        <w:t>the S</w:t>
      </w:r>
      <w:r>
        <w:rPr>
          <w:i/>
          <w:spacing w:val="-1"/>
          <w:sz w:val="24"/>
          <w:szCs w:val="24"/>
        </w:rPr>
        <w:t>c</w:t>
      </w:r>
      <w:r>
        <w:rPr>
          <w:i/>
          <w:sz w:val="24"/>
          <w:szCs w:val="24"/>
        </w:rPr>
        <w:t>ienti</w:t>
      </w:r>
      <w:r>
        <w:rPr>
          <w:i/>
          <w:spacing w:val="1"/>
          <w:sz w:val="24"/>
          <w:szCs w:val="24"/>
        </w:rPr>
        <w:t>f</w:t>
      </w:r>
      <w:r>
        <w:rPr>
          <w:i/>
          <w:sz w:val="24"/>
          <w:szCs w:val="24"/>
        </w:rPr>
        <w:t>ic</w:t>
      </w:r>
      <w:r>
        <w:rPr>
          <w:i/>
          <w:spacing w:val="2"/>
          <w:sz w:val="24"/>
          <w:szCs w:val="24"/>
        </w:rPr>
        <w:t xml:space="preserve"> </w:t>
      </w:r>
      <w:r>
        <w:rPr>
          <w:i/>
          <w:spacing w:val="-6"/>
          <w:sz w:val="24"/>
          <w:szCs w:val="24"/>
        </w:rPr>
        <w:t>W</w:t>
      </w:r>
      <w:r>
        <w:rPr>
          <w:i/>
          <w:sz w:val="24"/>
          <w:szCs w:val="24"/>
        </w:rPr>
        <w:t>orld Jo</w:t>
      </w:r>
      <w:r>
        <w:rPr>
          <w:i/>
          <w:spacing w:val="2"/>
          <w:sz w:val="24"/>
          <w:szCs w:val="24"/>
        </w:rPr>
        <w:t>u</w:t>
      </w:r>
      <w:r>
        <w:rPr>
          <w:i/>
          <w:sz w:val="24"/>
          <w:szCs w:val="24"/>
        </w:rPr>
        <w:t>rna</w:t>
      </w:r>
      <w:r>
        <w:rPr>
          <w:i/>
          <w:spacing w:val="2"/>
          <w:sz w:val="24"/>
          <w:szCs w:val="24"/>
        </w:rPr>
        <w:t>l</w:t>
      </w:r>
      <w:r>
        <w:rPr>
          <w:i/>
          <w:sz w:val="24"/>
          <w:szCs w:val="24"/>
        </w:rPr>
        <w:t xml:space="preserve">, </w:t>
      </w:r>
      <w:r>
        <w:rPr>
          <w:sz w:val="24"/>
          <w:szCs w:val="24"/>
        </w:rPr>
        <w:t>7(3</w:t>
      </w:r>
      <w:r>
        <w:rPr>
          <w:spacing w:val="-1"/>
          <w:sz w:val="24"/>
          <w:szCs w:val="24"/>
        </w:rPr>
        <w:t>)</w:t>
      </w:r>
      <w:r>
        <w:rPr>
          <w:sz w:val="24"/>
          <w:szCs w:val="24"/>
        </w:rPr>
        <w:t>:2</w:t>
      </w:r>
      <w:r>
        <w:rPr>
          <w:spacing w:val="-1"/>
          <w:sz w:val="24"/>
          <w:szCs w:val="24"/>
        </w:rPr>
        <w:t>-</w:t>
      </w:r>
      <w:r>
        <w:rPr>
          <w:sz w:val="24"/>
          <w:szCs w:val="24"/>
        </w:rPr>
        <w:t>6.</w:t>
      </w:r>
    </w:p>
    <w:p w:rsidR="001104CA" w:rsidRDefault="00C032A7">
      <w:pPr>
        <w:spacing w:before="240" w:line="480" w:lineRule="auto"/>
        <w:ind w:left="720" w:hanging="720"/>
        <w:jc w:val="both"/>
        <w:rPr>
          <w:rFonts w:eastAsia="SimSun"/>
          <w:color w:val="222222"/>
          <w:sz w:val="24"/>
          <w:szCs w:val="24"/>
          <w:shd w:val="clear" w:color="auto" w:fill="FFFFFF"/>
        </w:rPr>
      </w:pPr>
      <w:r>
        <w:rPr>
          <w:rFonts w:eastAsia="SimSun"/>
          <w:color w:val="222222"/>
          <w:sz w:val="24"/>
          <w:szCs w:val="24"/>
          <w:shd w:val="clear" w:color="auto" w:fill="FFFFFF"/>
        </w:rPr>
        <w:t xml:space="preserve">Banerjee, S., Denning, D. W., &amp; Chakrabarti, A. (2021). One Health aspects &amp; priority roadmap for fungal </w:t>
      </w:r>
      <w:r>
        <w:rPr>
          <w:rFonts w:eastAsia="SimSun"/>
          <w:color w:val="222222"/>
          <w:sz w:val="24"/>
          <w:szCs w:val="24"/>
          <w:shd w:val="clear" w:color="auto" w:fill="FFFFFF"/>
        </w:rPr>
        <w:t>diseases: A mini-review. </w:t>
      </w:r>
      <w:r>
        <w:rPr>
          <w:rFonts w:eastAsia="SimSun"/>
          <w:i/>
          <w:iCs/>
          <w:color w:val="222222"/>
          <w:sz w:val="24"/>
          <w:szCs w:val="24"/>
          <w:shd w:val="clear" w:color="auto" w:fill="FFFFFF"/>
        </w:rPr>
        <w:t>Indian Journal of Medical Research</w:t>
      </w:r>
      <w:r>
        <w:rPr>
          <w:rFonts w:eastAsia="SimSun"/>
          <w:color w:val="222222"/>
          <w:sz w:val="24"/>
          <w:szCs w:val="24"/>
          <w:shd w:val="clear" w:color="auto" w:fill="FFFFFF"/>
        </w:rPr>
        <w:t>, </w:t>
      </w:r>
      <w:r>
        <w:rPr>
          <w:rFonts w:eastAsia="SimSun"/>
          <w:i/>
          <w:iCs/>
          <w:color w:val="222222"/>
          <w:sz w:val="24"/>
          <w:szCs w:val="24"/>
          <w:shd w:val="clear" w:color="auto" w:fill="FFFFFF"/>
        </w:rPr>
        <w:t>153</w:t>
      </w:r>
      <w:r>
        <w:rPr>
          <w:rFonts w:eastAsia="SimSun"/>
          <w:color w:val="222222"/>
          <w:sz w:val="24"/>
          <w:szCs w:val="24"/>
          <w:shd w:val="clear" w:color="auto" w:fill="FFFFFF"/>
        </w:rPr>
        <w:t>(3), 311-319.</w:t>
      </w:r>
    </w:p>
    <w:p w:rsidR="001104CA" w:rsidRDefault="00C032A7">
      <w:pPr>
        <w:spacing w:before="240" w:line="480" w:lineRule="auto"/>
        <w:ind w:left="720" w:hanging="720"/>
        <w:jc w:val="both"/>
        <w:rPr>
          <w:sz w:val="24"/>
          <w:szCs w:val="24"/>
        </w:rPr>
      </w:pPr>
      <w:r>
        <w:rPr>
          <w:sz w:val="24"/>
          <w:szCs w:val="24"/>
        </w:rPr>
        <w:t xml:space="preserve">Cerami, A., &amp; Beutler, B. (1989). TNF and TNF receptors. </w:t>
      </w:r>
      <w:r>
        <w:rPr>
          <w:rStyle w:val="Emphasis"/>
          <w:sz w:val="24"/>
          <w:szCs w:val="24"/>
        </w:rPr>
        <w:t>Annual Review of Immunology</w:t>
      </w:r>
      <w:r>
        <w:rPr>
          <w:sz w:val="24"/>
          <w:szCs w:val="24"/>
        </w:rPr>
        <w:t xml:space="preserve">, 7, 425–452. </w:t>
      </w:r>
    </w:p>
    <w:p w:rsidR="001104CA" w:rsidRDefault="00C032A7">
      <w:pPr>
        <w:spacing w:before="240" w:line="480" w:lineRule="auto"/>
        <w:ind w:left="720" w:hanging="720"/>
        <w:jc w:val="both"/>
        <w:rPr>
          <w:rFonts w:eastAsia="SimSun"/>
          <w:sz w:val="24"/>
          <w:szCs w:val="24"/>
        </w:rPr>
      </w:pPr>
      <w:r>
        <w:rPr>
          <w:rFonts w:eastAsia="SimSun"/>
          <w:sz w:val="24"/>
          <w:szCs w:val="24"/>
        </w:rPr>
        <w:lastRenderedPageBreak/>
        <w:t>Cerami, A., &amp; Beutler, B. (1989). The role of tumor necrosis factor in the path</w:t>
      </w:r>
      <w:r>
        <w:rPr>
          <w:rFonts w:eastAsia="SimSun"/>
          <w:sz w:val="24"/>
          <w:szCs w:val="24"/>
        </w:rPr>
        <w:t xml:space="preserve">ogenesis of disease. </w:t>
      </w:r>
      <w:r>
        <w:rPr>
          <w:rStyle w:val="Emphasis"/>
          <w:rFonts w:eastAsia="SimSun"/>
          <w:sz w:val="24"/>
          <w:szCs w:val="24"/>
        </w:rPr>
        <w:t>Annual Review of Immunology</w:t>
      </w:r>
      <w:r>
        <w:rPr>
          <w:rFonts w:eastAsia="SimSun"/>
          <w:sz w:val="24"/>
          <w:szCs w:val="24"/>
        </w:rPr>
        <w:t>, 7, 625–655.</w:t>
      </w:r>
    </w:p>
    <w:p w:rsidR="001104CA" w:rsidRDefault="00C032A7">
      <w:pPr>
        <w:spacing w:line="480" w:lineRule="auto"/>
        <w:ind w:left="709" w:hanging="720"/>
        <w:jc w:val="both"/>
        <w:rPr>
          <w:rFonts w:eastAsia="SimSun"/>
          <w:color w:val="222222"/>
          <w:sz w:val="24"/>
          <w:szCs w:val="24"/>
          <w:shd w:val="clear" w:color="auto" w:fill="FFFFFF"/>
        </w:rPr>
      </w:pPr>
      <w:r>
        <w:rPr>
          <w:rFonts w:eastAsia="SimSun"/>
          <w:color w:val="222222"/>
          <w:sz w:val="24"/>
          <w:szCs w:val="24"/>
          <w:shd w:val="clear" w:color="auto" w:fill="FFFFFF"/>
        </w:rPr>
        <w:t>Chen, Y., Bruning, E., Rubino, J., &amp; Eder, S. E. (2017). Role of female intimate hygiene in vulvovaginal health: Global hygiene practices and product usage. </w:t>
      </w:r>
      <w:r>
        <w:rPr>
          <w:rFonts w:eastAsia="SimSun"/>
          <w:i/>
          <w:iCs/>
          <w:color w:val="222222"/>
          <w:sz w:val="24"/>
          <w:szCs w:val="24"/>
          <w:shd w:val="clear" w:color="auto" w:fill="FFFFFF"/>
        </w:rPr>
        <w:t>Women's Health</w:t>
      </w:r>
      <w:r>
        <w:rPr>
          <w:rFonts w:eastAsia="SimSun"/>
          <w:color w:val="222222"/>
          <w:sz w:val="24"/>
          <w:szCs w:val="24"/>
          <w:shd w:val="clear" w:color="auto" w:fill="FFFFFF"/>
        </w:rPr>
        <w:t>, </w:t>
      </w:r>
      <w:r>
        <w:rPr>
          <w:rFonts w:eastAsia="SimSun"/>
          <w:i/>
          <w:iCs/>
          <w:color w:val="222222"/>
          <w:sz w:val="24"/>
          <w:szCs w:val="24"/>
          <w:shd w:val="clear" w:color="auto" w:fill="FFFFFF"/>
        </w:rPr>
        <w:t>13</w:t>
      </w:r>
      <w:r>
        <w:rPr>
          <w:rFonts w:eastAsia="SimSun"/>
          <w:color w:val="222222"/>
          <w:sz w:val="24"/>
          <w:szCs w:val="24"/>
          <w:shd w:val="clear" w:color="auto" w:fill="FFFFFF"/>
        </w:rPr>
        <w:t>(3), 58-67.</w:t>
      </w:r>
    </w:p>
    <w:p w:rsidR="001104CA" w:rsidRDefault="00C032A7">
      <w:pPr>
        <w:spacing w:before="240" w:line="480" w:lineRule="auto"/>
        <w:jc w:val="both"/>
        <w:rPr>
          <w:rFonts w:eastAsia="SimSun"/>
          <w:color w:val="222222"/>
          <w:sz w:val="24"/>
          <w:szCs w:val="24"/>
          <w:shd w:val="clear" w:color="auto" w:fill="FFFFFF"/>
        </w:rPr>
      </w:pPr>
      <w:r>
        <w:rPr>
          <w:rFonts w:eastAsia="SimSun"/>
          <w:sz w:val="24"/>
          <w:szCs w:val="24"/>
        </w:rPr>
        <w:t xml:space="preserve">Dinarello, C. A. (2000). Proinflammatory cytokines. </w:t>
      </w:r>
      <w:r>
        <w:rPr>
          <w:rStyle w:val="Emphasis"/>
          <w:rFonts w:eastAsia="SimSun"/>
          <w:sz w:val="24"/>
          <w:szCs w:val="24"/>
        </w:rPr>
        <w:t>Chest</w:t>
      </w:r>
      <w:r>
        <w:rPr>
          <w:rFonts w:eastAsia="SimSun"/>
          <w:sz w:val="24"/>
          <w:szCs w:val="24"/>
        </w:rPr>
        <w:t>, 118(2), 503–508.</w:t>
      </w:r>
    </w:p>
    <w:p w:rsidR="001104CA" w:rsidRDefault="00C032A7">
      <w:pPr>
        <w:spacing w:before="240" w:line="480" w:lineRule="auto"/>
        <w:ind w:left="720" w:right="74" w:hanging="720"/>
        <w:jc w:val="both"/>
        <w:rPr>
          <w:sz w:val="24"/>
          <w:szCs w:val="24"/>
        </w:rPr>
      </w:pPr>
      <w:r>
        <w:rPr>
          <w:sz w:val="24"/>
          <w:szCs w:val="24"/>
        </w:rPr>
        <w:t>Dou</w:t>
      </w:r>
      <w:r>
        <w:rPr>
          <w:spacing w:val="-3"/>
          <w:sz w:val="24"/>
          <w:szCs w:val="24"/>
        </w:rPr>
        <w:t>g</w:t>
      </w:r>
      <w:r>
        <w:rPr>
          <w:spacing w:val="2"/>
          <w:sz w:val="24"/>
          <w:szCs w:val="24"/>
        </w:rPr>
        <w:t>h</w:t>
      </w:r>
      <w:r>
        <w:rPr>
          <w:spacing w:val="-1"/>
          <w:sz w:val="24"/>
          <w:szCs w:val="24"/>
        </w:rPr>
        <w:t>a</w:t>
      </w:r>
      <w:r>
        <w:rPr>
          <w:sz w:val="24"/>
          <w:szCs w:val="24"/>
        </w:rPr>
        <w:t>ri,</w:t>
      </w:r>
      <w:r>
        <w:rPr>
          <w:spacing w:val="1"/>
          <w:sz w:val="24"/>
          <w:szCs w:val="24"/>
        </w:rPr>
        <w:t xml:space="preserve"> </w:t>
      </w:r>
      <w:r>
        <w:rPr>
          <w:spacing w:val="2"/>
          <w:sz w:val="24"/>
          <w:szCs w:val="24"/>
        </w:rPr>
        <w:t>J</w:t>
      </w:r>
      <w:r>
        <w:rPr>
          <w:sz w:val="24"/>
          <w:szCs w:val="24"/>
        </w:rPr>
        <w:t>.</w:t>
      </w:r>
      <w:r>
        <w:rPr>
          <w:spacing w:val="1"/>
          <w:sz w:val="24"/>
          <w:szCs w:val="24"/>
        </w:rPr>
        <w:t xml:space="preserve"> </w:t>
      </w:r>
      <w:r>
        <w:rPr>
          <w:sz w:val="24"/>
          <w:szCs w:val="24"/>
        </w:rPr>
        <w:t xml:space="preserve">H. (2016). </w:t>
      </w:r>
      <w:r>
        <w:rPr>
          <w:spacing w:val="-1"/>
          <w:sz w:val="24"/>
          <w:szCs w:val="24"/>
        </w:rPr>
        <w:t>P</w:t>
      </w:r>
      <w:r>
        <w:rPr>
          <w:spacing w:val="2"/>
          <w:sz w:val="24"/>
          <w:szCs w:val="24"/>
        </w:rPr>
        <w:t>h</w:t>
      </w:r>
      <w:r>
        <w:rPr>
          <w:spacing w:val="-5"/>
          <w:sz w:val="24"/>
          <w:szCs w:val="24"/>
        </w:rPr>
        <w:t>y</w:t>
      </w:r>
      <w:r>
        <w:rPr>
          <w:sz w:val="24"/>
          <w:szCs w:val="24"/>
        </w:rPr>
        <w:t>toc</w:t>
      </w:r>
      <w:r>
        <w:rPr>
          <w:spacing w:val="2"/>
          <w:sz w:val="24"/>
          <w:szCs w:val="24"/>
        </w:rPr>
        <w:t>h</w:t>
      </w:r>
      <w:r>
        <w:rPr>
          <w:spacing w:val="-1"/>
          <w:sz w:val="24"/>
          <w:szCs w:val="24"/>
        </w:rPr>
        <w:t>e</w:t>
      </w:r>
      <w:r>
        <w:rPr>
          <w:sz w:val="24"/>
          <w:szCs w:val="24"/>
        </w:rPr>
        <w:t>m</w:t>
      </w:r>
      <w:r>
        <w:rPr>
          <w:spacing w:val="1"/>
          <w:sz w:val="24"/>
          <w:szCs w:val="24"/>
        </w:rPr>
        <w:t>i</w:t>
      </w:r>
      <w:r>
        <w:rPr>
          <w:spacing w:val="-1"/>
          <w:sz w:val="24"/>
          <w:szCs w:val="24"/>
        </w:rPr>
        <w:t>ca</w:t>
      </w:r>
      <w:r>
        <w:rPr>
          <w:sz w:val="24"/>
          <w:szCs w:val="24"/>
        </w:rPr>
        <w:t>ls:</w:t>
      </w:r>
      <w:r>
        <w:rPr>
          <w:spacing w:val="2"/>
          <w:sz w:val="24"/>
          <w:szCs w:val="24"/>
        </w:rPr>
        <w:t xml:space="preserve"> </w:t>
      </w:r>
      <w:r>
        <w:rPr>
          <w:spacing w:val="-1"/>
          <w:sz w:val="24"/>
          <w:szCs w:val="24"/>
        </w:rPr>
        <w:t>e</w:t>
      </w:r>
      <w:r>
        <w:rPr>
          <w:spacing w:val="2"/>
          <w:sz w:val="24"/>
          <w:szCs w:val="24"/>
        </w:rPr>
        <w:t>x</w:t>
      </w:r>
      <w:r>
        <w:rPr>
          <w:sz w:val="24"/>
          <w:szCs w:val="24"/>
        </w:rPr>
        <w:t>tr</w:t>
      </w:r>
      <w:r>
        <w:rPr>
          <w:spacing w:val="-1"/>
          <w:sz w:val="24"/>
          <w:szCs w:val="24"/>
        </w:rPr>
        <w:t>ac</w:t>
      </w:r>
      <w:r>
        <w:rPr>
          <w:sz w:val="24"/>
          <w:szCs w:val="24"/>
        </w:rPr>
        <w:t>t</w:t>
      </w:r>
      <w:r>
        <w:rPr>
          <w:spacing w:val="1"/>
          <w:sz w:val="24"/>
          <w:szCs w:val="24"/>
        </w:rPr>
        <w:t>i</w:t>
      </w:r>
      <w:r>
        <w:rPr>
          <w:sz w:val="24"/>
          <w:szCs w:val="24"/>
        </w:rPr>
        <w:t>on</w:t>
      </w:r>
      <w:r>
        <w:rPr>
          <w:spacing w:val="1"/>
          <w:sz w:val="24"/>
          <w:szCs w:val="24"/>
        </w:rPr>
        <w:t xml:space="preserve"> </w:t>
      </w:r>
      <w:r>
        <w:rPr>
          <w:sz w:val="24"/>
          <w:szCs w:val="24"/>
        </w:rPr>
        <w:t>methods,</w:t>
      </w:r>
      <w:r>
        <w:rPr>
          <w:spacing w:val="1"/>
          <w:sz w:val="24"/>
          <w:szCs w:val="24"/>
        </w:rPr>
        <w:t xml:space="preserve"> </w:t>
      </w:r>
      <w:r>
        <w:rPr>
          <w:sz w:val="24"/>
          <w:szCs w:val="24"/>
        </w:rPr>
        <w:t>b</w:t>
      </w:r>
      <w:r>
        <w:rPr>
          <w:spacing w:val="-1"/>
          <w:sz w:val="24"/>
          <w:szCs w:val="24"/>
        </w:rPr>
        <w:t>a</w:t>
      </w:r>
      <w:r>
        <w:rPr>
          <w:sz w:val="24"/>
          <w:szCs w:val="24"/>
        </w:rPr>
        <w:t>s</w:t>
      </w:r>
      <w:r>
        <w:rPr>
          <w:spacing w:val="4"/>
          <w:sz w:val="24"/>
          <w:szCs w:val="24"/>
        </w:rPr>
        <w:t>i</w:t>
      </w:r>
      <w:r>
        <w:rPr>
          <w:sz w:val="24"/>
          <w:szCs w:val="24"/>
        </w:rPr>
        <w:t>c stru</w:t>
      </w:r>
      <w:r>
        <w:rPr>
          <w:spacing w:val="-1"/>
          <w:sz w:val="24"/>
          <w:szCs w:val="24"/>
        </w:rPr>
        <w:t>c</w:t>
      </w:r>
      <w:r>
        <w:rPr>
          <w:sz w:val="24"/>
          <w:szCs w:val="24"/>
        </w:rPr>
        <w:t>tur</w:t>
      </w:r>
      <w:r>
        <w:rPr>
          <w:spacing w:val="-1"/>
          <w:sz w:val="24"/>
          <w:szCs w:val="24"/>
        </w:rPr>
        <w:t>e</w:t>
      </w:r>
      <w:r>
        <w:rPr>
          <w:sz w:val="24"/>
          <w:szCs w:val="24"/>
        </w:rPr>
        <w:t>s</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 xml:space="preserve">mode of </w:t>
      </w:r>
      <w:r>
        <w:rPr>
          <w:spacing w:val="-1"/>
          <w:sz w:val="24"/>
          <w:szCs w:val="24"/>
        </w:rPr>
        <w:t>ac</w:t>
      </w:r>
      <w:r>
        <w:rPr>
          <w:sz w:val="24"/>
          <w:szCs w:val="24"/>
        </w:rPr>
        <w:t>t</w:t>
      </w:r>
      <w:r>
        <w:rPr>
          <w:spacing w:val="1"/>
          <w:sz w:val="24"/>
          <w:szCs w:val="24"/>
        </w:rPr>
        <w:t>i</w:t>
      </w:r>
      <w:r>
        <w:rPr>
          <w:sz w:val="24"/>
          <w:szCs w:val="24"/>
        </w:rPr>
        <w:t xml:space="preserve">on </w:t>
      </w:r>
      <w:r>
        <w:rPr>
          <w:spacing w:val="-1"/>
          <w:sz w:val="24"/>
          <w:szCs w:val="24"/>
        </w:rPr>
        <w:t>a</w:t>
      </w:r>
      <w:r>
        <w:rPr>
          <w:sz w:val="24"/>
          <w:szCs w:val="24"/>
        </w:rPr>
        <w:t>s</w:t>
      </w:r>
      <w:r>
        <w:rPr>
          <w:spacing w:val="1"/>
          <w:sz w:val="24"/>
          <w:szCs w:val="24"/>
        </w:rPr>
        <w:t xml:space="preserve"> </w:t>
      </w:r>
      <w:r>
        <w:rPr>
          <w:sz w:val="24"/>
          <w:szCs w:val="24"/>
        </w:rPr>
        <w:t>potential</w:t>
      </w:r>
      <w:r>
        <w:rPr>
          <w:spacing w:val="1"/>
          <w:sz w:val="24"/>
          <w:szCs w:val="24"/>
        </w:rPr>
        <w:t xml:space="preserve"> </w:t>
      </w:r>
      <w:r>
        <w:rPr>
          <w:spacing w:val="-1"/>
          <w:sz w:val="24"/>
          <w:szCs w:val="24"/>
        </w:rPr>
        <w:t>c</w:t>
      </w:r>
      <w:r>
        <w:rPr>
          <w:sz w:val="24"/>
          <w:szCs w:val="24"/>
        </w:rPr>
        <w:t>h</w:t>
      </w:r>
      <w:r>
        <w:rPr>
          <w:spacing w:val="-1"/>
          <w:sz w:val="24"/>
          <w:szCs w:val="24"/>
        </w:rPr>
        <w:t>e</w:t>
      </w:r>
      <w:r>
        <w:rPr>
          <w:sz w:val="24"/>
          <w:szCs w:val="24"/>
        </w:rPr>
        <w:t>mo</w:t>
      </w:r>
      <w:r>
        <w:rPr>
          <w:spacing w:val="1"/>
          <w:sz w:val="24"/>
          <w:szCs w:val="24"/>
        </w:rPr>
        <w:t>t</w:t>
      </w:r>
      <w:r>
        <w:rPr>
          <w:sz w:val="24"/>
          <w:szCs w:val="24"/>
        </w:rPr>
        <w:t>h</w:t>
      </w:r>
      <w:r>
        <w:rPr>
          <w:spacing w:val="-1"/>
          <w:sz w:val="24"/>
          <w:szCs w:val="24"/>
        </w:rPr>
        <w:t>e</w:t>
      </w:r>
      <w:r>
        <w:rPr>
          <w:sz w:val="24"/>
          <w:szCs w:val="24"/>
        </w:rPr>
        <w:t>r</w:t>
      </w:r>
      <w:r>
        <w:rPr>
          <w:spacing w:val="-2"/>
          <w:sz w:val="24"/>
          <w:szCs w:val="24"/>
        </w:rPr>
        <w:t>a</w:t>
      </w:r>
      <w:r>
        <w:rPr>
          <w:spacing w:val="2"/>
          <w:sz w:val="24"/>
          <w:szCs w:val="24"/>
        </w:rPr>
        <w:t>p</w:t>
      </w:r>
      <w:r>
        <w:rPr>
          <w:spacing w:val="-1"/>
          <w:sz w:val="24"/>
          <w:szCs w:val="24"/>
        </w:rPr>
        <w:t>e</w:t>
      </w:r>
      <w:r>
        <w:rPr>
          <w:sz w:val="24"/>
          <w:szCs w:val="24"/>
        </w:rPr>
        <w:t>ut</w:t>
      </w:r>
      <w:r>
        <w:rPr>
          <w:spacing w:val="1"/>
          <w:sz w:val="24"/>
          <w:szCs w:val="24"/>
        </w:rPr>
        <w:t>i</w:t>
      </w:r>
      <w:r>
        <w:rPr>
          <w:sz w:val="24"/>
          <w:szCs w:val="24"/>
        </w:rPr>
        <w:t xml:space="preserve">c </w:t>
      </w:r>
      <w:r>
        <w:rPr>
          <w:spacing w:val="-1"/>
          <w:sz w:val="24"/>
          <w:szCs w:val="24"/>
        </w:rPr>
        <w:t>a</w:t>
      </w:r>
      <w:r>
        <w:rPr>
          <w:sz w:val="24"/>
          <w:szCs w:val="24"/>
        </w:rPr>
        <w:t>g</w:t>
      </w:r>
      <w:r>
        <w:rPr>
          <w:spacing w:val="-1"/>
          <w:sz w:val="24"/>
          <w:szCs w:val="24"/>
        </w:rPr>
        <w:t>e</w:t>
      </w:r>
      <w:r>
        <w:rPr>
          <w:sz w:val="24"/>
          <w:szCs w:val="24"/>
        </w:rPr>
        <w:t>nts.</w:t>
      </w:r>
      <w:r>
        <w:rPr>
          <w:spacing w:val="2"/>
          <w:sz w:val="24"/>
          <w:szCs w:val="24"/>
        </w:rPr>
        <w:t xml:space="preserve"> </w:t>
      </w:r>
      <w:r>
        <w:rPr>
          <w:spacing w:val="1"/>
          <w:sz w:val="24"/>
          <w:szCs w:val="24"/>
        </w:rPr>
        <w:t>P</w:t>
      </w:r>
      <w:r>
        <w:rPr>
          <w:spacing w:val="2"/>
          <w:sz w:val="24"/>
          <w:szCs w:val="24"/>
        </w:rPr>
        <w:t>h</w:t>
      </w:r>
      <w:r>
        <w:rPr>
          <w:spacing w:val="-7"/>
          <w:sz w:val="24"/>
          <w:szCs w:val="24"/>
        </w:rPr>
        <w:t>y</w:t>
      </w:r>
      <w:r>
        <w:rPr>
          <w:sz w:val="24"/>
          <w:szCs w:val="24"/>
        </w:rPr>
        <w:t>t</w:t>
      </w:r>
      <w:r>
        <w:rPr>
          <w:spacing w:val="3"/>
          <w:sz w:val="24"/>
          <w:szCs w:val="24"/>
        </w:rPr>
        <w:t>o</w:t>
      </w:r>
      <w:r>
        <w:rPr>
          <w:spacing w:val="-1"/>
          <w:sz w:val="24"/>
          <w:szCs w:val="24"/>
        </w:rPr>
        <w:t>c</w:t>
      </w:r>
      <w:r>
        <w:rPr>
          <w:sz w:val="24"/>
          <w:szCs w:val="24"/>
        </w:rPr>
        <w:t>h</w:t>
      </w:r>
      <w:r>
        <w:rPr>
          <w:spacing w:val="-1"/>
          <w:sz w:val="24"/>
          <w:szCs w:val="24"/>
        </w:rPr>
        <w:t>e</w:t>
      </w:r>
      <w:r>
        <w:rPr>
          <w:sz w:val="24"/>
          <w:szCs w:val="24"/>
        </w:rPr>
        <w:t>m</w:t>
      </w:r>
      <w:r>
        <w:rPr>
          <w:spacing w:val="3"/>
          <w:sz w:val="24"/>
          <w:szCs w:val="24"/>
        </w:rPr>
        <w:t>i</w:t>
      </w:r>
      <w:r>
        <w:rPr>
          <w:spacing w:val="-1"/>
          <w:sz w:val="24"/>
          <w:szCs w:val="24"/>
        </w:rPr>
        <w:t>ca</w:t>
      </w:r>
      <w:r>
        <w:rPr>
          <w:sz w:val="24"/>
          <w:szCs w:val="24"/>
        </w:rPr>
        <w:t>l</w:t>
      </w:r>
      <w:r>
        <w:rPr>
          <w:spacing w:val="4"/>
          <w:sz w:val="24"/>
          <w:szCs w:val="24"/>
        </w:rPr>
        <w:t>s</w:t>
      </w:r>
      <w:r>
        <w:rPr>
          <w:spacing w:val="-1"/>
          <w:sz w:val="24"/>
          <w:szCs w:val="24"/>
        </w:rPr>
        <w:t>-</w:t>
      </w:r>
      <w:r>
        <w:rPr>
          <w:sz w:val="24"/>
          <w:szCs w:val="24"/>
        </w:rPr>
        <w:t>A Glob</w:t>
      </w:r>
      <w:r>
        <w:rPr>
          <w:spacing w:val="-1"/>
          <w:sz w:val="24"/>
          <w:szCs w:val="24"/>
        </w:rPr>
        <w:t>a</w:t>
      </w:r>
      <w:r>
        <w:rPr>
          <w:sz w:val="24"/>
          <w:szCs w:val="24"/>
        </w:rPr>
        <w:t>l</w:t>
      </w:r>
      <w:r>
        <w:rPr>
          <w:spacing w:val="1"/>
          <w:sz w:val="24"/>
          <w:szCs w:val="24"/>
        </w:rPr>
        <w:t xml:space="preserve"> P</w:t>
      </w:r>
      <w:r>
        <w:rPr>
          <w:spacing w:val="-1"/>
          <w:sz w:val="24"/>
          <w:szCs w:val="24"/>
        </w:rPr>
        <w:t>e</w:t>
      </w:r>
      <w:r>
        <w:rPr>
          <w:sz w:val="24"/>
          <w:szCs w:val="24"/>
        </w:rPr>
        <w:t>rsp</w:t>
      </w:r>
      <w:r>
        <w:rPr>
          <w:spacing w:val="-1"/>
          <w:sz w:val="24"/>
          <w:szCs w:val="24"/>
        </w:rPr>
        <w:t>ec</w:t>
      </w:r>
      <w:r>
        <w:rPr>
          <w:sz w:val="24"/>
          <w:szCs w:val="24"/>
        </w:rPr>
        <w:t>t</w:t>
      </w:r>
      <w:r>
        <w:rPr>
          <w:spacing w:val="1"/>
          <w:sz w:val="24"/>
          <w:szCs w:val="24"/>
        </w:rPr>
        <w:t>i</w:t>
      </w:r>
      <w:r>
        <w:rPr>
          <w:spacing w:val="2"/>
          <w:sz w:val="24"/>
          <w:szCs w:val="24"/>
        </w:rPr>
        <w:t>v</w:t>
      </w:r>
      <w:r>
        <w:rPr>
          <w:sz w:val="24"/>
          <w:szCs w:val="24"/>
        </w:rPr>
        <w:t>e</w:t>
      </w:r>
      <w:r>
        <w:rPr>
          <w:spacing w:val="2"/>
          <w:sz w:val="24"/>
          <w:szCs w:val="24"/>
        </w:rPr>
        <w:t xml:space="preserve"> </w:t>
      </w:r>
      <w:r>
        <w:rPr>
          <w:sz w:val="24"/>
          <w:szCs w:val="24"/>
        </w:rPr>
        <w:t xml:space="preserve">of their </w:t>
      </w:r>
      <w:r>
        <w:rPr>
          <w:sz w:val="24"/>
          <w:szCs w:val="24"/>
        </w:rPr>
        <w:t>Role in Nutrition and h</w:t>
      </w:r>
      <w:r>
        <w:rPr>
          <w:spacing w:val="-1"/>
          <w:sz w:val="24"/>
          <w:szCs w:val="24"/>
        </w:rPr>
        <w:t>ea</w:t>
      </w:r>
      <w:r>
        <w:rPr>
          <w:sz w:val="24"/>
          <w:szCs w:val="24"/>
        </w:rPr>
        <w:t>l</w:t>
      </w:r>
      <w:r>
        <w:rPr>
          <w:spacing w:val="1"/>
          <w:sz w:val="24"/>
          <w:szCs w:val="24"/>
        </w:rPr>
        <w:t>t</w:t>
      </w:r>
      <w:r>
        <w:rPr>
          <w:sz w:val="24"/>
          <w:szCs w:val="24"/>
        </w:rPr>
        <w:t>h.</w:t>
      </w:r>
      <w:r>
        <w:rPr>
          <w:spacing w:val="1"/>
          <w:sz w:val="24"/>
          <w:szCs w:val="24"/>
        </w:rPr>
        <w:t xml:space="preserve"> </w:t>
      </w:r>
      <w:r>
        <w:rPr>
          <w:i/>
          <w:sz w:val="24"/>
          <w:szCs w:val="24"/>
        </w:rPr>
        <w:t>PLoS Pathogens</w:t>
      </w:r>
      <w:r>
        <w:rPr>
          <w:sz w:val="24"/>
          <w:szCs w:val="24"/>
        </w:rPr>
        <w:t xml:space="preserve">, </w:t>
      </w:r>
      <w:r>
        <w:rPr>
          <w:sz w:val="24"/>
          <w:szCs w:val="24"/>
        </w:rPr>
        <w:tab/>
        <w:t>3:1-27.</w:t>
      </w:r>
    </w:p>
    <w:p w:rsidR="001104CA" w:rsidRDefault="00C032A7">
      <w:pPr>
        <w:spacing w:before="240" w:line="480" w:lineRule="auto"/>
        <w:ind w:left="720" w:right="74" w:hanging="720"/>
        <w:jc w:val="both"/>
        <w:rPr>
          <w:sz w:val="24"/>
          <w:szCs w:val="24"/>
        </w:rPr>
      </w:pPr>
      <w:r>
        <w:rPr>
          <w:sz w:val="24"/>
          <w:szCs w:val="24"/>
        </w:rPr>
        <w:t>Erb, M., &amp; Kliebenstein, D. J. (2020). Plant secondary metabolites as defenses, regulators, and primary metabolites: The blurred functional trichotomy. Plant Physiology, 184(3), 39-43</w:t>
      </w:r>
    </w:p>
    <w:p w:rsidR="001104CA" w:rsidRDefault="00C032A7">
      <w:pPr>
        <w:spacing w:before="240" w:line="480" w:lineRule="auto"/>
        <w:ind w:left="720" w:hanging="720"/>
        <w:jc w:val="both"/>
        <w:rPr>
          <w:rFonts w:eastAsia="SimSun"/>
          <w:color w:val="000000"/>
          <w:sz w:val="24"/>
          <w:szCs w:val="24"/>
          <w:lang w:eastAsia="zh-CN"/>
        </w:rPr>
      </w:pPr>
      <w:r>
        <w:rPr>
          <w:rFonts w:eastAsia="SimSun"/>
          <w:color w:val="000000"/>
          <w:sz w:val="24"/>
          <w:szCs w:val="24"/>
          <w:lang w:eastAsia="zh-CN"/>
        </w:rPr>
        <w:t>Ghasemzadeh A., J</w:t>
      </w:r>
      <w:r>
        <w:rPr>
          <w:rFonts w:eastAsia="SimSun"/>
          <w:color w:val="000000"/>
          <w:sz w:val="24"/>
          <w:szCs w:val="24"/>
          <w:lang w:eastAsia="zh-CN"/>
        </w:rPr>
        <w:t>aafar H. Z. E., Rahmat A., Wahab P. E. M. and Halim M. R. A. (2010): Effect of Different Light Intensities on Total Phenolics and Flavonoids Synthesis and Anti-oxidant Activities in Young Ginger Varieties (</w:t>
      </w:r>
      <w:r>
        <w:rPr>
          <w:rFonts w:eastAsia="SimSun"/>
          <w:i/>
          <w:iCs/>
          <w:color w:val="000000"/>
          <w:sz w:val="24"/>
          <w:szCs w:val="24"/>
          <w:lang w:eastAsia="zh-CN"/>
        </w:rPr>
        <w:t xml:space="preserve">Zingiber officinale </w:t>
      </w:r>
      <w:r>
        <w:rPr>
          <w:rFonts w:eastAsia="SimSun"/>
          <w:color w:val="000000"/>
          <w:sz w:val="24"/>
          <w:szCs w:val="24"/>
          <w:lang w:eastAsia="zh-CN"/>
        </w:rPr>
        <w:t xml:space="preserve">Roscoe) </w:t>
      </w:r>
      <w:r>
        <w:rPr>
          <w:rFonts w:eastAsia="SimSun"/>
          <w:i/>
          <w:iCs/>
          <w:color w:val="000000"/>
          <w:sz w:val="24"/>
          <w:szCs w:val="24"/>
          <w:lang w:eastAsia="zh-CN"/>
        </w:rPr>
        <w:t xml:space="preserve">Int. J. Mol. Sci. </w:t>
      </w:r>
      <w:r>
        <w:rPr>
          <w:rFonts w:eastAsia="SimSun"/>
          <w:color w:val="000000"/>
          <w:sz w:val="24"/>
          <w:szCs w:val="24"/>
          <w:lang w:eastAsia="zh-CN"/>
        </w:rPr>
        <w:t xml:space="preserve">11, </w:t>
      </w:r>
      <w:r>
        <w:rPr>
          <w:rFonts w:eastAsia="SimSun"/>
          <w:color w:val="000000"/>
          <w:sz w:val="24"/>
          <w:szCs w:val="24"/>
          <w:lang w:eastAsia="zh-CN"/>
        </w:rPr>
        <w:t>3885-3897; Doi:10.3390/ijms11103885.</w:t>
      </w:r>
    </w:p>
    <w:p w:rsidR="001104CA" w:rsidRDefault="00C032A7">
      <w:pPr>
        <w:spacing w:line="480" w:lineRule="auto"/>
        <w:ind w:left="709" w:hanging="720"/>
        <w:jc w:val="both"/>
        <w:rPr>
          <w:rFonts w:eastAsia="SimSun"/>
          <w:color w:val="000000"/>
          <w:sz w:val="24"/>
          <w:szCs w:val="24"/>
          <w:lang w:eastAsia="zh-CN"/>
        </w:rPr>
      </w:pPr>
      <w:r>
        <w:rPr>
          <w:rFonts w:eastAsia="SimSun"/>
          <w:color w:val="222222"/>
          <w:sz w:val="24"/>
          <w:szCs w:val="24"/>
          <w:shd w:val="clear" w:color="auto" w:fill="FFFFFF"/>
        </w:rPr>
        <w:t>Gómez-Gaviria, M., &amp; Mora-Montes, H. M. (2020). Current aspects in the biology, pathogeny, and treatment of Candida krusei, a neglected fungal pathogen. </w:t>
      </w:r>
      <w:r>
        <w:rPr>
          <w:rFonts w:eastAsia="SimSun"/>
          <w:i/>
          <w:iCs/>
          <w:color w:val="222222"/>
          <w:sz w:val="24"/>
          <w:szCs w:val="24"/>
          <w:shd w:val="clear" w:color="auto" w:fill="FFFFFF"/>
        </w:rPr>
        <w:t>Infection and drug resistance</w:t>
      </w:r>
      <w:r>
        <w:rPr>
          <w:rFonts w:eastAsia="SimSun"/>
          <w:color w:val="222222"/>
          <w:sz w:val="24"/>
          <w:szCs w:val="24"/>
          <w:shd w:val="clear" w:color="auto" w:fill="FFFFFF"/>
        </w:rPr>
        <w:t>, 1673-1689.</w:t>
      </w:r>
    </w:p>
    <w:p w:rsidR="001104CA" w:rsidRDefault="00C032A7">
      <w:pPr>
        <w:spacing w:line="480" w:lineRule="auto"/>
        <w:ind w:left="709" w:hanging="720"/>
        <w:jc w:val="both"/>
        <w:rPr>
          <w:sz w:val="24"/>
          <w:szCs w:val="24"/>
        </w:rPr>
      </w:pPr>
      <w:r>
        <w:rPr>
          <w:sz w:val="24"/>
          <w:szCs w:val="24"/>
        </w:rPr>
        <w:t>Gonzalez, M.W., Kann, M.</w:t>
      </w:r>
      <w:r>
        <w:rPr>
          <w:sz w:val="24"/>
          <w:szCs w:val="24"/>
        </w:rPr>
        <w:t xml:space="preserve">G., (2012). Chapter 4: Protein interactions and disease. </w:t>
      </w:r>
      <w:r>
        <w:rPr>
          <w:i/>
          <w:sz w:val="24"/>
          <w:szCs w:val="24"/>
        </w:rPr>
        <w:t>J. PLoS Comput. Biol</w:t>
      </w:r>
      <w:r>
        <w:rPr>
          <w:sz w:val="24"/>
          <w:szCs w:val="24"/>
        </w:rPr>
        <w:t>. 8, e1002819.</w:t>
      </w:r>
    </w:p>
    <w:p w:rsidR="001104CA" w:rsidRDefault="00C032A7">
      <w:pPr>
        <w:spacing w:line="480" w:lineRule="auto"/>
        <w:ind w:right="76"/>
        <w:jc w:val="both"/>
        <w:rPr>
          <w:sz w:val="24"/>
          <w:szCs w:val="24"/>
        </w:rPr>
      </w:pPr>
      <w:r>
        <w:rPr>
          <w:sz w:val="24"/>
          <w:szCs w:val="24"/>
        </w:rPr>
        <w:t xml:space="preserve">Kraut, J. A., &amp; Madias, N. E. (2012). Metabolic acidosis: pathophysiology, diagnosis </w:t>
      </w:r>
      <w:r>
        <w:rPr>
          <w:sz w:val="24"/>
          <w:szCs w:val="24"/>
        </w:rPr>
        <w:tab/>
      </w:r>
      <w:r>
        <w:rPr>
          <w:sz w:val="24"/>
          <w:szCs w:val="24"/>
        </w:rPr>
        <w:t xml:space="preserve">and management. </w:t>
      </w:r>
      <w:r>
        <w:rPr>
          <w:rStyle w:val="Emphasis"/>
          <w:sz w:val="24"/>
          <w:szCs w:val="24"/>
        </w:rPr>
        <w:t>Nature Reviews Nephrology</w:t>
      </w:r>
      <w:r>
        <w:rPr>
          <w:sz w:val="24"/>
          <w:szCs w:val="24"/>
        </w:rPr>
        <w:t>, 8(10), 589–601</w:t>
      </w:r>
      <w:r>
        <w:rPr>
          <w:sz w:val="24"/>
          <w:szCs w:val="24"/>
        </w:rPr>
        <w:t>.</w:t>
      </w:r>
    </w:p>
    <w:p w:rsidR="001104CA" w:rsidRDefault="00C032A7">
      <w:pPr>
        <w:spacing w:before="240" w:line="480" w:lineRule="auto"/>
        <w:ind w:left="720" w:hanging="720"/>
        <w:jc w:val="both"/>
        <w:rPr>
          <w:rFonts w:eastAsia="SimSun"/>
          <w:sz w:val="24"/>
          <w:szCs w:val="24"/>
        </w:rPr>
      </w:pPr>
      <w:r>
        <w:rPr>
          <w:rFonts w:eastAsia="SimSun"/>
          <w:sz w:val="24"/>
          <w:szCs w:val="24"/>
        </w:rPr>
        <w:lastRenderedPageBreak/>
        <w:t>Kishimoto, T. (2005</w:t>
      </w:r>
      <w:r>
        <w:rPr>
          <w:rFonts w:eastAsia="SimSun"/>
          <w:sz w:val="24"/>
          <w:szCs w:val="24"/>
        </w:rPr>
        <w:t xml:space="preserve">). Interleukin-6: From basic science to medicine. </w:t>
      </w:r>
      <w:r>
        <w:rPr>
          <w:rStyle w:val="Emphasis"/>
          <w:rFonts w:eastAsia="SimSun"/>
          <w:sz w:val="24"/>
          <w:szCs w:val="24"/>
        </w:rPr>
        <w:t>Annual Review of Immunology</w:t>
      </w:r>
      <w:r>
        <w:rPr>
          <w:rFonts w:eastAsia="SimSun"/>
          <w:sz w:val="24"/>
          <w:szCs w:val="24"/>
        </w:rPr>
        <w:t>, 23, 1–21.</w:t>
      </w:r>
    </w:p>
    <w:p w:rsidR="001104CA" w:rsidRDefault="00C032A7">
      <w:pPr>
        <w:spacing w:before="240" w:line="480" w:lineRule="auto"/>
        <w:ind w:left="720" w:hanging="720"/>
        <w:jc w:val="both"/>
        <w:rPr>
          <w:sz w:val="24"/>
          <w:szCs w:val="24"/>
          <w:lang w:eastAsia="zh-CN"/>
        </w:rPr>
      </w:pPr>
      <w:r>
        <w:rPr>
          <w:sz w:val="24"/>
          <w:szCs w:val="24"/>
        </w:rPr>
        <w:t xml:space="preserve">Kishimoto, T. (2005). Interleukin-6: Discovery of a pleiotropic cytokine. </w:t>
      </w:r>
      <w:r>
        <w:rPr>
          <w:rStyle w:val="Emphasis"/>
          <w:sz w:val="24"/>
          <w:szCs w:val="24"/>
        </w:rPr>
        <w:t>Arthritis Research &amp; Therapy</w:t>
      </w:r>
      <w:r>
        <w:rPr>
          <w:sz w:val="24"/>
          <w:szCs w:val="24"/>
        </w:rPr>
        <w:t xml:space="preserve">, 7(Suppl 2), S2. </w:t>
      </w:r>
    </w:p>
    <w:p w:rsidR="001104CA" w:rsidRDefault="00C032A7">
      <w:pPr>
        <w:pStyle w:val="NormalWeb"/>
        <w:spacing w:before="240" w:beforeAutospacing="0" w:after="0" w:afterAutospacing="0" w:line="480" w:lineRule="auto"/>
        <w:ind w:left="720" w:hanging="720"/>
        <w:jc w:val="both"/>
      </w:pPr>
      <w:r>
        <w:t>Liamis, G., Milionis, H. J., &amp;</w:t>
      </w:r>
      <w:r>
        <w:t xml:space="preserve"> Elisaf, M. (2010). Electrolyte disorders associated with infectious diseases. </w:t>
      </w:r>
      <w:r>
        <w:rPr>
          <w:rStyle w:val="Emphasis"/>
        </w:rPr>
        <w:t>Clinical Microbiology and Infection</w:t>
      </w:r>
      <w:r>
        <w:t>, 16(7), 868–874.</w:t>
      </w:r>
    </w:p>
    <w:p w:rsidR="001104CA" w:rsidRDefault="00C032A7">
      <w:pPr>
        <w:spacing w:before="240" w:line="480" w:lineRule="auto"/>
        <w:ind w:left="720" w:hanging="720"/>
        <w:jc w:val="both"/>
        <w:rPr>
          <w:sz w:val="24"/>
          <w:szCs w:val="24"/>
          <w:lang w:eastAsia="zh-CN"/>
        </w:rPr>
      </w:pPr>
      <w:r>
        <w:rPr>
          <w:rFonts w:eastAsia="SimSun"/>
          <w:sz w:val="24"/>
          <w:szCs w:val="24"/>
        </w:rPr>
        <w:t xml:space="preserve">McInnes, I. B., &amp; Schett, G. (2007). Cytokines in the pathogenesis of rheumatoid </w:t>
      </w:r>
      <w:r>
        <w:rPr>
          <w:rFonts w:eastAsia="SimSun"/>
          <w:sz w:val="24"/>
          <w:szCs w:val="24"/>
        </w:rPr>
        <w:tab/>
        <w:t xml:space="preserve">arthritis. </w:t>
      </w:r>
      <w:r>
        <w:rPr>
          <w:rStyle w:val="Emphasis"/>
          <w:rFonts w:eastAsia="SimSun"/>
          <w:sz w:val="24"/>
          <w:szCs w:val="24"/>
        </w:rPr>
        <w:t>Nature Reviews Immunology</w:t>
      </w:r>
      <w:r>
        <w:rPr>
          <w:rFonts w:eastAsia="SimSun"/>
          <w:sz w:val="24"/>
          <w:szCs w:val="24"/>
        </w:rPr>
        <w:t>, 7(6)</w:t>
      </w:r>
      <w:r>
        <w:rPr>
          <w:rFonts w:eastAsia="SimSun"/>
          <w:sz w:val="24"/>
          <w:szCs w:val="24"/>
        </w:rPr>
        <w:t>, 429–442.</w:t>
      </w:r>
    </w:p>
    <w:p w:rsidR="001104CA" w:rsidRDefault="00C032A7">
      <w:pPr>
        <w:spacing w:before="240" w:line="480" w:lineRule="auto"/>
        <w:ind w:left="720" w:hanging="720"/>
        <w:jc w:val="both"/>
        <w:rPr>
          <w:rFonts w:eastAsia="SimSun"/>
          <w:color w:val="000000"/>
          <w:sz w:val="24"/>
          <w:szCs w:val="24"/>
          <w:lang w:eastAsia="zh-CN"/>
        </w:rPr>
      </w:pPr>
      <w:r>
        <w:rPr>
          <w:rFonts w:eastAsia="SimSun"/>
          <w:color w:val="000000"/>
          <w:sz w:val="24"/>
          <w:szCs w:val="24"/>
          <w:lang w:eastAsia="zh-CN"/>
        </w:rPr>
        <w:t xml:space="preserve">McKay DL, Chen CY, Zampariello CA, and Blumberg JB (2015): Flavonoids and Phenolic Acids from Cranberry Juice are Bioavailable and Bioactive in Healthy Older Adults. </w:t>
      </w:r>
      <w:r>
        <w:rPr>
          <w:rFonts w:eastAsia="SimSun"/>
          <w:i/>
          <w:iCs/>
          <w:color w:val="000000"/>
          <w:sz w:val="24"/>
          <w:szCs w:val="24"/>
          <w:lang w:eastAsia="zh-CN"/>
        </w:rPr>
        <w:t xml:space="preserve">Food Chem </w:t>
      </w:r>
      <w:r>
        <w:rPr>
          <w:rFonts w:eastAsia="SimSun"/>
          <w:color w:val="000000"/>
          <w:sz w:val="24"/>
          <w:szCs w:val="24"/>
          <w:lang w:eastAsia="zh-CN"/>
        </w:rPr>
        <w:t>168: 233—240.</w:t>
      </w:r>
    </w:p>
    <w:p w:rsidR="001104CA" w:rsidRDefault="00C032A7">
      <w:pPr>
        <w:spacing w:before="240" w:line="480" w:lineRule="auto"/>
        <w:ind w:left="720" w:hanging="720"/>
        <w:jc w:val="both"/>
        <w:rPr>
          <w:rFonts w:eastAsia="SimSun"/>
          <w:color w:val="000000"/>
          <w:sz w:val="24"/>
          <w:szCs w:val="24"/>
          <w:lang w:eastAsia="zh-CN"/>
        </w:rPr>
      </w:pPr>
      <w:r>
        <w:rPr>
          <w:rFonts w:eastAsia="SimSun"/>
          <w:color w:val="222222"/>
          <w:sz w:val="24"/>
          <w:szCs w:val="24"/>
          <w:shd w:val="clear" w:color="auto" w:fill="FFFFFF"/>
        </w:rPr>
        <w:t>Moiketsi, B. N., Makale, K. P., Rantong, G., Rahube, T.</w:t>
      </w:r>
      <w:r>
        <w:rPr>
          <w:rFonts w:eastAsia="SimSun"/>
          <w:color w:val="222222"/>
          <w:sz w:val="24"/>
          <w:szCs w:val="24"/>
          <w:shd w:val="clear" w:color="auto" w:fill="FFFFFF"/>
        </w:rPr>
        <w:t xml:space="preserve"> O., &amp; Makhzoum, A. (2023). Potential of selected African medicinal plants as alternative therapeutics </w:t>
      </w:r>
      <w:r>
        <w:rPr>
          <w:rFonts w:eastAsia="SimSun"/>
          <w:color w:val="222222"/>
          <w:sz w:val="24"/>
          <w:szCs w:val="24"/>
          <w:shd w:val="clear" w:color="auto" w:fill="FFFFFF"/>
        </w:rPr>
        <w:tab/>
        <w:t>against multi-drug-resistant bacteria. </w:t>
      </w:r>
      <w:r>
        <w:rPr>
          <w:rFonts w:eastAsia="SimSun"/>
          <w:i/>
          <w:iCs/>
          <w:color w:val="222222"/>
          <w:sz w:val="24"/>
          <w:szCs w:val="24"/>
          <w:shd w:val="clear" w:color="auto" w:fill="FFFFFF"/>
        </w:rPr>
        <w:t>Biomedicines</w:t>
      </w:r>
      <w:r>
        <w:rPr>
          <w:rFonts w:eastAsia="SimSun"/>
          <w:color w:val="222222"/>
          <w:sz w:val="24"/>
          <w:szCs w:val="24"/>
          <w:shd w:val="clear" w:color="auto" w:fill="FFFFFF"/>
        </w:rPr>
        <w:t>, </w:t>
      </w:r>
      <w:r>
        <w:rPr>
          <w:rFonts w:eastAsia="SimSun"/>
          <w:i/>
          <w:iCs/>
          <w:color w:val="222222"/>
          <w:sz w:val="24"/>
          <w:szCs w:val="24"/>
          <w:shd w:val="clear" w:color="auto" w:fill="FFFFFF"/>
        </w:rPr>
        <w:t>11</w:t>
      </w:r>
      <w:r>
        <w:rPr>
          <w:rFonts w:eastAsia="SimSun"/>
          <w:color w:val="222222"/>
          <w:sz w:val="24"/>
          <w:szCs w:val="24"/>
          <w:shd w:val="clear" w:color="auto" w:fill="FFFFFF"/>
        </w:rPr>
        <w:t>(10), 2605.</w:t>
      </w:r>
    </w:p>
    <w:p w:rsidR="001104CA" w:rsidRDefault="00C032A7">
      <w:pPr>
        <w:pStyle w:val="NormalWeb"/>
        <w:spacing w:before="240" w:beforeAutospacing="0" w:after="0" w:afterAutospacing="0" w:line="480" w:lineRule="auto"/>
        <w:ind w:left="720" w:hanging="720"/>
        <w:jc w:val="both"/>
        <w:rPr>
          <w:b/>
          <w:bCs/>
          <w:lang w:eastAsia="zh-CN"/>
        </w:rPr>
      </w:pPr>
      <w:r>
        <w:t>Nile, S. H., &amp;</w:t>
      </w:r>
      <w:r>
        <w:t xml:space="preserve"> Park, S. W. (2015). Chromatographic analysis, antioxidant, anti inflammatory, and xanthine oxidase inhibitory activities of ginger extracts. </w:t>
      </w:r>
      <w:r>
        <w:rPr>
          <w:rStyle w:val="Emphasis"/>
        </w:rPr>
        <w:t>Industrial Crops and Products</w:t>
      </w:r>
      <w:r>
        <w:t>, 70, 238–244.</w:t>
      </w:r>
    </w:p>
    <w:p w:rsidR="001104CA" w:rsidRDefault="00C032A7">
      <w:pPr>
        <w:spacing w:before="240" w:line="480" w:lineRule="auto"/>
        <w:ind w:left="720" w:hanging="720"/>
        <w:jc w:val="both"/>
        <w:rPr>
          <w:rFonts w:eastAsia="SimSun"/>
          <w:sz w:val="24"/>
          <w:szCs w:val="24"/>
        </w:rPr>
      </w:pPr>
      <w:r>
        <w:rPr>
          <w:rFonts w:eastAsia="SimSun"/>
          <w:sz w:val="24"/>
          <w:szCs w:val="24"/>
        </w:rPr>
        <w:t>O’Garra, A., &amp; Vieira, P. (2007). T(H)1 cells control themselves by pr</w:t>
      </w:r>
      <w:r>
        <w:rPr>
          <w:rFonts w:eastAsia="SimSun"/>
          <w:sz w:val="24"/>
          <w:szCs w:val="24"/>
        </w:rPr>
        <w:t xml:space="preserve">oducing interleukin-10 and interleukin-4. </w:t>
      </w:r>
      <w:r>
        <w:rPr>
          <w:rStyle w:val="Emphasis"/>
          <w:rFonts w:eastAsia="SimSun"/>
          <w:sz w:val="24"/>
          <w:szCs w:val="24"/>
        </w:rPr>
        <w:t>Nature Reviews Immunology</w:t>
      </w:r>
      <w:r>
        <w:rPr>
          <w:rFonts w:eastAsia="SimSun"/>
          <w:sz w:val="24"/>
          <w:szCs w:val="24"/>
        </w:rPr>
        <w:t>, 7(6), 425–428.</w:t>
      </w:r>
    </w:p>
    <w:p w:rsidR="001104CA" w:rsidRDefault="00C032A7">
      <w:pPr>
        <w:spacing w:before="240" w:line="480" w:lineRule="auto"/>
        <w:ind w:left="720" w:hanging="720"/>
        <w:jc w:val="both"/>
        <w:rPr>
          <w:rFonts w:eastAsia="SimSun"/>
          <w:sz w:val="24"/>
          <w:szCs w:val="24"/>
        </w:rPr>
      </w:pPr>
      <w:r>
        <w:rPr>
          <w:sz w:val="24"/>
          <w:szCs w:val="24"/>
        </w:rPr>
        <w:t xml:space="preserve">O’Garra, A., &amp; Vieira, P. (2007). T cell subsets and regulation of Th1/Th2 balance. </w:t>
      </w:r>
      <w:r>
        <w:rPr>
          <w:rStyle w:val="Emphasis"/>
          <w:sz w:val="24"/>
          <w:szCs w:val="24"/>
        </w:rPr>
        <w:t>Microbes and Infection</w:t>
      </w:r>
      <w:r>
        <w:rPr>
          <w:sz w:val="24"/>
          <w:szCs w:val="24"/>
        </w:rPr>
        <w:t xml:space="preserve">, 9(6), 819–826. </w:t>
      </w:r>
    </w:p>
    <w:p w:rsidR="001104CA" w:rsidRDefault="00C032A7">
      <w:pPr>
        <w:spacing w:line="480" w:lineRule="auto"/>
        <w:ind w:left="709" w:hanging="720"/>
        <w:jc w:val="both"/>
        <w:rPr>
          <w:rFonts w:eastAsia="SimSun"/>
          <w:color w:val="222222"/>
          <w:sz w:val="24"/>
          <w:szCs w:val="24"/>
          <w:shd w:val="clear" w:color="auto" w:fill="FFFFFF"/>
        </w:rPr>
      </w:pPr>
      <w:r>
        <w:rPr>
          <w:rFonts w:eastAsia="SimSun"/>
          <w:color w:val="222222"/>
          <w:sz w:val="24"/>
          <w:szCs w:val="24"/>
          <w:shd w:val="clear" w:color="auto" w:fill="FFFFFF"/>
        </w:rPr>
        <w:lastRenderedPageBreak/>
        <w:t>Ostrosky-Zeichner, L., &amp; Sobel, J. D. (2023). Ca</w:t>
      </w:r>
      <w:r>
        <w:rPr>
          <w:rFonts w:eastAsia="SimSun"/>
          <w:color w:val="222222"/>
          <w:sz w:val="24"/>
          <w:szCs w:val="24"/>
          <w:shd w:val="clear" w:color="auto" w:fill="FFFFFF"/>
        </w:rPr>
        <w:t>ndidiasis. In </w:t>
      </w:r>
      <w:r>
        <w:rPr>
          <w:rFonts w:eastAsia="SimSun"/>
          <w:i/>
          <w:iCs/>
          <w:color w:val="222222"/>
          <w:sz w:val="24"/>
          <w:szCs w:val="24"/>
          <w:shd w:val="clear" w:color="auto" w:fill="FFFFFF"/>
        </w:rPr>
        <w:t>Diagnosis and Treatment of Fungal Infections</w:t>
      </w:r>
      <w:r>
        <w:rPr>
          <w:rFonts w:eastAsia="SimSun"/>
          <w:color w:val="222222"/>
          <w:sz w:val="24"/>
          <w:szCs w:val="24"/>
          <w:shd w:val="clear" w:color="auto" w:fill="FFFFFF"/>
        </w:rPr>
        <w:t> (pp. 151-166). Cham: Springer International Publishing.</w:t>
      </w:r>
    </w:p>
    <w:p w:rsidR="001104CA" w:rsidRDefault="00C032A7">
      <w:pPr>
        <w:pStyle w:val="NormalWeb"/>
        <w:spacing w:before="240" w:beforeAutospacing="0" w:after="0" w:afterAutospacing="0" w:line="480" w:lineRule="auto"/>
        <w:ind w:left="720" w:hanging="720"/>
        <w:jc w:val="both"/>
      </w:pPr>
      <w:r>
        <w:t xml:space="preserve">Palmer, B. F., &amp; Clegg, D. J. (2016). Physiology and pathophysiology of potassium homeostasis. </w:t>
      </w:r>
      <w:r>
        <w:rPr>
          <w:rStyle w:val="Emphasis"/>
        </w:rPr>
        <w:t>Advances in Physiology Education</w:t>
      </w:r>
      <w:r>
        <w:t>, 40(4), 480–4</w:t>
      </w:r>
      <w:r>
        <w:t>90.</w:t>
      </w:r>
    </w:p>
    <w:p w:rsidR="001104CA" w:rsidRDefault="00C032A7">
      <w:pPr>
        <w:spacing w:before="240" w:line="480" w:lineRule="auto"/>
        <w:ind w:left="720" w:hanging="720"/>
        <w:jc w:val="both"/>
        <w:rPr>
          <w:rFonts w:eastAsia="SimSun"/>
          <w:sz w:val="24"/>
          <w:szCs w:val="24"/>
        </w:rPr>
      </w:pPr>
      <w:r>
        <w:rPr>
          <w:rFonts w:eastAsia="SimSun"/>
          <w:sz w:val="24"/>
          <w:szCs w:val="24"/>
        </w:rPr>
        <w:t xml:space="preserve">Paul, W. E. (1991). Interleukin-4: A prototypic immunoregulatory lymphokine. </w:t>
      </w:r>
      <w:r>
        <w:rPr>
          <w:rStyle w:val="Emphasis"/>
          <w:rFonts w:eastAsia="SimSun"/>
          <w:sz w:val="24"/>
          <w:szCs w:val="24"/>
        </w:rPr>
        <w:t>Blood</w:t>
      </w:r>
      <w:r>
        <w:rPr>
          <w:rFonts w:eastAsia="SimSun"/>
          <w:sz w:val="24"/>
          <w:szCs w:val="24"/>
        </w:rPr>
        <w:t>, 77(9), 1859–1870.</w:t>
      </w:r>
    </w:p>
    <w:p w:rsidR="001104CA" w:rsidRDefault="00C032A7">
      <w:pPr>
        <w:pStyle w:val="NormalWeb"/>
        <w:spacing w:before="240" w:beforeAutospacing="0" w:after="0" w:afterAutospacing="0" w:line="480" w:lineRule="auto"/>
        <w:ind w:left="720" w:hanging="720"/>
        <w:jc w:val="both"/>
      </w:pPr>
      <w:r>
        <w:t xml:space="preserve">Rahmani, A. H., Al Shabrmi, F. M., &amp; Aly, S. M. (2014). Active components of ginger and their biological effects. </w:t>
      </w:r>
      <w:r>
        <w:rPr>
          <w:rStyle w:val="Emphasis"/>
        </w:rPr>
        <w:t>International Journal of Physiology,</w:t>
      </w:r>
      <w:r>
        <w:rPr>
          <w:rStyle w:val="Emphasis"/>
        </w:rPr>
        <w:t xml:space="preserve"> Pathophysiology and Pharmacology</w:t>
      </w:r>
      <w:r>
        <w:t>, 6(2), 125–136.</w:t>
      </w:r>
    </w:p>
    <w:p w:rsidR="001104CA" w:rsidRDefault="00C032A7">
      <w:pPr>
        <w:spacing w:line="480" w:lineRule="auto"/>
        <w:jc w:val="both"/>
        <w:rPr>
          <w:rFonts w:eastAsia="SimSun"/>
          <w:color w:val="231F20"/>
          <w:sz w:val="24"/>
          <w:szCs w:val="24"/>
          <w:lang w:eastAsia="zh-CN"/>
        </w:rPr>
      </w:pPr>
      <w:r>
        <w:rPr>
          <w:rFonts w:eastAsia="SimSun"/>
          <w:color w:val="000000"/>
          <w:sz w:val="24"/>
          <w:szCs w:val="24"/>
          <w:lang w:eastAsia="zh-CN" w:bidi="ar"/>
        </w:rPr>
        <w:t xml:space="preserve">Riyazi A, Hensel A, Bauer K, Geissler N, Schaaf S, Verspohl E. (2007). The effects </w:t>
      </w:r>
      <w:r>
        <w:rPr>
          <w:rFonts w:eastAsia="SimSun"/>
          <w:color w:val="000000"/>
          <w:sz w:val="24"/>
          <w:szCs w:val="24"/>
          <w:lang w:eastAsia="zh-CN" w:bidi="ar"/>
        </w:rPr>
        <w:tab/>
        <w:t>of the volatile oil from ginger rhizomes (</w:t>
      </w:r>
      <w:r>
        <w:rPr>
          <w:rFonts w:eastAsia="SimSun"/>
          <w:i/>
          <w:iCs/>
          <w:color w:val="000000"/>
          <w:sz w:val="24"/>
          <w:szCs w:val="24"/>
          <w:lang w:eastAsia="zh-CN" w:bidi="ar"/>
        </w:rPr>
        <w:t>Zingiber officinale</w:t>
      </w:r>
      <w:r>
        <w:rPr>
          <w:rFonts w:eastAsia="SimSun"/>
          <w:color w:val="000000"/>
          <w:sz w:val="24"/>
          <w:szCs w:val="24"/>
          <w:lang w:eastAsia="zh-CN" w:bidi="ar"/>
        </w:rPr>
        <w:t xml:space="preserve">), its fractions and </w:t>
      </w:r>
      <w:r>
        <w:rPr>
          <w:rFonts w:eastAsia="SimSun"/>
          <w:color w:val="000000"/>
          <w:sz w:val="24"/>
          <w:szCs w:val="24"/>
          <w:lang w:eastAsia="zh-CN" w:bidi="ar"/>
        </w:rPr>
        <w:tab/>
      </w:r>
      <w:r>
        <w:rPr>
          <w:rFonts w:eastAsia="SimSun"/>
          <w:color w:val="000000"/>
          <w:sz w:val="24"/>
          <w:szCs w:val="24"/>
          <w:lang w:eastAsia="zh-CN" w:bidi="ar"/>
        </w:rPr>
        <w:t xml:space="preserve">isolated compounds on the 5-HT3 receptor complex and the seratoninergic </w:t>
      </w:r>
      <w:r>
        <w:rPr>
          <w:rFonts w:eastAsia="SimSun"/>
          <w:color w:val="000000"/>
          <w:sz w:val="24"/>
          <w:szCs w:val="24"/>
          <w:lang w:eastAsia="zh-CN" w:bidi="ar"/>
        </w:rPr>
        <w:tab/>
        <w:t>system of the rat. Plant Med.</w:t>
      </w:r>
    </w:p>
    <w:p w:rsidR="001104CA" w:rsidRDefault="00C032A7">
      <w:pPr>
        <w:spacing w:line="480" w:lineRule="auto"/>
        <w:ind w:left="709" w:hanging="720"/>
        <w:jc w:val="both"/>
        <w:rPr>
          <w:rFonts w:eastAsia="SimSun"/>
          <w:sz w:val="24"/>
          <w:szCs w:val="24"/>
          <w:lang w:eastAsia="zh-CN"/>
        </w:rPr>
      </w:pPr>
      <w:r>
        <w:rPr>
          <w:rFonts w:eastAsia="SimSun"/>
          <w:color w:val="222222"/>
          <w:sz w:val="24"/>
          <w:szCs w:val="24"/>
          <w:shd w:val="clear" w:color="auto" w:fill="FFFFFF"/>
        </w:rPr>
        <w:t>Rodriguez-Morales, A. J., Garbacz, K., &amp; Jarzembowski, T. (2023). </w:t>
      </w:r>
      <w:r>
        <w:rPr>
          <w:rFonts w:eastAsia="SimSun"/>
          <w:i/>
          <w:iCs/>
          <w:color w:val="222222"/>
          <w:sz w:val="24"/>
          <w:szCs w:val="24"/>
          <w:shd w:val="clear" w:color="auto" w:fill="FFFFFF"/>
        </w:rPr>
        <w:t>Bacterial Infectious Diseases Annual Volume 2023</w:t>
      </w:r>
      <w:r>
        <w:rPr>
          <w:rFonts w:eastAsia="SimSun"/>
          <w:color w:val="222222"/>
          <w:sz w:val="24"/>
          <w:szCs w:val="24"/>
          <w:shd w:val="clear" w:color="auto" w:fill="FFFFFF"/>
        </w:rPr>
        <w:t>. BoD–Books on Demand.</w:t>
      </w:r>
    </w:p>
    <w:p w:rsidR="001104CA" w:rsidRDefault="00C032A7">
      <w:pPr>
        <w:spacing w:before="240" w:line="480" w:lineRule="auto"/>
        <w:ind w:left="720" w:right="77" w:hanging="720"/>
        <w:jc w:val="both"/>
        <w:rPr>
          <w:sz w:val="24"/>
          <w:szCs w:val="24"/>
        </w:rPr>
      </w:pPr>
      <w:r>
        <w:rPr>
          <w:sz w:val="24"/>
          <w:szCs w:val="24"/>
        </w:rPr>
        <w:t>Y</w:t>
      </w:r>
      <w:r>
        <w:rPr>
          <w:spacing w:val="-1"/>
          <w:sz w:val="24"/>
          <w:szCs w:val="24"/>
        </w:rPr>
        <w:t>a</w:t>
      </w:r>
      <w:r>
        <w:rPr>
          <w:sz w:val="24"/>
          <w:szCs w:val="24"/>
        </w:rPr>
        <w:t>duf</w:t>
      </w:r>
      <w:r>
        <w:rPr>
          <w:spacing w:val="-2"/>
          <w:sz w:val="24"/>
          <w:szCs w:val="24"/>
        </w:rPr>
        <w:t>a</w:t>
      </w:r>
      <w:r>
        <w:rPr>
          <w:sz w:val="24"/>
          <w:szCs w:val="24"/>
        </w:rPr>
        <w:t>shi</w:t>
      </w:r>
      <w:r>
        <w:rPr>
          <w:spacing w:val="1"/>
          <w:sz w:val="24"/>
          <w:szCs w:val="24"/>
        </w:rPr>
        <w:t>j</w:t>
      </w:r>
      <w:r>
        <w:rPr>
          <w:spacing w:val="-1"/>
          <w:sz w:val="24"/>
          <w:szCs w:val="24"/>
        </w:rPr>
        <w:t>e</w:t>
      </w:r>
      <w:r>
        <w:rPr>
          <w:sz w:val="24"/>
          <w:szCs w:val="24"/>
        </w:rPr>
        <w:t>,</w:t>
      </w:r>
      <w:r>
        <w:rPr>
          <w:spacing w:val="1"/>
          <w:sz w:val="24"/>
          <w:szCs w:val="24"/>
        </w:rPr>
        <w:t xml:space="preserve"> </w:t>
      </w:r>
      <w:r>
        <w:rPr>
          <w:sz w:val="24"/>
          <w:szCs w:val="24"/>
        </w:rPr>
        <w:t>C.,</w:t>
      </w:r>
      <w:r>
        <w:rPr>
          <w:spacing w:val="1"/>
          <w:sz w:val="24"/>
          <w:szCs w:val="24"/>
        </w:rPr>
        <w:t xml:space="preserve"> </w:t>
      </w:r>
      <w:r>
        <w:rPr>
          <w:sz w:val="24"/>
          <w:szCs w:val="24"/>
        </w:rPr>
        <w:t>Ado</w:t>
      </w:r>
      <w:r>
        <w:rPr>
          <w:spacing w:val="5"/>
          <w:sz w:val="24"/>
          <w:szCs w:val="24"/>
        </w:rPr>
        <w:t>l</w:t>
      </w:r>
      <w:r>
        <w:rPr>
          <w:spacing w:val="-5"/>
          <w:sz w:val="24"/>
          <w:szCs w:val="24"/>
        </w:rPr>
        <w:t>y</w:t>
      </w:r>
      <w:r>
        <w:rPr>
          <w:spacing w:val="2"/>
          <w:sz w:val="24"/>
          <w:szCs w:val="24"/>
        </w:rPr>
        <w:t>n</w:t>
      </w:r>
      <w:r>
        <w:rPr>
          <w:sz w:val="24"/>
          <w:szCs w:val="24"/>
        </w:rPr>
        <w:t>e N.,</w:t>
      </w:r>
      <w:r>
        <w:rPr>
          <w:spacing w:val="1"/>
          <w:sz w:val="24"/>
          <w:szCs w:val="24"/>
        </w:rPr>
        <w:t xml:space="preserve"> </w:t>
      </w:r>
      <w:r>
        <w:rPr>
          <w:sz w:val="24"/>
          <w:szCs w:val="24"/>
        </w:rPr>
        <w:t>Em</w:t>
      </w:r>
      <w:r>
        <w:rPr>
          <w:spacing w:val="-1"/>
          <w:sz w:val="24"/>
          <w:szCs w:val="24"/>
        </w:rPr>
        <w:t>a</w:t>
      </w:r>
      <w:r>
        <w:rPr>
          <w:sz w:val="24"/>
          <w:szCs w:val="24"/>
        </w:rPr>
        <w:t>nu</w:t>
      </w:r>
      <w:r>
        <w:rPr>
          <w:spacing w:val="-1"/>
          <w:sz w:val="24"/>
          <w:szCs w:val="24"/>
        </w:rPr>
        <w:t>e</w:t>
      </w:r>
      <w:r>
        <w:rPr>
          <w:sz w:val="24"/>
          <w:szCs w:val="24"/>
        </w:rPr>
        <w:t>l</w:t>
      </w:r>
      <w:r>
        <w:rPr>
          <w:spacing w:val="2"/>
          <w:sz w:val="24"/>
          <w:szCs w:val="24"/>
        </w:rPr>
        <w:t xml:space="preserve"> </w:t>
      </w:r>
      <w:r>
        <w:rPr>
          <w:sz w:val="24"/>
          <w:szCs w:val="24"/>
        </w:rPr>
        <w:t>M.,</w:t>
      </w:r>
      <w:r>
        <w:rPr>
          <w:spacing w:val="1"/>
          <w:sz w:val="24"/>
          <w:szCs w:val="24"/>
        </w:rPr>
        <w:t xml:space="preserve"> S</w:t>
      </w:r>
      <w:r>
        <w:rPr>
          <w:sz w:val="24"/>
          <w:szCs w:val="24"/>
        </w:rPr>
        <w:t>ibo</w:t>
      </w:r>
      <w:r>
        <w:rPr>
          <w:spacing w:val="1"/>
          <w:sz w:val="24"/>
          <w:szCs w:val="24"/>
        </w:rPr>
        <w:t>m</w:t>
      </w:r>
      <w:r>
        <w:rPr>
          <w:spacing w:val="-1"/>
          <w:sz w:val="24"/>
          <w:szCs w:val="24"/>
        </w:rPr>
        <w:t>a</w:t>
      </w:r>
      <w:r>
        <w:rPr>
          <w:sz w:val="24"/>
          <w:szCs w:val="24"/>
        </w:rPr>
        <w:t>na</w:t>
      </w:r>
      <w:r>
        <w:rPr>
          <w:spacing w:val="4"/>
          <w:sz w:val="24"/>
          <w:szCs w:val="24"/>
        </w:rPr>
        <w:t xml:space="preserve"> </w:t>
      </w:r>
      <w:r>
        <w:rPr>
          <w:sz w:val="24"/>
          <w:szCs w:val="24"/>
        </w:rPr>
        <w:t>M.,</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pacing w:val="2"/>
          <w:sz w:val="24"/>
          <w:szCs w:val="24"/>
        </w:rPr>
        <w:t>J</w:t>
      </w:r>
      <w:r>
        <w:rPr>
          <w:sz w:val="24"/>
          <w:szCs w:val="24"/>
        </w:rPr>
        <w:t>os</w:t>
      </w:r>
      <w:r>
        <w:rPr>
          <w:spacing w:val="-1"/>
          <w:sz w:val="24"/>
          <w:szCs w:val="24"/>
        </w:rPr>
        <w:t>e</w:t>
      </w:r>
      <w:r>
        <w:rPr>
          <w:sz w:val="24"/>
          <w:szCs w:val="24"/>
        </w:rPr>
        <w:t>ph</w:t>
      </w:r>
      <w:r>
        <w:rPr>
          <w:spacing w:val="1"/>
          <w:sz w:val="24"/>
          <w:szCs w:val="24"/>
        </w:rPr>
        <w:t xml:space="preserve"> </w:t>
      </w:r>
      <w:r>
        <w:rPr>
          <w:sz w:val="24"/>
          <w:szCs w:val="24"/>
        </w:rPr>
        <w:t>M.</w:t>
      </w:r>
      <w:r>
        <w:rPr>
          <w:spacing w:val="1"/>
          <w:sz w:val="24"/>
          <w:szCs w:val="24"/>
        </w:rPr>
        <w:t xml:space="preserve"> </w:t>
      </w:r>
      <w:r>
        <w:rPr>
          <w:sz w:val="24"/>
          <w:szCs w:val="24"/>
        </w:rPr>
        <w:t>(202</w:t>
      </w:r>
      <w:r>
        <w:rPr>
          <w:spacing w:val="-1"/>
          <w:sz w:val="24"/>
          <w:szCs w:val="24"/>
        </w:rPr>
        <w:t>0</w:t>
      </w:r>
      <w:r>
        <w:rPr>
          <w:sz w:val="24"/>
          <w:szCs w:val="24"/>
        </w:rPr>
        <w:t>).</w:t>
      </w:r>
      <w:r>
        <w:rPr>
          <w:spacing w:val="2"/>
          <w:sz w:val="24"/>
          <w:szCs w:val="24"/>
        </w:rPr>
        <w:t xml:space="preserve"> </w:t>
      </w:r>
      <w:r>
        <w:rPr>
          <w:sz w:val="24"/>
          <w:szCs w:val="24"/>
        </w:rPr>
        <w:t>Antiba</w:t>
      </w:r>
      <w:r>
        <w:rPr>
          <w:spacing w:val="-1"/>
          <w:sz w:val="24"/>
          <w:szCs w:val="24"/>
        </w:rPr>
        <w:t>c</w:t>
      </w:r>
      <w:r>
        <w:rPr>
          <w:sz w:val="24"/>
          <w:szCs w:val="24"/>
        </w:rPr>
        <w:t>t</w:t>
      </w:r>
      <w:r>
        <w:rPr>
          <w:spacing w:val="2"/>
          <w:sz w:val="24"/>
          <w:szCs w:val="24"/>
        </w:rPr>
        <w:t>e</w:t>
      </w:r>
      <w:r>
        <w:rPr>
          <w:sz w:val="24"/>
          <w:szCs w:val="24"/>
        </w:rPr>
        <w:t>ri</w:t>
      </w:r>
      <w:r>
        <w:rPr>
          <w:spacing w:val="-1"/>
          <w:sz w:val="24"/>
          <w:szCs w:val="24"/>
        </w:rPr>
        <w:t>a</w:t>
      </w:r>
      <w:r>
        <w:rPr>
          <w:sz w:val="24"/>
          <w:szCs w:val="24"/>
        </w:rPr>
        <w:t xml:space="preserve">l </w:t>
      </w:r>
      <w:r>
        <w:rPr>
          <w:spacing w:val="-1"/>
          <w:sz w:val="24"/>
          <w:szCs w:val="24"/>
        </w:rPr>
        <w:t>ac</w:t>
      </w:r>
      <w:r>
        <w:rPr>
          <w:sz w:val="24"/>
          <w:szCs w:val="24"/>
        </w:rPr>
        <w:t>t</w:t>
      </w:r>
      <w:r>
        <w:rPr>
          <w:spacing w:val="1"/>
          <w:sz w:val="24"/>
          <w:szCs w:val="24"/>
        </w:rPr>
        <w:t>i</w:t>
      </w:r>
      <w:r>
        <w:rPr>
          <w:sz w:val="24"/>
          <w:szCs w:val="24"/>
        </w:rPr>
        <w:t>vi</w:t>
      </w:r>
      <w:r>
        <w:rPr>
          <w:spacing w:val="3"/>
          <w:sz w:val="24"/>
          <w:szCs w:val="24"/>
        </w:rPr>
        <w:t>t</w:t>
      </w:r>
      <w:r>
        <w:rPr>
          <w:sz w:val="24"/>
          <w:szCs w:val="24"/>
        </w:rPr>
        <w:t>y of</w:t>
      </w:r>
      <w:r>
        <w:rPr>
          <w:spacing w:val="4"/>
          <w:sz w:val="24"/>
          <w:szCs w:val="24"/>
        </w:rPr>
        <w:t xml:space="preserve"> </w:t>
      </w:r>
      <w:r>
        <w:rPr>
          <w:spacing w:val="-2"/>
          <w:sz w:val="24"/>
          <w:szCs w:val="24"/>
        </w:rPr>
        <w:t>g</w:t>
      </w:r>
      <w:r>
        <w:rPr>
          <w:sz w:val="24"/>
          <w:szCs w:val="24"/>
        </w:rPr>
        <w:t>i</w:t>
      </w:r>
      <w:r>
        <w:rPr>
          <w:spacing w:val="3"/>
          <w:sz w:val="24"/>
          <w:szCs w:val="24"/>
        </w:rPr>
        <w:t>n</w:t>
      </w:r>
      <w:r>
        <w:rPr>
          <w:sz w:val="24"/>
          <w:szCs w:val="24"/>
        </w:rPr>
        <w:t>g</w:t>
      </w:r>
      <w:r>
        <w:rPr>
          <w:spacing w:val="-1"/>
          <w:sz w:val="24"/>
          <w:szCs w:val="24"/>
        </w:rPr>
        <w:t>e</w:t>
      </w:r>
      <w:r>
        <w:rPr>
          <w:sz w:val="24"/>
          <w:szCs w:val="24"/>
        </w:rPr>
        <w:t>r</w:t>
      </w:r>
      <w:r>
        <w:rPr>
          <w:spacing w:val="4"/>
          <w:sz w:val="24"/>
          <w:szCs w:val="24"/>
        </w:rPr>
        <w:t xml:space="preserve"> </w:t>
      </w:r>
      <w:r>
        <w:rPr>
          <w:spacing w:val="-1"/>
          <w:sz w:val="24"/>
          <w:szCs w:val="24"/>
        </w:rPr>
        <w:t>e</w:t>
      </w:r>
      <w:r>
        <w:rPr>
          <w:spacing w:val="2"/>
          <w:sz w:val="24"/>
          <w:szCs w:val="24"/>
        </w:rPr>
        <w:t>x</w:t>
      </w:r>
      <w:r>
        <w:rPr>
          <w:sz w:val="24"/>
          <w:szCs w:val="24"/>
        </w:rPr>
        <w:t>tr</w:t>
      </w:r>
      <w:r>
        <w:rPr>
          <w:spacing w:val="-1"/>
          <w:sz w:val="24"/>
          <w:szCs w:val="24"/>
        </w:rPr>
        <w:t>ac</w:t>
      </w:r>
      <w:r>
        <w:rPr>
          <w:sz w:val="24"/>
          <w:szCs w:val="24"/>
        </w:rPr>
        <w:t>ts</w:t>
      </w:r>
      <w:r>
        <w:rPr>
          <w:spacing w:val="6"/>
          <w:sz w:val="24"/>
          <w:szCs w:val="24"/>
        </w:rPr>
        <w:t xml:space="preserve"> </w:t>
      </w:r>
      <w:r>
        <w:rPr>
          <w:sz w:val="24"/>
          <w:szCs w:val="24"/>
        </w:rPr>
        <w:t>on</w:t>
      </w:r>
      <w:r>
        <w:rPr>
          <w:spacing w:val="5"/>
          <w:sz w:val="24"/>
          <w:szCs w:val="24"/>
        </w:rPr>
        <w:t xml:space="preserve"> </w:t>
      </w:r>
      <w:r>
        <w:rPr>
          <w:sz w:val="24"/>
          <w:szCs w:val="24"/>
        </w:rPr>
        <w:t>b</w:t>
      </w:r>
      <w:r>
        <w:rPr>
          <w:spacing w:val="-1"/>
          <w:sz w:val="24"/>
          <w:szCs w:val="24"/>
        </w:rPr>
        <w:t>ac</w:t>
      </w:r>
      <w:r>
        <w:rPr>
          <w:sz w:val="24"/>
          <w:szCs w:val="24"/>
        </w:rPr>
        <w:t>te</w:t>
      </w:r>
      <w:r>
        <w:rPr>
          <w:spacing w:val="-1"/>
          <w:sz w:val="24"/>
          <w:szCs w:val="24"/>
        </w:rPr>
        <w:t>r</w:t>
      </w:r>
      <w:r>
        <w:rPr>
          <w:sz w:val="24"/>
          <w:szCs w:val="24"/>
        </w:rPr>
        <w:t>ia</w:t>
      </w:r>
      <w:r>
        <w:rPr>
          <w:spacing w:val="4"/>
          <w:sz w:val="24"/>
          <w:szCs w:val="24"/>
        </w:rPr>
        <w:t xml:space="preserve"> </w:t>
      </w:r>
      <w:r>
        <w:rPr>
          <w:sz w:val="24"/>
          <w:szCs w:val="24"/>
        </w:rPr>
        <w:t>iso</w:t>
      </w:r>
      <w:r>
        <w:rPr>
          <w:spacing w:val="1"/>
          <w:sz w:val="24"/>
          <w:szCs w:val="24"/>
        </w:rPr>
        <w:t>l</w:t>
      </w:r>
      <w:r>
        <w:rPr>
          <w:spacing w:val="-1"/>
          <w:sz w:val="24"/>
          <w:szCs w:val="24"/>
        </w:rPr>
        <w:t>a</w:t>
      </w:r>
      <w:r>
        <w:rPr>
          <w:sz w:val="24"/>
          <w:szCs w:val="24"/>
        </w:rPr>
        <w:t>ted</w:t>
      </w:r>
      <w:r>
        <w:rPr>
          <w:spacing w:val="4"/>
          <w:sz w:val="24"/>
          <w:szCs w:val="24"/>
        </w:rPr>
        <w:t xml:space="preserve"> </w:t>
      </w:r>
      <w:r>
        <w:rPr>
          <w:sz w:val="24"/>
          <w:szCs w:val="24"/>
        </w:rPr>
        <w:t>f</w:t>
      </w:r>
      <w:r>
        <w:rPr>
          <w:spacing w:val="-1"/>
          <w:sz w:val="24"/>
          <w:szCs w:val="24"/>
        </w:rPr>
        <w:t>r</w:t>
      </w:r>
      <w:r>
        <w:rPr>
          <w:sz w:val="24"/>
          <w:szCs w:val="24"/>
        </w:rPr>
        <w:t>om</w:t>
      </w:r>
      <w:r>
        <w:rPr>
          <w:spacing w:val="5"/>
          <w:sz w:val="24"/>
          <w:szCs w:val="24"/>
        </w:rPr>
        <w:t xml:space="preserve"> </w:t>
      </w:r>
      <w:r>
        <w:rPr>
          <w:sz w:val="24"/>
          <w:szCs w:val="24"/>
        </w:rPr>
        <w:t>di</w:t>
      </w:r>
      <w:r>
        <w:rPr>
          <w:spacing w:val="2"/>
          <w:sz w:val="24"/>
          <w:szCs w:val="24"/>
        </w:rPr>
        <w:t>g</w:t>
      </w:r>
      <w:r>
        <w:rPr>
          <w:spacing w:val="-1"/>
          <w:sz w:val="24"/>
          <w:szCs w:val="24"/>
        </w:rPr>
        <w:t>e</w:t>
      </w:r>
      <w:r>
        <w:rPr>
          <w:sz w:val="24"/>
          <w:szCs w:val="24"/>
        </w:rPr>
        <w:t>st</w:t>
      </w:r>
      <w:r>
        <w:rPr>
          <w:spacing w:val="1"/>
          <w:sz w:val="24"/>
          <w:szCs w:val="24"/>
        </w:rPr>
        <w:t>i</w:t>
      </w:r>
      <w:r>
        <w:rPr>
          <w:sz w:val="24"/>
          <w:szCs w:val="24"/>
        </w:rPr>
        <w:t>ve</w:t>
      </w:r>
      <w:r>
        <w:rPr>
          <w:spacing w:val="4"/>
          <w:sz w:val="24"/>
          <w:szCs w:val="24"/>
        </w:rPr>
        <w:t xml:space="preserve"> </w:t>
      </w:r>
      <w:r>
        <w:rPr>
          <w:sz w:val="24"/>
          <w:szCs w:val="24"/>
        </w:rPr>
        <w:t>tr</w:t>
      </w:r>
      <w:r>
        <w:rPr>
          <w:spacing w:val="-1"/>
          <w:sz w:val="24"/>
          <w:szCs w:val="24"/>
        </w:rPr>
        <w:t>ac</w:t>
      </w:r>
      <w:r>
        <w:rPr>
          <w:sz w:val="24"/>
          <w:szCs w:val="24"/>
        </w:rPr>
        <w:t>t</w:t>
      </w:r>
      <w:r>
        <w:rPr>
          <w:spacing w:val="5"/>
          <w:sz w:val="24"/>
          <w:szCs w:val="24"/>
        </w:rPr>
        <w:t xml:space="preserve"> </w:t>
      </w:r>
      <w:r>
        <w:rPr>
          <w:sz w:val="24"/>
          <w:szCs w:val="24"/>
        </w:rPr>
        <w:t>inf</w:t>
      </w:r>
      <w:r>
        <w:rPr>
          <w:spacing w:val="-1"/>
          <w:sz w:val="24"/>
          <w:szCs w:val="24"/>
        </w:rPr>
        <w:t>ec</w:t>
      </w:r>
      <w:r>
        <w:rPr>
          <w:sz w:val="24"/>
          <w:szCs w:val="24"/>
        </w:rPr>
        <w:t>t</w:t>
      </w:r>
      <w:r>
        <w:rPr>
          <w:spacing w:val="1"/>
          <w:sz w:val="24"/>
          <w:szCs w:val="24"/>
        </w:rPr>
        <w:t>i</w:t>
      </w:r>
      <w:r>
        <w:rPr>
          <w:sz w:val="24"/>
          <w:szCs w:val="24"/>
        </w:rPr>
        <w:t>on</w:t>
      </w:r>
      <w:r>
        <w:rPr>
          <w:spacing w:val="5"/>
          <w:sz w:val="24"/>
          <w:szCs w:val="24"/>
        </w:rPr>
        <w:t xml:space="preserve"> </w:t>
      </w:r>
      <w:r>
        <w:rPr>
          <w:sz w:val="24"/>
          <w:szCs w:val="24"/>
        </w:rPr>
        <w:t>p</w:t>
      </w:r>
      <w:r>
        <w:rPr>
          <w:spacing w:val="-1"/>
          <w:sz w:val="24"/>
          <w:szCs w:val="24"/>
        </w:rPr>
        <w:t>a</w:t>
      </w:r>
      <w:r>
        <w:rPr>
          <w:sz w:val="24"/>
          <w:szCs w:val="24"/>
        </w:rPr>
        <w:t>t</w:t>
      </w:r>
      <w:r>
        <w:rPr>
          <w:spacing w:val="1"/>
          <w:sz w:val="24"/>
          <w:szCs w:val="24"/>
        </w:rPr>
        <w:t>i</w:t>
      </w:r>
      <w:r>
        <w:rPr>
          <w:spacing w:val="-1"/>
          <w:sz w:val="24"/>
          <w:szCs w:val="24"/>
        </w:rPr>
        <w:t>e</w:t>
      </w:r>
      <w:r>
        <w:rPr>
          <w:sz w:val="24"/>
          <w:szCs w:val="24"/>
        </w:rPr>
        <w:t xml:space="preserve">nts </w:t>
      </w:r>
      <w:r>
        <w:rPr>
          <w:spacing w:val="-1"/>
          <w:sz w:val="24"/>
          <w:szCs w:val="24"/>
        </w:rPr>
        <w:t>a</w:t>
      </w:r>
      <w:r>
        <w:rPr>
          <w:sz w:val="24"/>
          <w:szCs w:val="24"/>
        </w:rPr>
        <w:t>t</w:t>
      </w:r>
      <w:r>
        <w:rPr>
          <w:spacing w:val="1"/>
          <w:sz w:val="24"/>
          <w:szCs w:val="24"/>
        </w:rPr>
        <w:t>t</w:t>
      </w:r>
      <w:r>
        <w:rPr>
          <w:spacing w:val="-1"/>
          <w:sz w:val="24"/>
          <w:szCs w:val="24"/>
        </w:rPr>
        <w:t>e</w:t>
      </w:r>
      <w:r>
        <w:rPr>
          <w:sz w:val="24"/>
          <w:szCs w:val="24"/>
        </w:rPr>
        <w:t>nd</w:t>
      </w:r>
      <w:r>
        <w:rPr>
          <w:spacing w:val="-1"/>
          <w:sz w:val="24"/>
          <w:szCs w:val="24"/>
        </w:rPr>
        <w:t>e</w:t>
      </w:r>
      <w:r>
        <w:rPr>
          <w:sz w:val="24"/>
          <w:szCs w:val="24"/>
        </w:rPr>
        <w:t>d Muho</w:t>
      </w:r>
      <w:r>
        <w:rPr>
          <w:spacing w:val="1"/>
          <w:sz w:val="24"/>
          <w:szCs w:val="24"/>
        </w:rPr>
        <w:t>z</w:t>
      </w:r>
      <w:r>
        <w:rPr>
          <w:sz w:val="24"/>
          <w:szCs w:val="24"/>
        </w:rPr>
        <w:t>a</w:t>
      </w:r>
      <w:r>
        <w:rPr>
          <w:spacing w:val="-1"/>
          <w:sz w:val="24"/>
          <w:szCs w:val="24"/>
        </w:rPr>
        <w:t xml:space="preserve"> </w:t>
      </w:r>
      <w:r>
        <w:rPr>
          <w:sz w:val="24"/>
          <w:szCs w:val="24"/>
        </w:rPr>
        <w:t>H</w:t>
      </w:r>
      <w:r>
        <w:rPr>
          <w:spacing w:val="-1"/>
          <w:sz w:val="24"/>
          <w:szCs w:val="24"/>
        </w:rPr>
        <w:t>ea</w:t>
      </w:r>
      <w:r>
        <w:rPr>
          <w:sz w:val="24"/>
          <w:szCs w:val="24"/>
        </w:rPr>
        <w:t>l</w:t>
      </w:r>
      <w:r>
        <w:rPr>
          <w:spacing w:val="1"/>
          <w:sz w:val="24"/>
          <w:szCs w:val="24"/>
        </w:rPr>
        <w:t>t</w:t>
      </w:r>
      <w:r>
        <w:rPr>
          <w:sz w:val="24"/>
          <w:szCs w:val="24"/>
        </w:rPr>
        <w:t>h</w:t>
      </w:r>
      <w:r>
        <w:rPr>
          <w:spacing w:val="2"/>
          <w:sz w:val="24"/>
          <w:szCs w:val="24"/>
        </w:rPr>
        <w:t xml:space="preserve"> </w:t>
      </w:r>
      <w:r>
        <w:rPr>
          <w:sz w:val="24"/>
          <w:szCs w:val="24"/>
        </w:rPr>
        <w:t>C</w:t>
      </w:r>
      <w:r>
        <w:rPr>
          <w:spacing w:val="-1"/>
          <w:sz w:val="24"/>
          <w:szCs w:val="24"/>
        </w:rPr>
        <w:t>e</w:t>
      </w:r>
      <w:r>
        <w:rPr>
          <w:sz w:val="24"/>
          <w:szCs w:val="24"/>
        </w:rPr>
        <w:t>nte</w:t>
      </w:r>
      <w:r>
        <w:rPr>
          <w:spacing w:val="1"/>
          <w:sz w:val="24"/>
          <w:szCs w:val="24"/>
        </w:rPr>
        <w:t>r</w:t>
      </w:r>
      <w:r>
        <w:rPr>
          <w:sz w:val="24"/>
          <w:szCs w:val="24"/>
        </w:rPr>
        <w:t xml:space="preserve">. </w:t>
      </w:r>
      <w:r>
        <w:rPr>
          <w:i/>
          <w:sz w:val="24"/>
          <w:szCs w:val="24"/>
        </w:rPr>
        <w:t xml:space="preserve">Asian Journal of </w:t>
      </w:r>
      <w:r>
        <w:rPr>
          <w:i/>
          <w:spacing w:val="-1"/>
          <w:sz w:val="24"/>
          <w:szCs w:val="24"/>
        </w:rPr>
        <w:t>Me</w:t>
      </w:r>
      <w:r>
        <w:rPr>
          <w:i/>
          <w:sz w:val="24"/>
          <w:szCs w:val="24"/>
        </w:rPr>
        <w:t>dical S</w:t>
      </w:r>
      <w:r>
        <w:rPr>
          <w:i/>
          <w:spacing w:val="-1"/>
          <w:sz w:val="24"/>
          <w:szCs w:val="24"/>
        </w:rPr>
        <w:t>c</w:t>
      </w:r>
      <w:r>
        <w:rPr>
          <w:i/>
          <w:sz w:val="24"/>
          <w:szCs w:val="24"/>
        </w:rPr>
        <w:t>ie</w:t>
      </w:r>
      <w:r>
        <w:rPr>
          <w:i/>
          <w:spacing w:val="2"/>
          <w:sz w:val="24"/>
          <w:szCs w:val="24"/>
        </w:rPr>
        <w:t>n</w:t>
      </w:r>
      <w:r>
        <w:rPr>
          <w:i/>
          <w:spacing w:val="-1"/>
          <w:sz w:val="24"/>
          <w:szCs w:val="24"/>
        </w:rPr>
        <w:t>ce</w:t>
      </w:r>
      <w:r>
        <w:rPr>
          <w:i/>
          <w:spacing w:val="1"/>
          <w:sz w:val="24"/>
          <w:szCs w:val="24"/>
        </w:rPr>
        <w:t>s</w:t>
      </w:r>
      <w:r>
        <w:rPr>
          <w:sz w:val="24"/>
          <w:szCs w:val="24"/>
        </w:rPr>
        <w:t>. 11(</w:t>
      </w:r>
      <w:r>
        <w:rPr>
          <w:spacing w:val="1"/>
          <w:sz w:val="24"/>
          <w:szCs w:val="24"/>
        </w:rPr>
        <w:t>2</w:t>
      </w:r>
      <w:r>
        <w:rPr>
          <w:sz w:val="24"/>
          <w:szCs w:val="24"/>
        </w:rPr>
        <w:t>), 3</w:t>
      </w:r>
      <w:r>
        <w:rPr>
          <w:spacing w:val="1"/>
          <w:sz w:val="24"/>
          <w:szCs w:val="24"/>
        </w:rPr>
        <w:t>5</w:t>
      </w:r>
      <w:r>
        <w:rPr>
          <w:spacing w:val="-1"/>
          <w:sz w:val="24"/>
          <w:szCs w:val="24"/>
        </w:rPr>
        <w:t>-</w:t>
      </w:r>
      <w:r>
        <w:rPr>
          <w:sz w:val="24"/>
          <w:szCs w:val="24"/>
        </w:rPr>
        <w:t>41.</w:t>
      </w:r>
    </w:p>
    <w:p w:rsidR="001104CA" w:rsidRDefault="00C032A7">
      <w:pPr>
        <w:spacing w:line="480" w:lineRule="auto"/>
        <w:jc w:val="both"/>
        <w:rPr>
          <w:b/>
          <w:bCs/>
          <w:sz w:val="24"/>
          <w:szCs w:val="24"/>
        </w:rPr>
      </w:pPr>
      <w:r>
        <w:rPr>
          <w:rFonts w:eastAsia="SimSun"/>
          <w:color w:val="222222"/>
          <w:sz w:val="24"/>
          <w:szCs w:val="24"/>
          <w:shd w:val="clear" w:color="auto" w:fill="FFFFFF"/>
        </w:rPr>
        <w:t>Zapata, M. R.</w:t>
      </w:r>
      <w:r>
        <w:rPr>
          <w:rFonts w:eastAsia="SimSun"/>
          <w:color w:val="222222"/>
          <w:sz w:val="24"/>
          <w:szCs w:val="24"/>
          <w:shd w:val="clear" w:color="auto" w:fill="FFFFFF"/>
        </w:rPr>
        <w:t xml:space="preserve"> (2023). Diagnosis and Treatment of Vulvovaginitis. In </w:t>
      </w:r>
      <w:r>
        <w:rPr>
          <w:rFonts w:eastAsia="SimSun"/>
          <w:i/>
          <w:iCs/>
          <w:color w:val="222222"/>
          <w:sz w:val="24"/>
          <w:szCs w:val="24"/>
          <w:shd w:val="clear" w:color="auto" w:fill="FFFFFF"/>
        </w:rPr>
        <w:t xml:space="preserve">Handbook of </w:t>
      </w:r>
      <w:r>
        <w:rPr>
          <w:rFonts w:eastAsia="SimSun"/>
          <w:i/>
          <w:iCs/>
          <w:color w:val="222222"/>
          <w:sz w:val="24"/>
          <w:szCs w:val="24"/>
          <w:shd w:val="clear" w:color="auto" w:fill="FFFFFF"/>
        </w:rPr>
        <w:tab/>
      </w:r>
      <w:r>
        <w:rPr>
          <w:rFonts w:eastAsia="SimSun"/>
          <w:i/>
          <w:iCs/>
          <w:color w:val="222222"/>
          <w:sz w:val="24"/>
          <w:szCs w:val="24"/>
          <w:shd w:val="clear" w:color="auto" w:fill="FFFFFF"/>
        </w:rPr>
        <w:t>Gynecology</w:t>
      </w:r>
      <w:r>
        <w:rPr>
          <w:rFonts w:eastAsia="SimSun"/>
          <w:color w:val="222222"/>
          <w:sz w:val="24"/>
          <w:szCs w:val="24"/>
          <w:shd w:val="clear" w:color="auto" w:fill="FFFFFF"/>
        </w:rPr>
        <w:t> (pp. 297-317). Cham: Springer International Publishing.</w:t>
      </w:r>
    </w:p>
    <w:p w:rsidR="001104CA" w:rsidRDefault="001104CA">
      <w:pPr>
        <w:spacing w:line="480" w:lineRule="auto"/>
        <w:jc w:val="both"/>
        <w:rPr>
          <w:sz w:val="24"/>
          <w:szCs w:val="24"/>
        </w:rPr>
      </w:pPr>
    </w:p>
    <w:p w:rsidR="001104CA" w:rsidRDefault="001104CA">
      <w:pPr>
        <w:spacing w:line="480" w:lineRule="auto"/>
        <w:jc w:val="both"/>
        <w:rPr>
          <w:sz w:val="24"/>
          <w:szCs w:val="24"/>
        </w:rPr>
      </w:pPr>
    </w:p>
    <w:p w:rsidR="001104CA" w:rsidRDefault="001104CA">
      <w:pPr>
        <w:spacing w:line="480" w:lineRule="auto"/>
        <w:jc w:val="both"/>
        <w:rPr>
          <w:sz w:val="24"/>
          <w:szCs w:val="24"/>
        </w:rPr>
      </w:pPr>
    </w:p>
    <w:p w:rsidR="001104CA" w:rsidRDefault="001104CA">
      <w:pPr>
        <w:spacing w:line="480" w:lineRule="auto"/>
        <w:jc w:val="both"/>
        <w:rPr>
          <w:sz w:val="24"/>
          <w:szCs w:val="24"/>
        </w:rPr>
      </w:pPr>
    </w:p>
    <w:p w:rsidR="001104CA" w:rsidRDefault="001104CA"/>
    <w:sectPr w:rsidR="001104CA">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2A7" w:rsidRDefault="00C032A7">
      <w:r>
        <w:separator/>
      </w:r>
    </w:p>
  </w:endnote>
  <w:endnote w:type="continuationSeparator" w:id="0">
    <w:p w:rsidR="00C032A7" w:rsidRDefault="00C0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Garamond-Italic">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2A7" w:rsidRDefault="00C032A7">
      <w:r>
        <w:separator/>
      </w:r>
    </w:p>
  </w:footnote>
  <w:footnote w:type="continuationSeparator" w:id="0">
    <w:p w:rsidR="00C032A7" w:rsidRDefault="00C032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38CFD9"/>
    <w:multiLevelType w:val="multilevel"/>
    <w:tmpl w:val="D438CFD9"/>
    <w:lvl w:ilvl="0">
      <w:start w:val="1"/>
      <w:numFmt w:val="decimal"/>
      <w:suff w:val="space"/>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nsid w:val="E4BE1E05"/>
    <w:multiLevelType w:val="singleLevel"/>
    <w:tmpl w:val="E4BE1E05"/>
    <w:lvl w:ilvl="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17D62"/>
    <w:rsid w:val="001104CA"/>
    <w:rsid w:val="00C032A7"/>
    <w:rsid w:val="00C56D96"/>
    <w:rsid w:val="061829FF"/>
    <w:rsid w:val="0E0C4031"/>
    <w:rsid w:val="10801568"/>
    <w:rsid w:val="184B770B"/>
    <w:rsid w:val="18E216F1"/>
    <w:rsid w:val="1C5D7A0C"/>
    <w:rsid w:val="1E9B0CC0"/>
    <w:rsid w:val="2043260B"/>
    <w:rsid w:val="26BE763B"/>
    <w:rsid w:val="287A0B9F"/>
    <w:rsid w:val="293B131C"/>
    <w:rsid w:val="2C6721E1"/>
    <w:rsid w:val="2E5D564A"/>
    <w:rsid w:val="327C6A16"/>
    <w:rsid w:val="418238EE"/>
    <w:rsid w:val="43625492"/>
    <w:rsid w:val="4B215410"/>
    <w:rsid w:val="4D467EC5"/>
    <w:rsid w:val="514021AB"/>
    <w:rsid w:val="548E5CAE"/>
    <w:rsid w:val="570A3D11"/>
    <w:rsid w:val="5812683D"/>
    <w:rsid w:val="5E402DCE"/>
    <w:rsid w:val="5E661A86"/>
    <w:rsid w:val="602816AC"/>
    <w:rsid w:val="60554C43"/>
    <w:rsid w:val="60CC4289"/>
    <w:rsid w:val="70E82B86"/>
    <w:rsid w:val="715C4976"/>
    <w:rsid w:val="72217097"/>
    <w:rsid w:val="74866CC7"/>
    <w:rsid w:val="76821D9B"/>
    <w:rsid w:val="77317D62"/>
    <w:rsid w:val="783E7867"/>
    <w:rsid w:val="7A4F18B8"/>
    <w:rsid w:val="7B172969"/>
    <w:rsid w:val="7C0C0A86"/>
    <w:rsid w:val="7C983AE0"/>
    <w:rsid w:val="7D1D0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Strong">
    <w:name w:val="Strong"/>
    <w:basedOn w:val="DefaultParagraphFont"/>
    <w:qFormat/>
    <w:rPr>
      <w:b/>
      <w:bCs/>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Strong">
    <w:name w:val="Strong"/>
    <w:basedOn w:val="DefaultParagraphFont"/>
    <w:qFormat/>
    <w:rPr>
      <w:b/>
      <w:bCs/>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18</Pages>
  <Words>4167</Words>
  <Characters>23758</Characters>
  <Application>Microsoft Office Word</Application>
  <DocSecurity>0</DocSecurity>
  <Lines>197</Lines>
  <Paragraphs>55</Paragraphs>
  <ScaleCrop>false</ScaleCrop>
  <Company/>
  <LinksUpToDate>false</LinksUpToDate>
  <CharactersWithSpaces>27870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qwert</cp:lastModifiedBy>
  <cp:revision>2</cp:revision>
  <dcterms:created xsi:type="dcterms:W3CDTF">2026-05-05T09:55:00Z</dcterms:created>
  <dcterms:modified xsi:type="dcterms:W3CDTF">2026-05-12T07:43:00Z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01EE43AD26B6459E847B70069A685287_11</vt:lpwstr>
  </property>
  <property fmtid="{D5CDD505-2E9C-101B-9397-08002B2CF9AE}" pid="4" name="KSOTemplateDocerSaveRecord">
    <vt:lpwstr>eyJoZGlkIjoiNWZiNzk3ZjA1YWU5MWFhOWMwZDUwODhmYjljNjQzMmIifQ==</vt:lpwstr>
  </property>
</Properties>
</file>