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10201" w14:textId="1DCA1865" w:rsidR="00E75E5A" w:rsidRDefault="000636D8">
      <w:pPr>
        <w:jc w:val="center"/>
      </w:pPr>
      <w:r>
        <w:rPr>
          <w:b/>
          <w:sz w:val="32"/>
        </w:rPr>
        <w:t xml:space="preserve">Yearly Trends of HIV and Syphilis in Jos, Nigeria: A Retrospective Review of Records </w:t>
      </w:r>
      <w:r w:rsidR="000B1C9A">
        <w:rPr>
          <w:b/>
          <w:sz w:val="32"/>
        </w:rPr>
        <w:t>from</w:t>
      </w:r>
      <w:r>
        <w:rPr>
          <w:b/>
          <w:sz w:val="32"/>
        </w:rPr>
        <w:t xml:space="preserve"> Two Teaching Hospitals</w:t>
      </w:r>
    </w:p>
    <w:p w14:paraId="5A8FC5F7" w14:textId="77777777" w:rsidR="00E75E5A" w:rsidRDefault="000636D8">
      <w:pPr>
        <w:pStyle w:val="Heading1"/>
      </w:pPr>
      <w:bookmarkStart w:id="0" w:name="_GoBack"/>
      <w:bookmarkEnd w:id="0"/>
      <w:r>
        <w:t>Abstract</w:t>
      </w:r>
    </w:p>
    <w:p w14:paraId="796095B8" w14:textId="77777777" w:rsidR="006831E7" w:rsidRDefault="000636D8">
      <w:r>
        <w:t xml:space="preserve">Background: Over the past decade, several high-income regions, particularly parts of the United States and Europe, have reported renewed increases in human immunodeficiency virus (HIV) and syphilis incidence after years of relative stabilization or decline. These patterns have been linked to a complex interaction of behavioral, structural, and demographic factors, including increased population mobility and migration. Urban centers experiencing </w:t>
      </w:r>
      <w:r w:rsidR="009C1E38">
        <w:t>rapid immigration</w:t>
      </w:r>
      <w:r>
        <w:t xml:space="preserve"> may therefore be vulnerable to shifts in sexually transmitted infection (STI) epidemiology. Objective: This study assessed annual trends in HIV and syphilis positivity in Jos, Nigeria, and evaluated whether local patterns resemble trends reported in parts of the United States and Europe within the context of rapid migration. </w:t>
      </w:r>
    </w:p>
    <w:p w14:paraId="439C6BBB" w14:textId="77777777" w:rsidR="006831E7" w:rsidRDefault="000636D8">
      <w:r>
        <w:t xml:space="preserve">Methods: A retrospective analysis was conducted using routinely collected monthly HIV and syphilis testing records from two teaching hospitals in Jos between 2020 and 2023. Annual numbers tested, numbers positive, and positivity rates were calculated with 95% confidence intervals (CIs). Year-on-year changes and temporal trends were examined descriptively and with graphical displays. </w:t>
      </w:r>
    </w:p>
    <w:p w14:paraId="702EA0A0" w14:textId="77777777" w:rsidR="006831E7" w:rsidRDefault="000636D8">
      <w:r>
        <w:t>Results: HIV and syphilis showed distinct temporal patterns. HIV positivity peaked in 2021 and declined thereafter despite increasing testing volumes, suggesting a reduction in the proportion testing positive over time. Syphilis positivity remained low throughout the study period but increased in the most recent year.</w:t>
      </w:r>
    </w:p>
    <w:p w14:paraId="58AA8040" w14:textId="62DDC07F" w:rsidR="00E75E5A" w:rsidRDefault="000636D8">
      <w:r>
        <w:t xml:space="preserve"> Conclusion: In contrast to sustained HIV increases reported in parts of the United States and Europe, HIV positivity in Jos declined after 2021. However, the recent rise in syphilis positivity, although modest, warrants close surveillance. Rapid migration and urban growth may create conditions conducive to STI transmission, underscoring the need for proactive monitoring and integrated sexual health interventions.</w:t>
      </w:r>
    </w:p>
    <w:p w14:paraId="20070A31" w14:textId="77777777" w:rsidR="00E75E5A" w:rsidRDefault="000636D8">
      <w:pPr>
        <w:pStyle w:val="Heading2"/>
      </w:pPr>
      <w:r>
        <w:t>Keywords</w:t>
      </w:r>
    </w:p>
    <w:p w14:paraId="491EC5B4" w14:textId="77777777" w:rsidR="00E75E5A" w:rsidRDefault="000636D8">
      <w:r>
        <w:t>HIV; syphilis; sexually transmitted infections; migration; urbanization; epidemiology; Nigeria; Jos; positivity trends</w:t>
      </w:r>
    </w:p>
    <w:p w14:paraId="3C93644E" w14:textId="77777777" w:rsidR="00E75E5A" w:rsidRDefault="000636D8">
      <w:pPr>
        <w:pStyle w:val="Heading1"/>
      </w:pPr>
      <w:r>
        <w:t>Introduction</w:t>
      </w:r>
    </w:p>
    <w:p w14:paraId="7D7BDCF9" w14:textId="67B20A7B" w:rsidR="00E75E5A" w:rsidRDefault="000636D8">
      <w:r>
        <w:t>Human immunodeficiency virus (HIV) and syphilis remain important public health concerns despite substantial advances in prevention, diagnosis, and treatment. Expanded access to antiretroviral therapy has reduced HIV-related mortality in many settings, but epidemiologic patterns remain heterogeneous across regions</w:t>
      </w:r>
      <w:r w:rsidR="0001644F" w:rsidRPr="0001644F">
        <w:rPr>
          <w:vertAlign w:val="superscript"/>
        </w:rPr>
        <w:t>. 1</w:t>
      </w:r>
      <w:r>
        <w:t xml:space="preserve"> In several high-income countries, particularly in </w:t>
      </w:r>
      <w:r>
        <w:lastRenderedPageBreak/>
        <w:t>parts of the United States and Europe, surveillance reports and epidemiological studies have documented renewed increases in syphilis and, in some settings, ongoing HIV transmission during the past decade.</w:t>
      </w:r>
      <w:r w:rsidR="00BB518C" w:rsidRPr="00BB518C">
        <w:rPr>
          <w:vertAlign w:val="superscript"/>
        </w:rPr>
        <w:t xml:space="preserve"> 2</w:t>
      </w:r>
      <w:r>
        <w:t xml:space="preserve"> Global analyses have identified rising HIV incidence in specific countries within Europe and North America after 2010, while regional UNAIDS reports indicate continued concentration of HIV among key populations in western and central Europe and North America.</w:t>
      </w:r>
      <w:r w:rsidRPr="00BF2565">
        <w:rPr>
          <w:vertAlign w:val="superscript"/>
        </w:rPr>
        <w:t>1,2</w:t>
      </w:r>
      <w:r>
        <w:t xml:space="preserve"> Similarly, syphilis has re-emerged as a sustained public health concern in high-income settings, with consistent increases reported across North America and Europe during the last decade.</w:t>
      </w:r>
      <w:r w:rsidRPr="00BF2565">
        <w:rPr>
          <w:vertAlign w:val="superscript"/>
        </w:rPr>
        <w:t>3,4</w:t>
      </w:r>
    </w:p>
    <w:p w14:paraId="13D93817" w14:textId="3A63AD0D" w:rsidR="00E75E5A" w:rsidRDefault="000636D8">
      <w:r>
        <w:t>Multiple explanations have been proposed for these trends, including behavioral change, persistent stigma, gaps in prevention coverage, and widening social inequities.</w:t>
      </w:r>
      <w:r w:rsidR="00277F85" w:rsidRPr="00277F85">
        <w:rPr>
          <w:vertAlign w:val="superscript"/>
        </w:rPr>
        <w:t xml:space="preserve"> 4</w:t>
      </w:r>
      <w:r>
        <w:t xml:space="preserve"> In the United States, HIV burden remains geographically concentrated in the South and disproportionately affects marginalized populations, while syphilis increases have been linked to broader structural determinants and changing sexual networks.</w:t>
      </w:r>
      <w:r w:rsidRPr="00E819F1">
        <w:rPr>
          <w:vertAlign w:val="superscript"/>
        </w:rPr>
        <w:t xml:space="preserve">4,5 </w:t>
      </w:r>
      <w:r>
        <w:t xml:space="preserve">Population mobility and migration are also recognized as contextual factors that can alter sexual network structure, increase population mixing, and reshape local STI </w:t>
      </w:r>
      <w:r w:rsidR="005E587D">
        <w:t xml:space="preserve">epidemiology. </w:t>
      </w:r>
      <w:r w:rsidRPr="00937DB7">
        <w:rPr>
          <w:vertAlign w:val="superscript"/>
        </w:rPr>
        <w:t>3,6</w:t>
      </w:r>
    </w:p>
    <w:p w14:paraId="0F49991C" w14:textId="7A7D4614" w:rsidR="00E75E5A" w:rsidRDefault="000636D8">
      <w:r>
        <w:t>Sub-Saharan Africa bears a disproportionate global burden of HIV, yet many analyses focus on national aggregates rather than localized urban patterns. Jos, a major urban center in Plateau State, has experienced sustained population movement from surrounding communities and other regions of Nigeria</w:t>
      </w:r>
      <w:r w:rsidR="00801EFA">
        <w:t xml:space="preserve"> as a result of insecurity</w:t>
      </w:r>
      <w:r>
        <w:t>. Understanding whether STI trends in Jos mirror patterns described internationally is important for local surveillance, prevention planning, and service delivery. This study</w:t>
      </w:r>
      <w:r w:rsidR="00DE107B">
        <w:t>,</w:t>
      </w:r>
      <w:r>
        <w:t xml:space="preserve"> therefore</w:t>
      </w:r>
      <w:r w:rsidR="00DE107B">
        <w:t>,</w:t>
      </w:r>
      <w:r>
        <w:t xml:space="preserve"> examined annual HIV and syphilis positivity trends in Jos using routine records from two teaching hospitals and situated the findings within the wider international literature on STI resurgence and migration.</w:t>
      </w:r>
    </w:p>
    <w:p w14:paraId="158376FB" w14:textId="77777777" w:rsidR="00E75E5A" w:rsidRDefault="000636D8">
      <w:pPr>
        <w:pStyle w:val="Heading1"/>
      </w:pPr>
      <w:r>
        <w:t>Literature Review</w:t>
      </w:r>
    </w:p>
    <w:p w14:paraId="6F782A50" w14:textId="77777777" w:rsidR="00E75E5A" w:rsidRDefault="000636D8">
      <w:r>
        <w:t>The recent international literature suggests that HIV trends in high-income regions are complex rather than uniformly increasing. A global epidemiological analysis using Global Burden of Disease and UNAIDS data found that rates of new HIV cases have risen since 2010 in some countries, including the United States, Portugal, Spain, Russia, and Ukraine, indicating that progress has been uneven across settings</w:t>
      </w:r>
      <w:r w:rsidRPr="00994F5D">
        <w:rPr>
          <w:vertAlign w:val="superscript"/>
        </w:rPr>
        <w:t>.1</w:t>
      </w:r>
      <w:r>
        <w:t xml:space="preserve"> Regional UNAIDS data, however, also indicate an overall 14% decrease in annual new HIV infections in western and central Europe and North America since 2010, demonstrating that subregional and population-specific increases can coexist with broader regional declines.</w:t>
      </w:r>
      <w:r w:rsidRPr="006C7447">
        <w:rPr>
          <w:vertAlign w:val="superscript"/>
        </w:rPr>
        <w:t>2</w:t>
      </w:r>
      <w:r>
        <w:t xml:space="preserve"> This heterogeneity underscores the importance of local analyses rather than assuming a single trajectory across all settings.</w:t>
      </w:r>
    </w:p>
    <w:p w14:paraId="6FFC2291" w14:textId="77777777" w:rsidR="00E75E5A" w:rsidRDefault="000636D8">
      <w:r>
        <w:t>By contrast, syphilis resurgence has been more consistently documented. Review articles and surveillance reports have described increasing syphilis incidence across North America, Europe, and parts of Asia over the last decade, with especially pronounced increases among men who have sex with men, people living with HIV, and pregnant women.</w:t>
      </w:r>
      <w:r w:rsidRPr="00F3732C">
        <w:rPr>
          <w:vertAlign w:val="superscript"/>
        </w:rPr>
        <w:t xml:space="preserve">3,4 </w:t>
      </w:r>
      <w:r>
        <w:t xml:space="preserve">High-income settings have </w:t>
      </w:r>
      <w:r>
        <w:lastRenderedPageBreak/>
        <w:t>also reported a resurgence of congenital syphilis, reinforcing concern that the current trend is clinically significant rather than a transient surveillance artifact.</w:t>
      </w:r>
      <w:r w:rsidRPr="00CB45C1">
        <w:rPr>
          <w:vertAlign w:val="superscript"/>
        </w:rPr>
        <w:t>3,4</w:t>
      </w:r>
    </w:p>
    <w:p w14:paraId="36C6F6E8" w14:textId="77777777" w:rsidR="00E75E5A" w:rsidRDefault="000636D8">
      <w:r>
        <w:t>A growing body of work links STI resurgence to structural and behavioral changes. Analyses from the United States have highlighted persistent inequities in healthcare access, health literacy, stigma, and provider distribution as important drivers of HIV burden.</w:t>
      </w:r>
      <w:r w:rsidRPr="00C24C0A">
        <w:rPr>
          <w:vertAlign w:val="superscript"/>
        </w:rPr>
        <w:t>5</w:t>
      </w:r>
      <w:r>
        <w:t xml:space="preserve"> Recent work has further hypothesized that the availability of highly active antiretroviral therapy may have changed risk perception and indirectly contributed to syphilis resurgence through changes in sexual behavior, although these mechanisms remain context dependent.</w:t>
      </w:r>
      <w:r w:rsidRPr="00DF68F3">
        <w:rPr>
          <w:vertAlign w:val="superscript"/>
        </w:rPr>
        <w:t>6</w:t>
      </w:r>
      <w:r>
        <w:t xml:space="preserve"> The literature also emphasizes that migration and urbanization can intensify STI transmission by changing social and sexual mixing patterns, yet evidence from rapidly growing urban centers in low- and middle-income countries remains comparatively limited.</w:t>
      </w:r>
      <w:r w:rsidRPr="00D06EF7">
        <w:rPr>
          <w:vertAlign w:val="superscript"/>
        </w:rPr>
        <w:t>3,6</w:t>
      </w:r>
    </w:p>
    <w:p w14:paraId="09FB0138" w14:textId="40B2517E" w:rsidR="00E75E5A" w:rsidRDefault="000636D8">
      <w:r>
        <w:t xml:space="preserve">Taken together, </w:t>
      </w:r>
      <w:r w:rsidR="000B1C9A">
        <w:t>literature</w:t>
      </w:r>
      <w:r>
        <w:t xml:space="preserve"> supports the need for context-specific analysis. Although international trends provide a useful framework, local data </w:t>
      </w:r>
      <w:r w:rsidR="000B1C9A">
        <w:t>is</w:t>
      </w:r>
      <w:r>
        <w:t xml:space="preserve"> necessary to determine whether urban centers such as Jos are experiencing comparable changes in HIV and syphilis burden. The present study addresses this gap by examining routine hospital-based surveillance data from two teaching hospitals in Jos.</w:t>
      </w:r>
    </w:p>
    <w:p w14:paraId="7D6A7A23" w14:textId="77777777" w:rsidR="00E75E5A" w:rsidRDefault="000636D8">
      <w:pPr>
        <w:pStyle w:val="Heading1"/>
      </w:pPr>
      <w:r>
        <w:t>Methods</w:t>
      </w:r>
    </w:p>
    <w:p w14:paraId="78DC84C7" w14:textId="77777777" w:rsidR="00E75E5A" w:rsidRDefault="000636D8">
      <w:r>
        <w:t>This study was a retrospective descriptive analysis of routinely collected HIV and syphilis testing data obtained from two teaching hospitals in Jos, Plateau State, Nigeria. The study setting is an urban center experiencing substantial population movement from surrounding rural communities and other parts of the country.</w:t>
      </w:r>
    </w:p>
    <w:p w14:paraId="3EDEAE12" w14:textId="63FB22E4" w:rsidR="00E75E5A" w:rsidRDefault="000636D8">
      <w:r>
        <w:t>Data were extracted from institutional laboratory and clinical records. The available records comprised monthly aggregated counts of HIV and syphilis test results from 2020 through 2023. For each month, the number of individuals testing positive and the number testing negative for HIV and syphilis were recorded. The available dataset covered March to December 2020, January to December 2021, January to December 2022, and January to November 2023. No patient-level identifiers or demographic variables were included in the analysis</w:t>
      </w:r>
      <w:r w:rsidR="000B1C9A">
        <w:t xml:space="preserve">. All analysis </w:t>
      </w:r>
      <w:proofErr w:type="gramStart"/>
      <w:r w:rsidR="000B1C9A">
        <w:t>were</w:t>
      </w:r>
      <w:proofErr w:type="gramEnd"/>
      <w:r w:rsidR="000B1C9A">
        <w:t xml:space="preserve"> conducted with IBM SPSS version 29. </w:t>
      </w:r>
    </w:p>
    <w:p w14:paraId="7FC8B20A" w14:textId="77777777" w:rsidR="00E75E5A" w:rsidRDefault="000636D8">
      <w:r>
        <w:t>The study population comprised all individuals who underwent HIV and/or syphilis testing at the participating teaching hospitals during the study period as part of routine clinical care, including outpatient, inpatient, antenatal, and referral services.</w:t>
      </w:r>
    </w:p>
    <w:p w14:paraId="5163311A" w14:textId="77777777" w:rsidR="00E75E5A" w:rsidRDefault="000636D8">
      <w:r>
        <w:t xml:space="preserve">For each infection, the principal outcomes were the number tested, the number positive, and the positivity rate. The number tested was defined as the sum of positive and negative test results. The positivity rate was calculated as the number of positive tests divided by the total number tested, expressed as a percentage. Annual totals were obtained by aggregating monthly counts </w:t>
      </w:r>
      <w:r>
        <w:lastRenderedPageBreak/>
        <w:t>within each calendar year. Because testing volume varied across years, positivity rates were used as the primary comparative measure of trend.</w:t>
      </w:r>
    </w:p>
    <w:p w14:paraId="655F9BDE" w14:textId="77777777" w:rsidR="00E75E5A" w:rsidRDefault="000636D8">
      <w:r>
        <w:t>Descriptive statistics were used to summarize annual testing volumes, annual positive counts, and annual positivity rates. Ninety-five percent confidence intervals for annual positivity rates were calculated using the Wilson score method. Year-on-year percentage changes in positive counts and changes in positivity rates expressed in percentage points were calculated to describe temporal change. Line graphs were generated for annual HIV and syphilis positive counts and annual positivity rates. Analyses were descriptive and were not intended to establish causal relationships.</w:t>
      </w:r>
    </w:p>
    <w:p w14:paraId="1FEB834B" w14:textId="77777777" w:rsidR="00E75E5A" w:rsidRDefault="000636D8">
      <w:r>
        <w:t>The analysis used retrospective aggregated hospital data with no personal identifiers. Specific ethics approval identifiers and administrative permission details were not provided in the available information and should be inserted before journal submission if required by the target journal and the participating institutions.</w:t>
      </w:r>
    </w:p>
    <w:p w14:paraId="7A8384CF" w14:textId="67F1375A" w:rsidR="001C6669" w:rsidRPr="001C6669" w:rsidRDefault="001C6669" w:rsidP="001C6669">
      <w:r w:rsidRPr="001C6669">
        <w:t xml:space="preserve">The dataset included four calendar years, although data completeness varied by year: 2020 contained 10 months of records, 2021 and 2022 each contained 12 months, and 2023 contained 11 months. </w:t>
      </w:r>
      <w:r w:rsidR="000B1C9A" w:rsidRPr="001C6669">
        <w:t>Throughout</w:t>
      </w:r>
      <w:r w:rsidRPr="001C6669">
        <w:t xml:space="preserve"> the study period, HIV and syphilis demonstrated distinct temporal patterns.</w:t>
      </w:r>
    </w:p>
    <w:p w14:paraId="1455B580" w14:textId="77777777" w:rsidR="001C6669" w:rsidRDefault="001C6669"/>
    <w:p w14:paraId="2918A073" w14:textId="77777777" w:rsidR="00E75E5A" w:rsidRDefault="000636D8">
      <w:pPr>
        <w:pStyle w:val="Heading1"/>
      </w:pPr>
      <w:r>
        <w:t>Results</w:t>
      </w:r>
    </w:p>
    <w:p w14:paraId="381F150D" w14:textId="77777777" w:rsidR="00FA3D81" w:rsidRDefault="00FA3D81" w:rsidP="00FA3D81">
      <w:pPr>
        <w:pStyle w:val="Heading1"/>
      </w:pPr>
      <w:r>
        <w:t>Tables</w:t>
      </w:r>
    </w:p>
    <w:p w14:paraId="1B775F2E" w14:textId="77777777" w:rsidR="00FA3D81" w:rsidRDefault="00FA3D81" w:rsidP="00FA3D81">
      <w:r>
        <w:rPr>
          <w:b/>
        </w:rPr>
        <w:t>Table 1. Coverage of monthly HIV and syphilis testing records by year.</w:t>
      </w:r>
    </w:p>
    <w:tbl>
      <w:tblPr>
        <w:tblStyle w:val="TableGrid"/>
        <w:tblW w:w="0" w:type="auto"/>
        <w:jc w:val="center"/>
        <w:tblLook w:val="04A0" w:firstRow="1" w:lastRow="0" w:firstColumn="1" w:lastColumn="0" w:noHBand="0" w:noVBand="1"/>
      </w:tblPr>
      <w:tblGrid>
        <w:gridCol w:w="3120"/>
        <w:gridCol w:w="3120"/>
        <w:gridCol w:w="3120"/>
      </w:tblGrid>
      <w:tr w:rsidR="00FA3D81" w14:paraId="1B482A6A" w14:textId="77777777" w:rsidTr="002B1D26">
        <w:trPr>
          <w:jc w:val="center"/>
        </w:trPr>
        <w:tc>
          <w:tcPr>
            <w:tcW w:w="3120" w:type="dxa"/>
          </w:tcPr>
          <w:p w14:paraId="4D8B17D0" w14:textId="77777777" w:rsidR="00FA3D81" w:rsidRDefault="00FA3D81" w:rsidP="002B1D26">
            <w:r>
              <w:t>Year</w:t>
            </w:r>
          </w:p>
        </w:tc>
        <w:tc>
          <w:tcPr>
            <w:tcW w:w="3120" w:type="dxa"/>
          </w:tcPr>
          <w:p w14:paraId="6C1D77ED" w14:textId="77777777" w:rsidR="00FA3D81" w:rsidRDefault="00FA3D81" w:rsidP="002B1D26">
            <w:r>
              <w:t>Number of months in dataset</w:t>
            </w:r>
          </w:p>
        </w:tc>
        <w:tc>
          <w:tcPr>
            <w:tcW w:w="3120" w:type="dxa"/>
          </w:tcPr>
          <w:p w14:paraId="418EB87B" w14:textId="77777777" w:rsidR="00FA3D81" w:rsidRDefault="00FA3D81" w:rsidP="002B1D26">
            <w:r>
              <w:t>Months included</w:t>
            </w:r>
          </w:p>
        </w:tc>
      </w:tr>
      <w:tr w:rsidR="00FA3D81" w14:paraId="39FBD2CE" w14:textId="77777777" w:rsidTr="002B1D26">
        <w:trPr>
          <w:jc w:val="center"/>
        </w:trPr>
        <w:tc>
          <w:tcPr>
            <w:tcW w:w="3120" w:type="dxa"/>
          </w:tcPr>
          <w:p w14:paraId="3A8FF548" w14:textId="77777777" w:rsidR="00FA3D81" w:rsidRDefault="00FA3D81" w:rsidP="002B1D26">
            <w:r>
              <w:t>2020</w:t>
            </w:r>
          </w:p>
        </w:tc>
        <w:tc>
          <w:tcPr>
            <w:tcW w:w="3120" w:type="dxa"/>
          </w:tcPr>
          <w:p w14:paraId="3FC19DA7" w14:textId="77777777" w:rsidR="00FA3D81" w:rsidRDefault="00FA3D81" w:rsidP="002B1D26">
            <w:r>
              <w:t>10</w:t>
            </w:r>
          </w:p>
        </w:tc>
        <w:tc>
          <w:tcPr>
            <w:tcW w:w="3120" w:type="dxa"/>
          </w:tcPr>
          <w:p w14:paraId="01C9E8FD" w14:textId="77777777" w:rsidR="00FA3D81" w:rsidRDefault="00FA3D81" w:rsidP="002B1D26">
            <w:r>
              <w:t>March, April, May, June, July, Aug, Sep, Oct, Nov, Dec</w:t>
            </w:r>
          </w:p>
        </w:tc>
      </w:tr>
      <w:tr w:rsidR="00FA3D81" w14:paraId="48C5C272" w14:textId="77777777" w:rsidTr="002B1D26">
        <w:trPr>
          <w:jc w:val="center"/>
        </w:trPr>
        <w:tc>
          <w:tcPr>
            <w:tcW w:w="3120" w:type="dxa"/>
          </w:tcPr>
          <w:p w14:paraId="0CD2F8B7" w14:textId="77777777" w:rsidR="00FA3D81" w:rsidRDefault="00FA3D81" w:rsidP="002B1D26">
            <w:r>
              <w:t>2021</w:t>
            </w:r>
          </w:p>
        </w:tc>
        <w:tc>
          <w:tcPr>
            <w:tcW w:w="3120" w:type="dxa"/>
          </w:tcPr>
          <w:p w14:paraId="149C40BA" w14:textId="77777777" w:rsidR="00FA3D81" w:rsidRDefault="00FA3D81" w:rsidP="002B1D26">
            <w:r>
              <w:t>12</w:t>
            </w:r>
          </w:p>
        </w:tc>
        <w:tc>
          <w:tcPr>
            <w:tcW w:w="3120" w:type="dxa"/>
          </w:tcPr>
          <w:p w14:paraId="496BD48B" w14:textId="77777777" w:rsidR="00FA3D81" w:rsidRDefault="00FA3D81" w:rsidP="002B1D26">
            <w:r>
              <w:t>Jan, Feb, March, April, May, June, July, Aug, Sep, Oct, Nov, Dec</w:t>
            </w:r>
          </w:p>
        </w:tc>
      </w:tr>
      <w:tr w:rsidR="00FA3D81" w14:paraId="2B50613F" w14:textId="77777777" w:rsidTr="002B1D26">
        <w:trPr>
          <w:jc w:val="center"/>
        </w:trPr>
        <w:tc>
          <w:tcPr>
            <w:tcW w:w="3120" w:type="dxa"/>
          </w:tcPr>
          <w:p w14:paraId="65C1631B" w14:textId="77777777" w:rsidR="00FA3D81" w:rsidRDefault="00FA3D81" w:rsidP="002B1D26">
            <w:r>
              <w:t>2022</w:t>
            </w:r>
          </w:p>
        </w:tc>
        <w:tc>
          <w:tcPr>
            <w:tcW w:w="3120" w:type="dxa"/>
          </w:tcPr>
          <w:p w14:paraId="4703FEE4" w14:textId="77777777" w:rsidR="00FA3D81" w:rsidRDefault="00FA3D81" w:rsidP="002B1D26">
            <w:r>
              <w:t>12</w:t>
            </w:r>
          </w:p>
        </w:tc>
        <w:tc>
          <w:tcPr>
            <w:tcW w:w="3120" w:type="dxa"/>
          </w:tcPr>
          <w:p w14:paraId="7F5642DF" w14:textId="77777777" w:rsidR="00FA3D81" w:rsidRDefault="00FA3D81" w:rsidP="002B1D26">
            <w:r>
              <w:t>Jan, Feb, March, April, May, June, July, Aug, Sep, Oct, Nov, Dec</w:t>
            </w:r>
          </w:p>
        </w:tc>
      </w:tr>
      <w:tr w:rsidR="00FA3D81" w14:paraId="675C1B86" w14:textId="77777777" w:rsidTr="002B1D26">
        <w:trPr>
          <w:jc w:val="center"/>
        </w:trPr>
        <w:tc>
          <w:tcPr>
            <w:tcW w:w="3120" w:type="dxa"/>
          </w:tcPr>
          <w:p w14:paraId="45AF67A8" w14:textId="77777777" w:rsidR="00FA3D81" w:rsidRDefault="00FA3D81" w:rsidP="002B1D26">
            <w:r>
              <w:t>2023</w:t>
            </w:r>
          </w:p>
        </w:tc>
        <w:tc>
          <w:tcPr>
            <w:tcW w:w="3120" w:type="dxa"/>
          </w:tcPr>
          <w:p w14:paraId="75287397" w14:textId="77777777" w:rsidR="00FA3D81" w:rsidRDefault="00FA3D81" w:rsidP="002B1D26">
            <w:r>
              <w:t>11</w:t>
            </w:r>
          </w:p>
        </w:tc>
        <w:tc>
          <w:tcPr>
            <w:tcW w:w="3120" w:type="dxa"/>
          </w:tcPr>
          <w:p w14:paraId="2BE766B6" w14:textId="77777777" w:rsidR="00FA3D81" w:rsidRDefault="00FA3D81" w:rsidP="002B1D26">
            <w:r>
              <w:t>Jan, Feb, March, April, May, June, July, Aug, Sep, Oct, Nov</w:t>
            </w:r>
          </w:p>
        </w:tc>
      </w:tr>
    </w:tbl>
    <w:p w14:paraId="5398C17D" w14:textId="77777777" w:rsidR="00FA3D81" w:rsidRDefault="00FA3D81" w:rsidP="00FA3D81"/>
    <w:p w14:paraId="2643C223" w14:textId="77777777" w:rsidR="00FA3D81" w:rsidRDefault="00FA3D81" w:rsidP="00FA3D81">
      <w:r>
        <w:rPr>
          <w:b/>
        </w:rPr>
        <w:lastRenderedPageBreak/>
        <w:t>Table 2. Annual HIV and syphilis positive counts, numbers tested, and positivity rates with 95% confidence intervals.</w:t>
      </w:r>
    </w:p>
    <w:tbl>
      <w:tblPr>
        <w:tblStyle w:val="TableGrid"/>
        <w:tblW w:w="0" w:type="auto"/>
        <w:tblLook w:val="04A0" w:firstRow="1" w:lastRow="0" w:firstColumn="1" w:lastColumn="0" w:noHBand="0" w:noVBand="1"/>
      </w:tblPr>
      <w:tblGrid>
        <w:gridCol w:w="1170"/>
        <w:gridCol w:w="1170"/>
        <w:gridCol w:w="1170"/>
        <w:gridCol w:w="1170"/>
        <w:gridCol w:w="1170"/>
        <w:gridCol w:w="1170"/>
        <w:gridCol w:w="1170"/>
        <w:gridCol w:w="1170"/>
      </w:tblGrid>
      <w:tr w:rsidR="00FA3D81" w14:paraId="606612DC" w14:textId="77777777" w:rsidTr="002B1D26">
        <w:tc>
          <w:tcPr>
            <w:tcW w:w="1170" w:type="dxa"/>
          </w:tcPr>
          <w:p w14:paraId="107B7782" w14:textId="77777777" w:rsidR="00FA3D81" w:rsidRDefault="00FA3D81" w:rsidP="002B1D26">
            <w:r>
              <w:t>Year</w:t>
            </w:r>
          </w:p>
        </w:tc>
        <w:tc>
          <w:tcPr>
            <w:tcW w:w="1170" w:type="dxa"/>
          </w:tcPr>
          <w:p w14:paraId="6BA471F1" w14:textId="77777777" w:rsidR="00FA3D81" w:rsidRDefault="00FA3D81" w:rsidP="002B1D26">
            <w:r>
              <w:t>Months</w:t>
            </w:r>
          </w:p>
        </w:tc>
        <w:tc>
          <w:tcPr>
            <w:tcW w:w="1170" w:type="dxa"/>
          </w:tcPr>
          <w:p w14:paraId="1EB421D7" w14:textId="77777777" w:rsidR="00FA3D81" w:rsidRDefault="00FA3D81" w:rsidP="002B1D26">
            <w:r>
              <w:t>HIV positive</w:t>
            </w:r>
          </w:p>
        </w:tc>
        <w:tc>
          <w:tcPr>
            <w:tcW w:w="1170" w:type="dxa"/>
          </w:tcPr>
          <w:p w14:paraId="7F82EF2C" w14:textId="77777777" w:rsidR="00FA3D81" w:rsidRDefault="00FA3D81" w:rsidP="002B1D26">
            <w:r>
              <w:t>HIV tested</w:t>
            </w:r>
          </w:p>
        </w:tc>
        <w:tc>
          <w:tcPr>
            <w:tcW w:w="1170" w:type="dxa"/>
          </w:tcPr>
          <w:p w14:paraId="5D1E626B" w14:textId="77777777" w:rsidR="00FA3D81" w:rsidRDefault="00FA3D81" w:rsidP="002B1D26">
            <w:r>
              <w:t>HIV positivity % (95% CI)</w:t>
            </w:r>
          </w:p>
        </w:tc>
        <w:tc>
          <w:tcPr>
            <w:tcW w:w="1170" w:type="dxa"/>
          </w:tcPr>
          <w:p w14:paraId="71B29163" w14:textId="77777777" w:rsidR="00FA3D81" w:rsidRDefault="00FA3D81" w:rsidP="002B1D26">
            <w:r>
              <w:t>Syphilis positive</w:t>
            </w:r>
          </w:p>
        </w:tc>
        <w:tc>
          <w:tcPr>
            <w:tcW w:w="1170" w:type="dxa"/>
          </w:tcPr>
          <w:p w14:paraId="6A808018" w14:textId="77777777" w:rsidR="00FA3D81" w:rsidRDefault="00FA3D81" w:rsidP="002B1D26">
            <w:r>
              <w:t>Syphilis tested</w:t>
            </w:r>
          </w:p>
        </w:tc>
        <w:tc>
          <w:tcPr>
            <w:tcW w:w="1170" w:type="dxa"/>
          </w:tcPr>
          <w:p w14:paraId="5EBEFFBE" w14:textId="77777777" w:rsidR="00FA3D81" w:rsidRDefault="00FA3D81" w:rsidP="002B1D26">
            <w:r>
              <w:t>Syphilis positivity % (95% CI)</w:t>
            </w:r>
          </w:p>
        </w:tc>
      </w:tr>
      <w:tr w:rsidR="00FA3D81" w14:paraId="2A67B592" w14:textId="77777777" w:rsidTr="002B1D26">
        <w:tc>
          <w:tcPr>
            <w:tcW w:w="1170" w:type="dxa"/>
          </w:tcPr>
          <w:p w14:paraId="46EE5EE8" w14:textId="77777777" w:rsidR="00FA3D81" w:rsidRDefault="00FA3D81" w:rsidP="002B1D26">
            <w:r>
              <w:t>2020</w:t>
            </w:r>
          </w:p>
        </w:tc>
        <w:tc>
          <w:tcPr>
            <w:tcW w:w="1170" w:type="dxa"/>
          </w:tcPr>
          <w:p w14:paraId="41BBD415" w14:textId="77777777" w:rsidR="00FA3D81" w:rsidRDefault="00FA3D81" w:rsidP="002B1D26">
            <w:r>
              <w:t>10</w:t>
            </w:r>
          </w:p>
        </w:tc>
        <w:tc>
          <w:tcPr>
            <w:tcW w:w="1170" w:type="dxa"/>
          </w:tcPr>
          <w:p w14:paraId="5DC3EF63" w14:textId="77777777" w:rsidR="00FA3D81" w:rsidRDefault="00FA3D81" w:rsidP="002B1D26">
            <w:r>
              <w:t>34</w:t>
            </w:r>
          </w:p>
        </w:tc>
        <w:tc>
          <w:tcPr>
            <w:tcW w:w="1170" w:type="dxa"/>
          </w:tcPr>
          <w:p w14:paraId="40C386ED" w14:textId="77777777" w:rsidR="00FA3D81" w:rsidRDefault="00FA3D81" w:rsidP="002B1D26">
            <w:r>
              <w:t>474</w:t>
            </w:r>
          </w:p>
        </w:tc>
        <w:tc>
          <w:tcPr>
            <w:tcW w:w="1170" w:type="dxa"/>
          </w:tcPr>
          <w:p w14:paraId="281C0366" w14:textId="77777777" w:rsidR="00FA3D81" w:rsidRDefault="00FA3D81" w:rsidP="002B1D26">
            <w:r>
              <w:t>7.17 (5.18-9.86)</w:t>
            </w:r>
          </w:p>
        </w:tc>
        <w:tc>
          <w:tcPr>
            <w:tcW w:w="1170" w:type="dxa"/>
          </w:tcPr>
          <w:p w14:paraId="55BB169A" w14:textId="77777777" w:rsidR="00FA3D81" w:rsidRDefault="00FA3D81" w:rsidP="002B1D26">
            <w:r>
              <w:t>2</w:t>
            </w:r>
          </w:p>
        </w:tc>
        <w:tc>
          <w:tcPr>
            <w:tcW w:w="1170" w:type="dxa"/>
          </w:tcPr>
          <w:p w14:paraId="055EF4C8" w14:textId="77777777" w:rsidR="00FA3D81" w:rsidRDefault="00FA3D81" w:rsidP="002B1D26">
            <w:r>
              <w:t>476</w:t>
            </w:r>
          </w:p>
        </w:tc>
        <w:tc>
          <w:tcPr>
            <w:tcW w:w="1170" w:type="dxa"/>
          </w:tcPr>
          <w:p w14:paraId="26E1402D" w14:textId="77777777" w:rsidR="00FA3D81" w:rsidRDefault="00FA3D81" w:rsidP="002B1D26">
            <w:r>
              <w:t>0.42 (0.12-1.52)</w:t>
            </w:r>
          </w:p>
        </w:tc>
      </w:tr>
      <w:tr w:rsidR="00FA3D81" w14:paraId="72946079" w14:textId="77777777" w:rsidTr="002B1D26">
        <w:tc>
          <w:tcPr>
            <w:tcW w:w="1170" w:type="dxa"/>
          </w:tcPr>
          <w:p w14:paraId="67AD76DB" w14:textId="77777777" w:rsidR="00FA3D81" w:rsidRDefault="00FA3D81" w:rsidP="002B1D26">
            <w:r>
              <w:t>2021</w:t>
            </w:r>
          </w:p>
        </w:tc>
        <w:tc>
          <w:tcPr>
            <w:tcW w:w="1170" w:type="dxa"/>
          </w:tcPr>
          <w:p w14:paraId="04B5A114" w14:textId="77777777" w:rsidR="00FA3D81" w:rsidRDefault="00FA3D81" w:rsidP="002B1D26">
            <w:r>
              <w:t>12</w:t>
            </w:r>
          </w:p>
        </w:tc>
        <w:tc>
          <w:tcPr>
            <w:tcW w:w="1170" w:type="dxa"/>
          </w:tcPr>
          <w:p w14:paraId="46F136DC" w14:textId="77777777" w:rsidR="00FA3D81" w:rsidRDefault="00FA3D81" w:rsidP="002B1D26">
            <w:r>
              <w:t>58</w:t>
            </w:r>
          </w:p>
        </w:tc>
        <w:tc>
          <w:tcPr>
            <w:tcW w:w="1170" w:type="dxa"/>
          </w:tcPr>
          <w:p w14:paraId="2ED27169" w14:textId="77777777" w:rsidR="00FA3D81" w:rsidRDefault="00FA3D81" w:rsidP="002B1D26">
            <w:r>
              <w:t>711</w:t>
            </w:r>
          </w:p>
        </w:tc>
        <w:tc>
          <w:tcPr>
            <w:tcW w:w="1170" w:type="dxa"/>
          </w:tcPr>
          <w:p w14:paraId="5A559AAA" w14:textId="77777777" w:rsidR="00FA3D81" w:rsidRDefault="00FA3D81" w:rsidP="002B1D26">
            <w:r>
              <w:t>8.16 (6.36-10.40)</w:t>
            </w:r>
          </w:p>
        </w:tc>
        <w:tc>
          <w:tcPr>
            <w:tcW w:w="1170" w:type="dxa"/>
          </w:tcPr>
          <w:p w14:paraId="211B5D93" w14:textId="77777777" w:rsidR="00FA3D81" w:rsidRDefault="00FA3D81" w:rsidP="002B1D26">
            <w:r>
              <w:t>0</w:t>
            </w:r>
          </w:p>
        </w:tc>
        <w:tc>
          <w:tcPr>
            <w:tcW w:w="1170" w:type="dxa"/>
          </w:tcPr>
          <w:p w14:paraId="31E1A6DF" w14:textId="77777777" w:rsidR="00FA3D81" w:rsidRDefault="00FA3D81" w:rsidP="002B1D26">
            <w:r>
              <w:t>711</w:t>
            </w:r>
          </w:p>
        </w:tc>
        <w:tc>
          <w:tcPr>
            <w:tcW w:w="1170" w:type="dxa"/>
          </w:tcPr>
          <w:p w14:paraId="38CB8404" w14:textId="77777777" w:rsidR="00FA3D81" w:rsidRDefault="00FA3D81" w:rsidP="002B1D26">
            <w:r>
              <w:t>0.00 (-0.00-0.54)</w:t>
            </w:r>
          </w:p>
        </w:tc>
      </w:tr>
      <w:tr w:rsidR="00FA3D81" w14:paraId="6BF12153" w14:textId="77777777" w:rsidTr="002B1D26">
        <w:tc>
          <w:tcPr>
            <w:tcW w:w="1170" w:type="dxa"/>
          </w:tcPr>
          <w:p w14:paraId="4145E5B0" w14:textId="77777777" w:rsidR="00FA3D81" w:rsidRDefault="00FA3D81" w:rsidP="002B1D26">
            <w:r>
              <w:t>2022</w:t>
            </w:r>
          </w:p>
        </w:tc>
        <w:tc>
          <w:tcPr>
            <w:tcW w:w="1170" w:type="dxa"/>
          </w:tcPr>
          <w:p w14:paraId="318961C9" w14:textId="77777777" w:rsidR="00FA3D81" w:rsidRDefault="00FA3D81" w:rsidP="002B1D26">
            <w:r>
              <w:t>12</w:t>
            </w:r>
          </w:p>
        </w:tc>
        <w:tc>
          <w:tcPr>
            <w:tcW w:w="1170" w:type="dxa"/>
          </w:tcPr>
          <w:p w14:paraId="7E79357B" w14:textId="77777777" w:rsidR="00FA3D81" w:rsidRDefault="00FA3D81" w:rsidP="002B1D26">
            <w:r>
              <w:t>26</w:t>
            </w:r>
          </w:p>
        </w:tc>
        <w:tc>
          <w:tcPr>
            <w:tcW w:w="1170" w:type="dxa"/>
          </w:tcPr>
          <w:p w14:paraId="0B05AB3E" w14:textId="77777777" w:rsidR="00FA3D81" w:rsidRDefault="00FA3D81" w:rsidP="002B1D26">
            <w:r>
              <w:t>756</w:t>
            </w:r>
          </w:p>
        </w:tc>
        <w:tc>
          <w:tcPr>
            <w:tcW w:w="1170" w:type="dxa"/>
          </w:tcPr>
          <w:p w14:paraId="7387313A" w14:textId="77777777" w:rsidR="00FA3D81" w:rsidRDefault="00FA3D81" w:rsidP="002B1D26">
            <w:r>
              <w:t>3.44 (2.36-4.99)</w:t>
            </w:r>
          </w:p>
        </w:tc>
        <w:tc>
          <w:tcPr>
            <w:tcW w:w="1170" w:type="dxa"/>
          </w:tcPr>
          <w:p w14:paraId="247877C2" w14:textId="77777777" w:rsidR="00FA3D81" w:rsidRDefault="00FA3D81" w:rsidP="002B1D26">
            <w:r>
              <w:t>1</w:t>
            </w:r>
          </w:p>
        </w:tc>
        <w:tc>
          <w:tcPr>
            <w:tcW w:w="1170" w:type="dxa"/>
          </w:tcPr>
          <w:p w14:paraId="3C97005A" w14:textId="77777777" w:rsidR="00FA3D81" w:rsidRDefault="00FA3D81" w:rsidP="002B1D26">
            <w:r>
              <w:t>756</w:t>
            </w:r>
          </w:p>
        </w:tc>
        <w:tc>
          <w:tcPr>
            <w:tcW w:w="1170" w:type="dxa"/>
          </w:tcPr>
          <w:p w14:paraId="07F5635A" w14:textId="77777777" w:rsidR="00FA3D81" w:rsidRDefault="00FA3D81" w:rsidP="002B1D26">
            <w:r>
              <w:t>0.13 (0.02-0.75)</w:t>
            </w:r>
          </w:p>
        </w:tc>
      </w:tr>
      <w:tr w:rsidR="00FA3D81" w14:paraId="010C4815" w14:textId="77777777" w:rsidTr="002B1D26">
        <w:tc>
          <w:tcPr>
            <w:tcW w:w="1170" w:type="dxa"/>
          </w:tcPr>
          <w:p w14:paraId="1C985EBF" w14:textId="77777777" w:rsidR="00FA3D81" w:rsidRDefault="00FA3D81" w:rsidP="002B1D26">
            <w:r>
              <w:t>2023</w:t>
            </w:r>
          </w:p>
        </w:tc>
        <w:tc>
          <w:tcPr>
            <w:tcW w:w="1170" w:type="dxa"/>
          </w:tcPr>
          <w:p w14:paraId="1C7786F4" w14:textId="77777777" w:rsidR="00FA3D81" w:rsidRDefault="00FA3D81" w:rsidP="002B1D26">
            <w:r>
              <w:t>11</w:t>
            </w:r>
          </w:p>
        </w:tc>
        <w:tc>
          <w:tcPr>
            <w:tcW w:w="1170" w:type="dxa"/>
          </w:tcPr>
          <w:p w14:paraId="3080EFA5" w14:textId="77777777" w:rsidR="00FA3D81" w:rsidRDefault="00FA3D81" w:rsidP="002B1D26">
            <w:r>
              <w:t>10</w:t>
            </w:r>
          </w:p>
        </w:tc>
        <w:tc>
          <w:tcPr>
            <w:tcW w:w="1170" w:type="dxa"/>
          </w:tcPr>
          <w:p w14:paraId="5D765ED6" w14:textId="77777777" w:rsidR="00FA3D81" w:rsidRDefault="00FA3D81" w:rsidP="002B1D26">
            <w:r>
              <w:t>792</w:t>
            </w:r>
          </w:p>
        </w:tc>
        <w:tc>
          <w:tcPr>
            <w:tcW w:w="1170" w:type="dxa"/>
          </w:tcPr>
          <w:p w14:paraId="2121260A" w14:textId="77777777" w:rsidR="00FA3D81" w:rsidRDefault="00FA3D81" w:rsidP="002B1D26">
            <w:r>
              <w:t>1.26 (0.69-2.31)</w:t>
            </w:r>
          </w:p>
        </w:tc>
        <w:tc>
          <w:tcPr>
            <w:tcW w:w="1170" w:type="dxa"/>
          </w:tcPr>
          <w:p w14:paraId="0FBD0F80" w14:textId="77777777" w:rsidR="00FA3D81" w:rsidRDefault="00FA3D81" w:rsidP="002B1D26">
            <w:r>
              <w:t>6</w:t>
            </w:r>
          </w:p>
        </w:tc>
        <w:tc>
          <w:tcPr>
            <w:tcW w:w="1170" w:type="dxa"/>
          </w:tcPr>
          <w:p w14:paraId="63084803" w14:textId="77777777" w:rsidR="00FA3D81" w:rsidRDefault="00FA3D81" w:rsidP="002B1D26">
            <w:r>
              <w:t>793</w:t>
            </w:r>
          </w:p>
        </w:tc>
        <w:tc>
          <w:tcPr>
            <w:tcW w:w="1170" w:type="dxa"/>
          </w:tcPr>
          <w:p w14:paraId="4FBF82DD" w14:textId="77777777" w:rsidR="00FA3D81" w:rsidRDefault="00FA3D81" w:rsidP="002B1D26">
            <w:r>
              <w:t>0.76 (0.35-1.64)</w:t>
            </w:r>
          </w:p>
        </w:tc>
      </w:tr>
    </w:tbl>
    <w:p w14:paraId="4F360167" w14:textId="77777777" w:rsidR="00FA3D81" w:rsidRDefault="00FA3D81" w:rsidP="00FA3D81"/>
    <w:p w14:paraId="65E0B9F6" w14:textId="77777777" w:rsidR="00FA3D81" w:rsidRDefault="00FA3D81" w:rsidP="00FA3D81">
      <w:r>
        <w:rPr>
          <w:b/>
        </w:rPr>
        <w:t>Table 3. Year-on-year change in annual HIV and syphilis positive counts and positivity rates.</w:t>
      </w:r>
    </w:p>
    <w:tbl>
      <w:tblPr>
        <w:tblStyle w:val="TableGrid"/>
        <w:tblW w:w="0" w:type="auto"/>
        <w:tblLook w:val="04A0" w:firstRow="1" w:lastRow="0" w:firstColumn="1" w:lastColumn="0" w:noHBand="0" w:noVBand="1"/>
      </w:tblPr>
      <w:tblGrid>
        <w:gridCol w:w="1337"/>
        <w:gridCol w:w="1337"/>
        <w:gridCol w:w="1337"/>
        <w:gridCol w:w="1337"/>
        <w:gridCol w:w="1337"/>
        <w:gridCol w:w="1337"/>
        <w:gridCol w:w="1337"/>
      </w:tblGrid>
      <w:tr w:rsidR="00FA3D81" w14:paraId="03C1B4E8" w14:textId="77777777" w:rsidTr="002B1D26">
        <w:tc>
          <w:tcPr>
            <w:tcW w:w="1337" w:type="dxa"/>
          </w:tcPr>
          <w:p w14:paraId="794B0D19" w14:textId="77777777" w:rsidR="00FA3D81" w:rsidRDefault="00FA3D81" w:rsidP="002B1D26">
            <w:r>
              <w:t>Year</w:t>
            </w:r>
          </w:p>
        </w:tc>
        <w:tc>
          <w:tcPr>
            <w:tcW w:w="1337" w:type="dxa"/>
          </w:tcPr>
          <w:p w14:paraId="4F426627" w14:textId="77777777" w:rsidR="00FA3D81" w:rsidRDefault="00FA3D81" w:rsidP="002B1D26">
            <w:r>
              <w:t>HIV positive</w:t>
            </w:r>
          </w:p>
        </w:tc>
        <w:tc>
          <w:tcPr>
            <w:tcW w:w="1337" w:type="dxa"/>
          </w:tcPr>
          <w:p w14:paraId="4155B990" w14:textId="77777777" w:rsidR="00FA3D81" w:rsidRDefault="00FA3D81" w:rsidP="002B1D26">
            <w:r>
              <w:t>HIV YoY change in positives, %</w:t>
            </w:r>
          </w:p>
        </w:tc>
        <w:tc>
          <w:tcPr>
            <w:tcW w:w="1337" w:type="dxa"/>
          </w:tcPr>
          <w:p w14:paraId="10BCA986" w14:textId="77777777" w:rsidR="00FA3D81" w:rsidRDefault="00FA3D81" w:rsidP="002B1D26">
            <w:r>
              <w:t>HIV change in positivity, percentage points</w:t>
            </w:r>
          </w:p>
        </w:tc>
        <w:tc>
          <w:tcPr>
            <w:tcW w:w="1337" w:type="dxa"/>
          </w:tcPr>
          <w:p w14:paraId="30C035D9" w14:textId="77777777" w:rsidR="00FA3D81" w:rsidRDefault="00FA3D81" w:rsidP="002B1D26">
            <w:r>
              <w:t>Syphilis positive</w:t>
            </w:r>
          </w:p>
        </w:tc>
        <w:tc>
          <w:tcPr>
            <w:tcW w:w="1337" w:type="dxa"/>
          </w:tcPr>
          <w:p w14:paraId="58DE9A33" w14:textId="77777777" w:rsidR="00FA3D81" w:rsidRDefault="00FA3D81" w:rsidP="002B1D26">
            <w:r>
              <w:t>Syphilis YoY change in positives, %</w:t>
            </w:r>
          </w:p>
        </w:tc>
        <w:tc>
          <w:tcPr>
            <w:tcW w:w="1337" w:type="dxa"/>
          </w:tcPr>
          <w:p w14:paraId="6ECE8498" w14:textId="77777777" w:rsidR="00FA3D81" w:rsidRDefault="00FA3D81" w:rsidP="002B1D26">
            <w:r>
              <w:t>Syphilis change in positivity, percentage points</w:t>
            </w:r>
          </w:p>
        </w:tc>
      </w:tr>
      <w:tr w:rsidR="00FA3D81" w14:paraId="35FEAAF0" w14:textId="77777777" w:rsidTr="002B1D26">
        <w:tc>
          <w:tcPr>
            <w:tcW w:w="1337" w:type="dxa"/>
          </w:tcPr>
          <w:p w14:paraId="3945DB29" w14:textId="77777777" w:rsidR="00FA3D81" w:rsidRDefault="00FA3D81" w:rsidP="002B1D26">
            <w:r>
              <w:t>2020</w:t>
            </w:r>
          </w:p>
        </w:tc>
        <w:tc>
          <w:tcPr>
            <w:tcW w:w="1337" w:type="dxa"/>
          </w:tcPr>
          <w:p w14:paraId="47F5742F" w14:textId="77777777" w:rsidR="00FA3D81" w:rsidRDefault="00FA3D81" w:rsidP="002B1D26">
            <w:r>
              <w:t>34</w:t>
            </w:r>
          </w:p>
        </w:tc>
        <w:tc>
          <w:tcPr>
            <w:tcW w:w="1337" w:type="dxa"/>
          </w:tcPr>
          <w:p w14:paraId="2E770312" w14:textId="77777777" w:rsidR="00FA3D81" w:rsidRDefault="00FA3D81" w:rsidP="002B1D26">
            <w:r>
              <w:t>—</w:t>
            </w:r>
          </w:p>
        </w:tc>
        <w:tc>
          <w:tcPr>
            <w:tcW w:w="1337" w:type="dxa"/>
          </w:tcPr>
          <w:p w14:paraId="26BD94C5" w14:textId="77777777" w:rsidR="00FA3D81" w:rsidRDefault="00FA3D81" w:rsidP="002B1D26">
            <w:r>
              <w:t>—</w:t>
            </w:r>
          </w:p>
        </w:tc>
        <w:tc>
          <w:tcPr>
            <w:tcW w:w="1337" w:type="dxa"/>
          </w:tcPr>
          <w:p w14:paraId="52010B21" w14:textId="77777777" w:rsidR="00FA3D81" w:rsidRDefault="00FA3D81" w:rsidP="002B1D26">
            <w:r>
              <w:t>2</w:t>
            </w:r>
          </w:p>
        </w:tc>
        <w:tc>
          <w:tcPr>
            <w:tcW w:w="1337" w:type="dxa"/>
          </w:tcPr>
          <w:p w14:paraId="0D14C85C" w14:textId="77777777" w:rsidR="00FA3D81" w:rsidRDefault="00FA3D81" w:rsidP="002B1D26">
            <w:r>
              <w:t>—</w:t>
            </w:r>
          </w:p>
        </w:tc>
        <w:tc>
          <w:tcPr>
            <w:tcW w:w="1337" w:type="dxa"/>
          </w:tcPr>
          <w:p w14:paraId="71571CF4" w14:textId="77777777" w:rsidR="00FA3D81" w:rsidRDefault="00FA3D81" w:rsidP="002B1D26">
            <w:r>
              <w:t>—</w:t>
            </w:r>
          </w:p>
        </w:tc>
      </w:tr>
      <w:tr w:rsidR="00FA3D81" w14:paraId="699415F4" w14:textId="77777777" w:rsidTr="002B1D26">
        <w:tc>
          <w:tcPr>
            <w:tcW w:w="1337" w:type="dxa"/>
          </w:tcPr>
          <w:p w14:paraId="05F07B0E" w14:textId="77777777" w:rsidR="00FA3D81" w:rsidRDefault="00FA3D81" w:rsidP="002B1D26">
            <w:r>
              <w:t>2021</w:t>
            </w:r>
          </w:p>
        </w:tc>
        <w:tc>
          <w:tcPr>
            <w:tcW w:w="1337" w:type="dxa"/>
          </w:tcPr>
          <w:p w14:paraId="75AD6E99" w14:textId="77777777" w:rsidR="00FA3D81" w:rsidRDefault="00FA3D81" w:rsidP="002B1D26">
            <w:r>
              <w:t>58</w:t>
            </w:r>
          </w:p>
        </w:tc>
        <w:tc>
          <w:tcPr>
            <w:tcW w:w="1337" w:type="dxa"/>
          </w:tcPr>
          <w:p w14:paraId="1978CB5C" w14:textId="77777777" w:rsidR="00FA3D81" w:rsidRDefault="00FA3D81" w:rsidP="002B1D26">
            <w:r>
              <w:t>70.59</w:t>
            </w:r>
          </w:p>
        </w:tc>
        <w:tc>
          <w:tcPr>
            <w:tcW w:w="1337" w:type="dxa"/>
          </w:tcPr>
          <w:p w14:paraId="4A1E51ED" w14:textId="77777777" w:rsidR="00FA3D81" w:rsidRDefault="00FA3D81" w:rsidP="002B1D26">
            <w:r>
              <w:t>0.98</w:t>
            </w:r>
          </w:p>
        </w:tc>
        <w:tc>
          <w:tcPr>
            <w:tcW w:w="1337" w:type="dxa"/>
          </w:tcPr>
          <w:p w14:paraId="0839D235" w14:textId="77777777" w:rsidR="00FA3D81" w:rsidRDefault="00FA3D81" w:rsidP="002B1D26">
            <w:r>
              <w:t>0</w:t>
            </w:r>
          </w:p>
        </w:tc>
        <w:tc>
          <w:tcPr>
            <w:tcW w:w="1337" w:type="dxa"/>
          </w:tcPr>
          <w:p w14:paraId="2D41FE51" w14:textId="77777777" w:rsidR="00FA3D81" w:rsidRDefault="00FA3D81" w:rsidP="002B1D26">
            <w:r>
              <w:t>-100.00</w:t>
            </w:r>
          </w:p>
        </w:tc>
        <w:tc>
          <w:tcPr>
            <w:tcW w:w="1337" w:type="dxa"/>
          </w:tcPr>
          <w:p w14:paraId="57C632B4" w14:textId="77777777" w:rsidR="00FA3D81" w:rsidRDefault="00FA3D81" w:rsidP="002B1D26">
            <w:r>
              <w:t>-0.42</w:t>
            </w:r>
          </w:p>
        </w:tc>
      </w:tr>
      <w:tr w:rsidR="00FA3D81" w14:paraId="10704ACC" w14:textId="77777777" w:rsidTr="002B1D26">
        <w:tc>
          <w:tcPr>
            <w:tcW w:w="1337" w:type="dxa"/>
          </w:tcPr>
          <w:p w14:paraId="711B276D" w14:textId="77777777" w:rsidR="00FA3D81" w:rsidRDefault="00FA3D81" w:rsidP="002B1D26">
            <w:r>
              <w:t>2022</w:t>
            </w:r>
          </w:p>
        </w:tc>
        <w:tc>
          <w:tcPr>
            <w:tcW w:w="1337" w:type="dxa"/>
          </w:tcPr>
          <w:p w14:paraId="39C46F1E" w14:textId="77777777" w:rsidR="00FA3D81" w:rsidRDefault="00FA3D81" w:rsidP="002B1D26">
            <w:r>
              <w:t>26</w:t>
            </w:r>
          </w:p>
        </w:tc>
        <w:tc>
          <w:tcPr>
            <w:tcW w:w="1337" w:type="dxa"/>
          </w:tcPr>
          <w:p w14:paraId="3FE7A8BE" w14:textId="77777777" w:rsidR="00FA3D81" w:rsidRDefault="00FA3D81" w:rsidP="002B1D26">
            <w:r>
              <w:t>-55.17</w:t>
            </w:r>
          </w:p>
        </w:tc>
        <w:tc>
          <w:tcPr>
            <w:tcW w:w="1337" w:type="dxa"/>
          </w:tcPr>
          <w:p w14:paraId="35414882" w14:textId="77777777" w:rsidR="00FA3D81" w:rsidRDefault="00FA3D81" w:rsidP="002B1D26">
            <w:r>
              <w:t>-4.72</w:t>
            </w:r>
          </w:p>
        </w:tc>
        <w:tc>
          <w:tcPr>
            <w:tcW w:w="1337" w:type="dxa"/>
          </w:tcPr>
          <w:p w14:paraId="248761A5" w14:textId="77777777" w:rsidR="00FA3D81" w:rsidRDefault="00FA3D81" w:rsidP="002B1D26">
            <w:r>
              <w:t>1</w:t>
            </w:r>
          </w:p>
        </w:tc>
        <w:tc>
          <w:tcPr>
            <w:tcW w:w="1337" w:type="dxa"/>
          </w:tcPr>
          <w:p w14:paraId="78B9B62E" w14:textId="77777777" w:rsidR="00FA3D81" w:rsidRDefault="00FA3D81" w:rsidP="002B1D26">
            <w:r>
              <w:t>Not estimable</w:t>
            </w:r>
          </w:p>
        </w:tc>
        <w:tc>
          <w:tcPr>
            <w:tcW w:w="1337" w:type="dxa"/>
          </w:tcPr>
          <w:p w14:paraId="078EE83E" w14:textId="77777777" w:rsidR="00FA3D81" w:rsidRDefault="00FA3D81" w:rsidP="002B1D26">
            <w:r>
              <w:t>0.13</w:t>
            </w:r>
          </w:p>
        </w:tc>
      </w:tr>
      <w:tr w:rsidR="00FA3D81" w14:paraId="6CF03D7C" w14:textId="77777777" w:rsidTr="002B1D26">
        <w:tc>
          <w:tcPr>
            <w:tcW w:w="1337" w:type="dxa"/>
          </w:tcPr>
          <w:p w14:paraId="3EF23765" w14:textId="77777777" w:rsidR="00FA3D81" w:rsidRDefault="00FA3D81" w:rsidP="002B1D26">
            <w:r>
              <w:t>2023</w:t>
            </w:r>
          </w:p>
        </w:tc>
        <w:tc>
          <w:tcPr>
            <w:tcW w:w="1337" w:type="dxa"/>
          </w:tcPr>
          <w:p w14:paraId="6D43FBE0" w14:textId="77777777" w:rsidR="00FA3D81" w:rsidRDefault="00FA3D81" w:rsidP="002B1D26">
            <w:r>
              <w:t>10</w:t>
            </w:r>
          </w:p>
        </w:tc>
        <w:tc>
          <w:tcPr>
            <w:tcW w:w="1337" w:type="dxa"/>
          </w:tcPr>
          <w:p w14:paraId="6422A693" w14:textId="77777777" w:rsidR="00FA3D81" w:rsidRDefault="00FA3D81" w:rsidP="002B1D26">
            <w:r>
              <w:t>-61.54</w:t>
            </w:r>
          </w:p>
        </w:tc>
        <w:tc>
          <w:tcPr>
            <w:tcW w:w="1337" w:type="dxa"/>
          </w:tcPr>
          <w:p w14:paraId="205D4C51" w14:textId="77777777" w:rsidR="00FA3D81" w:rsidRDefault="00FA3D81" w:rsidP="002B1D26">
            <w:r>
              <w:t>-2.18</w:t>
            </w:r>
          </w:p>
        </w:tc>
        <w:tc>
          <w:tcPr>
            <w:tcW w:w="1337" w:type="dxa"/>
          </w:tcPr>
          <w:p w14:paraId="36457D05" w14:textId="77777777" w:rsidR="00FA3D81" w:rsidRDefault="00FA3D81" w:rsidP="002B1D26">
            <w:r>
              <w:t>6</w:t>
            </w:r>
          </w:p>
        </w:tc>
        <w:tc>
          <w:tcPr>
            <w:tcW w:w="1337" w:type="dxa"/>
          </w:tcPr>
          <w:p w14:paraId="22D9E822" w14:textId="77777777" w:rsidR="00FA3D81" w:rsidRDefault="00FA3D81" w:rsidP="002B1D26">
            <w:r>
              <w:t>500.00</w:t>
            </w:r>
          </w:p>
        </w:tc>
        <w:tc>
          <w:tcPr>
            <w:tcW w:w="1337" w:type="dxa"/>
          </w:tcPr>
          <w:p w14:paraId="1CAB267D" w14:textId="77777777" w:rsidR="00FA3D81" w:rsidRDefault="00FA3D81" w:rsidP="002B1D26">
            <w:r>
              <w:t>0.62</w:t>
            </w:r>
          </w:p>
        </w:tc>
      </w:tr>
    </w:tbl>
    <w:p w14:paraId="6F194954" w14:textId="77777777" w:rsidR="00FA3D81" w:rsidRPr="00FA3D81" w:rsidRDefault="00FA3D81" w:rsidP="00FA3D81"/>
    <w:p w14:paraId="3D16320C" w14:textId="77777777" w:rsidR="00E75E5A" w:rsidRDefault="000636D8">
      <w:r>
        <w:t>For HIV, the annual number of positive cases was 34 in 2020, 58 in 2021, 26 in 2022, and 10 in 2023. The corresponding annual numbers tested were 474, 711, 756, and 792. Annual HIV positivity was therefore 7.17% (95% CI 5.18%–9.86%) in 2020, 8.16% (95% CI 6.36%–10.40%) in 2021, 3.44% (95% CI 2.36%–4.99%) in 2022, and 1.26% (95% CI 0.69%–2.31%) in 2023. HIV positive cases increased by 70.59% from 2020 to 2021 and then declined by 55.17% from 2021 to 2022 and by 61.54% from 2022 to 2023. The corresponding changes in HIV positivity were +0.98, -4.72, and -2.18 percentage points.</w:t>
      </w:r>
    </w:p>
    <w:p w14:paraId="178ACD21" w14:textId="77777777" w:rsidR="00E75E5A" w:rsidRDefault="000636D8">
      <w:r>
        <w:lastRenderedPageBreak/>
        <w:t>For syphilis, annual positive cases were 2 in 2020, 0 in 2021, 1 in 2022, and 6 in 2023. The corresponding annual numbers tested were 476, 711, 756, and 793. Annual syphilis positivity was 0.42% (95% CI 0.12%–1.52%) in 2020, 0.00% (95% CI 0.00%–0.54%) in 2021, 0.13% (95% CI 0.02%–0.75%) in 2022, and 0.76% (95% CI 0.35%–1.64%) in 2023. Syphilis positivity remained low throughout the study period but increased in the most recent year.</w:t>
      </w:r>
    </w:p>
    <w:p w14:paraId="42EC2B80" w14:textId="77777777" w:rsidR="00E75E5A" w:rsidRDefault="000636D8">
      <w:r>
        <w:t>Visual inspection of the trend graphs showed that HIV peaked in 2021 and declined steadily through 2023, whereas syphilis remained uncommon but rose in 2023. Because the number tested increased over the later years while HIV positivity decreased, the observed decline in HIV was not simply a reflection of reduced testing volume.</w:t>
      </w:r>
    </w:p>
    <w:p w14:paraId="794DB665" w14:textId="77777777" w:rsidR="00E75E5A" w:rsidRPr="005112CB" w:rsidRDefault="000636D8">
      <w:pPr>
        <w:pStyle w:val="Heading1"/>
        <w:rPr>
          <w:color w:val="auto"/>
        </w:rPr>
      </w:pPr>
      <w:r w:rsidRPr="005112CB">
        <w:rPr>
          <w:color w:val="auto"/>
        </w:rPr>
        <w:t>Discussion</w:t>
      </w:r>
    </w:p>
    <w:p w14:paraId="355B4C49" w14:textId="77777777" w:rsidR="00E75E5A" w:rsidRDefault="000636D8">
      <w:r>
        <w:t>This study identifies two different epidemiologic patterns in Jos. HIV positivity rose between 2020 and 2021, then declined sharply through 2023, while syphilis positivity remained low but increased in the most recent year. These findings only partly mirror patterns reported from parts of the United States and Europe. International literature describes heterogeneous HIV trends, including local increases in some countries and populations despite wider regional progress.</w:t>
      </w:r>
      <w:r w:rsidRPr="009C1E38">
        <w:rPr>
          <w:vertAlign w:val="superscript"/>
        </w:rPr>
        <w:t>1</w:t>
      </w:r>
      <w:proofErr w:type="gramStart"/>
      <w:r w:rsidRPr="009C1E38">
        <w:rPr>
          <w:vertAlign w:val="superscript"/>
        </w:rPr>
        <w:t>,2</w:t>
      </w:r>
      <w:proofErr w:type="gramEnd"/>
      <w:r>
        <w:t xml:space="preserve"> By contrast, syphilis resurgence has been more consistently reported across high-income settings.</w:t>
      </w:r>
      <w:r w:rsidRPr="009C1E38">
        <w:rPr>
          <w:vertAlign w:val="superscript"/>
        </w:rPr>
        <w:t>3,4</w:t>
      </w:r>
    </w:p>
    <w:p w14:paraId="0A8A4F49" w14:textId="77777777" w:rsidR="00E75E5A" w:rsidRDefault="000636D8">
      <w:r>
        <w:t>The decline in HIV positivity observed after 2021 suggests that, within the participating teaching hospitals, the proportion of individuals testing positive for HIV decreased over time despite increasing annual testing volumes. This pattern differs from the notion of a sustained upward HIV trend and may reflect local prevention gains, changing testing practices, shifts in the tested population, or combinations of these factors. However, no causal inference can be drawn from aggregated routine data.</w:t>
      </w:r>
    </w:p>
    <w:p w14:paraId="771050EC" w14:textId="77777777" w:rsidR="00E75E5A" w:rsidRDefault="000636D8">
      <w:r>
        <w:t>The rise in syphilis positivity in 2023 is notable even though the absolute number of positive cases remained small. This finding is consistent with the broader literature describing re-emergent syphilis in multiple settings.</w:t>
      </w:r>
      <w:r w:rsidRPr="009C1E38">
        <w:rPr>
          <w:vertAlign w:val="superscript"/>
        </w:rPr>
        <w:t>3,4,6</w:t>
      </w:r>
      <w:r>
        <w:t xml:space="preserve"> Although the available data do not allow direct assessment of migration at the individual level, rapid urban growth and population movement may contribute to changing sexual network structures and should remain part of the interpretive context rather than being treated as a proven causal explanation.</w:t>
      </w:r>
      <w:r w:rsidRPr="009C1E38">
        <w:rPr>
          <w:vertAlign w:val="superscript"/>
        </w:rPr>
        <w:t>3,6</w:t>
      </w:r>
    </w:p>
    <w:p w14:paraId="47FD70C9" w14:textId="77777777" w:rsidR="00E75E5A" w:rsidRDefault="000636D8">
      <w:r>
        <w:t>From a public health perspective, these findings support continued HIV control efforts and reinforce the need to strengthen syphilis surveillance, screening, and treatment. Routine dual testing strategies, improved partner notification, and timely treatment pathways may be particularly valuable where urban growth and mobility can complicate prevention efforts.</w:t>
      </w:r>
    </w:p>
    <w:p w14:paraId="60DC9D05" w14:textId="77777777" w:rsidR="00E75E5A" w:rsidRPr="00C4445F" w:rsidRDefault="000636D8">
      <w:pPr>
        <w:pStyle w:val="Heading1"/>
        <w:rPr>
          <w:color w:val="auto"/>
        </w:rPr>
      </w:pPr>
      <w:r w:rsidRPr="00C4445F">
        <w:rPr>
          <w:color w:val="auto"/>
        </w:rPr>
        <w:lastRenderedPageBreak/>
        <w:t>Study Limitations</w:t>
      </w:r>
    </w:p>
    <w:p w14:paraId="0A80A608" w14:textId="7643F873" w:rsidR="00E75E5A" w:rsidRDefault="000636D8">
      <w:r>
        <w:t>This study has several limitations. First, the analysis was based on aggregated routine hospital records from two teaching hospitals and may not represent the broader population of Jos or Plateau State. Second, the dataset did not include complete calendar years for 2020 and 2023, limiting direct comparison of annual counts across all years. Third, no patient-level demographic, behavioral, or migration-related variables were available, making it impossible to assess individual risk factors or directly test whether migration explained the observed trends. Fourth, hospital-based data are influenced by healthcare-seeking behavior, referral patterns, and testing practices, all of which may change over time and affect positivity estimates. Fifth, the small number of syphilis-positive cases means that year-to-year fluctuations should be interpreted cautiously. Finally, because this was a retrospective descriptive analysis, the study can identify temporal patterns but cannot establish causality.</w:t>
      </w:r>
      <w:r w:rsidR="009C3094">
        <w:t xml:space="preserve"> </w:t>
      </w:r>
    </w:p>
    <w:p w14:paraId="046E32E3" w14:textId="77777777" w:rsidR="00E75E5A" w:rsidRPr="00917A00" w:rsidRDefault="000636D8">
      <w:pPr>
        <w:pStyle w:val="Heading1"/>
        <w:rPr>
          <w:color w:val="auto"/>
        </w:rPr>
      </w:pPr>
      <w:r w:rsidRPr="00917A00">
        <w:rPr>
          <w:color w:val="auto"/>
        </w:rPr>
        <w:t>Conclusion</w:t>
      </w:r>
    </w:p>
    <w:p w14:paraId="12A2E7DD" w14:textId="77777777" w:rsidR="00E75E5A" w:rsidRDefault="000636D8">
      <w:r>
        <w:t>Within the available routine records from two teaching hospitals in Jos, HIV positivity declined after peaking in 2021, whereas syphilis positivity remained low but increased in 2023. These findings suggest that Jos does not currently show a sustained increase in HIV comparable to those reported in some international settings, but the upward movement in syphilis warrants close surveillance and targeted prevention efforts. Future studies incorporating complete yearly data, patient-level variables, and migration indicators would help clarify the drivers of these trends.</w:t>
      </w:r>
    </w:p>
    <w:p w14:paraId="4E214C77" w14:textId="77777777" w:rsidR="009C1E38" w:rsidRDefault="009C1E38">
      <w:pPr>
        <w:pStyle w:val="Heading1"/>
      </w:pPr>
    </w:p>
    <w:p w14:paraId="24AF005E" w14:textId="77777777" w:rsidR="009C1E38" w:rsidRDefault="009C1E38">
      <w:pPr>
        <w:rPr>
          <w:rFonts w:asciiTheme="majorHAnsi" w:eastAsiaTheme="majorEastAsia" w:hAnsiTheme="majorHAnsi" w:cstheme="majorBidi"/>
          <w:b/>
          <w:bCs/>
          <w:color w:val="365F91" w:themeColor="accent1" w:themeShade="BF"/>
          <w:sz w:val="28"/>
          <w:szCs w:val="28"/>
        </w:rPr>
      </w:pPr>
      <w:r>
        <w:br w:type="page"/>
      </w:r>
    </w:p>
    <w:p w14:paraId="71B4A769" w14:textId="77777777" w:rsidR="009C1E38" w:rsidRDefault="009C1E38">
      <w:pPr>
        <w:pStyle w:val="Heading1"/>
      </w:pPr>
    </w:p>
    <w:p w14:paraId="6666C9A0" w14:textId="7F2B2A14" w:rsidR="00E75E5A" w:rsidRPr="009C1E38" w:rsidRDefault="000636D8" w:rsidP="009C1E38">
      <w:pPr>
        <w:rPr>
          <w:rFonts w:asciiTheme="majorHAnsi" w:eastAsiaTheme="majorEastAsia" w:hAnsiTheme="majorHAnsi" w:cstheme="majorBidi"/>
          <w:b/>
          <w:bCs/>
          <w:color w:val="365F91" w:themeColor="accent1" w:themeShade="BF"/>
          <w:sz w:val="28"/>
          <w:szCs w:val="28"/>
        </w:rPr>
      </w:pPr>
      <w:r>
        <w:t>References</w:t>
      </w:r>
    </w:p>
    <w:p w14:paraId="1051F045" w14:textId="77777777" w:rsidR="00E75E5A" w:rsidRDefault="000636D8">
      <w:pPr>
        <w:pStyle w:val="ListNumber"/>
      </w:pPr>
      <w:r>
        <w:t>1. Govender RD, Hashim MJ, Khan MAB, Mustafa H, Khan G. Global epidemiology of HIV/AIDS: a resurgence in North America and Europe. J Epidemiol Glob Health. 2021;11(3):296-301. doi:10.2991/jegh.k.210621.001.</w:t>
      </w:r>
    </w:p>
    <w:p w14:paraId="327B452F" w14:textId="77777777" w:rsidR="00E75E5A" w:rsidRDefault="000636D8">
      <w:pPr>
        <w:pStyle w:val="ListNumber"/>
      </w:pPr>
      <w:r>
        <w:t>2. Joint United Nations Programme on HIV/AIDS (UNAIDS). Global AIDS update 2025: western and central Europe and North America regional profile. Geneva: UNAIDS; 2025.</w:t>
      </w:r>
    </w:p>
    <w:p w14:paraId="3E19E5CE" w14:textId="77777777" w:rsidR="00E75E5A" w:rsidRDefault="000636D8">
      <w:pPr>
        <w:pStyle w:val="ListNumber"/>
      </w:pPr>
      <w:r>
        <w:t>3. Rosset F, Celoria V, Delmonte S, Mastorino L, Sciamarrelli N, Boskovic S, et al. The epidemiology of syphilis worldwide in the last decade. J Clin Med. 2025;14(15):5308. doi:10.3390/jcm14155308.</w:t>
      </w:r>
    </w:p>
    <w:p w14:paraId="0291DF7D" w14:textId="77777777" w:rsidR="00E75E5A" w:rsidRDefault="000636D8">
      <w:pPr>
        <w:pStyle w:val="ListNumber"/>
      </w:pPr>
      <w:r>
        <w:t>4. Rankin E, Forrest A, Maharjan L, Wei G, Blavo C, Chawla J. Epidemiological analysis of syphilis trends, disparities, and public health implications in the United States, 2018-2022. BMC Infect Dis. 2025</w:t>
      </w:r>
      <w:proofErr w:type="gramStart"/>
      <w:r>
        <w:t>;25:1106</w:t>
      </w:r>
      <w:proofErr w:type="gramEnd"/>
      <w:r>
        <w:t>. doi:10.1186/s12879-025-11332-4.</w:t>
      </w:r>
    </w:p>
    <w:p w14:paraId="3137751C" w14:textId="77777777" w:rsidR="00E75E5A" w:rsidRDefault="000636D8">
      <w:pPr>
        <w:pStyle w:val="ListNumber"/>
      </w:pPr>
      <w:r>
        <w:t>5. Sullivan PS, Johnson AS, Pembleton ES, Stephenson R, Justice AC, Althoff KN, et al. Epidemiology of HIV in the USA: epidemic burden, inequities, contexts, and responses. Lancet. 2021;397(10279):1095-106. doi:10.1016/S0140-6736(21)00395-0.</w:t>
      </w:r>
    </w:p>
    <w:p w14:paraId="37947D94" w14:textId="77777777" w:rsidR="00E75E5A" w:rsidRDefault="000636D8">
      <w:pPr>
        <w:pStyle w:val="ListNumber"/>
      </w:pPr>
      <w:r>
        <w:t>6. Hwang RJ, Su LY. Rising syphilis incidence and delayed neurological risk in the context of outcome-oriented surveillance. Discover Public Health. 2026</w:t>
      </w:r>
      <w:proofErr w:type="gramStart"/>
      <w:r>
        <w:t>;26:1993</w:t>
      </w:r>
      <w:proofErr w:type="gramEnd"/>
      <w:r>
        <w:t>. doi:10.1186/s12982-026-01993-0.</w:t>
      </w:r>
    </w:p>
    <w:p w14:paraId="56A26F68" w14:textId="77777777" w:rsidR="00E75E5A" w:rsidRDefault="000636D8">
      <w:pPr>
        <w:pStyle w:val="ListNumber"/>
      </w:pPr>
      <w:r>
        <w:t>7. HIV.gov. U.S. statistics. Updated February 25, 2026. Available from: https://www.hiv.gov/hiv-basics/overview/data-and-trends/statistics.</w:t>
      </w:r>
    </w:p>
    <w:p w14:paraId="3098BE0D" w14:textId="77777777" w:rsidR="00E75E5A" w:rsidRDefault="000636D8">
      <w:pPr>
        <w:pStyle w:val="ListNumber"/>
      </w:pPr>
      <w:r>
        <w:t>8. Centers for Disease Control and Prevention. Estimated HIV incidence and prevalence, 2018-2022. Updated February 7, 2025. Available from: https://www.cdc.gov/hiv-data/nhss/estimated-hiv-incidence-and-prevalence.html.</w:t>
      </w:r>
    </w:p>
    <w:p w14:paraId="6EBFC752" w14:textId="77777777" w:rsidR="00E75E5A" w:rsidRDefault="000636D8">
      <w:pPr>
        <w:pStyle w:val="ListNumber"/>
      </w:pPr>
      <w:r>
        <w:t>9. Centers for Disease Control and Prevention. Sexually transmitted infections surveillance, 2024 (provisional). Updated September 24, 2025. Available from: https://www.cdc.gov/sti-statistics/annual/index.html.</w:t>
      </w:r>
    </w:p>
    <w:p w14:paraId="3A65DA00" w14:textId="0900487E" w:rsidR="00E75E5A" w:rsidRDefault="00E75E5A"/>
    <w:sectPr w:rsidR="00E75E5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644F"/>
    <w:rsid w:val="00034616"/>
    <w:rsid w:val="0006063C"/>
    <w:rsid w:val="000636D8"/>
    <w:rsid w:val="000B1C9A"/>
    <w:rsid w:val="0015074B"/>
    <w:rsid w:val="00161ECC"/>
    <w:rsid w:val="001C6669"/>
    <w:rsid w:val="00277F85"/>
    <w:rsid w:val="0029639D"/>
    <w:rsid w:val="002F4DC7"/>
    <w:rsid w:val="00326F90"/>
    <w:rsid w:val="003E1FD2"/>
    <w:rsid w:val="004F26F1"/>
    <w:rsid w:val="005112CB"/>
    <w:rsid w:val="005B716B"/>
    <w:rsid w:val="005E587D"/>
    <w:rsid w:val="00621184"/>
    <w:rsid w:val="006831E7"/>
    <w:rsid w:val="006C7447"/>
    <w:rsid w:val="00750D94"/>
    <w:rsid w:val="00801EFA"/>
    <w:rsid w:val="00822C43"/>
    <w:rsid w:val="00841F4C"/>
    <w:rsid w:val="00917A00"/>
    <w:rsid w:val="00937DB7"/>
    <w:rsid w:val="00982E9D"/>
    <w:rsid w:val="00994F5D"/>
    <w:rsid w:val="0099736C"/>
    <w:rsid w:val="009C1E38"/>
    <w:rsid w:val="009C3094"/>
    <w:rsid w:val="00AA1D8D"/>
    <w:rsid w:val="00B47730"/>
    <w:rsid w:val="00BB518C"/>
    <w:rsid w:val="00BF2565"/>
    <w:rsid w:val="00C24C0A"/>
    <w:rsid w:val="00C3305D"/>
    <w:rsid w:val="00C4445F"/>
    <w:rsid w:val="00C55D9D"/>
    <w:rsid w:val="00CB0664"/>
    <w:rsid w:val="00CB45C1"/>
    <w:rsid w:val="00D06EF7"/>
    <w:rsid w:val="00D57EA9"/>
    <w:rsid w:val="00DE107B"/>
    <w:rsid w:val="00DF68F3"/>
    <w:rsid w:val="00E75E5A"/>
    <w:rsid w:val="00E819F1"/>
    <w:rsid w:val="00F06CB7"/>
    <w:rsid w:val="00F3732C"/>
    <w:rsid w:val="00FA3D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7790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C1E38"/>
    <w:rPr>
      <w:color w:val="0000FF" w:themeColor="hyperlink"/>
      <w:u w:val="single"/>
    </w:rPr>
  </w:style>
  <w:style w:type="character" w:customStyle="1" w:styleId="UnresolvedMention">
    <w:name w:val="Unresolved Mention"/>
    <w:basedOn w:val="DefaultParagraphFont"/>
    <w:uiPriority w:val="99"/>
    <w:semiHidden/>
    <w:unhideWhenUsed/>
    <w:rsid w:val="009C1E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C1E38"/>
    <w:rPr>
      <w:color w:val="0000FF" w:themeColor="hyperlink"/>
      <w:u w:val="single"/>
    </w:rPr>
  </w:style>
  <w:style w:type="character" w:customStyle="1" w:styleId="UnresolvedMention">
    <w:name w:val="Unresolved Mention"/>
    <w:basedOn w:val="DefaultParagraphFont"/>
    <w:uiPriority w:val="99"/>
    <w:semiHidden/>
    <w:unhideWhenUsed/>
    <w:rsid w:val="009C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59479-94C0-4219-8CC1-6156643F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33</cp:revision>
  <dcterms:created xsi:type="dcterms:W3CDTF">2026-04-28T12:22:00Z</dcterms:created>
  <dcterms:modified xsi:type="dcterms:W3CDTF">2026-05-12T07:50:00Z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1c98234c-e75a-4216-9a0c-542cf38ca980</vt:lpwstr>
  </property>
</Properties>
</file>