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81207" w14:textId="7D0BC41C" w:rsidR="003F19C3" w:rsidRPr="00F8168E" w:rsidRDefault="00E234FB" w:rsidP="000837A8">
      <w:pPr>
        <w:spacing w:before="240" w:after="240" w:line="240" w:lineRule="auto"/>
        <w:jc w:val="center"/>
        <w:rPr>
          <w:rFonts w:ascii="Times New Roman" w:hAnsi="Times New Roman" w:cs="Times New Roman"/>
          <w:b/>
          <w:bCs/>
          <w:sz w:val="36"/>
          <w:szCs w:val="36"/>
        </w:rPr>
      </w:pPr>
      <w:r w:rsidRPr="00F8168E">
        <w:rPr>
          <w:rFonts w:ascii="Times New Roman" w:hAnsi="Times New Roman" w:cs="Times New Roman"/>
          <w:b/>
          <w:bCs/>
          <w:sz w:val="36"/>
          <w:szCs w:val="36"/>
        </w:rPr>
        <w:t>Motivation and Engagement on the Efficacy of Public School Teachers</w:t>
      </w:r>
    </w:p>
    <w:p w14:paraId="739056B4" w14:textId="2D66FD50" w:rsidR="00F8168E" w:rsidRDefault="00486BED" w:rsidP="000837A8">
      <w:pPr>
        <w:spacing w:before="240" w:after="24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 </w:t>
      </w:r>
    </w:p>
    <w:p w14:paraId="2FC4C24A" w14:textId="02B711FD" w:rsidR="00F8168E" w:rsidRPr="00F8168E" w:rsidRDefault="00F8168E" w:rsidP="000837A8">
      <w:pPr>
        <w:spacing w:before="240" w:after="240" w:line="240" w:lineRule="auto"/>
        <w:jc w:val="both"/>
        <w:rPr>
          <w:rFonts w:ascii="Times New Roman" w:hAnsi="Times New Roman" w:cs="Times New Roman"/>
          <w:b/>
          <w:bCs/>
          <w:sz w:val="28"/>
          <w:szCs w:val="28"/>
        </w:rPr>
      </w:pPr>
      <w:r w:rsidRPr="00F8168E">
        <w:rPr>
          <w:rFonts w:ascii="Times New Roman" w:hAnsi="Times New Roman" w:cs="Times New Roman"/>
          <w:b/>
          <w:bCs/>
          <w:sz w:val="28"/>
          <w:szCs w:val="28"/>
        </w:rPr>
        <w:t>ABSTRACT</w:t>
      </w:r>
    </w:p>
    <w:p w14:paraId="4436DA9B" w14:textId="77777777" w:rsidR="00F8356D" w:rsidRPr="00F8356D" w:rsidRDefault="00F8356D" w:rsidP="00F8356D">
      <w:pPr>
        <w:spacing w:before="240" w:after="240" w:line="240" w:lineRule="auto"/>
        <w:jc w:val="both"/>
        <w:rPr>
          <w:rFonts w:ascii="Times New Roman" w:hAnsi="Times New Roman" w:cs="Times New Roman"/>
          <w:sz w:val="24"/>
          <w:szCs w:val="24"/>
        </w:rPr>
      </w:pPr>
      <w:r w:rsidRPr="00F8356D">
        <w:rPr>
          <w:rFonts w:ascii="Times New Roman" w:hAnsi="Times New Roman" w:cs="Times New Roman"/>
          <w:sz w:val="24"/>
          <w:szCs w:val="24"/>
        </w:rPr>
        <w:t>This study examined the influence of teachers’ motivation and engagement on teaching efficacy among public school teachers in the Division of Valencia City during School Year 2025–2026. Specifically, it examined the level of teachers’ motivation in terms of enjoyment, performance, and importance; the level of teachers’ engagement in terms of shared values, feedback and recognition, and career growth and training opportunities; the level of teacher efficacy; the significant relationships among motivation, engagement, and teacher efficacy; and the variables that significantly predicted teacher efficacy. The respondents of the study were public school teachers from selected schools in the division. The study employed a descriptive–correlational research design, using validated survey instruments as the primary data‑gathering tools. Statistical treatments included mean and descriptive statistics to determine levels of variables, Pearson product‑moment correlation to test relationships, and multiple regression analysis to identify significant predictors of teacher efficacy.</w:t>
      </w:r>
    </w:p>
    <w:p w14:paraId="1C8A1EDE" w14:textId="77777777" w:rsidR="00F8356D" w:rsidRDefault="00F8356D" w:rsidP="00F8356D">
      <w:pPr>
        <w:spacing w:before="240" w:after="240" w:line="240" w:lineRule="auto"/>
        <w:jc w:val="both"/>
        <w:rPr>
          <w:rFonts w:ascii="Times New Roman" w:hAnsi="Times New Roman" w:cs="Times New Roman"/>
          <w:sz w:val="24"/>
          <w:szCs w:val="24"/>
        </w:rPr>
      </w:pPr>
      <w:r w:rsidRPr="00F8356D">
        <w:rPr>
          <w:rFonts w:ascii="Times New Roman" w:hAnsi="Times New Roman" w:cs="Times New Roman"/>
          <w:sz w:val="24"/>
          <w:szCs w:val="24"/>
        </w:rPr>
        <w:t>Results revealed that teachers demonstrated high levels of motivation, particularly in enjoyment, performance, and importance, and high levels of engagement across shared values, feedback and recognition, and career growth and training opportunities. Teachers also exhibited a high level of teaching efficacy, reflecting strong confidence in classroom management, instructional practices, and learner interaction. Correlation analysis showed that both motivation and engagement had significant positive relationships with teacher efficacy, with engagement showing a stronger association. Regression analysis indicated that among motivation variables, importance significantly predicted teacher efficacy, while among engagement variables, career growth and training opportunities and feedback and recognition were significant predictors. When taken together, motivation and engagement significantly predicted teacher efficacy, explaining a substantial portion of its variance, with engagement emerging as the strongest predictor. The findings of the study indicated that, while teachers’ intrinsic motivation provides the foundation for effective teaching, active engagement plays a more critical role in strengthening teaching efficacy. Moreover, DepEd officials and school administrators may prioritize structured and sustained teacher engagement programs to allow teachers to gain mastery experiences and professional support, improving instructional quality and learning outcomes in public schools.</w:t>
      </w:r>
    </w:p>
    <w:p w14:paraId="6BF6ECB9" w14:textId="02FB4BD8" w:rsidR="000E4999" w:rsidRPr="000E4999" w:rsidRDefault="000E4999" w:rsidP="00F8356D">
      <w:pPr>
        <w:spacing w:before="240" w:after="240" w:line="240" w:lineRule="auto"/>
        <w:jc w:val="both"/>
        <w:rPr>
          <w:rFonts w:ascii="Times New Roman" w:hAnsi="Times New Roman" w:cs="Times New Roman"/>
          <w:i/>
          <w:iCs/>
          <w:sz w:val="24"/>
          <w:szCs w:val="24"/>
        </w:rPr>
      </w:pPr>
      <w:r w:rsidRPr="000E4999">
        <w:rPr>
          <w:rFonts w:ascii="Times New Roman" w:hAnsi="Times New Roman" w:cs="Times New Roman"/>
          <w:sz w:val="24"/>
          <w:szCs w:val="24"/>
        </w:rPr>
        <w:t xml:space="preserve">Keywords: </w:t>
      </w:r>
      <w:r w:rsidRPr="000E4999">
        <w:rPr>
          <w:rFonts w:ascii="Times New Roman" w:hAnsi="Times New Roman" w:cs="Times New Roman"/>
          <w:i/>
          <w:iCs/>
          <w:sz w:val="24"/>
          <w:szCs w:val="24"/>
        </w:rPr>
        <w:t>Teacher Motivation, Teacher Engagement, Teaching Efficacy, Career Growth and Training Opportunities, Feedback and Recognition</w:t>
      </w:r>
    </w:p>
    <w:p w14:paraId="7CB22947" w14:textId="05F82AAF" w:rsidR="00F8168E" w:rsidRPr="00F8168E" w:rsidRDefault="00F8168E" w:rsidP="00F8356D">
      <w:pPr>
        <w:spacing w:before="240" w:after="240" w:line="240" w:lineRule="auto"/>
        <w:jc w:val="both"/>
        <w:rPr>
          <w:rFonts w:ascii="Times New Roman" w:hAnsi="Times New Roman" w:cs="Times New Roman"/>
          <w:b/>
          <w:bCs/>
          <w:sz w:val="28"/>
          <w:szCs w:val="28"/>
        </w:rPr>
      </w:pPr>
      <w:r w:rsidRPr="00F8168E">
        <w:rPr>
          <w:rFonts w:ascii="Times New Roman" w:hAnsi="Times New Roman" w:cs="Times New Roman"/>
          <w:b/>
          <w:bCs/>
          <w:sz w:val="28"/>
          <w:szCs w:val="28"/>
        </w:rPr>
        <w:t>INTRODUCTION</w:t>
      </w:r>
    </w:p>
    <w:p w14:paraId="402A46CA" w14:textId="77777777" w:rsid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Teaching was a purposeful, interactive activity through which a teacher helps learners acquire knowledge, skills, and ways of thinking. It is not just telling or transmitting information, but a systematic process that involves planning what and how to teach, organizing learning experiences, communicating content clearly, and using feedback to guide improvement in student learning (Rajagopalan, 2019). Research consistently shows a positive relationship between teachers' self-efficacy and various aspects of teaching quality and effectiveness. Higher teacher self-efficacy is linked to better instructional strategies, classroom management, and student engagement, which in turn enhance teaching quality as rated by students (Burić et al., 2024). Teacher self-efficacy was teachers’ belief in the ability to successfully teach and manage classrooms. Across many studies and reviews, higher self-efficacy is consistently linked to better observed teaching practices and evaluated teaching performance, though the effects are usually small to moderate. Teachers’ self-efficacy is a belief, not a skill test. It means how strongly teachers believe they can successfully teach, manage the classroom, and help students learn, even when students are unmotivated or face difficulties (Zhang et al., 2025).</w:t>
      </w:r>
    </w:p>
    <w:p w14:paraId="69890102" w14:textId="7B211B89"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lastRenderedPageBreak/>
        <w:t>International research shows that current problems in teachers’ self-efficacy are closely tied to new demands and difficult working conditions rather than a lack of interest or effort from teachers. Large cross‑country studies find that self-efficacy depends strongly on classroom factors such as student behavior, class composition, and available support, which can undermine teachers’ confidence in engaging students, instructing effectively, and managing classrooms when conditions are poor (Fackler et al., 2021). In the Philippines, research shows that many teachers actually report moderate to high self-efficacy, but this confidence is strained by several recurring problems and contexts. During COVID‑19 and the “new normal,” Filipino teachers faced loss of face‑to‑face interaction, complex lesson preparation, difficult class conduct, poor internet connectivity, and new procedures for assessment, all of which challenged their ability to feel effective (Antonio, 2023). In basic education, teachers feel highly efficacious in instruction and creating a positive climate where they have direct control, but are less confident influencing institutional decision‑making, community involvement, and sometimes parental involvement, pointing to limits in their sense of agency beyond the classroom (</w:t>
      </w:r>
      <w:proofErr w:type="spellStart"/>
      <w:r w:rsidRPr="00BE5358">
        <w:rPr>
          <w:rFonts w:ascii="Times New Roman" w:hAnsi="Times New Roman" w:cs="Times New Roman"/>
          <w:sz w:val="24"/>
          <w:szCs w:val="24"/>
        </w:rPr>
        <w:t>Pelingon</w:t>
      </w:r>
      <w:proofErr w:type="spellEnd"/>
      <w:r w:rsidRPr="00BE5358">
        <w:rPr>
          <w:rFonts w:ascii="Times New Roman" w:hAnsi="Times New Roman" w:cs="Times New Roman"/>
          <w:sz w:val="24"/>
          <w:szCs w:val="24"/>
        </w:rPr>
        <w:t xml:space="preserve"> et al., 2024). In Bukidnon, studies show that teachers generally report moderate to high self‑efficacy, but this confidence is strained by local working conditions, added roles, and challenging contexts. In remote Bukidnon schools, teachers face geographical isolation, limited resources, cultural diversity, and professional isolation; these conditions make teaching and classroom management difficult and require constant cultural adaptation and personal resilience, which can test their belief that they can ensure quality learning (Fabrigas et al. 2025).</w:t>
      </w:r>
    </w:p>
    <w:p w14:paraId="47F888BC"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One of the important factors that promotes efficacy in teaching is motivation. In teaching, it is the inner drive and external encouragement that energize, direct, and sustain a teacher’s efforts to teach well and persist in the profession. It acts as a driving force that starts and guides teachers’ instructional actions toward achieving learning goals, making them diligent in completing tasks, persistent in overcoming obstacles, and eager to find and solve problems (Farida, 2021). Motivation is important in teaching because it energizes teachers’ goals, effort, and persistence, which in turn shapes how confidently and effectively they teach. Motivated teachers set meaningful goals for themselves and their students, feel more capable (higher self-efficacy), and are more likely to use rich, mastery-oriented teaching strategies that support understanding rather than just test performance. Studies show that when teachers have strong self-efficacy and genuine interest, they provide better classroom management, cognitive activation, emotional support, and autonomy support, all of which are core dimensions of high teaching quality (Lazarides et al., 2021).</w:t>
      </w:r>
    </w:p>
    <w:p w14:paraId="24A27A6D"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Another important factors that promote efficacy in teaching is engagement. Teacher engagement in teaching refers to the energy, dedication, and involvement teachers bring to their work and classroom tasks. It is often defined as a positive, work-related state of mind characterized by vigor (high energy and mental resilience), dedication (strong involvement, significance, pride), and absorption (being fully focused so that time passes quickly) in teaching activities. (Shu, 2022). Teacher engagement is important because it reflects how much energy, dedication, and attention teachers invest in the work, which directly influences the well-being, teaching quality, and students’ learning. Engaged teachers show vigor, dedication, and absorption in teaching; as teacher work with stamina, passion, and focus, and are better able to adapt to changes in student behavior and curriculum demands (</w:t>
      </w:r>
      <w:proofErr w:type="spellStart"/>
      <w:r w:rsidRPr="00BE5358">
        <w:rPr>
          <w:rFonts w:ascii="Times New Roman" w:hAnsi="Times New Roman" w:cs="Times New Roman"/>
          <w:sz w:val="24"/>
          <w:szCs w:val="24"/>
        </w:rPr>
        <w:t>Ojales</w:t>
      </w:r>
      <w:proofErr w:type="spellEnd"/>
      <w:r w:rsidRPr="00BE5358">
        <w:rPr>
          <w:rFonts w:ascii="Times New Roman" w:hAnsi="Times New Roman" w:cs="Times New Roman"/>
          <w:sz w:val="24"/>
          <w:szCs w:val="24"/>
        </w:rPr>
        <w:t xml:space="preserve"> et al., 2023).</w:t>
      </w:r>
    </w:p>
    <w:p w14:paraId="50D4C1FF" w14:textId="083F712E" w:rsidR="00F8168E"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Teacher motivation and engagement are vital factors that influence teaching efficacy by strengthening teachers’ confidence, commitment, and effectiveness in the classroom. Motivation, reflected through enjoyment, performance, and a sense of importance, enhances teachers’ willingness to persist, innovate, and perform effectively despite professional challenges. Engagement, demonstrated through shared values, feedback and recognition, and access to career growth and training opportunities, sustains teachers’ involvement, professional growth, and positive work attitudes. In the Division of Valencia City, understanding how motivation and engagement relate to and predict teacher efficacy can help address issues such as burnout and reduced instructional quality. Strengthening these areas supports teacher well‑being, improves classroom practices, and aligns with broader educational reforms aimed at enhancing overall school performance and student learning outcomes.</w:t>
      </w:r>
    </w:p>
    <w:p w14:paraId="763CD4F0" w14:textId="77777777"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lastRenderedPageBreak/>
        <w:t>Specifically, it seeks to answer the following questions:</w:t>
      </w:r>
    </w:p>
    <w:p w14:paraId="16C200B6"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1. What is the level of teachers’ motivation in in terms of:</w:t>
      </w:r>
    </w:p>
    <w:p w14:paraId="2BA213F8"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a. Enjoyment;</w:t>
      </w:r>
    </w:p>
    <w:p w14:paraId="03E4E05F"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b. Performance; and</w:t>
      </w:r>
    </w:p>
    <w:p w14:paraId="7E8056BA" w14:textId="77777777" w:rsidR="00BE5358" w:rsidRPr="00BE5358" w:rsidRDefault="00BE5358" w:rsidP="00F8356D">
      <w:pPr>
        <w:spacing w:before="240" w:after="240" w:line="240" w:lineRule="auto"/>
        <w:ind w:left="720" w:firstLine="720"/>
        <w:jc w:val="both"/>
        <w:rPr>
          <w:rFonts w:ascii="Times New Roman" w:hAnsi="Times New Roman" w:cs="Times New Roman"/>
          <w:sz w:val="24"/>
          <w:szCs w:val="24"/>
        </w:rPr>
      </w:pPr>
      <w:r w:rsidRPr="00BE5358">
        <w:rPr>
          <w:rFonts w:ascii="Times New Roman" w:hAnsi="Times New Roman" w:cs="Times New Roman"/>
          <w:sz w:val="24"/>
          <w:szCs w:val="24"/>
        </w:rPr>
        <w:t>c. Importance?</w:t>
      </w:r>
    </w:p>
    <w:p w14:paraId="1C8C22F2"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2. What is the level of teachers’ engagement in terms of:</w:t>
      </w:r>
    </w:p>
    <w:p w14:paraId="47255DAE"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a. Shared Values;</w:t>
      </w:r>
    </w:p>
    <w:p w14:paraId="7F87A5C9"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b. Feedback and Recognition; and</w:t>
      </w:r>
    </w:p>
    <w:p w14:paraId="11F01E76" w14:textId="77777777" w:rsidR="00BE5358" w:rsidRPr="00BE5358" w:rsidRDefault="00BE5358" w:rsidP="00F8356D">
      <w:pPr>
        <w:spacing w:before="240" w:after="240" w:line="240" w:lineRule="auto"/>
        <w:ind w:left="1440"/>
        <w:jc w:val="both"/>
        <w:rPr>
          <w:rFonts w:ascii="Times New Roman" w:hAnsi="Times New Roman" w:cs="Times New Roman"/>
          <w:sz w:val="24"/>
          <w:szCs w:val="24"/>
        </w:rPr>
      </w:pPr>
      <w:r w:rsidRPr="00BE5358">
        <w:rPr>
          <w:rFonts w:ascii="Times New Roman" w:hAnsi="Times New Roman" w:cs="Times New Roman"/>
          <w:sz w:val="24"/>
          <w:szCs w:val="24"/>
        </w:rPr>
        <w:t>c. Career Growth and Training Opportunities?</w:t>
      </w:r>
    </w:p>
    <w:p w14:paraId="43CD53E2"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3. What is the level of teacher efficacy among public school teachers?</w:t>
      </w:r>
    </w:p>
    <w:p w14:paraId="3717D5BA" w14:textId="77777777" w:rsidR="00BE5358" w:rsidRP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4. Is there a significant relationship between teachers’ efficacy in terms of:</w:t>
      </w:r>
    </w:p>
    <w:p w14:paraId="286F0522" w14:textId="7A52E3BB"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b/>
      </w:r>
      <w:r w:rsidR="00F8356D">
        <w:rPr>
          <w:rFonts w:ascii="Times New Roman" w:hAnsi="Times New Roman" w:cs="Times New Roman"/>
          <w:sz w:val="24"/>
          <w:szCs w:val="24"/>
        </w:rPr>
        <w:tab/>
      </w:r>
      <w:r w:rsidRPr="00BE5358">
        <w:rPr>
          <w:rFonts w:ascii="Times New Roman" w:hAnsi="Times New Roman" w:cs="Times New Roman"/>
          <w:sz w:val="24"/>
          <w:szCs w:val="24"/>
        </w:rPr>
        <w:t xml:space="preserve">a. Motivation; and </w:t>
      </w:r>
    </w:p>
    <w:p w14:paraId="4624A48B" w14:textId="58F76BAD" w:rsidR="00BE5358" w:rsidRPr="00BE5358" w:rsidRDefault="00BE5358" w:rsidP="000837A8">
      <w:pPr>
        <w:spacing w:before="240" w:after="240" w:line="240" w:lineRule="auto"/>
        <w:jc w:val="both"/>
        <w:rPr>
          <w:rFonts w:ascii="Times New Roman" w:hAnsi="Times New Roman" w:cs="Times New Roman"/>
          <w:sz w:val="24"/>
          <w:szCs w:val="24"/>
        </w:rPr>
      </w:pPr>
      <w:r w:rsidRPr="00BE5358">
        <w:rPr>
          <w:rFonts w:ascii="Times New Roman" w:hAnsi="Times New Roman" w:cs="Times New Roman"/>
          <w:sz w:val="24"/>
          <w:szCs w:val="24"/>
        </w:rPr>
        <w:tab/>
      </w:r>
      <w:r w:rsidR="00F8356D">
        <w:rPr>
          <w:rFonts w:ascii="Times New Roman" w:hAnsi="Times New Roman" w:cs="Times New Roman"/>
          <w:sz w:val="24"/>
          <w:szCs w:val="24"/>
        </w:rPr>
        <w:tab/>
      </w:r>
      <w:r w:rsidRPr="00BE5358">
        <w:rPr>
          <w:rFonts w:ascii="Times New Roman" w:hAnsi="Times New Roman" w:cs="Times New Roman"/>
          <w:sz w:val="24"/>
          <w:szCs w:val="24"/>
        </w:rPr>
        <w:t>b. Engagement?</w:t>
      </w:r>
    </w:p>
    <w:p w14:paraId="2EA932DE" w14:textId="06C9555F" w:rsidR="00BE5358" w:rsidRDefault="00BE5358" w:rsidP="00F8356D">
      <w:pPr>
        <w:spacing w:before="240" w:after="240" w:line="240" w:lineRule="auto"/>
        <w:ind w:firstLine="720"/>
        <w:jc w:val="both"/>
        <w:rPr>
          <w:rFonts w:ascii="Times New Roman" w:hAnsi="Times New Roman" w:cs="Times New Roman"/>
          <w:sz w:val="24"/>
          <w:szCs w:val="24"/>
        </w:rPr>
      </w:pPr>
      <w:r w:rsidRPr="00BE5358">
        <w:rPr>
          <w:rFonts w:ascii="Times New Roman" w:hAnsi="Times New Roman" w:cs="Times New Roman"/>
          <w:sz w:val="24"/>
          <w:szCs w:val="24"/>
        </w:rPr>
        <w:t>5. Which of the variables significantly predict teachers’ efficacy?</w:t>
      </w:r>
    </w:p>
    <w:p w14:paraId="28864960" w14:textId="34A0FB57" w:rsidR="00BE5358" w:rsidRPr="00BE5358" w:rsidRDefault="00BE5358" w:rsidP="000837A8">
      <w:pPr>
        <w:spacing w:before="240" w:after="240" w:line="240" w:lineRule="auto"/>
        <w:jc w:val="both"/>
        <w:rPr>
          <w:rFonts w:ascii="Times New Roman" w:hAnsi="Times New Roman" w:cs="Times New Roman"/>
          <w:b/>
          <w:bCs/>
          <w:sz w:val="24"/>
          <w:szCs w:val="24"/>
        </w:rPr>
      </w:pPr>
      <w:r w:rsidRPr="00BE5358">
        <w:rPr>
          <w:rFonts w:ascii="Times New Roman" w:hAnsi="Times New Roman" w:cs="Times New Roman"/>
          <w:b/>
          <w:bCs/>
          <w:sz w:val="28"/>
          <w:szCs w:val="28"/>
        </w:rPr>
        <w:t>METHODOLOGY</w:t>
      </w:r>
    </w:p>
    <w:p w14:paraId="670132B2" w14:textId="3697B2BA" w:rsidR="00F8356D" w:rsidRPr="00F8356D" w:rsidRDefault="00F8356D" w:rsidP="000837A8">
      <w:pPr>
        <w:spacing w:before="240" w:after="240" w:line="240" w:lineRule="auto"/>
        <w:jc w:val="both"/>
        <w:rPr>
          <w:rFonts w:ascii="Times New Roman" w:hAnsi="Times New Roman" w:cs="Times New Roman"/>
          <w:b/>
          <w:bCs/>
          <w:sz w:val="24"/>
          <w:szCs w:val="24"/>
        </w:rPr>
      </w:pPr>
      <w:r w:rsidRPr="00F8356D">
        <w:rPr>
          <w:rFonts w:ascii="Times New Roman" w:hAnsi="Times New Roman" w:cs="Times New Roman"/>
          <w:b/>
          <w:bCs/>
          <w:sz w:val="24"/>
          <w:szCs w:val="24"/>
        </w:rPr>
        <w:t>Research Design</w:t>
      </w:r>
    </w:p>
    <w:p w14:paraId="3BF6F092" w14:textId="718A7040" w:rsidR="00BE5358"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This study employs a descriptive-correlational research design to determine the influence of teachers’ motivation and engagement on teacher’s efficacy. Descriptive method will assess the level of motivation, engagement, and efficacy of teachers and correlational research design will determine the relationships between the independent variables such as motivation and engagement, to the dependent variable, teachers’ efficacy. Additionally, this study will determine which variable, individually or in group, most effectively predicts teachers’ efficacy in the division of Valencia City.</w:t>
      </w:r>
      <w:r>
        <w:rPr>
          <w:rFonts w:ascii="Times New Roman" w:hAnsi="Times New Roman" w:cs="Times New Roman"/>
          <w:sz w:val="24"/>
          <w:szCs w:val="24"/>
        </w:rPr>
        <w:t xml:space="preserve"> </w:t>
      </w:r>
      <w:r w:rsidRPr="00CF6005">
        <w:rPr>
          <w:rFonts w:ascii="Times New Roman" w:hAnsi="Times New Roman" w:cs="Times New Roman"/>
          <w:sz w:val="24"/>
          <w:szCs w:val="24"/>
        </w:rPr>
        <w:t>The design is appropriate as it allows the measurement of variables through standardized instruments and the examination of relationships between independent variables (motivation and engagement) and the dependent variable (efficacy), and predicts which variable most effectively predicts efficacy among teachers of the Division of Valencia City.</w:t>
      </w:r>
    </w:p>
    <w:p w14:paraId="1D0F7293" w14:textId="5A79F0D9" w:rsidR="00F775A8" w:rsidRPr="00F775A8" w:rsidRDefault="00F775A8" w:rsidP="000837A8">
      <w:pPr>
        <w:spacing w:before="240" w:after="240" w:line="240" w:lineRule="auto"/>
        <w:jc w:val="both"/>
        <w:rPr>
          <w:rFonts w:ascii="Times New Roman" w:hAnsi="Times New Roman" w:cs="Times New Roman"/>
          <w:b/>
          <w:bCs/>
          <w:sz w:val="24"/>
          <w:szCs w:val="24"/>
        </w:rPr>
      </w:pPr>
      <w:r w:rsidRPr="00F775A8">
        <w:rPr>
          <w:rFonts w:ascii="Times New Roman" w:hAnsi="Times New Roman" w:cs="Times New Roman"/>
          <w:b/>
          <w:bCs/>
          <w:sz w:val="24"/>
          <w:szCs w:val="24"/>
        </w:rPr>
        <w:t xml:space="preserve">Locale of the Study </w:t>
      </w:r>
    </w:p>
    <w:p w14:paraId="4AAD793C" w14:textId="14CBDAE5"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 study will be conducted in the Division of Valencia City, involving public school teachers randomly selected within the division. This locale was chosen because it represents typical public-school conditions and teaching environments that has both urban and rural areas, making it appropriate for examining teachers’ diverse professional experiences. Focusing on the Division of Valencia City allows the researcher to generate division‑specific evidence on teachers’ motivation and engagement and the influence on teaching efficacy. The findings of this study are expected to provide relevant insights that can inform school administrators and education leaders in developing targeted interventions, professional development programs, and support mechanisms aimed at enhancing teacher efficacy and overall instructional quality across the division.</w:t>
      </w:r>
    </w:p>
    <w:p w14:paraId="0259E60E" w14:textId="1D353A09" w:rsidR="00BE5358" w:rsidRPr="00CF6005" w:rsidRDefault="00BE5358"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lastRenderedPageBreak/>
        <w:t xml:space="preserve">Sample </w:t>
      </w:r>
      <w:r w:rsidR="00CF6005" w:rsidRPr="00CF6005">
        <w:rPr>
          <w:rFonts w:ascii="Times New Roman" w:hAnsi="Times New Roman" w:cs="Times New Roman"/>
          <w:b/>
          <w:bCs/>
          <w:sz w:val="24"/>
          <w:szCs w:val="24"/>
        </w:rPr>
        <w:t>Size and Sampling Procedure</w:t>
      </w:r>
    </w:p>
    <w:p w14:paraId="368F9374"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 respondents of this study consisted of 250 public-school teachers under the Division of Valencia City, who were randomly selected to ensure fair representation across schools within the division. Random sampling was employed to minimize selection bias and to allow each qualified teacher an equal chance of being included in the study. Teachers currently assigned to public elementary and secondary schools during the school year covered by the research were considered eligible respondents.</w:t>
      </w:r>
    </w:p>
    <w:p w14:paraId="0A6E0019" w14:textId="3D189C16"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 selected teachers served as the primary source of data for determining the levels of motivation, engagement, and teaching efficacy. Motivation was examined in terms of enjoyment, performance, and importance, while engagement was measured through shared values, feedback and recognition, and career growth and training opportunities. Teaching efficacy was assessed based on teachers perceived ability to effectively perform instructional and professional responsibilities.</w:t>
      </w:r>
    </w:p>
    <w:p w14:paraId="7EAB224F" w14:textId="548AF93B" w:rsidR="00CF6005" w:rsidRPr="00CF6005" w:rsidRDefault="00CF6005"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t>Research Instrument</w:t>
      </w:r>
    </w:p>
    <w:p w14:paraId="505646E3"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The instruments that will be used in this study are structured survey questionnaire designed to measure motivation, engagement, and efficacy among public school teachers in the Division of Valencia City. The questionnaire will be divided into three parts. The first part assessed motivation through indicators of enjoyment, performance, and importance. While the second is measuring teachers’ engagement through shared values, feedback recognition, and career growth and training opportunities. The third part focused on teachers’ teaching efficacy, capturing teachers’ perceptions of their confidence and effectiveness in performing various professional responsibilities. Responses were rated using Likert‑type scales, with descriptive equivalents provided to categorize levels of motivation, engagement, and efficacy. </w:t>
      </w:r>
    </w:p>
    <w:p w14:paraId="18EA4590"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Part I, is on self‑motivation with items adapted from the study of Tolentino et. al (2023), Self‑efficacy, interest, and effort indicators in the teaching motivation of public senior high school teachers in the Philippines, published in Journal of Advances in Education and Philosophy, where the analysis and interpretation of the results will be anchored to the table below:</w:t>
      </w:r>
    </w:p>
    <w:tbl>
      <w:tblPr>
        <w:tblStyle w:val="PlainTable4"/>
        <w:tblW w:w="0" w:type="auto"/>
        <w:tblLook w:val="06A0" w:firstRow="1" w:lastRow="0" w:firstColumn="1" w:lastColumn="0" w:noHBand="1" w:noVBand="1"/>
      </w:tblPr>
      <w:tblGrid>
        <w:gridCol w:w="988"/>
        <w:gridCol w:w="2976"/>
        <w:gridCol w:w="1418"/>
        <w:gridCol w:w="2914"/>
      </w:tblGrid>
      <w:tr w:rsidR="000837A8" w:rsidRPr="00CA0682" w14:paraId="7DEBA4BE"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A933243"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0BFC14ED"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18" w:type="dxa"/>
          </w:tcPr>
          <w:p w14:paraId="60BB80BE"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14" w:type="dxa"/>
          </w:tcPr>
          <w:p w14:paraId="1446DF27"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37799970"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541C1B76"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5556633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Agree</w:t>
            </w:r>
          </w:p>
        </w:tc>
        <w:tc>
          <w:tcPr>
            <w:tcW w:w="1418" w:type="dxa"/>
          </w:tcPr>
          <w:p w14:paraId="6E2A388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4.50-5.00</w:t>
            </w:r>
          </w:p>
        </w:tc>
        <w:tc>
          <w:tcPr>
            <w:tcW w:w="2914" w:type="dxa"/>
          </w:tcPr>
          <w:p w14:paraId="64C6BE26"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Motivation</w:t>
            </w:r>
          </w:p>
        </w:tc>
      </w:tr>
      <w:tr w:rsidR="000837A8" w:rsidRPr="00CA0682" w14:paraId="4C8E250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4F002B2A"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4</w:t>
            </w:r>
          </w:p>
        </w:tc>
        <w:tc>
          <w:tcPr>
            <w:tcW w:w="2976" w:type="dxa"/>
          </w:tcPr>
          <w:p w14:paraId="5484BD0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418" w:type="dxa"/>
          </w:tcPr>
          <w:p w14:paraId="035590E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3.50-4.49</w:t>
            </w:r>
          </w:p>
        </w:tc>
        <w:tc>
          <w:tcPr>
            <w:tcW w:w="2914" w:type="dxa"/>
          </w:tcPr>
          <w:p w14:paraId="04A517C9"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Motivation</w:t>
            </w:r>
          </w:p>
        </w:tc>
      </w:tr>
      <w:tr w:rsidR="000837A8" w:rsidRPr="00CA0682" w14:paraId="5C93CF26"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042F616D"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28B94AF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A0682">
              <w:rPr>
                <w:rFonts w:ascii="Times New Roman" w:hAnsi="Times New Roman" w:cs="Times New Roman"/>
              </w:rPr>
              <w:t>Nuetral</w:t>
            </w:r>
            <w:proofErr w:type="spellEnd"/>
          </w:p>
        </w:tc>
        <w:tc>
          <w:tcPr>
            <w:tcW w:w="1418" w:type="dxa"/>
          </w:tcPr>
          <w:p w14:paraId="677CF02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2.50-3.59</w:t>
            </w:r>
          </w:p>
        </w:tc>
        <w:tc>
          <w:tcPr>
            <w:tcW w:w="2914" w:type="dxa"/>
          </w:tcPr>
          <w:p w14:paraId="3F167BA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Motivation</w:t>
            </w:r>
          </w:p>
        </w:tc>
      </w:tr>
      <w:tr w:rsidR="000837A8" w:rsidRPr="00CA0682" w14:paraId="36E6F70D"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D7ED832"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7638C58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Disagree</w:t>
            </w:r>
          </w:p>
        </w:tc>
        <w:tc>
          <w:tcPr>
            <w:tcW w:w="1418" w:type="dxa"/>
          </w:tcPr>
          <w:p w14:paraId="7AFE1A2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1.50-2.49</w:t>
            </w:r>
          </w:p>
        </w:tc>
        <w:tc>
          <w:tcPr>
            <w:tcW w:w="2914" w:type="dxa"/>
          </w:tcPr>
          <w:p w14:paraId="013DB21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Motivation</w:t>
            </w:r>
          </w:p>
        </w:tc>
      </w:tr>
      <w:tr w:rsidR="000837A8" w:rsidRPr="00CA0682" w14:paraId="0AFD7399" w14:textId="77777777" w:rsidTr="00CA0682">
        <w:trPr>
          <w:trHeight w:val="89"/>
        </w:trPr>
        <w:tc>
          <w:tcPr>
            <w:cnfStyle w:val="001000000000" w:firstRow="0" w:lastRow="0" w:firstColumn="1" w:lastColumn="0" w:oddVBand="0" w:evenVBand="0" w:oddHBand="0" w:evenHBand="0" w:firstRowFirstColumn="0" w:firstRowLastColumn="0" w:lastRowFirstColumn="0" w:lastRowLastColumn="0"/>
            <w:tcW w:w="988" w:type="dxa"/>
          </w:tcPr>
          <w:p w14:paraId="55A07282"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0755C0C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Disagree</w:t>
            </w:r>
          </w:p>
        </w:tc>
        <w:tc>
          <w:tcPr>
            <w:tcW w:w="1418" w:type="dxa"/>
          </w:tcPr>
          <w:p w14:paraId="7FD1DDD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1.50-1.49</w:t>
            </w:r>
          </w:p>
        </w:tc>
        <w:tc>
          <w:tcPr>
            <w:tcW w:w="2914" w:type="dxa"/>
          </w:tcPr>
          <w:p w14:paraId="3139A1B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Motivation</w:t>
            </w:r>
          </w:p>
        </w:tc>
      </w:tr>
    </w:tbl>
    <w:p w14:paraId="7AA20A94" w14:textId="77777777"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 xml:space="preserve">Moreover, part II, is on engagement were items drawn from </w:t>
      </w:r>
      <w:proofErr w:type="spellStart"/>
      <w:r w:rsidRPr="00CF6005">
        <w:rPr>
          <w:rFonts w:ascii="Times New Roman" w:hAnsi="Times New Roman" w:cs="Times New Roman"/>
          <w:sz w:val="24"/>
          <w:szCs w:val="24"/>
        </w:rPr>
        <w:t>Negoso</w:t>
      </w:r>
      <w:proofErr w:type="spellEnd"/>
      <w:r w:rsidRPr="00CF6005">
        <w:rPr>
          <w:rFonts w:ascii="Times New Roman" w:hAnsi="Times New Roman" w:cs="Times New Roman"/>
          <w:sz w:val="24"/>
          <w:szCs w:val="24"/>
        </w:rPr>
        <w:t xml:space="preserve">, J. S. (2021) in the study factors of engagement and level of performance among public secondary school teachers, published in </w:t>
      </w:r>
      <w:proofErr w:type="spellStart"/>
      <w:r w:rsidRPr="00CF6005">
        <w:rPr>
          <w:rFonts w:ascii="Times New Roman" w:hAnsi="Times New Roman" w:cs="Times New Roman"/>
          <w:sz w:val="24"/>
          <w:szCs w:val="24"/>
        </w:rPr>
        <w:t>DepEd</w:t>
      </w:r>
      <w:proofErr w:type="spellEnd"/>
      <w:r w:rsidRPr="00CF6005">
        <w:rPr>
          <w:rFonts w:ascii="Times New Roman" w:hAnsi="Times New Roman" w:cs="Times New Roman"/>
          <w:sz w:val="24"/>
          <w:szCs w:val="24"/>
        </w:rPr>
        <w:t xml:space="preserve"> E‑</w:t>
      </w:r>
      <w:proofErr w:type="spellStart"/>
      <w:r w:rsidRPr="00CF6005">
        <w:rPr>
          <w:rFonts w:ascii="Times New Roman" w:hAnsi="Times New Roman" w:cs="Times New Roman"/>
          <w:sz w:val="24"/>
          <w:szCs w:val="24"/>
        </w:rPr>
        <w:t>Saliksik</w:t>
      </w:r>
      <w:proofErr w:type="spellEnd"/>
      <w:r w:rsidRPr="00CF6005">
        <w:rPr>
          <w:rFonts w:ascii="Times New Roman" w:hAnsi="Times New Roman" w:cs="Times New Roman"/>
          <w:sz w:val="24"/>
          <w:szCs w:val="24"/>
        </w:rPr>
        <w:t>, where the analysis and interpretation of the results will be anchored to the table below:</w:t>
      </w:r>
    </w:p>
    <w:p w14:paraId="7D011E50" w14:textId="77777777" w:rsidR="000E4999" w:rsidRDefault="000E4999" w:rsidP="000837A8">
      <w:pPr>
        <w:spacing w:before="240" w:after="240" w:line="240" w:lineRule="auto"/>
        <w:jc w:val="both"/>
        <w:rPr>
          <w:rFonts w:ascii="Times New Roman" w:hAnsi="Times New Roman" w:cs="Times New Roman"/>
          <w:sz w:val="24"/>
          <w:szCs w:val="24"/>
        </w:rPr>
      </w:pPr>
    </w:p>
    <w:p w14:paraId="05B3A2F3" w14:textId="77777777" w:rsidR="000E4999" w:rsidRDefault="000E4999" w:rsidP="000837A8">
      <w:pPr>
        <w:spacing w:before="240" w:after="240" w:line="240" w:lineRule="auto"/>
        <w:jc w:val="both"/>
        <w:rPr>
          <w:rFonts w:ascii="Times New Roman" w:hAnsi="Times New Roman" w:cs="Times New Roman"/>
          <w:sz w:val="24"/>
          <w:szCs w:val="24"/>
        </w:rPr>
      </w:pPr>
    </w:p>
    <w:tbl>
      <w:tblPr>
        <w:tblStyle w:val="PlainTable4"/>
        <w:tblW w:w="0" w:type="auto"/>
        <w:tblLook w:val="06A0" w:firstRow="1" w:lastRow="0" w:firstColumn="1" w:lastColumn="0" w:noHBand="1" w:noVBand="1"/>
      </w:tblPr>
      <w:tblGrid>
        <w:gridCol w:w="988"/>
        <w:gridCol w:w="2976"/>
        <w:gridCol w:w="1418"/>
        <w:gridCol w:w="2914"/>
      </w:tblGrid>
      <w:tr w:rsidR="000837A8" w:rsidRPr="00CA0682" w14:paraId="3785091E"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18C7C37"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5585FE4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18" w:type="dxa"/>
          </w:tcPr>
          <w:p w14:paraId="1078E1C2"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14" w:type="dxa"/>
          </w:tcPr>
          <w:p w14:paraId="08797B8A"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19D4C2C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05BB8F48"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0774664C"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w:t>
            </w:r>
          </w:p>
        </w:tc>
        <w:tc>
          <w:tcPr>
            <w:tcW w:w="1418" w:type="dxa"/>
          </w:tcPr>
          <w:p w14:paraId="17851A6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4.21–5.00</w:t>
            </w:r>
          </w:p>
        </w:tc>
        <w:tc>
          <w:tcPr>
            <w:tcW w:w="2914" w:type="dxa"/>
          </w:tcPr>
          <w:p w14:paraId="68518128"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Engagement</w:t>
            </w:r>
          </w:p>
        </w:tc>
      </w:tr>
      <w:tr w:rsidR="000837A8" w:rsidRPr="00CA0682" w14:paraId="018F4A15"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1241580A"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4</w:t>
            </w:r>
          </w:p>
        </w:tc>
        <w:tc>
          <w:tcPr>
            <w:tcW w:w="2976" w:type="dxa"/>
          </w:tcPr>
          <w:p w14:paraId="6FDB21E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w:t>
            </w:r>
          </w:p>
        </w:tc>
        <w:tc>
          <w:tcPr>
            <w:tcW w:w="1418" w:type="dxa"/>
          </w:tcPr>
          <w:p w14:paraId="44B012C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3.41–4.20</w:t>
            </w:r>
          </w:p>
        </w:tc>
        <w:tc>
          <w:tcPr>
            <w:tcW w:w="2914" w:type="dxa"/>
          </w:tcPr>
          <w:p w14:paraId="31CC316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Engagement</w:t>
            </w:r>
          </w:p>
        </w:tc>
      </w:tr>
      <w:tr w:rsidR="000837A8" w:rsidRPr="00CA0682" w14:paraId="30CAA23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7119B40F"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021D98A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w:t>
            </w:r>
          </w:p>
        </w:tc>
        <w:tc>
          <w:tcPr>
            <w:tcW w:w="1418" w:type="dxa"/>
          </w:tcPr>
          <w:p w14:paraId="44758DE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2.61–3.40</w:t>
            </w:r>
          </w:p>
        </w:tc>
        <w:tc>
          <w:tcPr>
            <w:tcW w:w="2914" w:type="dxa"/>
          </w:tcPr>
          <w:p w14:paraId="6CD13427"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Engagement</w:t>
            </w:r>
          </w:p>
        </w:tc>
      </w:tr>
      <w:tr w:rsidR="000837A8" w:rsidRPr="00CA0682" w14:paraId="6CCC955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68BE2777"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61FCFA5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w:t>
            </w:r>
          </w:p>
        </w:tc>
        <w:tc>
          <w:tcPr>
            <w:tcW w:w="1418" w:type="dxa"/>
          </w:tcPr>
          <w:p w14:paraId="411D9E79"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1.81–2.60</w:t>
            </w:r>
          </w:p>
        </w:tc>
        <w:tc>
          <w:tcPr>
            <w:tcW w:w="2914" w:type="dxa"/>
          </w:tcPr>
          <w:p w14:paraId="285555E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Engagement</w:t>
            </w:r>
          </w:p>
        </w:tc>
      </w:tr>
      <w:tr w:rsidR="000837A8" w:rsidRPr="00CA0682" w14:paraId="5D99E6C6" w14:textId="77777777" w:rsidTr="00CA0682">
        <w:trPr>
          <w:trHeight w:val="89"/>
        </w:trPr>
        <w:tc>
          <w:tcPr>
            <w:cnfStyle w:val="001000000000" w:firstRow="0" w:lastRow="0" w:firstColumn="1" w:lastColumn="0" w:oddVBand="0" w:evenVBand="0" w:oddHBand="0" w:evenHBand="0" w:firstRowFirstColumn="0" w:firstRowLastColumn="0" w:lastRowFirstColumn="0" w:lastRowLastColumn="0"/>
            <w:tcW w:w="988" w:type="dxa"/>
          </w:tcPr>
          <w:p w14:paraId="7F8A2D6D"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72FDB47E"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w:t>
            </w:r>
          </w:p>
        </w:tc>
        <w:tc>
          <w:tcPr>
            <w:tcW w:w="1418" w:type="dxa"/>
          </w:tcPr>
          <w:p w14:paraId="0A02366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1.00–1.80</w:t>
            </w:r>
          </w:p>
        </w:tc>
        <w:tc>
          <w:tcPr>
            <w:tcW w:w="2914" w:type="dxa"/>
          </w:tcPr>
          <w:p w14:paraId="11ED7478"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Engagement</w:t>
            </w:r>
          </w:p>
        </w:tc>
      </w:tr>
    </w:tbl>
    <w:p w14:paraId="6B9ED75E" w14:textId="77777777" w:rsidR="00CF6005" w:rsidRP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lastRenderedPageBreak/>
        <w:t xml:space="preserve">Furthermore, part III, is teachers’ efficacy were items adapted from the work of </w:t>
      </w:r>
      <w:proofErr w:type="spellStart"/>
      <w:r w:rsidRPr="00CF6005">
        <w:rPr>
          <w:rFonts w:ascii="Times New Roman" w:hAnsi="Times New Roman" w:cs="Times New Roman"/>
          <w:sz w:val="24"/>
          <w:szCs w:val="24"/>
        </w:rPr>
        <w:t>Nayon</w:t>
      </w:r>
      <w:proofErr w:type="spellEnd"/>
      <w:r w:rsidRPr="00CF6005">
        <w:rPr>
          <w:rFonts w:ascii="Times New Roman" w:hAnsi="Times New Roman" w:cs="Times New Roman"/>
          <w:sz w:val="24"/>
          <w:szCs w:val="24"/>
        </w:rPr>
        <w:t xml:space="preserve"> and </w:t>
      </w:r>
      <w:proofErr w:type="spellStart"/>
      <w:r w:rsidRPr="00CF6005">
        <w:rPr>
          <w:rFonts w:ascii="Times New Roman" w:hAnsi="Times New Roman" w:cs="Times New Roman"/>
          <w:sz w:val="24"/>
          <w:szCs w:val="24"/>
        </w:rPr>
        <w:t>Mcalisang</w:t>
      </w:r>
      <w:proofErr w:type="spellEnd"/>
      <w:r w:rsidRPr="00CF6005">
        <w:rPr>
          <w:rFonts w:ascii="Times New Roman" w:hAnsi="Times New Roman" w:cs="Times New Roman"/>
          <w:sz w:val="24"/>
          <w:szCs w:val="24"/>
        </w:rPr>
        <w:t xml:space="preserve"> (2024), Interpersonal self‑efficacy, morale, and personality traits of public elementary school teacher’s vis‑à‑vis teaching performance, published in International Journal of Science and Research Archive, where the analysis and interpretation of the results will be anchored to the table below:</w:t>
      </w:r>
    </w:p>
    <w:tbl>
      <w:tblPr>
        <w:tblStyle w:val="PlainTable4"/>
        <w:tblW w:w="0" w:type="auto"/>
        <w:tblLook w:val="06A0" w:firstRow="1" w:lastRow="0" w:firstColumn="1" w:lastColumn="0" w:noHBand="1" w:noVBand="1"/>
      </w:tblPr>
      <w:tblGrid>
        <w:gridCol w:w="988"/>
        <w:gridCol w:w="2976"/>
        <w:gridCol w:w="1423"/>
        <w:gridCol w:w="2909"/>
      </w:tblGrid>
      <w:tr w:rsidR="000837A8" w:rsidRPr="00CA0682" w14:paraId="31789AAC" w14:textId="77777777" w:rsidTr="003C3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A800150"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Scale</w:t>
            </w:r>
          </w:p>
        </w:tc>
        <w:tc>
          <w:tcPr>
            <w:tcW w:w="2976" w:type="dxa"/>
          </w:tcPr>
          <w:p w14:paraId="0BBF17A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423" w:type="dxa"/>
          </w:tcPr>
          <w:p w14:paraId="3CFB4759"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Range</w:t>
            </w:r>
          </w:p>
        </w:tc>
        <w:tc>
          <w:tcPr>
            <w:tcW w:w="2909" w:type="dxa"/>
          </w:tcPr>
          <w:p w14:paraId="0EECE778" w14:textId="77777777" w:rsidR="000837A8" w:rsidRPr="00CA0682" w:rsidRDefault="000837A8" w:rsidP="000837A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0837A8" w:rsidRPr="00CA0682" w14:paraId="36DF30C2"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7AD2752C"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5</w:t>
            </w:r>
          </w:p>
        </w:tc>
        <w:tc>
          <w:tcPr>
            <w:tcW w:w="2976" w:type="dxa"/>
          </w:tcPr>
          <w:p w14:paraId="76E61E21"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Agree</w:t>
            </w:r>
          </w:p>
        </w:tc>
        <w:tc>
          <w:tcPr>
            <w:tcW w:w="1423" w:type="dxa"/>
          </w:tcPr>
          <w:p w14:paraId="751ECFA5"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4.50-5.00</w:t>
            </w:r>
          </w:p>
        </w:tc>
        <w:tc>
          <w:tcPr>
            <w:tcW w:w="2909" w:type="dxa"/>
          </w:tcPr>
          <w:p w14:paraId="3A10F04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High Efficacy</w:t>
            </w:r>
          </w:p>
        </w:tc>
      </w:tr>
      <w:tr w:rsidR="000837A8" w:rsidRPr="00CA0682" w14:paraId="422F0A41"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B5E4F34"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4</w:t>
            </w:r>
          </w:p>
        </w:tc>
        <w:tc>
          <w:tcPr>
            <w:tcW w:w="2976" w:type="dxa"/>
          </w:tcPr>
          <w:p w14:paraId="5C1157BA"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423" w:type="dxa"/>
          </w:tcPr>
          <w:p w14:paraId="205F729C"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3.50-4.49</w:t>
            </w:r>
          </w:p>
        </w:tc>
        <w:tc>
          <w:tcPr>
            <w:tcW w:w="2909" w:type="dxa"/>
          </w:tcPr>
          <w:p w14:paraId="08BC7DB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Efficacy</w:t>
            </w:r>
          </w:p>
        </w:tc>
      </w:tr>
      <w:tr w:rsidR="000837A8" w:rsidRPr="00CA0682" w14:paraId="1BFE98E7"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21A92B5E"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3</w:t>
            </w:r>
          </w:p>
        </w:tc>
        <w:tc>
          <w:tcPr>
            <w:tcW w:w="2976" w:type="dxa"/>
          </w:tcPr>
          <w:p w14:paraId="71F1811F"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CA0682">
              <w:rPr>
                <w:rFonts w:ascii="Times New Roman" w:hAnsi="Times New Roman" w:cs="Times New Roman"/>
              </w:rPr>
              <w:t>Nuetral</w:t>
            </w:r>
            <w:proofErr w:type="spellEnd"/>
          </w:p>
        </w:tc>
        <w:tc>
          <w:tcPr>
            <w:tcW w:w="1423" w:type="dxa"/>
          </w:tcPr>
          <w:p w14:paraId="58F3898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2.50-3.59</w:t>
            </w:r>
          </w:p>
        </w:tc>
        <w:tc>
          <w:tcPr>
            <w:tcW w:w="2909" w:type="dxa"/>
          </w:tcPr>
          <w:p w14:paraId="11EF14D3"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Moderate Efficacy</w:t>
            </w:r>
          </w:p>
        </w:tc>
      </w:tr>
      <w:tr w:rsidR="000837A8" w:rsidRPr="00CA0682" w14:paraId="2082D91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113C9CE1"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2</w:t>
            </w:r>
          </w:p>
        </w:tc>
        <w:tc>
          <w:tcPr>
            <w:tcW w:w="2976" w:type="dxa"/>
          </w:tcPr>
          <w:p w14:paraId="5D5B17BD"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Disagree</w:t>
            </w:r>
          </w:p>
        </w:tc>
        <w:tc>
          <w:tcPr>
            <w:tcW w:w="1423" w:type="dxa"/>
          </w:tcPr>
          <w:p w14:paraId="0AAA89C0"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1.50-2.49</w:t>
            </w:r>
          </w:p>
        </w:tc>
        <w:tc>
          <w:tcPr>
            <w:tcW w:w="2909" w:type="dxa"/>
          </w:tcPr>
          <w:p w14:paraId="4B73474B"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Low Efficacy</w:t>
            </w:r>
          </w:p>
        </w:tc>
      </w:tr>
      <w:tr w:rsidR="000837A8" w:rsidRPr="00CA0682" w14:paraId="65940E99" w14:textId="77777777" w:rsidTr="003C3994">
        <w:tc>
          <w:tcPr>
            <w:cnfStyle w:val="001000000000" w:firstRow="0" w:lastRow="0" w:firstColumn="1" w:lastColumn="0" w:oddVBand="0" w:evenVBand="0" w:oddHBand="0" w:evenHBand="0" w:firstRowFirstColumn="0" w:firstRowLastColumn="0" w:lastRowFirstColumn="0" w:lastRowLastColumn="0"/>
            <w:tcW w:w="988" w:type="dxa"/>
          </w:tcPr>
          <w:p w14:paraId="56CF472F" w14:textId="77777777" w:rsidR="000837A8" w:rsidRPr="00CA0682" w:rsidRDefault="000837A8" w:rsidP="000837A8">
            <w:pPr>
              <w:jc w:val="both"/>
              <w:rPr>
                <w:rFonts w:ascii="Times New Roman" w:hAnsi="Times New Roman" w:cs="Times New Roman"/>
                <w:b w:val="0"/>
                <w:bCs w:val="0"/>
              </w:rPr>
            </w:pPr>
            <w:r w:rsidRPr="00CA0682">
              <w:rPr>
                <w:rFonts w:ascii="Times New Roman" w:hAnsi="Times New Roman" w:cs="Times New Roman"/>
                <w:b w:val="0"/>
                <w:bCs w:val="0"/>
              </w:rPr>
              <w:t>1</w:t>
            </w:r>
          </w:p>
        </w:tc>
        <w:tc>
          <w:tcPr>
            <w:tcW w:w="2976" w:type="dxa"/>
          </w:tcPr>
          <w:p w14:paraId="68EAAB4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Strongly Disagree</w:t>
            </w:r>
          </w:p>
        </w:tc>
        <w:tc>
          <w:tcPr>
            <w:tcW w:w="1423" w:type="dxa"/>
          </w:tcPr>
          <w:p w14:paraId="0DB93DB4"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1.50-1.49</w:t>
            </w:r>
          </w:p>
        </w:tc>
        <w:tc>
          <w:tcPr>
            <w:tcW w:w="2909" w:type="dxa"/>
          </w:tcPr>
          <w:p w14:paraId="1680C862" w14:textId="77777777" w:rsidR="000837A8" w:rsidRPr="00CA0682" w:rsidRDefault="000837A8" w:rsidP="000837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Very Low Efficacy</w:t>
            </w:r>
          </w:p>
        </w:tc>
      </w:tr>
    </w:tbl>
    <w:p w14:paraId="4A437B44" w14:textId="53F806DC" w:rsidR="00CF6005" w:rsidRDefault="00CF6005" w:rsidP="000837A8">
      <w:pPr>
        <w:spacing w:before="240" w:after="240" w:line="240" w:lineRule="auto"/>
        <w:jc w:val="both"/>
        <w:rPr>
          <w:rFonts w:ascii="Times New Roman" w:hAnsi="Times New Roman" w:cs="Times New Roman"/>
          <w:sz w:val="24"/>
          <w:szCs w:val="24"/>
        </w:rPr>
      </w:pPr>
      <w:r w:rsidRPr="00CF6005">
        <w:rPr>
          <w:rFonts w:ascii="Times New Roman" w:hAnsi="Times New Roman" w:cs="Times New Roman"/>
          <w:sz w:val="24"/>
          <w:szCs w:val="24"/>
        </w:rPr>
        <w:t>These sources provided the theoretical and empirical foundation for the questionnaire, ensuring its validity and reliability in measuring the constructs relevant to this study. To further strengthen its applicability, the instrument was subjected to expert validation by educators and researchers in mathematics education, and a pilot test was conducted with a small group of learners outside the sample to establish reliability. Necessary revisions were made before final administration to the respondents.</w:t>
      </w:r>
    </w:p>
    <w:p w14:paraId="49513382" w14:textId="2AC926D2" w:rsidR="00CF6005" w:rsidRPr="00CF6005" w:rsidRDefault="00CF6005" w:rsidP="000837A8">
      <w:pPr>
        <w:spacing w:before="240" w:after="240" w:line="240" w:lineRule="auto"/>
        <w:jc w:val="both"/>
        <w:rPr>
          <w:rFonts w:ascii="Times New Roman" w:hAnsi="Times New Roman" w:cs="Times New Roman"/>
          <w:b/>
          <w:bCs/>
          <w:sz w:val="24"/>
          <w:szCs w:val="24"/>
        </w:rPr>
      </w:pPr>
      <w:r w:rsidRPr="00CF6005">
        <w:rPr>
          <w:rFonts w:ascii="Times New Roman" w:hAnsi="Times New Roman" w:cs="Times New Roman"/>
          <w:b/>
          <w:bCs/>
          <w:sz w:val="24"/>
          <w:szCs w:val="24"/>
        </w:rPr>
        <w:t>Data Analysis Procedure</w:t>
      </w:r>
    </w:p>
    <w:p w14:paraId="0D3BD319" w14:textId="77777777" w:rsidR="000837A8" w:rsidRPr="000837A8"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In this study, the researcher will employ, descriptive statistics, specifically the mean, standard deviation, frequency, and percentage to determine the levels of teachers’ motivation, engagement, and efficacy. These tools will summarize the learners’ Likert‑scale responses and classify the levels based on predefined descriptive ranges.</w:t>
      </w:r>
    </w:p>
    <w:p w14:paraId="4B1E253F" w14:textId="77777777" w:rsidR="000837A8" w:rsidRPr="000837A8"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Moreover, this study will also apply Pearson’s Product‑Moment Correlation Coefficient (Pearson r) to determine whether significant relationships exist between (a) motivation and efficacy, and (b) engagement and efficacy. This analysis will reveal the direction, strength, and significance of the relationships at the 0.05 level.</w:t>
      </w:r>
    </w:p>
    <w:p w14:paraId="6E05A805" w14:textId="5E87C072" w:rsidR="00CF6005" w:rsidRDefault="000837A8" w:rsidP="000837A8">
      <w:pPr>
        <w:spacing w:before="240" w:after="240" w:line="240" w:lineRule="auto"/>
        <w:jc w:val="both"/>
        <w:rPr>
          <w:rFonts w:ascii="Times New Roman" w:hAnsi="Times New Roman" w:cs="Times New Roman"/>
          <w:sz w:val="24"/>
          <w:szCs w:val="24"/>
        </w:rPr>
      </w:pPr>
      <w:r w:rsidRPr="000837A8">
        <w:rPr>
          <w:rFonts w:ascii="Times New Roman" w:hAnsi="Times New Roman" w:cs="Times New Roman"/>
          <w:sz w:val="24"/>
          <w:szCs w:val="24"/>
        </w:rPr>
        <w:t>Furthermore, multiple linear regression analysis will be used to identify which independent variables from teachers’ motivation and engagement significantly predict teacher’s efficacy. Regression coefficients and model fit indicators (R and R²) will be examined to determine each variable’s contribution.</w:t>
      </w:r>
    </w:p>
    <w:p w14:paraId="5E089BF6" w14:textId="03BE8BE0" w:rsidR="00CF6005" w:rsidRPr="00823B86" w:rsidRDefault="00CF6005" w:rsidP="000837A8">
      <w:pPr>
        <w:spacing w:before="240" w:after="240" w:line="240" w:lineRule="auto"/>
        <w:jc w:val="both"/>
        <w:rPr>
          <w:rFonts w:ascii="Times New Roman" w:hAnsi="Times New Roman" w:cs="Times New Roman"/>
          <w:b/>
          <w:bCs/>
          <w:sz w:val="28"/>
          <w:szCs w:val="28"/>
        </w:rPr>
      </w:pPr>
      <w:r w:rsidRPr="00823B86">
        <w:rPr>
          <w:rFonts w:ascii="Times New Roman" w:hAnsi="Times New Roman" w:cs="Times New Roman"/>
          <w:b/>
          <w:bCs/>
          <w:sz w:val="28"/>
          <w:szCs w:val="28"/>
        </w:rPr>
        <w:t>RESULTS AND DISCUSSION</w:t>
      </w:r>
    </w:p>
    <w:p w14:paraId="11FD7E79" w14:textId="43AD36F9" w:rsidR="00CF6005" w:rsidRPr="007A7D8D" w:rsidRDefault="00F775A8" w:rsidP="00F775A8">
      <w:pPr>
        <w:spacing w:before="240" w:after="240" w:line="240" w:lineRule="auto"/>
        <w:jc w:val="both"/>
        <w:rPr>
          <w:rFonts w:ascii="Times New Roman" w:hAnsi="Times New Roman" w:cs="Times New Roman"/>
          <w:b/>
          <w:bCs/>
          <w:sz w:val="24"/>
          <w:szCs w:val="24"/>
        </w:rPr>
      </w:pPr>
      <w:r w:rsidRPr="007A7D8D">
        <w:rPr>
          <w:rFonts w:ascii="Times New Roman" w:hAnsi="Times New Roman" w:cs="Times New Roman"/>
          <w:b/>
          <w:bCs/>
          <w:sz w:val="24"/>
          <w:szCs w:val="24"/>
        </w:rPr>
        <w:t>Teachers’ Motivation in terms of Enjoyment, Performance, and Importance</w:t>
      </w:r>
    </w:p>
    <w:p w14:paraId="3D08F62B" w14:textId="7CD880B6" w:rsidR="00F775A8" w:rsidRDefault="00F775A8" w:rsidP="00F775A8">
      <w:pPr>
        <w:spacing w:before="240" w:after="240" w:line="240" w:lineRule="auto"/>
        <w:jc w:val="both"/>
        <w:rPr>
          <w:rFonts w:ascii="Times New Roman" w:hAnsi="Times New Roman" w:cs="Times New Roman"/>
          <w:sz w:val="24"/>
          <w:szCs w:val="24"/>
        </w:rPr>
      </w:pPr>
      <w:r w:rsidRPr="00F775A8">
        <w:rPr>
          <w:rFonts w:ascii="Times New Roman" w:hAnsi="Times New Roman" w:cs="Times New Roman"/>
          <w:sz w:val="24"/>
          <w:szCs w:val="24"/>
        </w:rPr>
        <w:t xml:space="preserve">Table </w:t>
      </w:r>
      <w:r>
        <w:rPr>
          <w:rFonts w:ascii="Times New Roman" w:hAnsi="Times New Roman" w:cs="Times New Roman"/>
          <w:sz w:val="24"/>
          <w:szCs w:val="24"/>
        </w:rPr>
        <w:t>1</w:t>
      </w:r>
      <w:r w:rsidRPr="00F775A8">
        <w:rPr>
          <w:rFonts w:ascii="Times New Roman" w:hAnsi="Times New Roman" w:cs="Times New Roman"/>
          <w:sz w:val="24"/>
          <w:szCs w:val="24"/>
        </w:rPr>
        <w:t xml:space="preserve"> presented the summary of the level of teachers’ motivation in terms of enjoyment, performance, and importance. This table synthesized the results from the preceding motivation sub‑variables to provide an overall picture of teachers’ motivational level. The </w:t>
      </w:r>
      <w:r w:rsidR="000A3BD7">
        <w:rPr>
          <w:rFonts w:ascii="Times New Roman" w:hAnsi="Times New Roman" w:cs="Times New Roman"/>
          <w:sz w:val="24"/>
          <w:szCs w:val="24"/>
        </w:rPr>
        <w:t>variables</w:t>
      </w:r>
      <w:r w:rsidRPr="00F775A8">
        <w:rPr>
          <w:rFonts w:ascii="Times New Roman" w:hAnsi="Times New Roman" w:cs="Times New Roman"/>
          <w:sz w:val="24"/>
          <w:szCs w:val="24"/>
        </w:rPr>
        <w:t xml:space="preserve"> were analyzed using the mean and interpreted through descriptive and qualitative interpretations based on the established scale.</w:t>
      </w:r>
    </w:p>
    <w:p w14:paraId="3FB3B91A" w14:textId="77777777" w:rsidR="000E4999" w:rsidRDefault="000E4999" w:rsidP="00F775A8">
      <w:pPr>
        <w:spacing w:before="240" w:after="240" w:line="240" w:lineRule="auto"/>
        <w:jc w:val="both"/>
        <w:rPr>
          <w:rFonts w:ascii="Times New Roman" w:hAnsi="Times New Roman" w:cs="Times New Roman"/>
          <w:sz w:val="24"/>
          <w:szCs w:val="24"/>
        </w:rPr>
      </w:pPr>
    </w:p>
    <w:p w14:paraId="25529C0D" w14:textId="77777777" w:rsidR="000E4999" w:rsidRDefault="000E4999" w:rsidP="00F775A8">
      <w:pPr>
        <w:spacing w:before="240" w:after="240" w:line="240" w:lineRule="auto"/>
        <w:jc w:val="both"/>
        <w:rPr>
          <w:rFonts w:ascii="Times New Roman" w:hAnsi="Times New Roman" w:cs="Times New Roman"/>
          <w:sz w:val="24"/>
          <w:szCs w:val="24"/>
        </w:rPr>
      </w:pPr>
    </w:p>
    <w:p w14:paraId="2FD34395" w14:textId="46A55DE4" w:rsidR="00F775A8" w:rsidRPr="007A7D8D" w:rsidRDefault="00F775A8" w:rsidP="00CA0682">
      <w:pPr>
        <w:spacing w:after="0" w:line="240" w:lineRule="auto"/>
        <w:jc w:val="both"/>
        <w:rPr>
          <w:rFonts w:ascii="Times New Roman" w:hAnsi="Times New Roman" w:cs="Times New Roman"/>
          <w:sz w:val="24"/>
          <w:szCs w:val="24"/>
        </w:rPr>
      </w:pPr>
      <w:r w:rsidRPr="007A7D8D">
        <w:rPr>
          <w:rFonts w:ascii="Times New Roman" w:hAnsi="Times New Roman" w:cs="Times New Roman"/>
          <w:sz w:val="24"/>
          <w:szCs w:val="24"/>
        </w:rPr>
        <w:t>Table 1: Level of Teachers’ Motivation</w:t>
      </w:r>
      <w:r w:rsidR="007A7D8D">
        <w:rPr>
          <w:rFonts w:ascii="Times New Roman" w:hAnsi="Times New Roman" w:cs="Times New Roman"/>
          <w:sz w:val="24"/>
          <w:szCs w:val="24"/>
        </w:rPr>
        <w:t xml:space="preserve"> </w:t>
      </w:r>
      <w:r w:rsidR="007A7D8D" w:rsidRPr="007A7D8D">
        <w:rPr>
          <w:rFonts w:ascii="Times New Roman" w:hAnsi="Times New Roman" w:cs="Times New Roman"/>
          <w:sz w:val="24"/>
          <w:szCs w:val="24"/>
        </w:rPr>
        <w:t>in terms of Enjoyment, Performance, and Importance</w:t>
      </w:r>
    </w:p>
    <w:tbl>
      <w:tblPr>
        <w:tblStyle w:val="PlainTable4"/>
        <w:tblW w:w="5000" w:type="pct"/>
        <w:tblLook w:val="04A0" w:firstRow="1" w:lastRow="0" w:firstColumn="1" w:lastColumn="0" w:noHBand="0" w:noVBand="1"/>
      </w:tblPr>
      <w:tblGrid>
        <w:gridCol w:w="2548"/>
        <w:gridCol w:w="1286"/>
        <w:gridCol w:w="3705"/>
        <w:gridCol w:w="3703"/>
      </w:tblGrid>
      <w:tr w:rsidR="00F775A8" w:rsidRPr="007A7D8D" w14:paraId="67B31E51" w14:textId="77777777" w:rsidTr="00B51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tcBorders>
              <w:top w:val="single" w:sz="18" w:space="0" w:color="auto"/>
              <w:bottom w:val="single" w:sz="8" w:space="0" w:color="000000"/>
            </w:tcBorders>
            <w:vAlign w:val="center"/>
          </w:tcPr>
          <w:p w14:paraId="56D47695" w14:textId="77777777" w:rsidR="00F775A8" w:rsidRPr="007A7D8D" w:rsidRDefault="00F775A8" w:rsidP="00CA0682">
            <w:pPr>
              <w:jc w:val="center"/>
              <w:rPr>
                <w:rFonts w:ascii="Times New Roman" w:hAnsi="Times New Roman" w:cs="Times New Roman"/>
                <w:b w:val="0"/>
                <w:bCs w:val="0"/>
              </w:rPr>
            </w:pPr>
            <w:r w:rsidRPr="007A7D8D">
              <w:rPr>
                <w:rFonts w:ascii="Times New Roman" w:hAnsi="Times New Roman" w:cs="Times New Roman"/>
                <w:b w:val="0"/>
                <w:bCs w:val="0"/>
              </w:rPr>
              <w:t>Variables</w:t>
            </w:r>
          </w:p>
        </w:tc>
        <w:tc>
          <w:tcPr>
            <w:tcW w:w="572" w:type="pct"/>
            <w:tcBorders>
              <w:top w:val="single" w:sz="18" w:space="0" w:color="auto"/>
              <w:left w:val="nil"/>
              <w:bottom w:val="single" w:sz="8" w:space="0" w:color="000000"/>
            </w:tcBorders>
            <w:vAlign w:val="center"/>
          </w:tcPr>
          <w:p w14:paraId="2FD60899"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Mean</w:t>
            </w:r>
          </w:p>
        </w:tc>
        <w:tc>
          <w:tcPr>
            <w:tcW w:w="1648" w:type="pct"/>
            <w:tcBorders>
              <w:top w:val="single" w:sz="18" w:space="0" w:color="auto"/>
              <w:bottom w:val="single" w:sz="8" w:space="0" w:color="000000"/>
            </w:tcBorders>
            <w:vAlign w:val="center"/>
          </w:tcPr>
          <w:p w14:paraId="4114A096"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Descriptive Interpretation</w:t>
            </w:r>
          </w:p>
        </w:tc>
        <w:tc>
          <w:tcPr>
            <w:tcW w:w="1647" w:type="pct"/>
            <w:tcBorders>
              <w:top w:val="single" w:sz="18" w:space="0" w:color="auto"/>
              <w:bottom w:val="single" w:sz="8" w:space="0" w:color="000000"/>
            </w:tcBorders>
            <w:vAlign w:val="center"/>
          </w:tcPr>
          <w:p w14:paraId="4F616D83" w14:textId="77777777" w:rsidR="00F775A8" w:rsidRPr="007A7D8D" w:rsidRDefault="00F775A8"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Qualitative Interpretation</w:t>
            </w:r>
          </w:p>
        </w:tc>
      </w:tr>
      <w:tr w:rsidR="00F775A8" w:rsidRPr="007A7D8D" w14:paraId="06A52692"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tcBorders>
              <w:top w:val="single" w:sz="8" w:space="0" w:color="000000"/>
            </w:tcBorders>
            <w:shd w:val="clear" w:color="auto" w:fill="auto"/>
          </w:tcPr>
          <w:p w14:paraId="5D9F008F"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t>Enjoyment</w:t>
            </w:r>
          </w:p>
        </w:tc>
        <w:tc>
          <w:tcPr>
            <w:tcW w:w="572" w:type="pct"/>
            <w:tcBorders>
              <w:top w:val="single" w:sz="8" w:space="0" w:color="000000"/>
            </w:tcBorders>
            <w:shd w:val="clear" w:color="auto" w:fill="auto"/>
            <w:vAlign w:val="center"/>
          </w:tcPr>
          <w:p w14:paraId="37E566CF"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4.07</w:t>
            </w:r>
          </w:p>
        </w:tc>
        <w:tc>
          <w:tcPr>
            <w:tcW w:w="1648" w:type="pct"/>
            <w:tcBorders>
              <w:top w:val="single" w:sz="8" w:space="0" w:color="000000"/>
            </w:tcBorders>
            <w:shd w:val="clear" w:color="auto" w:fill="auto"/>
            <w:vAlign w:val="center"/>
          </w:tcPr>
          <w:p w14:paraId="76A5EC83"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tcBorders>
              <w:top w:val="single" w:sz="8" w:space="0" w:color="000000"/>
            </w:tcBorders>
            <w:shd w:val="clear" w:color="auto" w:fill="auto"/>
            <w:vAlign w:val="center"/>
          </w:tcPr>
          <w:p w14:paraId="566F4B35"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23AB3DAC" w14:textId="77777777" w:rsidTr="00B51C9F">
        <w:tc>
          <w:tcPr>
            <w:cnfStyle w:val="001000000000" w:firstRow="0" w:lastRow="0" w:firstColumn="1" w:lastColumn="0" w:oddVBand="0" w:evenVBand="0" w:oddHBand="0" w:evenHBand="0" w:firstRowFirstColumn="0" w:firstRowLastColumn="0" w:lastRowFirstColumn="0" w:lastRowLastColumn="0"/>
            <w:tcW w:w="1133" w:type="pct"/>
          </w:tcPr>
          <w:p w14:paraId="08C55B40"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t>Performance</w:t>
            </w:r>
          </w:p>
        </w:tc>
        <w:tc>
          <w:tcPr>
            <w:tcW w:w="572" w:type="pct"/>
            <w:vAlign w:val="center"/>
          </w:tcPr>
          <w:p w14:paraId="164A602C"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4.08</w:t>
            </w:r>
          </w:p>
        </w:tc>
        <w:tc>
          <w:tcPr>
            <w:tcW w:w="1648" w:type="pct"/>
            <w:vAlign w:val="center"/>
          </w:tcPr>
          <w:p w14:paraId="3E583B1F"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vAlign w:val="center"/>
          </w:tcPr>
          <w:p w14:paraId="59E0E482"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1561552B"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3" w:type="pct"/>
            <w:shd w:val="clear" w:color="auto" w:fill="auto"/>
          </w:tcPr>
          <w:p w14:paraId="7B69BF48" w14:textId="77777777" w:rsidR="00F775A8" w:rsidRPr="007A7D8D" w:rsidRDefault="00F775A8" w:rsidP="00CA0682">
            <w:pPr>
              <w:jc w:val="both"/>
              <w:rPr>
                <w:rFonts w:ascii="Times New Roman" w:hAnsi="Times New Roman" w:cs="Times New Roman"/>
                <w:b w:val="0"/>
                <w:bCs w:val="0"/>
              </w:rPr>
            </w:pPr>
            <w:r w:rsidRPr="007A7D8D">
              <w:rPr>
                <w:rFonts w:ascii="Times New Roman" w:hAnsi="Times New Roman" w:cs="Times New Roman"/>
                <w:b w:val="0"/>
                <w:bCs w:val="0"/>
              </w:rPr>
              <w:t>Importance</w:t>
            </w:r>
          </w:p>
        </w:tc>
        <w:tc>
          <w:tcPr>
            <w:tcW w:w="572" w:type="pct"/>
            <w:shd w:val="clear" w:color="auto" w:fill="auto"/>
            <w:vAlign w:val="center"/>
          </w:tcPr>
          <w:p w14:paraId="22DC1828"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4.04</w:t>
            </w:r>
          </w:p>
        </w:tc>
        <w:tc>
          <w:tcPr>
            <w:tcW w:w="1648" w:type="pct"/>
            <w:shd w:val="clear" w:color="auto" w:fill="auto"/>
            <w:vAlign w:val="center"/>
          </w:tcPr>
          <w:p w14:paraId="709778B1"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shd w:val="clear" w:color="auto" w:fill="auto"/>
            <w:vAlign w:val="center"/>
          </w:tcPr>
          <w:p w14:paraId="7DFE070C" w14:textId="77777777" w:rsidR="00F775A8" w:rsidRPr="007A7D8D" w:rsidRDefault="00F775A8"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r w:rsidR="00F775A8" w:rsidRPr="007A7D8D" w14:paraId="32803FAE" w14:textId="77777777" w:rsidTr="00B51C9F">
        <w:tc>
          <w:tcPr>
            <w:cnfStyle w:val="001000000000" w:firstRow="0" w:lastRow="0" w:firstColumn="1" w:lastColumn="0" w:oddVBand="0" w:evenVBand="0" w:oddHBand="0" w:evenHBand="0" w:firstRowFirstColumn="0" w:firstRowLastColumn="0" w:lastRowFirstColumn="0" w:lastRowLastColumn="0"/>
            <w:tcW w:w="1133" w:type="pct"/>
            <w:tcBorders>
              <w:top w:val="single" w:sz="8" w:space="0" w:color="000000"/>
              <w:bottom w:val="single" w:sz="18" w:space="0" w:color="000000"/>
            </w:tcBorders>
            <w:vAlign w:val="center"/>
          </w:tcPr>
          <w:p w14:paraId="520D0532" w14:textId="77777777" w:rsidR="00F775A8" w:rsidRPr="007A7D8D" w:rsidRDefault="00F775A8" w:rsidP="00CA0682">
            <w:pPr>
              <w:rPr>
                <w:rFonts w:ascii="Times New Roman" w:hAnsi="Times New Roman" w:cs="Times New Roman"/>
                <w:b w:val="0"/>
                <w:bCs w:val="0"/>
              </w:rPr>
            </w:pPr>
            <w:r w:rsidRPr="007A7D8D">
              <w:rPr>
                <w:rFonts w:ascii="Times New Roman" w:hAnsi="Times New Roman" w:cs="Times New Roman"/>
                <w:b w:val="0"/>
                <w:bCs w:val="0"/>
              </w:rPr>
              <w:t>Overall Mean</w:t>
            </w:r>
          </w:p>
        </w:tc>
        <w:tc>
          <w:tcPr>
            <w:tcW w:w="572" w:type="pct"/>
            <w:tcBorders>
              <w:top w:val="single" w:sz="8" w:space="0" w:color="000000"/>
              <w:bottom w:val="single" w:sz="18" w:space="0" w:color="000000"/>
            </w:tcBorders>
            <w:vAlign w:val="center"/>
          </w:tcPr>
          <w:p w14:paraId="588D404E"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4.06</w:t>
            </w:r>
          </w:p>
        </w:tc>
        <w:tc>
          <w:tcPr>
            <w:tcW w:w="1648" w:type="pct"/>
            <w:tcBorders>
              <w:top w:val="single" w:sz="8" w:space="0" w:color="000000"/>
              <w:bottom w:val="single" w:sz="18" w:space="0" w:color="000000"/>
            </w:tcBorders>
            <w:vAlign w:val="center"/>
          </w:tcPr>
          <w:p w14:paraId="3DE8D4D1"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Agree</w:t>
            </w:r>
          </w:p>
        </w:tc>
        <w:tc>
          <w:tcPr>
            <w:tcW w:w="1647" w:type="pct"/>
            <w:tcBorders>
              <w:top w:val="single" w:sz="8" w:space="0" w:color="000000"/>
              <w:bottom w:val="single" w:sz="18" w:space="0" w:color="000000"/>
            </w:tcBorders>
            <w:vAlign w:val="center"/>
          </w:tcPr>
          <w:p w14:paraId="28391FA8" w14:textId="77777777" w:rsidR="00F775A8" w:rsidRPr="007A7D8D" w:rsidRDefault="00F775A8"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Motivation</w:t>
            </w:r>
          </w:p>
        </w:tc>
      </w:tr>
    </w:tbl>
    <w:p w14:paraId="4A801C87" w14:textId="79741B8A" w:rsidR="00F775A8" w:rsidRDefault="00F775A8" w:rsidP="000A3BD7">
      <w:pPr>
        <w:spacing w:before="240" w:after="240" w:line="240" w:lineRule="auto"/>
        <w:jc w:val="both"/>
        <w:rPr>
          <w:rFonts w:ascii="Times New Roman" w:hAnsi="Times New Roman" w:cs="Times New Roman"/>
          <w:sz w:val="24"/>
          <w:szCs w:val="24"/>
        </w:rPr>
      </w:pPr>
      <w:r w:rsidRPr="00F775A8">
        <w:rPr>
          <w:rFonts w:ascii="Times New Roman" w:hAnsi="Times New Roman" w:cs="Times New Roman"/>
          <w:sz w:val="24"/>
          <w:szCs w:val="24"/>
        </w:rPr>
        <w:lastRenderedPageBreak/>
        <w:t>The findings implied that teachers demonstrated a generally high level of motivation across all dimensions. Performance motivation emerged as the strongest dimension, followed closely by enjoyment, while importance obtained the lowest mean yet still fell within the high motivation range. The small differences among the mean scores suggested that enjoyment, performance, and importance were closely connected and mutually reinforcing. Overall, the results showed that teachers’ motivation was both intrinsic and well‑internalized extrinsic in nature, reflecting enjoyment of teaching, strong valuation of the profession, and a drive to meet professional standards. This high level of motivation indicated that teachers were more likely to exhibit sustained effort, resilience, commitment, and effectiveness in their instructional roles.</w:t>
      </w:r>
    </w:p>
    <w:p w14:paraId="03C3BFE2" w14:textId="00366AB6" w:rsidR="00F775A8" w:rsidRDefault="007A7D8D"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findings of </w:t>
      </w:r>
      <w:r w:rsidR="00F775A8" w:rsidRPr="00F775A8">
        <w:rPr>
          <w:rFonts w:ascii="Times New Roman" w:hAnsi="Times New Roman" w:cs="Times New Roman"/>
          <w:sz w:val="24"/>
          <w:szCs w:val="24"/>
        </w:rPr>
        <w:t xml:space="preserve">Dorji (2024) </w:t>
      </w:r>
      <w:r w:rsidR="005710C7">
        <w:rPr>
          <w:rFonts w:ascii="Times New Roman" w:hAnsi="Times New Roman" w:cs="Times New Roman"/>
          <w:sz w:val="24"/>
          <w:szCs w:val="24"/>
        </w:rPr>
        <w:t xml:space="preserve">who </w:t>
      </w:r>
      <w:r w:rsidR="00F775A8" w:rsidRPr="00F775A8">
        <w:rPr>
          <w:rFonts w:ascii="Times New Roman" w:hAnsi="Times New Roman" w:cs="Times New Roman"/>
          <w:sz w:val="24"/>
          <w:szCs w:val="24"/>
        </w:rPr>
        <w:t>found that highly motivated teachers demonstrated greater well‑being, stronger self‑efficacy, and more effective teaching practices, emphasizing that the satisfaction of autonomy, competence, and relatedness increased commitment and reduced attrition from the profession.</w:t>
      </w:r>
      <w:r>
        <w:rPr>
          <w:rFonts w:ascii="Times New Roman" w:hAnsi="Times New Roman" w:cs="Times New Roman"/>
          <w:sz w:val="24"/>
          <w:szCs w:val="24"/>
        </w:rPr>
        <w:t xml:space="preserve"> Similarly, </w:t>
      </w:r>
      <w:r w:rsidR="00F775A8" w:rsidRPr="00F775A8">
        <w:rPr>
          <w:rFonts w:ascii="Times New Roman" w:hAnsi="Times New Roman" w:cs="Times New Roman"/>
          <w:sz w:val="24"/>
          <w:szCs w:val="24"/>
        </w:rPr>
        <w:t>Tolentino et al. (2023) reported that public senior high school teachers exhibited a high level of teaching motivation across enjoyment, performance, and importance, indicating that teachers valued both the pleasure derived from teaching and the significance and effectiveness of their work.</w:t>
      </w:r>
      <w:r>
        <w:rPr>
          <w:rFonts w:ascii="Times New Roman" w:hAnsi="Times New Roman" w:cs="Times New Roman"/>
          <w:sz w:val="24"/>
          <w:szCs w:val="24"/>
        </w:rPr>
        <w:t xml:space="preserve"> Furthermore, </w:t>
      </w:r>
      <w:r w:rsidR="00F775A8" w:rsidRPr="00F775A8">
        <w:rPr>
          <w:rFonts w:ascii="Times New Roman" w:hAnsi="Times New Roman" w:cs="Times New Roman"/>
          <w:sz w:val="24"/>
          <w:szCs w:val="24"/>
        </w:rPr>
        <w:t>Samaco (2023) revealed that secondary school teachers demonstrated a very high level of work motivation, which was directly associated with higher teaching performance, highlighting motivation as a key factor in sustaining instructional quality and professional effectiveness.</w:t>
      </w:r>
      <w:r w:rsidR="005710C7">
        <w:rPr>
          <w:rFonts w:ascii="Times New Roman" w:hAnsi="Times New Roman" w:cs="Times New Roman"/>
          <w:sz w:val="24"/>
          <w:szCs w:val="24"/>
        </w:rPr>
        <w:t xml:space="preserve"> Taken together, these studies support the present findings of this study that </w:t>
      </w:r>
      <w:r w:rsidR="005710C7" w:rsidRPr="005710C7">
        <w:rPr>
          <w:rFonts w:ascii="Times New Roman" w:hAnsi="Times New Roman" w:cs="Times New Roman"/>
          <w:sz w:val="24"/>
          <w:szCs w:val="24"/>
        </w:rPr>
        <w:t>teachers’ high motivation across enjoyment, performance, and importance strengthened their engagement, commitment, and teaching effectiveness, underscoring the importance of supportive school environments that nurture teachers’ motivational needs.</w:t>
      </w:r>
    </w:p>
    <w:p w14:paraId="3DA448EE" w14:textId="3A67B953" w:rsidR="007A7D8D" w:rsidRPr="007A7D8D" w:rsidRDefault="007A7D8D" w:rsidP="00F775A8">
      <w:pPr>
        <w:spacing w:before="240" w:after="240" w:line="240" w:lineRule="auto"/>
        <w:jc w:val="both"/>
        <w:rPr>
          <w:rFonts w:ascii="Times New Roman" w:hAnsi="Times New Roman" w:cs="Times New Roman"/>
          <w:b/>
          <w:bCs/>
          <w:sz w:val="24"/>
          <w:szCs w:val="24"/>
        </w:rPr>
      </w:pPr>
      <w:r w:rsidRPr="007A7D8D">
        <w:rPr>
          <w:rFonts w:ascii="Times New Roman" w:hAnsi="Times New Roman" w:cs="Times New Roman"/>
          <w:b/>
          <w:bCs/>
          <w:sz w:val="24"/>
          <w:szCs w:val="24"/>
        </w:rPr>
        <w:t>Teachers’ Engagement in terms of Shared Values, Feedback and Recognition, and Career Growth and Training Opportunities</w:t>
      </w:r>
    </w:p>
    <w:p w14:paraId="36666382" w14:textId="29C433B9" w:rsidR="007A7D8D" w:rsidRDefault="007A7D8D" w:rsidP="00F775A8">
      <w:pPr>
        <w:spacing w:before="240" w:after="240" w:line="240" w:lineRule="auto"/>
        <w:jc w:val="both"/>
        <w:rPr>
          <w:rFonts w:ascii="Times New Roman" w:hAnsi="Times New Roman" w:cs="Times New Roman"/>
          <w:sz w:val="24"/>
          <w:szCs w:val="24"/>
        </w:rPr>
      </w:pPr>
      <w:r w:rsidRPr="007A7D8D">
        <w:rPr>
          <w:rFonts w:ascii="Times New Roman" w:hAnsi="Times New Roman" w:cs="Times New Roman"/>
          <w:sz w:val="24"/>
          <w:szCs w:val="24"/>
        </w:rPr>
        <w:t xml:space="preserve">Table </w:t>
      </w:r>
      <w:r w:rsidR="00CA0682">
        <w:rPr>
          <w:rFonts w:ascii="Times New Roman" w:hAnsi="Times New Roman" w:cs="Times New Roman"/>
          <w:sz w:val="24"/>
          <w:szCs w:val="24"/>
        </w:rPr>
        <w:t>2</w:t>
      </w:r>
      <w:r w:rsidRPr="007A7D8D">
        <w:rPr>
          <w:rFonts w:ascii="Times New Roman" w:hAnsi="Times New Roman" w:cs="Times New Roman"/>
          <w:sz w:val="24"/>
          <w:szCs w:val="24"/>
        </w:rPr>
        <w:t xml:space="preserve"> presented the summary of the level of teachers’ engagement in terms of shared values, feedback and recognition, and career growth and training opportunities. This table consolidated the results from the preceding engagement dimensions to provide an overall view of teachers’ engagement within the school context. The indicators were analyzed using the mean and interpreted through descriptive and qualitative descriptions based on the established scale.</w:t>
      </w:r>
    </w:p>
    <w:p w14:paraId="5BA4EC43" w14:textId="18709EA2" w:rsidR="007A7D8D" w:rsidRPr="007A7D8D" w:rsidRDefault="007A7D8D" w:rsidP="007A7D8D">
      <w:pPr>
        <w:spacing w:after="0" w:line="360" w:lineRule="auto"/>
        <w:jc w:val="both"/>
        <w:rPr>
          <w:rFonts w:ascii="Times New Roman" w:hAnsi="Times New Roman" w:cs="Times New Roman"/>
          <w:sz w:val="24"/>
          <w:szCs w:val="24"/>
        </w:rPr>
      </w:pPr>
      <w:r w:rsidRPr="007A7D8D">
        <w:rPr>
          <w:rFonts w:ascii="Times New Roman" w:hAnsi="Times New Roman" w:cs="Times New Roman"/>
          <w:sz w:val="24"/>
          <w:szCs w:val="24"/>
        </w:rPr>
        <w:t xml:space="preserve">Table </w:t>
      </w:r>
      <w:r w:rsidR="00CA0682">
        <w:rPr>
          <w:rFonts w:ascii="Times New Roman" w:hAnsi="Times New Roman" w:cs="Times New Roman"/>
          <w:sz w:val="24"/>
          <w:szCs w:val="24"/>
        </w:rPr>
        <w:t>2</w:t>
      </w:r>
      <w:r w:rsidRPr="007A7D8D">
        <w:rPr>
          <w:rFonts w:ascii="Times New Roman" w:hAnsi="Times New Roman" w:cs="Times New Roman"/>
          <w:sz w:val="24"/>
          <w:szCs w:val="24"/>
        </w:rPr>
        <w:t>: Level of Teachers’ Engagement</w:t>
      </w:r>
      <w:r w:rsidRPr="007A7D8D">
        <w:t xml:space="preserve"> </w:t>
      </w:r>
      <w:r w:rsidRPr="007A7D8D">
        <w:rPr>
          <w:rFonts w:ascii="Times New Roman" w:hAnsi="Times New Roman" w:cs="Times New Roman"/>
          <w:sz w:val="24"/>
          <w:szCs w:val="24"/>
        </w:rPr>
        <w:t>in terms of Shared Values, Feedback and Recognition, and Career Growth and Training Opportunities</w:t>
      </w:r>
    </w:p>
    <w:tbl>
      <w:tblPr>
        <w:tblStyle w:val="PlainTable4"/>
        <w:tblW w:w="5000" w:type="pct"/>
        <w:tblLook w:val="04A0" w:firstRow="1" w:lastRow="0" w:firstColumn="1" w:lastColumn="0" w:noHBand="0" w:noVBand="1"/>
      </w:tblPr>
      <w:tblGrid>
        <w:gridCol w:w="3647"/>
        <w:gridCol w:w="949"/>
        <w:gridCol w:w="3348"/>
        <w:gridCol w:w="3298"/>
      </w:tblGrid>
      <w:tr w:rsidR="007A7D8D" w:rsidRPr="007A7D8D" w14:paraId="004ACB59" w14:textId="77777777" w:rsidTr="007A7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tcBorders>
              <w:top w:val="single" w:sz="18" w:space="0" w:color="auto"/>
              <w:bottom w:val="single" w:sz="8" w:space="0" w:color="000000"/>
            </w:tcBorders>
            <w:vAlign w:val="center"/>
          </w:tcPr>
          <w:p w14:paraId="6108A546" w14:textId="77777777" w:rsidR="007A7D8D" w:rsidRPr="007A7D8D" w:rsidRDefault="007A7D8D" w:rsidP="00CA0682">
            <w:pPr>
              <w:jc w:val="center"/>
              <w:rPr>
                <w:rFonts w:ascii="Times New Roman" w:hAnsi="Times New Roman" w:cs="Times New Roman"/>
                <w:b w:val="0"/>
                <w:bCs w:val="0"/>
              </w:rPr>
            </w:pPr>
            <w:r w:rsidRPr="007A7D8D">
              <w:rPr>
                <w:rFonts w:ascii="Times New Roman" w:hAnsi="Times New Roman" w:cs="Times New Roman"/>
                <w:b w:val="0"/>
                <w:bCs w:val="0"/>
              </w:rPr>
              <w:t>Variables</w:t>
            </w:r>
          </w:p>
        </w:tc>
        <w:tc>
          <w:tcPr>
            <w:tcW w:w="422" w:type="pct"/>
            <w:tcBorders>
              <w:top w:val="single" w:sz="18" w:space="0" w:color="auto"/>
              <w:left w:val="nil"/>
              <w:bottom w:val="single" w:sz="8" w:space="0" w:color="000000"/>
            </w:tcBorders>
            <w:vAlign w:val="center"/>
          </w:tcPr>
          <w:p w14:paraId="23B94D97"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Mean</w:t>
            </w:r>
          </w:p>
        </w:tc>
        <w:tc>
          <w:tcPr>
            <w:tcW w:w="1489" w:type="pct"/>
            <w:tcBorders>
              <w:top w:val="single" w:sz="18" w:space="0" w:color="auto"/>
              <w:bottom w:val="single" w:sz="8" w:space="0" w:color="000000"/>
            </w:tcBorders>
            <w:vAlign w:val="center"/>
          </w:tcPr>
          <w:p w14:paraId="16E2678F"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Descriptive Interpretation</w:t>
            </w:r>
          </w:p>
        </w:tc>
        <w:tc>
          <w:tcPr>
            <w:tcW w:w="1467" w:type="pct"/>
            <w:tcBorders>
              <w:top w:val="single" w:sz="18" w:space="0" w:color="auto"/>
              <w:bottom w:val="single" w:sz="8" w:space="0" w:color="000000"/>
            </w:tcBorders>
            <w:vAlign w:val="center"/>
          </w:tcPr>
          <w:p w14:paraId="06AB9A4A" w14:textId="77777777" w:rsidR="007A7D8D" w:rsidRPr="007A7D8D" w:rsidRDefault="007A7D8D"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A7D8D">
              <w:rPr>
                <w:rFonts w:ascii="Times New Roman" w:hAnsi="Times New Roman" w:cs="Times New Roman"/>
                <w:b w:val="0"/>
                <w:bCs w:val="0"/>
              </w:rPr>
              <w:t>Qualitative Interpretation</w:t>
            </w:r>
          </w:p>
        </w:tc>
      </w:tr>
      <w:tr w:rsidR="007A7D8D" w:rsidRPr="007A7D8D" w14:paraId="2C1B9679" w14:textId="77777777" w:rsidTr="007A7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tcBorders>
              <w:top w:val="single" w:sz="8" w:space="0" w:color="000000"/>
            </w:tcBorders>
            <w:shd w:val="clear" w:color="auto" w:fill="auto"/>
          </w:tcPr>
          <w:p w14:paraId="5067CD3A"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Shared Values</w:t>
            </w:r>
          </w:p>
        </w:tc>
        <w:tc>
          <w:tcPr>
            <w:tcW w:w="422" w:type="pct"/>
            <w:tcBorders>
              <w:top w:val="single" w:sz="8" w:space="0" w:color="000000"/>
            </w:tcBorders>
            <w:shd w:val="clear" w:color="auto" w:fill="auto"/>
            <w:vAlign w:val="center"/>
          </w:tcPr>
          <w:p w14:paraId="3939173E"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3.99</w:t>
            </w:r>
          </w:p>
        </w:tc>
        <w:tc>
          <w:tcPr>
            <w:tcW w:w="1489" w:type="pct"/>
            <w:tcBorders>
              <w:top w:val="single" w:sz="8" w:space="0" w:color="000000"/>
            </w:tcBorders>
            <w:shd w:val="clear" w:color="auto" w:fill="auto"/>
            <w:vAlign w:val="center"/>
          </w:tcPr>
          <w:p w14:paraId="5E3D8056"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tcBorders>
              <w:top w:val="single" w:sz="8" w:space="0" w:color="000000"/>
            </w:tcBorders>
            <w:shd w:val="clear" w:color="auto" w:fill="auto"/>
            <w:vAlign w:val="center"/>
          </w:tcPr>
          <w:p w14:paraId="787142C6"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7FD9A9B7" w14:textId="77777777" w:rsidTr="007A7D8D">
        <w:tc>
          <w:tcPr>
            <w:cnfStyle w:val="001000000000" w:firstRow="0" w:lastRow="0" w:firstColumn="1" w:lastColumn="0" w:oddVBand="0" w:evenVBand="0" w:oddHBand="0" w:evenHBand="0" w:firstRowFirstColumn="0" w:firstRowLastColumn="0" w:lastRowFirstColumn="0" w:lastRowLastColumn="0"/>
            <w:tcW w:w="1622" w:type="pct"/>
          </w:tcPr>
          <w:p w14:paraId="39687334"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Feedback Recognition</w:t>
            </w:r>
          </w:p>
        </w:tc>
        <w:tc>
          <w:tcPr>
            <w:tcW w:w="422" w:type="pct"/>
            <w:vAlign w:val="center"/>
          </w:tcPr>
          <w:p w14:paraId="77186429"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3.96</w:t>
            </w:r>
          </w:p>
        </w:tc>
        <w:tc>
          <w:tcPr>
            <w:tcW w:w="1489" w:type="pct"/>
            <w:vAlign w:val="center"/>
          </w:tcPr>
          <w:p w14:paraId="7DC763AA"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vAlign w:val="center"/>
          </w:tcPr>
          <w:p w14:paraId="65476AD0"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2F23A683" w14:textId="77777777" w:rsidTr="007A7D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2" w:type="pct"/>
            <w:shd w:val="clear" w:color="auto" w:fill="auto"/>
          </w:tcPr>
          <w:p w14:paraId="5C50D0DB" w14:textId="77777777" w:rsidR="007A7D8D" w:rsidRPr="007A7D8D" w:rsidRDefault="007A7D8D" w:rsidP="00CA0682">
            <w:pPr>
              <w:jc w:val="both"/>
              <w:rPr>
                <w:rFonts w:ascii="Times New Roman" w:hAnsi="Times New Roman" w:cs="Times New Roman"/>
                <w:b w:val="0"/>
                <w:bCs w:val="0"/>
              </w:rPr>
            </w:pPr>
            <w:r w:rsidRPr="007A7D8D">
              <w:rPr>
                <w:rFonts w:ascii="Times New Roman" w:hAnsi="Times New Roman" w:cs="Times New Roman"/>
                <w:b w:val="0"/>
                <w:bCs w:val="0"/>
              </w:rPr>
              <w:t>Career Growth and Training</w:t>
            </w:r>
          </w:p>
        </w:tc>
        <w:tc>
          <w:tcPr>
            <w:tcW w:w="422" w:type="pct"/>
            <w:shd w:val="clear" w:color="auto" w:fill="auto"/>
            <w:vAlign w:val="center"/>
          </w:tcPr>
          <w:p w14:paraId="236959AC"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4.09</w:t>
            </w:r>
          </w:p>
        </w:tc>
        <w:tc>
          <w:tcPr>
            <w:tcW w:w="1489" w:type="pct"/>
            <w:shd w:val="clear" w:color="auto" w:fill="auto"/>
            <w:vAlign w:val="center"/>
          </w:tcPr>
          <w:p w14:paraId="1BA1D57B"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shd w:val="clear" w:color="auto" w:fill="auto"/>
            <w:vAlign w:val="center"/>
          </w:tcPr>
          <w:p w14:paraId="2A8799CA" w14:textId="77777777" w:rsidR="007A7D8D" w:rsidRPr="007A7D8D" w:rsidRDefault="007A7D8D"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r w:rsidR="007A7D8D" w:rsidRPr="007A7D8D" w14:paraId="706AB5C4" w14:textId="77777777" w:rsidTr="007A7D8D">
        <w:tc>
          <w:tcPr>
            <w:cnfStyle w:val="001000000000" w:firstRow="0" w:lastRow="0" w:firstColumn="1" w:lastColumn="0" w:oddVBand="0" w:evenVBand="0" w:oddHBand="0" w:evenHBand="0" w:firstRowFirstColumn="0" w:firstRowLastColumn="0" w:lastRowFirstColumn="0" w:lastRowLastColumn="0"/>
            <w:tcW w:w="1622" w:type="pct"/>
            <w:tcBorders>
              <w:top w:val="single" w:sz="8" w:space="0" w:color="000000"/>
              <w:bottom w:val="single" w:sz="18" w:space="0" w:color="000000"/>
            </w:tcBorders>
            <w:vAlign w:val="center"/>
          </w:tcPr>
          <w:p w14:paraId="05B7B80D" w14:textId="77777777" w:rsidR="007A7D8D" w:rsidRPr="007A7D8D" w:rsidRDefault="007A7D8D" w:rsidP="00CA0682">
            <w:pPr>
              <w:rPr>
                <w:rFonts w:ascii="Times New Roman" w:hAnsi="Times New Roman" w:cs="Times New Roman"/>
                <w:b w:val="0"/>
                <w:bCs w:val="0"/>
              </w:rPr>
            </w:pPr>
            <w:r w:rsidRPr="007A7D8D">
              <w:rPr>
                <w:rFonts w:ascii="Times New Roman" w:hAnsi="Times New Roman" w:cs="Times New Roman"/>
                <w:b w:val="0"/>
                <w:bCs w:val="0"/>
              </w:rPr>
              <w:t>Overall Mean</w:t>
            </w:r>
          </w:p>
        </w:tc>
        <w:tc>
          <w:tcPr>
            <w:tcW w:w="422" w:type="pct"/>
            <w:tcBorders>
              <w:top w:val="single" w:sz="8" w:space="0" w:color="000000"/>
              <w:bottom w:val="single" w:sz="18" w:space="0" w:color="000000"/>
            </w:tcBorders>
            <w:vAlign w:val="center"/>
          </w:tcPr>
          <w:p w14:paraId="741C70A2"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4.01</w:t>
            </w:r>
          </w:p>
        </w:tc>
        <w:tc>
          <w:tcPr>
            <w:tcW w:w="1489" w:type="pct"/>
            <w:tcBorders>
              <w:top w:val="single" w:sz="8" w:space="0" w:color="000000"/>
              <w:bottom w:val="single" w:sz="18" w:space="0" w:color="000000"/>
            </w:tcBorders>
            <w:vAlign w:val="center"/>
          </w:tcPr>
          <w:p w14:paraId="0219F39C"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w:t>
            </w:r>
          </w:p>
        </w:tc>
        <w:tc>
          <w:tcPr>
            <w:tcW w:w="1467" w:type="pct"/>
            <w:tcBorders>
              <w:top w:val="single" w:sz="8" w:space="0" w:color="000000"/>
              <w:bottom w:val="single" w:sz="18" w:space="0" w:color="000000"/>
            </w:tcBorders>
            <w:vAlign w:val="center"/>
          </w:tcPr>
          <w:p w14:paraId="38A36BC8" w14:textId="77777777" w:rsidR="007A7D8D" w:rsidRPr="007A7D8D" w:rsidRDefault="007A7D8D" w:rsidP="00CA068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7D8D">
              <w:rPr>
                <w:rFonts w:ascii="Times New Roman" w:hAnsi="Times New Roman" w:cs="Times New Roman"/>
              </w:rPr>
              <w:t>High Engagement</w:t>
            </w:r>
          </w:p>
        </w:tc>
      </w:tr>
    </w:tbl>
    <w:p w14:paraId="7B3281A7" w14:textId="6B063EFF" w:rsidR="007A7D8D" w:rsidRDefault="007A7D8D" w:rsidP="00CA0682">
      <w:pPr>
        <w:spacing w:before="240" w:after="240" w:line="240" w:lineRule="auto"/>
        <w:jc w:val="both"/>
        <w:rPr>
          <w:rFonts w:ascii="Times New Roman" w:hAnsi="Times New Roman" w:cs="Times New Roman"/>
          <w:sz w:val="24"/>
          <w:szCs w:val="24"/>
        </w:rPr>
      </w:pPr>
      <w:r w:rsidRPr="007A7D8D">
        <w:rPr>
          <w:rFonts w:ascii="Times New Roman" w:hAnsi="Times New Roman" w:cs="Times New Roman"/>
          <w:sz w:val="24"/>
          <w:szCs w:val="24"/>
        </w:rPr>
        <w:t>The findings implied that teachers demonstrated a generally high level of engagement across all dimensions. Career growth and training opportunities emerged as the strongest dimension, followed by shared values, while feedback and recognition obtained the lowest mean yet remained within the high engagement range. The close mean scores across dimensions suggested that career growth opportunities, shared values, and feedback and recognition were closely interconnected and collectively sustained teachers’ engagement. Overall, the results showed that teachers were highly engaged when schools supported their professional development, fostered a shared sense of purpose, and provided constructive feedback and recognition, leading to active participation, collaboration, and sustained commitment to their professional roles.</w:t>
      </w:r>
    </w:p>
    <w:p w14:paraId="64B95B4E" w14:textId="19585962" w:rsidR="007A7D8D" w:rsidRDefault="005710C7"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findings of </w:t>
      </w:r>
      <w:r w:rsidR="007A7D8D" w:rsidRPr="007A7D8D">
        <w:rPr>
          <w:rFonts w:ascii="Times New Roman" w:hAnsi="Times New Roman" w:cs="Times New Roman"/>
          <w:sz w:val="24"/>
          <w:szCs w:val="24"/>
        </w:rPr>
        <w:t>Cents‑Boonstra et al. (2020)</w:t>
      </w:r>
      <w:r>
        <w:rPr>
          <w:rFonts w:ascii="Times New Roman" w:hAnsi="Times New Roman" w:cs="Times New Roman"/>
          <w:sz w:val="24"/>
          <w:szCs w:val="24"/>
        </w:rPr>
        <w:t xml:space="preserve"> who</w:t>
      </w:r>
      <w:r w:rsidR="007A7D8D" w:rsidRPr="007A7D8D">
        <w:rPr>
          <w:rFonts w:ascii="Times New Roman" w:hAnsi="Times New Roman" w:cs="Times New Roman"/>
          <w:sz w:val="24"/>
          <w:szCs w:val="24"/>
        </w:rPr>
        <w:t xml:space="preserve"> found that highly engaged teachers demonstrated strong enthusiasm, attentiveness, and guided instructional practices, creating learning </w:t>
      </w:r>
      <w:r w:rsidR="007A7D8D" w:rsidRPr="007A7D8D">
        <w:rPr>
          <w:rFonts w:ascii="Times New Roman" w:hAnsi="Times New Roman" w:cs="Times New Roman"/>
          <w:sz w:val="24"/>
          <w:szCs w:val="24"/>
        </w:rPr>
        <w:lastRenderedPageBreak/>
        <w:t>environments characterized by sustained instructional engagement and responsiveness to students.</w:t>
      </w:r>
      <w:r>
        <w:rPr>
          <w:rFonts w:ascii="Times New Roman" w:hAnsi="Times New Roman" w:cs="Times New Roman"/>
          <w:sz w:val="24"/>
          <w:szCs w:val="24"/>
        </w:rPr>
        <w:t xml:space="preserve"> Similarly, </w:t>
      </w:r>
      <w:proofErr w:type="spellStart"/>
      <w:r w:rsidR="007A7D8D" w:rsidRPr="007A7D8D">
        <w:rPr>
          <w:rFonts w:ascii="Times New Roman" w:hAnsi="Times New Roman" w:cs="Times New Roman"/>
          <w:sz w:val="24"/>
          <w:szCs w:val="24"/>
        </w:rPr>
        <w:t>Doño</w:t>
      </w:r>
      <w:proofErr w:type="spellEnd"/>
      <w:r w:rsidR="007A7D8D" w:rsidRPr="007A7D8D">
        <w:rPr>
          <w:rFonts w:ascii="Times New Roman" w:hAnsi="Times New Roman" w:cs="Times New Roman"/>
          <w:sz w:val="24"/>
          <w:szCs w:val="24"/>
        </w:rPr>
        <w:t xml:space="preserve"> and </w:t>
      </w:r>
      <w:proofErr w:type="spellStart"/>
      <w:r w:rsidR="007A7D8D" w:rsidRPr="007A7D8D">
        <w:rPr>
          <w:rFonts w:ascii="Times New Roman" w:hAnsi="Times New Roman" w:cs="Times New Roman"/>
          <w:sz w:val="24"/>
          <w:szCs w:val="24"/>
        </w:rPr>
        <w:t>Mangila</w:t>
      </w:r>
      <w:proofErr w:type="spellEnd"/>
      <w:r w:rsidR="007A7D8D" w:rsidRPr="007A7D8D">
        <w:rPr>
          <w:rFonts w:ascii="Times New Roman" w:hAnsi="Times New Roman" w:cs="Times New Roman"/>
          <w:sz w:val="24"/>
          <w:szCs w:val="24"/>
        </w:rPr>
        <w:t xml:space="preserve"> (2021) revealed that teachers exhibited high engagement through consistent focus, visible instructional behaviors, and individualized attention, which positively influenced students’ motivation and classroom participation.</w:t>
      </w:r>
      <w:r>
        <w:rPr>
          <w:rFonts w:ascii="Times New Roman" w:hAnsi="Times New Roman" w:cs="Times New Roman"/>
          <w:sz w:val="24"/>
          <w:szCs w:val="24"/>
        </w:rPr>
        <w:t xml:space="preserve"> Likewise, </w:t>
      </w:r>
      <w:proofErr w:type="spellStart"/>
      <w:r w:rsidR="007A7D8D" w:rsidRPr="007A7D8D">
        <w:rPr>
          <w:rFonts w:ascii="Times New Roman" w:hAnsi="Times New Roman" w:cs="Times New Roman"/>
          <w:sz w:val="24"/>
          <w:szCs w:val="24"/>
        </w:rPr>
        <w:t>Parason</w:t>
      </w:r>
      <w:proofErr w:type="spellEnd"/>
      <w:r w:rsidR="007A7D8D" w:rsidRPr="007A7D8D">
        <w:rPr>
          <w:rFonts w:ascii="Times New Roman" w:hAnsi="Times New Roman" w:cs="Times New Roman"/>
          <w:sz w:val="24"/>
          <w:szCs w:val="24"/>
        </w:rPr>
        <w:t xml:space="preserve"> and Baguio (2025) reported that shared values related to collaboration, professionalism, and collective responsibility were significantly associated with higher teacher engagement and positive organizational behavior, leading to increased commitment and participation in school activities.</w:t>
      </w:r>
      <w:r>
        <w:rPr>
          <w:rFonts w:ascii="Times New Roman" w:hAnsi="Times New Roman" w:cs="Times New Roman"/>
          <w:sz w:val="24"/>
          <w:szCs w:val="24"/>
        </w:rPr>
        <w:t xml:space="preserve"> Collectively, </w:t>
      </w:r>
      <w:r w:rsidR="00CA0682">
        <w:rPr>
          <w:rFonts w:ascii="Times New Roman" w:hAnsi="Times New Roman" w:cs="Times New Roman"/>
          <w:sz w:val="24"/>
          <w:szCs w:val="24"/>
        </w:rPr>
        <w:t xml:space="preserve">these studies support the findings of the presents study that </w:t>
      </w:r>
      <w:r w:rsidR="00CA0682" w:rsidRPr="00CA0682">
        <w:rPr>
          <w:rFonts w:ascii="Times New Roman" w:hAnsi="Times New Roman" w:cs="Times New Roman"/>
          <w:sz w:val="24"/>
          <w:szCs w:val="24"/>
        </w:rPr>
        <w:t>teachers’ high engagement was sustained through the combined influence of career growth opportunities, shared values, and feedback and recognition, reinforcing teachers’ dedication, involvement, and effectiveness in their professional roles.</w:t>
      </w:r>
    </w:p>
    <w:p w14:paraId="67E74FC0" w14:textId="4A27F37B" w:rsidR="00CA0682" w:rsidRPr="00CA0682" w:rsidRDefault="00CA0682" w:rsidP="00F775A8">
      <w:pPr>
        <w:spacing w:before="240" w:after="240" w:line="240" w:lineRule="auto"/>
        <w:jc w:val="both"/>
        <w:rPr>
          <w:rFonts w:ascii="Times New Roman" w:hAnsi="Times New Roman" w:cs="Times New Roman"/>
          <w:b/>
          <w:bCs/>
          <w:sz w:val="24"/>
          <w:szCs w:val="24"/>
        </w:rPr>
      </w:pPr>
      <w:r w:rsidRPr="00CA0682">
        <w:rPr>
          <w:rFonts w:ascii="Times New Roman" w:hAnsi="Times New Roman" w:cs="Times New Roman"/>
          <w:b/>
          <w:bCs/>
          <w:sz w:val="24"/>
          <w:szCs w:val="24"/>
        </w:rPr>
        <w:t>Teacher Efficacy among Public School Teachers</w:t>
      </w:r>
    </w:p>
    <w:p w14:paraId="1B816551" w14:textId="18EA6029" w:rsidR="00CA0682" w:rsidRDefault="00CA0682" w:rsidP="000A3BD7">
      <w:pPr>
        <w:spacing w:before="240" w:after="240" w:line="240" w:lineRule="auto"/>
        <w:jc w:val="both"/>
        <w:rPr>
          <w:rFonts w:ascii="Times New Roman" w:hAnsi="Times New Roman" w:cs="Times New Roman"/>
          <w:sz w:val="24"/>
          <w:szCs w:val="24"/>
        </w:rPr>
      </w:pPr>
      <w:r w:rsidRPr="00CA0682">
        <w:rPr>
          <w:rFonts w:ascii="Times New Roman" w:hAnsi="Times New Roman" w:cs="Times New Roman"/>
          <w:sz w:val="24"/>
          <w:szCs w:val="24"/>
        </w:rPr>
        <w:t xml:space="preserve">Table </w:t>
      </w:r>
      <w:r w:rsidR="00E62EE1">
        <w:rPr>
          <w:rFonts w:ascii="Times New Roman" w:hAnsi="Times New Roman" w:cs="Times New Roman"/>
          <w:sz w:val="24"/>
          <w:szCs w:val="24"/>
        </w:rPr>
        <w:t>3</w:t>
      </w:r>
      <w:r w:rsidRPr="00CA0682">
        <w:rPr>
          <w:rFonts w:ascii="Times New Roman" w:hAnsi="Times New Roman" w:cs="Times New Roman"/>
          <w:sz w:val="24"/>
          <w:szCs w:val="24"/>
        </w:rPr>
        <w:t xml:space="preserve"> presented the level of teacher efficacy among public school teachers, which reflected teachers’ beliefs in their capability to manage classroom behavior, establish authority, maintain positive teacher–pupil relationships, and create a supportive learning environment. This construct focused on teachers’ confidence in handling instructional and classroom management responsibilities effectively. The data were analyzed using the mean and interpreted using descriptive and qualitative interpretations.</w:t>
      </w:r>
    </w:p>
    <w:p w14:paraId="572669A4" w14:textId="02AB2CC7" w:rsidR="00CA0682" w:rsidRPr="00CA0682" w:rsidRDefault="00CA0682" w:rsidP="00CA0682">
      <w:pPr>
        <w:spacing w:after="0" w:line="240" w:lineRule="auto"/>
        <w:jc w:val="both"/>
        <w:rPr>
          <w:rFonts w:ascii="Times New Roman" w:hAnsi="Times New Roman" w:cs="Times New Roman"/>
          <w:sz w:val="24"/>
          <w:szCs w:val="24"/>
        </w:rPr>
      </w:pPr>
      <w:r w:rsidRPr="00CA0682">
        <w:rPr>
          <w:rFonts w:ascii="Times New Roman" w:hAnsi="Times New Roman" w:cs="Times New Roman"/>
          <w:sz w:val="24"/>
          <w:szCs w:val="24"/>
        </w:rPr>
        <w:t xml:space="preserve">Table </w:t>
      </w:r>
      <w:r w:rsidR="00E62EE1">
        <w:rPr>
          <w:rFonts w:ascii="Times New Roman" w:hAnsi="Times New Roman" w:cs="Times New Roman"/>
          <w:sz w:val="24"/>
          <w:szCs w:val="24"/>
        </w:rPr>
        <w:t>3</w:t>
      </w:r>
      <w:r w:rsidRPr="00CA0682">
        <w:rPr>
          <w:rFonts w:ascii="Times New Roman" w:hAnsi="Times New Roman" w:cs="Times New Roman"/>
          <w:sz w:val="24"/>
          <w:szCs w:val="24"/>
        </w:rPr>
        <w:t>: Level of Teacher Efficacy among Public School Teachers</w:t>
      </w:r>
    </w:p>
    <w:tbl>
      <w:tblPr>
        <w:tblStyle w:val="PlainTable4"/>
        <w:tblW w:w="5000" w:type="pct"/>
        <w:tblLook w:val="04A0" w:firstRow="1" w:lastRow="0" w:firstColumn="1" w:lastColumn="0" w:noHBand="0" w:noVBand="1"/>
      </w:tblPr>
      <w:tblGrid>
        <w:gridCol w:w="2271"/>
        <w:gridCol w:w="1158"/>
        <w:gridCol w:w="3941"/>
        <w:gridCol w:w="3872"/>
      </w:tblGrid>
      <w:tr w:rsidR="00CA0682" w:rsidRPr="00CA0682" w14:paraId="1AF5A3C0" w14:textId="77777777" w:rsidTr="00CA06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Borders>
              <w:top w:val="single" w:sz="18" w:space="0" w:color="auto"/>
              <w:bottom w:val="single" w:sz="8" w:space="0" w:color="000000"/>
            </w:tcBorders>
            <w:vAlign w:val="center"/>
          </w:tcPr>
          <w:p w14:paraId="77AF8CDF" w14:textId="549002FC" w:rsidR="00CA0682" w:rsidRPr="00CA0682" w:rsidRDefault="00CA0682" w:rsidP="00CA0682">
            <w:pPr>
              <w:jc w:val="center"/>
              <w:rPr>
                <w:rFonts w:ascii="Times New Roman" w:hAnsi="Times New Roman" w:cs="Times New Roman"/>
                <w:b w:val="0"/>
                <w:bCs w:val="0"/>
              </w:rPr>
            </w:pPr>
            <w:r w:rsidRPr="00CA0682">
              <w:rPr>
                <w:rFonts w:ascii="Times New Roman" w:hAnsi="Times New Roman" w:cs="Times New Roman"/>
                <w:b w:val="0"/>
                <w:bCs w:val="0"/>
              </w:rPr>
              <w:t>Variable</w:t>
            </w:r>
          </w:p>
        </w:tc>
        <w:tc>
          <w:tcPr>
            <w:tcW w:w="515" w:type="pct"/>
            <w:tcBorders>
              <w:top w:val="single" w:sz="18" w:space="0" w:color="auto"/>
              <w:left w:val="nil"/>
              <w:bottom w:val="single" w:sz="8" w:space="0" w:color="000000"/>
            </w:tcBorders>
            <w:vAlign w:val="center"/>
          </w:tcPr>
          <w:p w14:paraId="24BC2E1D"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Mean</w:t>
            </w:r>
          </w:p>
        </w:tc>
        <w:tc>
          <w:tcPr>
            <w:tcW w:w="1753" w:type="pct"/>
            <w:tcBorders>
              <w:top w:val="single" w:sz="18" w:space="0" w:color="auto"/>
              <w:bottom w:val="single" w:sz="8" w:space="0" w:color="000000"/>
            </w:tcBorders>
            <w:vAlign w:val="center"/>
          </w:tcPr>
          <w:p w14:paraId="6241E5FA"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Descriptive Interpretation</w:t>
            </w:r>
          </w:p>
        </w:tc>
        <w:tc>
          <w:tcPr>
            <w:tcW w:w="1722" w:type="pct"/>
            <w:tcBorders>
              <w:top w:val="single" w:sz="18" w:space="0" w:color="auto"/>
              <w:bottom w:val="single" w:sz="8" w:space="0" w:color="000000"/>
            </w:tcBorders>
            <w:vAlign w:val="center"/>
          </w:tcPr>
          <w:p w14:paraId="152080B0" w14:textId="77777777" w:rsidR="00CA0682" w:rsidRPr="00CA0682" w:rsidRDefault="00CA0682" w:rsidP="00CA068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CA0682">
              <w:rPr>
                <w:rFonts w:ascii="Times New Roman" w:hAnsi="Times New Roman" w:cs="Times New Roman"/>
                <w:b w:val="0"/>
                <w:bCs w:val="0"/>
              </w:rPr>
              <w:t>Qualitative Interpretation</w:t>
            </w:r>
          </w:p>
        </w:tc>
      </w:tr>
      <w:tr w:rsidR="00CA0682" w:rsidRPr="00CA0682" w14:paraId="0A7C1F81" w14:textId="77777777" w:rsidTr="00CA0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0" w:type="pct"/>
            <w:tcBorders>
              <w:top w:val="single" w:sz="8" w:space="0" w:color="000000"/>
              <w:bottom w:val="single" w:sz="18" w:space="0" w:color="000000"/>
            </w:tcBorders>
            <w:vAlign w:val="center"/>
          </w:tcPr>
          <w:p w14:paraId="4D730219" w14:textId="446DB9E2" w:rsidR="00CA0682" w:rsidRPr="00CA0682" w:rsidRDefault="00CA0682" w:rsidP="00CA0682">
            <w:pPr>
              <w:jc w:val="center"/>
              <w:rPr>
                <w:rFonts w:ascii="Times New Roman" w:hAnsi="Times New Roman" w:cs="Times New Roman"/>
                <w:b w:val="0"/>
                <w:bCs w:val="0"/>
              </w:rPr>
            </w:pPr>
            <w:r w:rsidRPr="00CA0682">
              <w:rPr>
                <w:rFonts w:ascii="Times New Roman" w:hAnsi="Times New Roman" w:cs="Times New Roman"/>
                <w:b w:val="0"/>
                <w:bCs w:val="0"/>
              </w:rPr>
              <w:t>Efficacy</w:t>
            </w:r>
          </w:p>
        </w:tc>
        <w:tc>
          <w:tcPr>
            <w:tcW w:w="515" w:type="pct"/>
            <w:tcBorders>
              <w:top w:val="single" w:sz="8" w:space="0" w:color="000000"/>
              <w:bottom w:val="single" w:sz="18" w:space="0" w:color="000000"/>
            </w:tcBorders>
            <w:vAlign w:val="center"/>
          </w:tcPr>
          <w:p w14:paraId="50245ACA"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4.11</w:t>
            </w:r>
          </w:p>
        </w:tc>
        <w:tc>
          <w:tcPr>
            <w:tcW w:w="1753" w:type="pct"/>
            <w:tcBorders>
              <w:top w:val="single" w:sz="8" w:space="0" w:color="000000"/>
              <w:bottom w:val="single" w:sz="18" w:space="0" w:color="000000"/>
            </w:tcBorders>
            <w:vAlign w:val="center"/>
          </w:tcPr>
          <w:p w14:paraId="1DBBCBD4"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Agree</w:t>
            </w:r>
          </w:p>
        </w:tc>
        <w:tc>
          <w:tcPr>
            <w:tcW w:w="1722" w:type="pct"/>
            <w:tcBorders>
              <w:top w:val="single" w:sz="8" w:space="0" w:color="000000"/>
              <w:bottom w:val="single" w:sz="18" w:space="0" w:color="000000"/>
            </w:tcBorders>
            <w:vAlign w:val="center"/>
          </w:tcPr>
          <w:p w14:paraId="488752B1" w14:textId="77777777" w:rsidR="00CA0682" w:rsidRPr="00CA0682" w:rsidRDefault="00CA0682" w:rsidP="00CA068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A0682">
              <w:rPr>
                <w:rFonts w:ascii="Times New Roman" w:hAnsi="Times New Roman" w:cs="Times New Roman"/>
              </w:rPr>
              <w:t>High Efficacy</w:t>
            </w:r>
          </w:p>
        </w:tc>
      </w:tr>
    </w:tbl>
    <w:p w14:paraId="0B257609" w14:textId="266CDC08" w:rsidR="007A7D8D" w:rsidRDefault="00E62EE1" w:rsidP="00F775A8">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The findings indicated that public school teachers demonstrated a generally high level of teacher efficacy, with an overall mean of 4.11, descriptively interpreted as Agree and qualitatively described as High Efficacy. This result implied that teachers were confident in their overall capability to perform their professional roles effectively. In general, teachers perceived themselves as capable of managing classrooms, handling instructional demands, and maintaining positive learning environments. The high overall efficacy suggested that teachers possessed strong professional confidence, which supported effective teaching practices, classroom stability, and sustained commitment to their work.</w:t>
      </w:r>
    </w:p>
    <w:p w14:paraId="305E46AD" w14:textId="7DB964AD" w:rsidR="00E62EE1" w:rsidRDefault="00E62EE1" w:rsidP="00F775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study of </w:t>
      </w:r>
      <w:r w:rsidRPr="00E62EE1">
        <w:rPr>
          <w:rFonts w:ascii="Times New Roman" w:hAnsi="Times New Roman" w:cs="Times New Roman"/>
          <w:sz w:val="24"/>
          <w:szCs w:val="24"/>
        </w:rPr>
        <w:t>Chang and Isa (2024)</w:t>
      </w:r>
      <w:r>
        <w:rPr>
          <w:rFonts w:ascii="Times New Roman" w:hAnsi="Times New Roman" w:cs="Times New Roman"/>
          <w:sz w:val="24"/>
          <w:szCs w:val="24"/>
        </w:rPr>
        <w:t>, who</w:t>
      </w:r>
      <w:r w:rsidRPr="00E62EE1">
        <w:rPr>
          <w:rFonts w:ascii="Times New Roman" w:hAnsi="Times New Roman" w:cs="Times New Roman"/>
          <w:sz w:val="24"/>
          <w:szCs w:val="24"/>
        </w:rPr>
        <w:t xml:space="preserve"> reported that teachers with high self‑efficacy demonstrated stronger instructional competence and effective classroom management, emphasizing the role of confidence in sustaining effective teaching.</w:t>
      </w:r>
      <w:r>
        <w:rPr>
          <w:rFonts w:ascii="Times New Roman" w:hAnsi="Times New Roman" w:cs="Times New Roman"/>
          <w:sz w:val="24"/>
          <w:szCs w:val="24"/>
        </w:rPr>
        <w:t xml:space="preserve"> Similarly, </w:t>
      </w:r>
      <w:proofErr w:type="spellStart"/>
      <w:r w:rsidRPr="00E62EE1">
        <w:rPr>
          <w:rFonts w:ascii="Times New Roman" w:hAnsi="Times New Roman" w:cs="Times New Roman"/>
          <w:sz w:val="24"/>
          <w:szCs w:val="24"/>
        </w:rPr>
        <w:t>Saragena</w:t>
      </w:r>
      <w:proofErr w:type="spellEnd"/>
      <w:r w:rsidRPr="00E62EE1">
        <w:rPr>
          <w:rFonts w:ascii="Times New Roman" w:hAnsi="Times New Roman" w:cs="Times New Roman"/>
          <w:sz w:val="24"/>
          <w:szCs w:val="24"/>
        </w:rPr>
        <w:t xml:space="preserve"> et al. (2024) found that public school teachers exhibited high levels of teacher self‑efficacy, which were associated with effective instructional practices and professional responsibility.</w:t>
      </w:r>
      <w:r>
        <w:rPr>
          <w:rFonts w:ascii="Times New Roman" w:hAnsi="Times New Roman" w:cs="Times New Roman"/>
          <w:sz w:val="24"/>
          <w:szCs w:val="24"/>
        </w:rPr>
        <w:t xml:space="preserve"> Likewise, </w:t>
      </w:r>
      <w:proofErr w:type="spellStart"/>
      <w:r w:rsidRPr="00E62EE1">
        <w:rPr>
          <w:rFonts w:ascii="Times New Roman" w:hAnsi="Times New Roman" w:cs="Times New Roman"/>
          <w:sz w:val="24"/>
          <w:szCs w:val="24"/>
        </w:rPr>
        <w:t>Abellar</w:t>
      </w:r>
      <w:proofErr w:type="spellEnd"/>
      <w:r w:rsidRPr="00E62EE1">
        <w:rPr>
          <w:rFonts w:ascii="Times New Roman" w:hAnsi="Times New Roman" w:cs="Times New Roman"/>
          <w:sz w:val="24"/>
          <w:szCs w:val="24"/>
        </w:rPr>
        <w:t xml:space="preserve"> and </w:t>
      </w:r>
      <w:proofErr w:type="spellStart"/>
      <w:r w:rsidRPr="00E62EE1">
        <w:rPr>
          <w:rFonts w:ascii="Times New Roman" w:hAnsi="Times New Roman" w:cs="Times New Roman"/>
          <w:sz w:val="24"/>
          <w:szCs w:val="24"/>
        </w:rPr>
        <w:t>Villocino</w:t>
      </w:r>
      <w:proofErr w:type="spellEnd"/>
      <w:r w:rsidRPr="00E62EE1">
        <w:rPr>
          <w:rFonts w:ascii="Times New Roman" w:hAnsi="Times New Roman" w:cs="Times New Roman"/>
          <w:sz w:val="24"/>
          <w:szCs w:val="24"/>
        </w:rPr>
        <w:t xml:space="preserve"> (2025) revealed that teachers demonstrated high overall self‑efficacy, highlighting its importance in classroom management, instructional consistency, and professional confidence.</w:t>
      </w:r>
      <w:r>
        <w:rPr>
          <w:rFonts w:ascii="Times New Roman" w:hAnsi="Times New Roman" w:cs="Times New Roman"/>
          <w:sz w:val="24"/>
          <w:szCs w:val="24"/>
        </w:rPr>
        <w:t xml:space="preserve"> In summary, </w:t>
      </w:r>
      <w:r w:rsidRPr="00E62EE1">
        <w:rPr>
          <w:rFonts w:ascii="Times New Roman" w:hAnsi="Times New Roman" w:cs="Times New Roman"/>
          <w:sz w:val="24"/>
          <w:szCs w:val="24"/>
        </w:rPr>
        <w:t>these studies supported the present finding that teachers’ high level of efficacy reflected strong confidence in their professional abilities, contributing positively to instructional quality and classroom effectiveness.</w:t>
      </w:r>
    </w:p>
    <w:p w14:paraId="6EA7F9C8" w14:textId="7034762D" w:rsidR="00E62EE1" w:rsidRPr="00E62EE1" w:rsidRDefault="00E62EE1" w:rsidP="00F775A8">
      <w:pPr>
        <w:spacing w:before="240" w:after="240" w:line="240" w:lineRule="auto"/>
        <w:jc w:val="both"/>
        <w:rPr>
          <w:rFonts w:ascii="Times New Roman" w:hAnsi="Times New Roman" w:cs="Times New Roman"/>
          <w:b/>
          <w:bCs/>
          <w:sz w:val="24"/>
          <w:szCs w:val="24"/>
        </w:rPr>
      </w:pPr>
      <w:r w:rsidRPr="00E62EE1">
        <w:rPr>
          <w:rFonts w:ascii="Times New Roman" w:hAnsi="Times New Roman" w:cs="Times New Roman"/>
          <w:b/>
          <w:bCs/>
          <w:sz w:val="24"/>
          <w:szCs w:val="24"/>
        </w:rPr>
        <w:t>The Significant Relationship between Teachers’ Efficacy in terms of Motivation and Engagement</w:t>
      </w:r>
    </w:p>
    <w:p w14:paraId="3D3B25B2" w14:textId="3D03C258" w:rsidR="00E62EE1" w:rsidRDefault="00E62EE1" w:rsidP="00E62EE1">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Table 4 presented the results of the correlation analysis between teachers’ efficacy and their motivation and engagement. Specifically, it examined the relationship between teacher efficacy and (A) motivation in terms of enjoyment, performance, and importance, and (B) engagement in terms of shared values, feedback and recognition, and career growth and training opportunities. Pearson product‑moment correlation was used to determine the strength and significance of the relationships between the variables.</w:t>
      </w:r>
    </w:p>
    <w:p w14:paraId="223F3690" w14:textId="4D93B6C3" w:rsidR="00E62EE1" w:rsidRPr="00531CF1" w:rsidRDefault="00E62EE1" w:rsidP="00E62EE1">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Table </w:t>
      </w:r>
      <w:r w:rsidR="00B53BB8" w:rsidRPr="00531CF1">
        <w:rPr>
          <w:rFonts w:ascii="Times New Roman" w:hAnsi="Times New Roman" w:cs="Times New Roman"/>
          <w:sz w:val="24"/>
          <w:szCs w:val="24"/>
        </w:rPr>
        <w:t>4</w:t>
      </w:r>
      <w:r w:rsidRPr="00531CF1">
        <w:rPr>
          <w:rFonts w:ascii="Times New Roman" w:hAnsi="Times New Roman" w:cs="Times New Roman"/>
          <w:sz w:val="24"/>
          <w:szCs w:val="24"/>
        </w:rPr>
        <w:t>: Correlation Analysis between Teachers’ Efficacy in terms of Motivation and Engagement</w:t>
      </w:r>
    </w:p>
    <w:tbl>
      <w:tblPr>
        <w:tblStyle w:val="PlainTable4"/>
        <w:tblW w:w="5000" w:type="pct"/>
        <w:tblLook w:val="04A0" w:firstRow="1" w:lastRow="0" w:firstColumn="1" w:lastColumn="0" w:noHBand="0" w:noVBand="1"/>
      </w:tblPr>
      <w:tblGrid>
        <w:gridCol w:w="6147"/>
        <w:gridCol w:w="3049"/>
        <w:gridCol w:w="2046"/>
      </w:tblGrid>
      <w:tr w:rsidR="00E62EE1" w:rsidRPr="00531CF1" w14:paraId="7752E7B2" w14:textId="77777777" w:rsidTr="00B51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top w:val="single" w:sz="18" w:space="0" w:color="auto"/>
              <w:bottom w:val="single" w:sz="8" w:space="0" w:color="000000"/>
            </w:tcBorders>
            <w:vAlign w:val="center"/>
          </w:tcPr>
          <w:p w14:paraId="6E1D0315" w14:textId="77777777" w:rsidR="00E62EE1" w:rsidRPr="00531CF1" w:rsidRDefault="00E62EE1" w:rsidP="00E62EE1">
            <w:pPr>
              <w:jc w:val="center"/>
              <w:rPr>
                <w:rFonts w:ascii="Times New Roman" w:hAnsi="Times New Roman" w:cs="Times New Roman"/>
                <w:b w:val="0"/>
                <w:bCs w:val="0"/>
              </w:rPr>
            </w:pPr>
            <w:r w:rsidRPr="00531CF1">
              <w:rPr>
                <w:rFonts w:ascii="Times New Roman" w:hAnsi="Times New Roman" w:cs="Times New Roman"/>
                <w:b w:val="0"/>
                <w:bCs w:val="0"/>
              </w:rPr>
              <w:t>Statements</w:t>
            </w:r>
          </w:p>
        </w:tc>
        <w:tc>
          <w:tcPr>
            <w:tcW w:w="1356" w:type="pct"/>
            <w:tcBorders>
              <w:top w:val="single" w:sz="18" w:space="0" w:color="auto"/>
              <w:bottom w:val="single" w:sz="8" w:space="0" w:color="000000"/>
            </w:tcBorders>
            <w:vAlign w:val="center"/>
          </w:tcPr>
          <w:p w14:paraId="6A0C357C" w14:textId="77777777" w:rsidR="00E62EE1" w:rsidRPr="00531CF1" w:rsidRDefault="00E62EE1" w:rsidP="00E6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Correlation Coefficient</w:t>
            </w:r>
          </w:p>
        </w:tc>
        <w:tc>
          <w:tcPr>
            <w:tcW w:w="910" w:type="pct"/>
            <w:tcBorders>
              <w:top w:val="single" w:sz="18" w:space="0" w:color="auto"/>
              <w:bottom w:val="single" w:sz="8" w:space="0" w:color="000000"/>
            </w:tcBorders>
            <w:vAlign w:val="center"/>
          </w:tcPr>
          <w:p w14:paraId="716CD5CC" w14:textId="77777777" w:rsidR="00E62EE1" w:rsidRPr="00531CF1" w:rsidRDefault="00E62EE1" w:rsidP="00E62EE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Significance</w:t>
            </w:r>
          </w:p>
        </w:tc>
      </w:tr>
      <w:tr w:rsidR="00E62EE1" w:rsidRPr="00531CF1" w14:paraId="67D626B4"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top w:val="single" w:sz="8" w:space="0" w:color="000000"/>
            </w:tcBorders>
            <w:shd w:val="clear" w:color="auto" w:fill="auto"/>
            <w:vAlign w:val="center"/>
          </w:tcPr>
          <w:p w14:paraId="428F89C8" w14:textId="77777777" w:rsidR="00E62EE1" w:rsidRPr="00531CF1" w:rsidRDefault="00E62EE1" w:rsidP="00E62EE1">
            <w:pPr>
              <w:jc w:val="both"/>
              <w:rPr>
                <w:rFonts w:ascii="Times New Roman" w:hAnsi="Times New Roman" w:cs="Times New Roman"/>
                <w:b w:val="0"/>
                <w:bCs w:val="0"/>
              </w:rPr>
            </w:pPr>
            <w:r w:rsidRPr="00531CF1">
              <w:rPr>
                <w:rFonts w:ascii="Times New Roman" w:hAnsi="Times New Roman" w:cs="Times New Roman"/>
                <w:b w:val="0"/>
                <w:bCs w:val="0"/>
              </w:rPr>
              <w:t>A. Motivation</w:t>
            </w:r>
          </w:p>
        </w:tc>
        <w:tc>
          <w:tcPr>
            <w:tcW w:w="1356" w:type="pct"/>
            <w:tcBorders>
              <w:top w:val="single" w:sz="8" w:space="0" w:color="000000"/>
            </w:tcBorders>
            <w:shd w:val="clear" w:color="auto" w:fill="auto"/>
            <w:vAlign w:val="center"/>
          </w:tcPr>
          <w:p w14:paraId="17A589B6"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0.658</w:t>
            </w:r>
          </w:p>
        </w:tc>
        <w:tc>
          <w:tcPr>
            <w:tcW w:w="910" w:type="pct"/>
            <w:tcBorders>
              <w:top w:val="single" w:sz="8" w:space="0" w:color="000000"/>
            </w:tcBorders>
            <w:shd w:val="clear" w:color="auto" w:fill="auto"/>
            <w:vAlign w:val="center"/>
          </w:tcPr>
          <w:p w14:paraId="44A0CC9B"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531CF1">
              <w:rPr>
                <w:rFonts w:ascii="Times New Roman" w:hAnsi="Times New Roman" w:cs="Times New Roman"/>
              </w:rPr>
              <w:t>0.000*</w:t>
            </w:r>
          </w:p>
        </w:tc>
      </w:tr>
      <w:tr w:rsidR="00E62EE1" w:rsidRPr="00531CF1" w14:paraId="7826E73A"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1D97C3C6"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lastRenderedPageBreak/>
              <w:t>Enjoyment</w:t>
            </w:r>
          </w:p>
        </w:tc>
        <w:tc>
          <w:tcPr>
            <w:tcW w:w="1356" w:type="pct"/>
            <w:vAlign w:val="center"/>
          </w:tcPr>
          <w:p w14:paraId="623E4A7C"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0.523</w:t>
            </w:r>
          </w:p>
        </w:tc>
        <w:tc>
          <w:tcPr>
            <w:tcW w:w="910" w:type="pct"/>
            <w:vAlign w:val="center"/>
          </w:tcPr>
          <w:p w14:paraId="0ABC62CC"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4DDC01CC"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078181FA"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Performance</w:t>
            </w:r>
          </w:p>
        </w:tc>
        <w:tc>
          <w:tcPr>
            <w:tcW w:w="1356" w:type="pct"/>
            <w:shd w:val="clear" w:color="auto" w:fill="auto"/>
            <w:vAlign w:val="center"/>
          </w:tcPr>
          <w:p w14:paraId="0E640880"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0.540</w:t>
            </w:r>
          </w:p>
        </w:tc>
        <w:tc>
          <w:tcPr>
            <w:tcW w:w="910" w:type="pct"/>
            <w:shd w:val="clear" w:color="auto" w:fill="auto"/>
            <w:vAlign w:val="center"/>
          </w:tcPr>
          <w:p w14:paraId="2EA6BE3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654D8123"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0C3DC355"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Importance</w:t>
            </w:r>
          </w:p>
        </w:tc>
        <w:tc>
          <w:tcPr>
            <w:tcW w:w="1356" w:type="pct"/>
            <w:vAlign w:val="center"/>
          </w:tcPr>
          <w:p w14:paraId="387B4DA6"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0.620</w:t>
            </w:r>
          </w:p>
        </w:tc>
        <w:tc>
          <w:tcPr>
            <w:tcW w:w="910" w:type="pct"/>
            <w:vAlign w:val="center"/>
          </w:tcPr>
          <w:p w14:paraId="6D5EB4DD"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56394D4F"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6960097C" w14:textId="77777777" w:rsidR="00E62EE1" w:rsidRPr="00531CF1" w:rsidRDefault="00E62EE1" w:rsidP="00E62EE1">
            <w:pPr>
              <w:ind w:left="720"/>
              <w:jc w:val="both"/>
              <w:rPr>
                <w:rFonts w:ascii="Times New Roman" w:hAnsi="Times New Roman" w:cs="Times New Roman"/>
                <w:b w:val="0"/>
                <w:bCs w:val="0"/>
              </w:rPr>
            </w:pPr>
          </w:p>
        </w:tc>
        <w:tc>
          <w:tcPr>
            <w:tcW w:w="1356" w:type="pct"/>
            <w:shd w:val="clear" w:color="auto" w:fill="auto"/>
            <w:vAlign w:val="center"/>
          </w:tcPr>
          <w:p w14:paraId="2458B7DC"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10" w:type="pct"/>
            <w:shd w:val="clear" w:color="auto" w:fill="auto"/>
            <w:vAlign w:val="center"/>
          </w:tcPr>
          <w:p w14:paraId="7A92364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62EE1" w:rsidRPr="00531CF1" w14:paraId="257E31C0"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6F57B1ED" w14:textId="77777777" w:rsidR="00E62EE1" w:rsidRPr="00531CF1" w:rsidRDefault="00E62EE1" w:rsidP="00E62EE1">
            <w:pPr>
              <w:jc w:val="both"/>
              <w:rPr>
                <w:rFonts w:ascii="Times New Roman" w:hAnsi="Times New Roman" w:cs="Times New Roman"/>
                <w:b w:val="0"/>
                <w:bCs w:val="0"/>
              </w:rPr>
            </w:pPr>
            <w:r w:rsidRPr="00531CF1">
              <w:rPr>
                <w:rFonts w:ascii="Times New Roman" w:hAnsi="Times New Roman" w:cs="Times New Roman"/>
                <w:b w:val="0"/>
                <w:bCs w:val="0"/>
              </w:rPr>
              <w:t>B. Engagement</w:t>
            </w:r>
          </w:p>
        </w:tc>
        <w:tc>
          <w:tcPr>
            <w:tcW w:w="1356" w:type="pct"/>
            <w:vAlign w:val="center"/>
          </w:tcPr>
          <w:p w14:paraId="1251D653"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0.681</w:t>
            </w:r>
          </w:p>
        </w:tc>
        <w:tc>
          <w:tcPr>
            <w:tcW w:w="910" w:type="pct"/>
            <w:vAlign w:val="center"/>
          </w:tcPr>
          <w:p w14:paraId="6897E021"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501AD8ED"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shd w:val="clear" w:color="auto" w:fill="auto"/>
            <w:vAlign w:val="center"/>
          </w:tcPr>
          <w:p w14:paraId="75474B78"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Shared Values</w:t>
            </w:r>
          </w:p>
        </w:tc>
        <w:tc>
          <w:tcPr>
            <w:tcW w:w="1356" w:type="pct"/>
            <w:shd w:val="clear" w:color="auto" w:fill="auto"/>
            <w:vAlign w:val="center"/>
          </w:tcPr>
          <w:p w14:paraId="4B2727B0"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0.580</w:t>
            </w:r>
          </w:p>
        </w:tc>
        <w:tc>
          <w:tcPr>
            <w:tcW w:w="910" w:type="pct"/>
            <w:shd w:val="clear" w:color="auto" w:fill="auto"/>
            <w:vAlign w:val="center"/>
          </w:tcPr>
          <w:p w14:paraId="382A76C3"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64BE1EC7" w14:textId="77777777" w:rsidTr="00B51C9F">
        <w:tc>
          <w:tcPr>
            <w:cnfStyle w:val="001000000000" w:firstRow="0" w:lastRow="0" w:firstColumn="1" w:lastColumn="0" w:oddVBand="0" w:evenVBand="0" w:oddHBand="0" w:evenHBand="0" w:firstRowFirstColumn="0" w:firstRowLastColumn="0" w:lastRowFirstColumn="0" w:lastRowLastColumn="0"/>
            <w:tcW w:w="2734" w:type="pct"/>
            <w:vAlign w:val="center"/>
          </w:tcPr>
          <w:p w14:paraId="3100DDE1"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Feedback Recognition</w:t>
            </w:r>
          </w:p>
        </w:tc>
        <w:tc>
          <w:tcPr>
            <w:tcW w:w="1356" w:type="pct"/>
            <w:vAlign w:val="center"/>
          </w:tcPr>
          <w:p w14:paraId="094CDC28"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0.520</w:t>
            </w:r>
          </w:p>
        </w:tc>
        <w:tc>
          <w:tcPr>
            <w:tcW w:w="910" w:type="pct"/>
            <w:vAlign w:val="center"/>
          </w:tcPr>
          <w:p w14:paraId="64A68EB8" w14:textId="77777777" w:rsidR="00E62EE1" w:rsidRPr="00531CF1" w:rsidRDefault="00E62EE1" w:rsidP="00E62E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E62EE1" w:rsidRPr="00531CF1" w14:paraId="1D8463F2" w14:textId="77777777" w:rsidTr="00B51C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4" w:type="pct"/>
            <w:tcBorders>
              <w:bottom w:val="single" w:sz="18" w:space="0" w:color="auto"/>
            </w:tcBorders>
            <w:shd w:val="clear" w:color="auto" w:fill="auto"/>
            <w:vAlign w:val="center"/>
          </w:tcPr>
          <w:p w14:paraId="6CAFB4BF" w14:textId="77777777" w:rsidR="00E62EE1" w:rsidRPr="00531CF1" w:rsidRDefault="00E62EE1" w:rsidP="00E62EE1">
            <w:pPr>
              <w:ind w:left="720"/>
              <w:jc w:val="both"/>
              <w:rPr>
                <w:rFonts w:ascii="Times New Roman" w:hAnsi="Times New Roman" w:cs="Times New Roman"/>
                <w:b w:val="0"/>
                <w:bCs w:val="0"/>
              </w:rPr>
            </w:pPr>
            <w:r w:rsidRPr="00531CF1">
              <w:rPr>
                <w:rFonts w:ascii="Times New Roman" w:hAnsi="Times New Roman" w:cs="Times New Roman"/>
                <w:b w:val="0"/>
                <w:bCs w:val="0"/>
              </w:rPr>
              <w:t>Career Growth and Training Opportunities</w:t>
            </w:r>
          </w:p>
        </w:tc>
        <w:tc>
          <w:tcPr>
            <w:tcW w:w="1356" w:type="pct"/>
            <w:tcBorders>
              <w:bottom w:val="single" w:sz="18" w:space="0" w:color="auto"/>
            </w:tcBorders>
            <w:shd w:val="clear" w:color="auto" w:fill="auto"/>
            <w:vAlign w:val="center"/>
          </w:tcPr>
          <w:p w14:paraId="2BB5F847"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0.663</w:t>
            </w:r>
          </w:p>
        </w:tc>
        <w:tc>
          <w:tcPr>
            <w:tcW w:w="910" w:type="pct"/>
            <w:tcBorders>
              <w:bottom w:val="single" w:sz="18" w:space="0" w:color="auto"/>
            </w:tcBorders>
            <w:shd w:val="clear" w:color="auto" w:fill="auto"/>
            <w:vAlign w:val="center"/>
          </w:tcPr>
          <w:p w14:paraId="7F027D0D" w14:textId="77777777" w:rsidR="00E62EE1" w:rsidRPr="00531CF1" w:rsidRDefault="00E62EE1" w:rsidP="00E62EE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bl>
    <w:p w14:paraId="5CF03199" w14:textId="11B34D8A" w:rsidR="00531CF1" w:rsidRPr="00531CF1" w:rsidRDefault="00E62EE1" w:rsidP="00531CF1">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Legend:</w:t>
      </w:r>
      <w:r w:rsidR="00531CF1" w:rsidRPr="00531CF1">
        <w:rPr>
          <w:rFonts w:ascii="Times New Roman" w:hAnsi="Times New Roman" w:cs="Times New Roman"/>
          <w:sz w:val="24"/>
          <w:szCs w:val="24"/>
        </w:rPr>
        <w:tab/>
      </w:r>
      <w:r w:rsidR="00531CF1" w:rsidRPr="00531CF1">
        <w:rPr>
          <w:rFonts w:ascii="Times New Roman" w:hAnsi="Times New Roman" w:cs="Times New Roman"/>
          <w:sz w:val="24"/>
          <w:szCs w:val="24"/>
        </w:rPr>
        <w:tab/>
        <w:t>ns = not significant</w:t>
      </w:r>
      <w:r w:rsidR="00531CF1" w:rsidRPr="00531CF1">
        <w:rPr>
          <w:rFonts w:ascii="Times New Roman" w:hAnsi="Times New Roman" w:cs="Times New Roman"/>
          <w:sz w:val="24"/>
          <w:szCs w:val="24"/>
        </w:rPr>
        <w:tab/>
        <w:t>* = Significant at 0.05 level</w:t>
      </w:r>
      <w:r w:rsidR="00531CF1" w:rsidRPr="00531CF1">
        <w:rPr>
          <w:rFonts w:ascii="Times New Roman" w:hAnsi="Times New Roman" w:cs="Times New Roman"/>
          <w:sz w:val="24"/>
          <w:szCs w:val="24"/>
        </w:rPr>
        <w:tab/>
        <w:t>** = Significant at 0.01 level</w:t>
      </w:r>
    </w:p>
    <w:p w14:paraId="7AFAF714" w14:textId="05AB9A4D" w:rsidR="00E62EE1" w:rsidRPr="00E62EE1" w:rsidRDefault="00E62EE1" w:rsidP="00E62EE1">
      <w:pPr>
        <w:spacing w:after="0" w:line="240" w:lineRule="auto"/>
        <w:jc w:val="both"/>
        <w:rPr>
          <w:rFonts w:ascii="Times New Roman" w:hAnsi="Times New Roman" w:cs="Times New Roman"/>
          <w:sz w:val="20"/>
          <w:szCs w:val="20"/>
        </w:rPr>
      </w:pPr>
    </w:p>
    <w:p w14:paraId="3C699647" w14:textId="49F50835" w:rsidR="00E62EE1" w:rsidRDefault="00B53BB8" w:rsidP="00F775A8">
      <w:pPr>
        <w:spacing w:before="240" w:after="240" w:line="240" w:lineRule="auto"/>
        <w:jc w:val="both"/>
        <w:rPr>
          <w:rFonts w:ascii="Times New Roman" w:hAnsi="Times New Roman" w:cs="Times New Roman"/>
          <w:sz w:val="24"/>
          <w:szCs w:val="24"/>
        </w:rPr>
      </w:pPr>
      <w:r w:rsidRPr="00E62EE1">
        <w:rPr>
          <w:rFonts w:ascii="Times New Roman" w:hAnsi="Times New Roman" w:cs="Times New Roman"/>
          <w:sz w:val="24"/>
          <w:szCs w:val="24"/>
        </w:rPr>
        <w:t xml:space="preserve">The </w:t>
      </w:r>
      <w:r w:rsidR="00E62EE1" w:rsidRPr="00E62EE1">
        <w:rPr>
          <w:rFonts w:ascii="Times New Roman" w:hAnsi="Times New Roman" w:cs="Times New Roman"/>
          <w:sz w:val="24"/>
          <w:szCs w:val="24"/>
        </w:rPr>
        <w:t>findings indicated that teacher efficacy was significantly related to both motivation and engagement. All correlation results were statistically significant at the 0.05 level, showing strong positive relationships between the variables. Overall, teachers who reported higher levels of motivation and engagement also demonstrated higher levels of teaching efficacy. This result implied that teacher efficacy did not function independently but was closely associated with teachers’ motivational drives and level of engagement within the school environment.</w:t>
      </w:r>
      <w:r w:rsidR="00E62EE1">
        <w:rPr>
          <w:rFonts w:ascii="Times New Roman" w:hAnsi="Times New Roman" w:cs="Times New Roman"/>
          <w:sz w:val="24"/>
          <w:szCs w:val="24"/>
        </w:rPr>
        <w:t xml:space="preserve"> </w:t>
      </w:r>
    </w:p>
    <w:p w14:paraId="53A7C064" w14:textId="00D95D40" w:rsidR="00B53BB8" w:rsidRDefault="00B53BB8" w:rsidP="00F775A8">
      <w:pPr>
        <w:spacing w:before="240" w:after="240" w:line="240" w:lineRule="auto"/>
        <w:jc w:val="both"/>
        <w:rPr>
          <w:rFonts w:ascii="Times New Roman" w:hAnsi="Times New Roman" w:cs="Times New Roman"/>
          <w:sz w:val="24"/>
          <w:szCs w:val="24"/>
        </w:rPr>
      </w:pPr>
      <w:r w:rsidRPr="00B53BB8">
        <w:rPr>
          <w:rFonts w:ascii="Times New Roman" w:hAnsi="Times New Roman" w:cs="Times New Roman"/>
          <w:sz w:val="24"/>
          <w:szCs w:val="24"/>
        </w:rPr>
        <w:t>In general, the strong relationship between motivation and teacher efficacy suggested that teachers who valued their profession, enjoyed teaching, and were motivated to perform well were more confident in their instructional and classroom management abilities. Likewise, the strong relationship between engagement and teacher efficacy indicated that teachers who were actively involved in school practices, supported through professional development, and aligned with shared school values exhibited stronger confidence in their teaching roles. These findings implied that enhancing teachers’ motivation and engagement served as a key pathway to strengthening teacher efficacy, ultimately supporting effective teaching and instructional quality.</w:t>
      </w:r>
    </w:p>
    <w:p w14:paraId="77DC038F" w14:textId="1CDB312A" w:rsidR="00B53BB8" w:rsidRDefault="00B53BB8" w:rsidP="00B53BB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results were consistent with the study of </w:t>
      </w:r>
      <w:r w:rsidRPr="00B53BB8">
        <w:rPr>
          <w:rFonts w:ascii="Times New Roman" w:hAnsi="Times New Roman" w:cs="Times New Roman"/>
          <w:sz w:val="24"/>
          <w:szCs w:val="24"/>
        </w:rPr>
        <w:t>Dorji (2024)</w:t>
      </w:r>
      <w:r>
        <w:rPr>
          <w:rFonts w:ascii="Times New Roman" w:hAnsi="Times New Roman" w:cs="Times New Roman"/>
          <w:sz w:val="24"/>
          <w:szCs w:val="24"/>
        </w:rPr>
        <w:t xml:space="preserve">, who </w:t>
      </w:r>
      <w:r w:rsidRPr="00B53BB8">
        <w:rPr>
          <w:rFonts w:ascii="Times New Roman" w:hAnsi="Times New Roman" w:cs="Times New Roman"/>
          <w:sz w:val="24"/>
          <w:szCs w:val="24"/>
        </w:rPr>
        <w:t>found that highly motivated teachers demonstrated stronger self‑efficacy and instructional commitment, emphasizing that intrinsic motivation and well‑internalized extrinsic motivation enhanced teachers’ confidence in classroom management and student support.</w:t>
      </w:r>
      <w:r>
        <w:rPr>
          <w:rFonts w:ascii="Times New Roman" w:hAnsi="Times New Roman" w:cs="Times New Roman"/>
          <w:sz w:val="24"/>
          <w:szCs w:val="24"/>
        </w:rPr>
        <w:t xml:space="preserve"> Similarly, </w:t>
      </w:r>
      <w:r w:rsidRPr="00B53BB8">
        <w:rPr>
          <w:rFonts w:ascii="Times New Roman" w:hAnsi="Times New Roman" w:cs="Times New Roman"/>
          <w:sz w:val="24"/>
          <w:szCs w:val="24"/>
        </w:rPr>
        <w:t>Tolentino et al. (2023) reported that public senior high school teachers with high levels of motivation also exhibited strong self‑efficacy, showing that enjoyment, performance, and importance of teaching were positively associated with confidence in teaching abilities.</w:t>
      </w:r>
      <w:r>
        <w:rPr>
          <w:rFonts w:ascii="Times New Roman" w:hAnsi="Times New Roman" w:cs="Times New Roman"/>
          <w:sz w:val="24"/>
          <w:szCs w:val="24"/>
        </w:rPr>
        <w:t xml:space="preserve"> Likewise, </w:t>
      </w:r>
      <w:r w:rsidRPr="00B53BB8">
        <w:rPr>
          <w:rFonts w:ascii="Times New Roman" w:hAnsi="Times New Roman" w:cs="Times New Roman"/>
          <w:sz w:val="24"/>
          <w:szCs w:val="24"/>
        </w:rPr>
        <w:t>Tolentino et al. (2023) reported that public senior high school teachers with high levels of motivation also exhibited strong self‑efficacy, showing that enjoyment, performance, and importance of teaching were positively associated with confidence in teaching abilities.</w:t>
      </w:r>
      <w:r>
        <w:rPr>
          <w:rFonts w:ascii="Times New Roman" w:hAnsi="Times New Roman" w:cs="Times New Roman"/>
          <w:sz w:val="24"/>
          <w:szCs w:val="24"/>
        </w:rPr>
        <w:t xml:space="preserve"> Collectively, </w:t>
      </w:r>
      <w:r w:rsidRPr="00B53BB8">
        <w:rPr>
          <w:rFonts w:ascii="Times New Roman" w:hAnsi="Times New Roman" w:cs="Times New Roman"/>
          <w:sz w:val="24"/>
          <w:szCs w:val="24"/>
        </w:rPr>
        <w:t>these studies supported the present findings by confirming that teacher efficacy was closely linked to teachers’ motivation and engagement. Motivated and engaged teachers developed stronger confidence in their professional abilities, reinforcing classroom effectiveness, instructional quality, and sustained commitment to teaching.</w:t>
      </w:r>
    </w:p>
    <w:p w14:paraId="6FE4A8E4" w14:textId="2459A4CB" w:rsidR="00B53BB8" w:rsidRPr="00B53BB8" w:rsidRDefault="00B53BB8" w:rsidP="00B53BB8">
      <w:pPr>
        <w:spacing w:before="240" w:after="240" w:line="240" w:lineRule="auto"/>
        <w:jc w:val="both"/>
        <w:rPr>
          <w:rFonts w:ascii="Times New Roman" w:hAnsi="Times New Roman" w:cs="Times New Roman"/>
          <w:b/>
          <w:bCs/>
          <w:sz w:val="24"/>
          <w:szCs w:val="24"/>
        </w:rPr>
      </w:pPr>
      <w:r w:rsidRPr="00B53BB8">
        <w:rPr>
          <w:rFonts w:ascii="Times New Roman" w:hAnsi="Times New Roman" w:cs="Times New Roman"/>
          <w:b/>
          <w:bCs/>
          <w:sz w:val="24"/>
          <w:szCs w:val="24"/>
        </w:rPr>
        <w:t>Variables That Significantly Predict Teachers’ Efficacy</w:t>
      </w:r>
    </w:p>
    <w:p w14:paraId="74C9A3A2" w14:textId="710B7468" w:rsidR="00B53BB8" w:rsidRDefault="00B53BB8" w:rsidP="00B53BB8">
      <w:pPr>
        <w:spacing w:before="240" w:after="240" w:line="240" w:lineRule="auto"/>
        <w:jc w:val="both"/>
        <w:rPr>
          <w:rFonts w:ascii="Times New Roman" w:hAnsi="Times New Roman" w:cs="Times New Roman"/>
          <w:sz w:val="24"/>
          <w:szCs w:val="24"/>
        </w:rPr>
      </w:pPr>
      <w:r w:rsidRPr="00B53BB8">
        <w:rPr>
          <w:rFonts w:ascii="Times New Roman" w:hAnsi="Times New Roman" w:cs="Times New Roman"/>
          <w:sz w:val="24"/>
          <w:szCs w:val="24"/>
        </w:rPr>
        <w:t xml:space="preserve">Tables </w:t>
      </w:r>
      <w:r>
        <w:rPr>
          <w:rFonts w:ascii="Times New Roman" w:hAnsi="Times New Roman" w:cs="Times New Roman"/>
          <w:sz w:val="24"/>
          <w:szCs w:val="24"/>
        </w:rPr>
        <w:t>5</w:t>
      </w:r>
      <w:r w:rsidRPr="00B53BB8">
        <w:rPr>
          <w:rFonts w:ascii="Times New Roman" w:hAnsi="Times New Roman" w:cs="Times New Roman"/>
          <w:sz w:val="24"/>
          <w:szCs w:val="24"/>
        </w:rPr>
        <w:t xml:space="preserve"> and </w:t>
      </w:r>
      <w:r>
        <w:rPr>
          <w:rFonts w:ascii="Times New Roman" w:hAnsi="Times New Roman" w:cs="Times New Roman"/>
          <w:sz w:val="24"/>
          <w:szCs w:val="24"/>
        </w:rPr>
        <w:t>6</w:t>
      </w:r>
      <w:r w:rsidRPr="00B53BB8">
        <w:rPr>
          <w:rFonts w:ascii="Times New Roman" w:hAnsi="Times New Roman" w:cs="Times New Roman"/>
          <w:sz w:val="24"/>
          <w:szCs w:val="24"/>
        </w:rPr>
        <w:t xml:space="preserve"> presented the results of the multiple regression analyses conducted to determine which sub‑variables of motivation and engagement significantly predicted teachers’ efficacy, and to examine the combined predictive influence of motivation and engagement on teacher efficacy. Table 11 focused on the individual contribution of motivation and engagement sub‑variables, while Table 12 examined motivation and engagement as composite predictors of teachers’ efficacy.</w:t>
      </w:r>
    </w:p>
    <w:p w14:paraId="79111D9D" w14:textId="2B40BB75" w:rsidR="00B53BB8" w:rsidRPr="00531CF1" w:rsidRDefault="00B53BB8" w:rsidP="000E4999">
      <w:pPr>
        <w:spacing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Table </w:t>
      </w:r>
      <w:r w:rsidR="00531CF1">
        <w:rPr>
          <w:rFonts w:ascii="Times New Roman" w:hAnsi="Times New Roman" w:cs="Times New Roman"/>
          <w:sz w:val="24"/>
          <w:szCs w:val="24"/>
        </w:rPr>
        <w:t>5</w:t>
      </w:r>
      <w:r w:rsidRPr="00531CF1">
        <w:rPr>
          <w:rFonts w:ascii="Times New Roman" w:hAnsi="Times New Roman" w:cs="Times New Roman"/>
          <w:sz w:val="24"/>
          <w:szCs w:val="24"/>
        </w:rPr>
        <w:t>: Regression Analysis of the Sub-variables of Motivation and Engagement Variables on Efficacy</w:t>
      </w:r>
    </w:p>
    <w:tbl>
      <w:tblPr>
        <w:tblStyle w:val="PlainTable4"/>
        <w:tblW w:w="5000" w:type="pct"/>
        <w:tblLook w:val="04A0" w:firstRow="1" w:lastRow="0" w:firstColumn="1" w:lastColumn="0" w:noHBand="0" w:noVBand="1"/>
      </w:tblPr>
      <w:tblGrid>
        <w:gridCol w:w="5200"/>
        <w:gridCol w:w="1981"/>
        <w:gridCol w:w="2334"/>
        <w:gridCol w:w="812"/>
        <w:gridCol w:w="915"/>
      </w:tblGrid>
      <w:tr w:rsidR="00B53BB8" w:rsidRPr="00531CF1" w14:paraId="4E46D583" w14:textId="77777777" w:rsidTr="00B53B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18" w:space="0" w:color="auto"/>
              <w:bottom w:val="single" w:sz="8" w:space="0" w:color="000000"/>
            </w:tcBorders>
            <w:vAlign w:val="center"/>
          </w:tcPr>
          <w:p w14:paraId="20AA07B3"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Variables</w:t>
            </w:r>
          </w:p>
        </w:tc>
        <w:tc>
          <w:tcPr>
            <w:tcW w:w="881" w:type="pct"/>
            <w:tcBorders>
              <w:top w:val="single" w:sz="18" w:space="0" w:color="auto"/>
              <w:left w:val="nil"/>
              <w:bottom w:val="single" w:sz="8" w:space="0" w:color="000000"/>
            </w:tcBorders>
            <w:vAlign w:val="center"/>
          </w:tcPr>
          <w:p w14:paraId="35F614A7"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Unstandardized B</w:t>
            </w:r>
          </w:p>
        </w:tc>
        <w:tc>
          <w:tcPr>
            <w:tcW w:w="1038" w:type="pct"/>
            <w:tcBorders>
              <w:top w:val="single" w:sz="18" w:space="0" w:color="auto"/>
              <w:bottom w:val="single" w:sz="8" w:space="0" w:color="000000"/>
            </w:tcBorders>
            <w:vAlign w:val="center"/>
          </w:tcPr>
          <w:p w14:paraId="3C830E1B"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Coefficient Std. Error</w:t>
            </w:r>
          </w:p>
        </w:tc>
        <w:tc>
          <w:tcPr>
            <w:tcW w:w="361" w:type="pct"/>
            <w:tcBorders>
              <w:top w:val="single" w:sz="18" w:space="0" w:color="auto"/>
              <w:bottom w:val="single" w:sz="8" w:space="0" w:color="000000"/>
            </w:tcBorders>
            <w:vAlign w:val="center"/>
          </w:tcPr>
          <w:p w14:paraId="0AC0E792"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t</w:t>
            </w:r>
          </w:p>
        </w:tc>
        <w:tc>
          <w:tcPr>
            <w:tcW w:w="408" w:type="pct"/>
            <w:tcBorders>
              <w:top w:val="single" w:sz="18" w:space="0" w:color="auto"/>
              <w:bottom w:val="single" w:sz="8" w:space="0" w:color="000000"/>
            </w:tcBorders>
            <w:vAlign w:val="center"/>
          </w:tcPr>
          <w:p w14:paraId="258083A3"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w:t>
            </w:r>
          </w:p>
        </w:tc>
      </w:tr>
      <w:tr w:rsidR="00B53BB8" w:rsidRPr="00531CF1" w14:paraId="77C239A7"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top w:val="single" w:sz="8" w:space="0" w:color="000000"/>
            </w:tcBorders>
            <w:shd w:val="clear" w:color="auto" w:fill="auto"/>
            <w:vAlign w:val="center"/>
          </w:tcPr>
          <w:p w14:paraId="0E79DF81"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A. Motivation</w:t>
            </w:r>
          </w:p>
        </w:tc>
        <w:tc>
          <w:tcPr>
            <w:tcW w:w="881" w:type="pct"/>
            <w:tcBorders>
              <w:top w:val="single" w:sz="8" w:space="0" w:color="000000"/>
            </w:tcBorders>
            <w:shd w:val="clear" w:color="auto" w:fill="auto"/>
            <w:vAlign w:val="center"/>
          </w:tcPr>
          <w:p w14:paraId="74801454"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8" w:type="pct"/>
            <w:tcBorders>
              <w:top w:val="single" w:sz="8" w:space="0" w:color="000000"/>
            </w:tcBorders>
            <w:shd w:val="clear" w:color="auto" w:fill="auto"/>
            <w:vAlign w:val="center"/>
          </w:tcPr>
          <w:p w14:paraId="7098CAC1"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 w:type="pct"/>
            <w:tcBorders>
              <w:top w:val="single" w:sz="8" w:space="0" w:color="000000"/>
            </w:tcBorders>
            <w:shd w:val="clear" w:color="auto" w:fill="auto"/>
            <w:vAlign w:val="center"/>
          </w:tcPr>
          <w:p w14:paraId="30A75237"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08" w:type="pct"/>
            <w:tcBorders>
              <w:top w:val="single" w:sz="8" w:space="0" w:color="000000"/>
            </w:tcBorders>
            <w:shd w:val="clear" w:color="auto" w:fill="auto"/>
            <w:vAlign w:val="center"/>
          </w:tcPr>
          <w:p w14:paraId="1E09C473"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3BB8" w:rsidRPr="00531CF1" w14:paraId="025BDF5A"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712ABF9D"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Enjoyment</w:t>
            </w:r>
          </w:p>
        </w:tc>
        <w:tc>
          <w:tcPr>
            <w:tcW w:w="881" w:type="pct"/>
            <w:vAlign w:val="center"/>
          </w:tcPr>
          <w:p w14:paraId="1005E54C"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0.090</w:t>
            </w:r>
          </w:p>
        </w:tc>
        <w:tc>
          <w:tcPr>
            <w:tcW w:w="1038" w:type="pct"/>
            <w:vAlign w:val="center"/>
          </w:tcPr>
          <w:p w14:paraId="4D3A4071"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0.049</w:t>
            </w:r>
          </w:p>
        </w:tc>
        <w:tc>
          <w:tcPr>
            <w:tcW w:w="361" w:type="pct"/>
            <w:vAlign w:val="center"/>
          </w:tcPr>
          <w:p w14:paraId="4EC712DB"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1.82</w:t>
            </w:r>
          </w:p>
        </w:tc>
        <w:tc>
          <w:tcPr>
            <w:tcW w:w="408" w:type="pct"/>
            <w:vAlign w:val="center"/>
          </w:tcPr>
          <w:p w14:paraId="462B334D"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0.069*</w:t>
            </w:r>
          </w:p>
        </w:tc>
      </w:tr>
      <w:tr w:rsidR="00B53BB8" w:rsidRPr="00531CF1" w14:paraId="38C3642E"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19943306"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Performance</w:t>
            </w:r>
          </w:p>
        </w:tc>
        <w:tc>
          <w:tcPr>
            <w:tcW w:w="881" w:type="pct"/>
            <w:shd w:val="clear" w:color="auto" w:fill="auto"/>
            <w:vAlign w:val="center"/>
          </w:tcPr>
          <w:p w14:paraId="657630EA"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0.024</w:t>
            </w:r>
          </w:p>
        </w:tc>
        <w:tc>
          <w:tcPr>
            <w:tcW w:w="1038" w:type="pct"/>
            <w:shd w:val="clear" w:color="auto" w:fill="auto"/>
            <w:vAlign w:val="center"/>
          </w:tcPr>
          <w:p w14:paraId="023F79A5"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0.046</w:t>
            </w:r>
          </w:p>
        </w:tc>
        <w:tc>
          <w:tcPr>
            <w:tcW w:w="361" w:type="pct"/>
            <w:shd w:val="clear" w:color="auto" w:fill="auto"/>
            <w:vAlign w:val="center"/>
          </w:tcPr>
          <w:p w14:paraId="582A735A"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0.51</w:t>
            </w:r>
          </w:p>
        </w:tc>
        <w:tc>
          <w:tcPr>
            <w:tcW w:w="408" w:type="pct"/>
            <w:shd w:val="clear" w:color="auto" w:fill="auto"/>
            <w:vAlign w:val="center"/>
          </w:tcPr>
          <w:p w14:paraId="6F981751"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0.610*</w:t>
            </w:r>
          </w:p>
        </w:tc>
      </w:tr>
      <w:tr w:rsidR="00B53BB8" w:rsidRPr="00531CF1" w14:paraId="7CA1C541"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3AE705F6"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lastRenderedPageBreak/>
              <w:t>Importance</w:t>
            </w:r>
          </w:p>
        </w:tc>
        <w:tc>
          <w:tcPr>
            <w:tcW w:w="881" w:type="pct"/>
            <w:vAlign w:val="center"/>
          </w:tcPr>
          <w:p w14:paraId="4BDC929F"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0.267</w:t>
            </w:r>
          </w:p>
        </w:tc>
        <w:tc>
          <w:tcPr>
            <w:tcW w:w="1038" w:type="pct"/>
            <w:vAlign w:val="center"/>
          </w:tcPr>
          <w:p w14:paraId="67F1B8F3"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0.048</w:t>
            </w:r>
          </w:p>
        </w:tc>
        <w:tc>
          <w:tcPr>
            <w:tcW w:w="361" w:type="pct"/>
            <w:vAlign w:val="center"/>
          </w:tcPr>
          <w:p w14:paraId="3F511E4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5.61</w:t>
            </w:r>
          </w:p>
        </w:tc>
        <w:tc>
          <w:tcPr>
            <w:tcW w:w="408" w:type="pct"/>
            <w:vAlign w:val="center"/>
          </w:tcPr>
          <w:p w14:paraId="2603D8D2"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15E82AB"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65194E10" w14:textId="77777777" w:rsidR="00B53BB8" w:rsidRPr="00531CF1" w:rsidRDefault="00B53BB8" w:rsidP="000E4999">
            <w:pPr>
              <w:jc w:val="both"/>
              <w:rPr>
                <w:rFonts w:ascii="Times New Roman" w:hAnsi="Times New Roman" w:cs="Times New Roman"/>
                <w:b w:val="0"/>
                <w:bCs w:val="0"/>
              </w:rPr>
            </w:pPr>
          </w:p>
        </w:tc>
        <w:tc>
          <w:tcPr>
            <w:tcW w:w="881" w:type="pct"/>
            <w:shd w:val="clear" w:color="auto" w:fill="auto"/>
            <w:vAlign w:val="center"/>
          </w:tcPr>
          <w:p w14:paraId="16D4BAF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38" w:type="pct"/>
            <w:shd w:val="clear" w:color="auto" w:fill="auto"/>
            <w:vAlign w:val="center"/>
          </w:tcPr>
          <w:p w14:paraId="7A1578EF"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61" w:type="pct"/>
            <w:shd w:val="clear" w:color="auto" w:fill="auto"/>
            <w:vAlign w:val="center"/>
          </w:tcPr>
          <w:p w14:paraId="24CD558C"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08" w:type="pct"/>
            <w:shd w:val="clear" w:color="auto" w:fill="auto"/>
            <w:vAlign w:val="center"/>
          </w:tcPr>
          <w:p w14:paraId="7457A4E9"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53BB8" w:rsidRPr="00531CF1" w14:paraId="1C3A8590"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01C7B610"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B. Engagement</w:t>
            </w:r>
          </w:p>
        </w:tc>
        <w:tc>
          <w:tcPr>
            <w:tcW w:w="881" w:type="pct"/>
            <w:vAlign w:val="center"/>
          </w:tcPr>
          <w:p w14:paraId="65A0326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38" w:type="pct"/>
            <w:vAlign w:val="center"/>
          </w:tcPr>
          <w:p w14:paraId="4DBB0BF6"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61" w:type="pct"/>
            <w:vAlign w:val="center"/>
          </w:tcPr>
          <w:p w14:paraId="1BC6CC16"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08" w:type="pct"/>
            <w:vAlign w:val="center"/>
          </w:tcPr>
          <w:p w14:paraId="34903B2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B53BB8" w:rsidRPr="00531CF1" w14:paraId="1D2330BA"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shd w:val="clear" w:color="auto" w:fill="auto"/>
            <w:vAlign w:val="center"/>
          </w:tcPr>
          <w:p w14:paraId="0C22ADD9"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Shared Values</w:t>
            </w:r>
          </w:p>
        </w:tc>
        <w:tc>
          <w:tcPr>
            <w:tcW w:w="881" w:type="pct"/>
            <w:shd w:val="clear" w:color="auto" w:fill="auto"/>
            <w:vAlign w:val="center"/>
          </w:tcPr>
          <w:p w14:paraId="29740AB7"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−0.018</w:t>
            </w:r>
          </w:p>
        </w:tc>
        <w:tc>
          <w:tcPr>
            <w:tcW w:w="1038" w:type="pct"/>
            <w:shd w:val="clear" w:color="auto" w:fill="auto"/>
            <w:vAlign w:val="center"/>
          </w:tcPr>
          <w:p w14:paraId="63CBE0C0"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0.067</w:t>
            </w:r>
          </w:p>
        </w:tc>
        <w:tc>
          <w:tcPr>
            <w:tcW w:w="361" w:type="pct"/>
            <w:shd w:val="clear" w:color="auto" w:fill="auto"/>
            <w:vAlign w:val="center"/>
          </w:tcPr>
          <w:p w14:paraId="1F7A1086"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−0.27</w:t>
            </w:r>
          </w:p>
        </w:tc>
        <w:tc>
          <w:tcPr>
            <w:tcW w:w="408" w:type="pct"/>
            <w:shd w:val="clear" w:color="auto" w:fill="auto"/>
            <w:vAlign w:val="center"/>
          </w:tcPr>
          <w:p w14:paraId="28D8B84D"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0.788*</w:t>
            </w:r>
          </w:p>
        </w:tc>
      </w:tr>
      <w:tr w:rsidR="00B53BB8" w:rsidRPr="00531CF1" w14:paraId="4FEDC8B3" w14:textId="77777777" w:rsidTr="00B53BB8">
        <w:tc>
          <w:tcPr>
            <w:cnfStyle w:val="001000000000" w:firstRow="0" w:lastRow="0" w:firstColumn="1" w:lastColumn="0" w:oddVBand="0" w:evenVBand="0" w:oddHBand="0" w:evenHBand="0" w:firstRowFirstColumn="0" w:firstRowLastColumn="0" w:lastRowFirstColumn="0" w:lastRowLastColumn="0"/>
            <w:tcW w:w="2313" w:type="pct"/>
            <w:vAlign w:val="center"/>
          </w:tcPr>
          <w:p w14:paraId="6A10FF5F"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Feedback Recognition</w:t>
            </w:r>
          </w:p>
        </w:tc>
        <w:tc>
          <w:tcPr>
            <w:tcW w:w="881" w:type="pct"/>
            <w:vAlign w:val="center"/>
          </w:tcPr>
          <w:p w14:paraId="2921DB5F"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0.154</w:t>
            </w:r>
          </w:p>
        </w:tc>
        <w:tc>
          <w:tcPr>
            <w:tcW w:w="1038" w:type="pct"/>
            <w:vAlign w:val="center"/>
          </w:tcPr>
          <w:p w14:paraId="12E988A8"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0.058</w:t>
            </w:r>
          </w:p>
        </w:tc>
        <w:tc>
          <w:tcPr>
            <w:tcW w:w="361" w:type="pct"/>
            <w:vAlign w:val="center"/>
          </w:tcPr>
          <w:p w14:paraId="242C50E7"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2.64</w:t>
            </w:r>
          </w:p>
        </w:tc>
        <w:tc>
          <w:tcPr>
            <w:tcW w:w="408" w:type="pct"/>
            <w:vAlign w:val="center"/>
          </w:tcPr>
          <w:p w14:paraId="5328666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0.009*</w:t>
            </w:r>
          </w:p>
        </w:tc>
      </w:tr>
      <w:tr w:rsidR="00B53BB8" w:rsidRPr="00531CF1" w14:paraId="2A34E7BE" w14:textId="77777777" w:rsidTr="00B53B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3" w:type="pct"/>
            <w:tcBorders>
              <w:bottom w:val="single" w:sz="18" w:space="0" w:color="auto"/>
            </w:tcBorders>
            <w:shd w:val="clear" w:color="auto" w:fill="auto"/>
            <w:vAlign w:val="center"/>
          </w:tcPr>
          <w:p w14:paraId="70394CD9" w14:textId="77777777" w:rsidR="00B53BB8" w:rsidRPr="00531CF1" w:rsidRDefault="00B53BB8" w:rsidP="000E4999">
            <w:pPr>
              <w:ind w:left="720"/>
              <w:jc w:val="both"/>
              <w:rPr>
                <w:rFonts w:ascii="Times New Roman" w:hAnsi="Times New Roman" w:cs="Times New Roman"/>
                <w:b w:val="0"/>
                <w:bCs w:val="0"/>
              </w:rPr>
            </w:pPr>
            <w:r w:rsidRPr="00531CF1">
              <w:rPr>
                <w:rFonts w:ascii="Times New Roman" w:hAnsi="Times New Roman" w:cs="Times New Roman"/>
                <w:b w:val="0"/>
                <w:bCs w:val="0"/>
              </w:rPr>
              <w:t>Career Growth and Training Opportunities</w:t>
            </w:r>
          </w:p>
        </w:tc>
        <w:tc>
          <w:tcPr>
            <w:tcW w:w="881" w:type="pct"/>
            <w:tcBorders>
              <w:bottom w:val="single" w:sz="18" w:space="0" w:color="auto"/>
            </w:tcBorders>
            <w:shd w:val="clear" w:color="auto" w:fill="auto"/>
            <w:vAlign w:val="center"/>
          </w:tcPr>
          <w:p w14:paraId="6146082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0.312</w:t>
            </w:r>
          </w:p>
        </w:tc>
        <w:tc>
          <w:tcPr>
            <w:tcW w:w="1038" w:type="pct"/>
            <w:tcBorders>
              <w:bottom w:val="single" w:sz="18" w:space="0" w:color="auto"/>
            </w:tcBorders>
            <w:shd w:val="clear" w:color="auto" w:fill="auto"/>
            <w:vAlign w:val="center"/>
          </w:tcPr>
          <w:p w14:paraId="56B3D2F4"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0.056</w:t>
            </w:r>
          </w:p>
        </w:tc>
        <w:tc>
          <w:tcPr>
            <w:tcW w:w="361" w:type="pct"/>
            <w:tcBorders>
              <w:bottom w:val="single" w:sz="18" w:space="0" w:color="auto"/>
            </w:tcBorders>
            <w:shd w:val="clear" w:color="auto" w:fill="auto"/>
            <w:vAlign w:val="center"/>
          </w:tcPr>
          <w:p w14:paraId="4BB0AE1C"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5.54</w:t>
            </w:r>
          </w:p>
        </w:tc>
        <w:tc>
          <w:tcPr>
            <w:tcW w:w="408" w:type="pct"/>
            <w:tcBorders>
              <w:bottom w:val="single" w:sz="18" w:space="0" w:color="auto"/>
            </w:tcBorders>
            <w:shd w:val="clear" w:color="auto" w:fill="auto"/>
            <w:vAlign w:val="center"/>
          </w:tcPr>
          <w:p w14:paraId="54144F59"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bl>
    <w:p w14:paraId="25ADA1C1" w14:textId="39FC4C63" w:rsidR="00B53BB8" w:rsidRPr="00531CF1" w:rsidRDefault="00B53BB8" w:rsidP="000E4999">
      <w:pPr>
        <w:spacing w:before="240" w:after="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 Table </w:t>
      </w:r>
      <w:r w:rsidR="00531CF1">
        <w:rPr>
          <w:rFonts w:ascii="Times New Roman" w:hAnsi="Times New Roman" w:cs="Times New Roman"/>
          <w:sz w:val="24"/>
          <w:szCs w:val="24"/>
        </w:rPr>
        <w:t>6</w:t>
      </w:r>
      <w:r w:rsidRPr="00531CF1">
        <w:rPr>
          <w:rFonts w:ascii="Times New Roman" w:hAnsi="Times New Roman" w:cs="Times New Roman"/>
          <w:sz w:val="24"/>
          <w:szCs w:val="24"/>
        </w:rPr>
        <w:t>: Regression Analysis of Motivation and Engagement on Efficacy</w:t>
      </w:r>
    </w:p>
    <w:tbl>
      <w:tblPr>
        <w:tblStyle w:val="PlainTable4"/>
        <w:tblW w:w="5000" w:type="pct"/>
        <w:tblLook w:val="04A0" w:firstRow="1" w:lastRow="0" w:firstColumn="1" w:lastColumn="0" w:noHBand="0" w:noVBand="1"/>
      </w:tblPr>
      <w:tblGrid>
        <w:gridCol w:w="2060"/>
        <w:gridCol w:w="2824"/>
        <w:gridCol w:w="3339"/>
        <w:gridCol w:w="1270"/>
        <w:gridCol w:w="1749"/>
      </w:tblGrid>
      <w:tr w:rsidR="00B53BB8" w:rsidRPr="00531CF1" w14:paraId="356984C4" w14:textId="77777777" w:rsidTr="00823B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tcBorders>
              <w:top w:val="single" w:sz="18" w:space="0" w:color="auto"/>
              <w:bottom w:val="single" w:sz="8" w:space="0" w:color="000000"/>
            </w:tcBorders>
            <w:vAlign w:val="center"/>
          </w:tcPr>
          <w:p w14:paraId="112327D5"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Variables</w:t>
            </w:r>
          </w:p>
        </w:tc>
        <w:tc>
          <w:tcPr>
            <w:tcW w:w="1256" w:type="pct"/>
            <w:tcBorders>
              <w:top w:val="single" w:sz="18" w:space="0" w:color="auto"/>
              <w:left w:val="nil"/>
              <w:bottom w:val="single" w:sz="8" w:space="0" w:color="000000"/>
            </w:tcBorders>
            <w:vAlign w:val="center"/>
          </w:tcPr>
          <w:p w14:paraId="0CBBCB22"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Unstandardized B</w:t>
            </w:r>
          </w:p>
        </w:tc>
        <w:tc>
          <w:tcPr>
            <w:tcW w:w="1485" w:type="pct"/>
            <w:tcBorders>
              <w:top w:val="single" w:sz="18" w:space="0" w:color="auto"/>
              <w:bottom w:val="single" w:sz="8" w:space="0" w:color="000000"/>
            </w:tcBorders>
            <w:vAlign w:val="center"/>
          </w:tcPr>
          <w:p w14:paraId="1B6C8609"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Coefficient Std. Error</w:t>
            </w:r>
          </w:p>
        </w:tc>
        <w:tc>
          <w:tcPr>
            <w:tcW w:w="565" w:type="pct"/>
            <w:tcBorders>
              <w:top w:val="single" w:sz="18" w:space="0" w:color="auto"/>
              <w:bottom w:val="single" w:sz="8" w:space="0" w:color="000000"/>
            </w:tcBorders>
            <w:vAlign w:val="center"/>
          </w:tcPr>
          <w:p w14:paraId="2D5EC0F7"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t</w:t>
            </w:r>
          </w:p>
        </w:tc>
        <w:tc>
          <w:tcPr>
            <w:tcW w:w="778" w:type="pct"/>
            <w:tcBorders>
              <w:top w:val="single" w:sz="18" w:space="0" w:color="auto"/>
              <w:bottom w:val="single" w:sz="8" w:space="0" w:color="000000"/>
            </w:tcBorders>
            <w:vAlign w:val="center"/>
          </w:tcPr>
          <w:p w14:paraId="271D9854" w14:textId="77777777" w:rsidR="00B53BB8" w:rsidRPr="00531CF1" w:rsidRDefault="00B53BB8" w:rsidP="000E499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531CF1">
              <w:rPr>
                <w:rFonts w:ascii="Times New Roman" w:hAnsi="Times New Roman" w:cs="Times New Roman"/>
                <w:b w:val="0"/>
                <w:bCs w:val="0"/>
              </w:rPr>
              <w:t>Sig.</w:t>
            </w:r>
          </w:p>
        </w:tc>
      </w:tr>
      <w:tr w:rsidR="00B53BB8" w:rsidRPr="00531CF1" w14:paraId="57B4DFC4" w14:textId="77777777" w:rsidTr="00823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tcBorders>
              <w:top w:val="single" w:sz="8" w:space="0" w:color="000000"/>
            </w:tcBorders>
            <w:shd w:val="clear" w:color="auto" w:fill="auto"/>
            <w:vAlign w:val="center"/>
          </w:tcPr>
          <w:p w14:paraId="2C171A29"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Constant</w:t>
            </w:r>
          </w:p>
        </w:tc>
        <w:tc>
          <w:tcPr>
            <w:tcW w:w="1256" w:type="pct"/>
            <w:tcBorders>
              <w:top w:val="single" w:sz="8" w:space="0" w:color="000000"/>
            </w:tcBorders>
            <w:shd w:val="clear" w:color="auto" w:fill="auto"/>
            <w:vAlign w:val="center"/>
          </w:tcPr>
          <w:p w14:paraId="0D537143"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0.940</w:t>
            </w:r>
          </w:p>
        </w:tc>
        <w:tc>
          <w:tcPr>
            <w:tcW w:w="1485" w:type="pct"/>
            <w:tcBorders>
              <w:top w:val="single" w:sz="8" w:space="0" w:color="000000"/>
            </w:tcBorders>
            <w:shd w:val="clear" w:color="auto" w:fill="auto"/>
            <w:vAlign w:val="center"/>
          </w:tcPr>
          <w:p w14:paraId="552CCD10"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0.197</w:t>
            </w:r>
          </w:p>
        </w:tc>
        <w:tc>
          <w:tcPr>
            <w:tcW w:w="565" w:type="pct"/>
            <w:tcBorders>
              <w:top w:val="single" w:sz="8" w:space="0" w:color="000000"/>
            </w:tcBorders>
            <w:shd w:val="clear" w:color="auto" w:fill="auto"/>
            <w:vAlign w:val="center"/>
          </w:tcPr>
          <w:p w14:paraId="32C3C1B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4.78</w:t>
            </w:r>
          </w:p>
        </w:tc>
        <w:tc>
          <w:tcPr>
            <w:tcW w:w="778" w:type="pct"/>
            <w:tcBorders>
              <w:top w:val="single" w:sz="8" w:space="0" w:color="000000"/>
            </w:tcBorders>
            <w:shd w:val="clear" w:color="auto" w:fill="auto"/>
          </w:tcPr>
          <w:p w14:paraId="1AEB80B2"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DE66AFD" w14:textId="77777777" w:rsidTr="00823B86">
        <w:tc>
          <w:tcPr>
            <w:cnfStyle w:val="001000000000" w:firstRow="0" w:lastRow="0" w:firstColumn="1" w:lastColumn="0" w:oddVBand="0" w:evenVBand="0" w:oddHBand="0" w:evenHBand="0" w:firstRowFirstColumn="0" w:firstRowLastColumn="0" w:lastRowFirstColumn="0" w:lastRowLastColumn="0"/>
            <w:tcW w:w="916" w:type="pct"/>
            <w:vAlign w:val="center"/>
          </w:tcPr>
          <w:p w14:paraId="50F93765"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Motivation</w:t>
            </w:r>
          </w:p>
        </w:tc>
        <w:tc>
          <w:tcPr>
            <w:tcW w:w="1256" w:type="pct"/>
            <w:vAlign w:val="center"/>
          </w:tcPr>
          <w:p w14:paraId="03CF0BB1"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0.323</w:t>
            </w:r>
          </w:p>
        </w:tc>
        <w:tc>
          <w:tcPr>
            <w:tcW w:w="1485" w:type="pct"/>
            <w:vAlign w:val="center"/>
          </w:tcPr>
          <w:p w14:paraId="39002B4A"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0.060</w:t>
            </w:r>
          </w:p>
        </w:tc>
        <w:tc>
          <w:tcPr>
            <w:tcW w:w="565" w:type="pct"/>
            <w:vAlign w:val="center"/>
          </w:tcPr>
          <w:p w14:paraId="5689933E"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5.35</w:t>
            </w:r>
          </w:p>
        </w:tc>
        <w:tc>
          <w:tcPr>
            <w:tcW w:w="778" w:type="pct"/>
          </w:tcPr>
          <w:p w14:paraId="76E297CC"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4D44BFF0" w14:textId="77777777" w:rsidTr="00823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6" w:type="pct"/>
            <w:shd w:val="clear" w:color="auto" w:fill="auto"/>
            <w:vAlign w:val="center"/>
          </w:tcPr>
          <w:p w14:paraId="3BA34BBE" w14:textId="77777777" w:rsidR="00B53BB8" w:rsidRPr="00531CF1" w:rsidRDefault="00B53BB8" w:rsidP="000E4999">
            <w:pPr>
              <w:jc w:val="both"/>
              <w:rPr>
                <w:rFonts w:ascii="Times New Roman" w:hAnsi="Times New Roman" w:cs="Times New Roman"/>
                <w:b w:val="0"/>
                <w:bCs w:val="0"/>
              </w:rPr>
            </w:pPr>
            <w:r w:rsidRPr="00531CF1">
              <w:rPr>
                <w:rFonts w:ascii="Times New Roman" w:hAnsi="Times New Roman" w:cs="Times New Roman"/>
                <w:b w:val="0"/>
                <w:bCs w:val="0"/>
              </w:rPr>
              <w:t>Engagement</w:t>
            </w:r>
          </w:p>
        </w:tc>
        <w:tc>
          <w:tcPr>
            <w:tcW w:w="1256" w:type="pct"/>
            <w:shd w:val="clear" w:color="auto" w:fill="auto"/>
            <w:vAlign w:val="center"/>
          </w:tcPr>
          <w:p w14:paraId="029D9E2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0.464</w:t>
            </w:r>
          </w:p>
        </w:tc>
        <w:tc>
          <w:tcPr>
            <w:tcW w:w="1485" w:type="pct"/>
            <w:shd w:val="clear" w:color="auto" w:fill="auto"/>
            <w:vAlign w:val="center"/>
          </w:tcPr>
          <w:p w14:paraId="73C907BF"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0.070</w:t>
            </w:r>
          </w:p>
        </w:tc>
        <w:tc>
          <w:tcPr>
            <w:tcW w:w="565" w:type="pct"/>
            <w:shd w:val="clear" w:color="auto" w:fill="auto"/>
            <w:vAlign w:val="center"/>
          </w:tcPr>
          <w:p w14:paraId="023B1278"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6.63</w:t>
            </w:r>
          </w:p>
        </w:tc>
        <w:tc>
          <w:tcPr>
            <w:tcW w:w="778" w:type="pct"/>
            <w:shd w:val="clear" w:color="auto" w:fill="auto"/>
          </w:tcPr>
          <w:p w14:paraId="2F40352D" w14:textId="77777777" w:rsidR="00B53BB8" w:rsidRPr="00531CF1" w:rsidRDefault="00B53BB8" w:rsidP="000E499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0.000*</w:t>
            </w:r>
          </w:p>
        </w:tc>
      </w:tr>
      <w:tr w:rsidR="00B53BB8" w:rsidRPr="00531CF1" w14:paraId="687C7940" w14:textId="77777777" w:rsidTr="00823B86">
        <w:tc>
          <w:tcPr>
            <w:cnfStyle w:val="001000000000" w:firstRow="0" w:lastRow="0" w:firstColumn="1" w:lastColumn="0" w:oddVBand="0" w:evenVBand="0" w:oddHBand="0" w:evenHBand="0" w:firstRowFirstColumn="0" w:firstRowLastColumn="0" w:lastRowFirstColumn="0" w:lastRowLastColumn="0"/>
            <w:tcW w:w="916" w:type="pct"/>
            <w:tcBorders>
              <w:top w:val="single" w:sz="8" w:space="0" w:color="000000"/>
              <w:bottom w:val="single" w:sz="18" w:space="0" w:color="000000"/>
            </w:tcBorders>
            <w:vAlign w:val="center"/>
          </w:tcPr>
          <w:p w14:paraId="61843AB2" w14:textId="77777777" w:rsidR="00B53BB8" w:rsidRPr="00531CF1" w:rsidRDefault="00B53BB8" w:rsidP="000E4999">
            <w:pPr>
              <w:jc w:val="center"/>
              <w:rPr>
                <w:rFonts w:ascii="Times New Roman" w:hAnsi="Times New Roman" w:cs="Times New Roman"/>
                <w:b w:val="0"/>
                <w:bCs w:val="0"/>
              </w:rPr>
            </w:pPr>
            <w:r w:rsidRPr="00531CF1">
              <w:rPr>
                <w:rFonts w:ascii="Times New Roman" w:hAnsi="Times New Roman" w:cs="Times New Roman"/>
                <w:b w:val="0"/>
                <w:bCs w:val="0"/>
              </w:rPr>
              <w:t>R = 0.720</w:t>
            </w:r>
          </w:p>
        </w:tc>
        <w:tc>
          <w:tcPr>
            <w:tcW w:w="1256" w:type="pct"/>
            <w:tcBorders>
              <w:top w:val="single" w:sz="8" w:space="0" w:color="000000"/>
              <w:bottom w:val="single" w:sz="18" w:space="0" w:color="000000"/>
            </w:tcBorders>
            <w:vAlign w:val="center"/>
          </w:tcPr>
          <w:p w14:paraId="28CC96B5"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R</w:t>
            </w:r>
            <w:r w:rsidRPr="00531CF1">
              <w:rPr>
                <w:rFonts w:ascii="Times New Roman" w:hAnsi="Times New Roman" w:cs="Times New Roman"/>
                <w:vertAlign w:val="superscript"/>
              </w:rPr>
              <w:t>2</w:t>
            </w:r>
            <w:r w:rsidRPr="00531CF1">
              <w:rPr>
                <w:rFonts w:ascii="Times New Roman" w:hAnsi="Times New Roman" w:cs="Times New Roman"/>
              </w:rPr>
              <w:t xml:space="preserve"> = 0.519</w:t>
            </w:r>
          </w:p>
        </w:tc>
        <w:tc>
          <w:tcPr>
            <w:tcW w:w="1485" w:type="pct"/>
            <w:tcBorders>
              <w:top w:val="single" w:sz="8" w:space="0" w:color="000000"/>
              <w:bottom w:val="single" w:sz="18" w:space="0" w:color="000000"/>
            </w:tcBorders>
            <w:vAlign w:val="center"/>
          </w:tcPr>
          <w:p w14:paraId="4BBE61A3"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F-value =133.17</w:t>
            </w:r>
          </w:p>
        </w:tc>
        <w:tc>
          <w:tcPr>
            <w:tcW w:w="1343" w:type="pct"/>
            <w:gridSpan w:val="2"/>
            <w:tcBorders>
              <w:top w:val="single" w:sz="8" w:space="0" w:color="000000"/>
              <w:bottom w:val="single" w:sz="18" w:space="0" w:color="000000"/>
            </w:tcBorders>
            <w:vAlign w:val="center"/>
          </w:tcPr>
          <w:p w14:paraId="61B499C8" w14:textId="77777777" w:rsidR="00B53BB8" w:rsidRPr="00531CF1" w:rsidRDefault="00B53BB8" w:rsidP="000E499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31CF1">
              <w:rPr>
                <w:rFonts w:ascii="Times New Roman" w:hAnsi="Times New Roman" w:cs="Times New Roman"/>
              </w:rPr>
              <w:t>Probability &lt; 0.001</w:t>
            </w:r>
          </w:p>
        </w:tc>
      </w:tr>
    </w:tbl>
    <w:p w14:paraId="0FACF3C9" w14:textId="1C2D940F" w:rsidR="00B53BB8"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The findings indicated that motivation and engagement significantly predicted teachers’ efficacy. When examined independently, not all sub‑dimensions equally contributed to predicting teacher efficacy. Among the motivation variables, only importance emerged as a significant predictor, while enjoyment and performance did not independently influence teacher efficacy. This result suggested that teachers who internalized teaching as meaningful and valuable were more likely to develop stronger confidence in their professional capabilities. Among the engagement variables, career growth and training opportunities and feedback and recognition significantly predicted teacher efficacy, whereas shared values did not show a significant independent effect. Overall, the combined regression model showed that motivation and engagement together explained a substantial portion of the variance in teacher efficacy, with engagement emerging as the stronger predictor.</w:t>
      </w:r>
    </w:p>
    <w:p w14:paraId="5E6B7C28" w14:textId="25A5153D" w:rsidR="00823B86"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In general, the results implied that teacher efficacy was strengthened not merely by being motivated, but by deeply valuing the teaching profession and actively engaging in meaningful professional experiences. Opportunities for professional growth, constructive feedback, and recognition translated teachers’ motivation into confident and effective teaching practices. These findings were anchored on Bandura’s Social Cognitive Theory, Self‑Determination Theory, and Engagement Theory, which collectively explained that efficacy beliefs were developed through internalized motivation, mastery experiences, and active participation in professional environments.</w:t>
      </w:r>
    </w:p>
    <w:p w14:paraId="2CD3ACBC" w14:textId="7F06705E" w:rsidR="00B53BB8" w:rsidRDefault="00823B86" w:rsidP="00B53BB8">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These results were consistent with the study of</w:t>
      </w:r>
      <w:r>
        <w:rPr>
          <w:rFonts w:ascii="Times New Roman" w:hAnsi="Times New Roman" w:cs="Times New Roman"/>
          <w:sz w:val="24"/>
          <w:szCs w:val="24"/>
        </w:rPr>
        <w:t xml:space="preserve"> </w:t>
      </w:r>
      <w:r w:rsidRPr="00823B86">
        <w:rPr>
          <w:rFonts w:ascii="Times New Roman" w:hAnsi="Times New Roman" w:cs="Times New Roman"/>
          <w:sz w:val="24"/>
          <w:szCs w:val="24"/>
        </w:rPr>
        <w:t>Dorji (2024)</w:t>
      </w:r>
      <w:r>
        <w:rPr>
          <w:rFonts w:ascii="Times New Roman" w:hAnsi="Times New Roman" w:cs="Times New Roman"/>
          <w:sz w:val="24"/>
          <w:szCs w:val="24"/>
        </w:rPr>
        <w:t>, who</w:t>
      </w:r>
      <w:r w:rsidRPr="00823B86">
        <w:rPr>
          <w:rFonts w:ascii="Times New Roman" w:hAnsi="Times New Roman" w:cs="Times New Roman"/>
          <w:sz w:val="24"/>
          <w:szCs w:val="24"/>
        </w:rPr>
        <w:t xml:space="preserve"> found that teachers whose needs for competence, autonomy, and relatedness were satisfied demonstrated stronger self‑efficacy and instructional persistence, supporting the present finding that internalized motivation, particularly importance, significantly predicted teacher efficacy.</w:t>
      </w:r>
      <w:r>
        <w:rPr>
          <w:rFonts w:ascii="Times New Roman" w:hAnsi="Times New Roman" w:cs="Times New Roman"/>
          <w:sz w:val="24"/>
          <w:szCs w:val="24"/>
        </w:rPr>
        <w:t xml:space="preserve"> Similarly, </w:t>
      </w:r>
      <w:r w:rsidRPr="00823B86">
        <w:rPr>
          <w:rFonts w:ascii="Times New Roman" w:hAnsi="Times New Roman" w:cs="Times New Roman"/>
          <w:sz w:val="24"/>
          <w:szCs w:val="24"/>
        </w:rPr>
        <w:t>Tolentino et al. (2023) reported that teachers who strongly valued the importance of teaching and professional growth exhibited higher confidence in their instructional abilities, aligning with the present result that importance was a key motivational predictor of teacher efficacy.</w:t>
      </w:r>
      <w:r>
        <w:rPr>
          <w:rFonts w:ascii="Times New Roman" w:hAnsi="Times New Roman" w:cs="Times New Roman"/>
          <w:sz w:val="24"/>
          <w:szCs w:val="24"/>
        </w:rPr>
        <w:t xml:space="preserve"> Moreover, </w:t>
      </w:r>
      <w:proofErr w:type="spellStart"/>
      <w:r w:rsidRPr="00823B86">
        <w:rPr>
          <w:rFonts w:ascii="Times New Roman" w:hAnsi="Times New Roman" w:cs="Times New Roman"/>
          <w:sz w:val="24"/>
          <w:szCs w:val="24"/>
        </w:rPr>
        <w:t>Dayagbil</w:t>
      </w:r>
      <w:proofErr w:type="spellEnd"/>
      <w:r w:rsidRPr="00823B86">
        <w:rPr>
          <w:rFonts w:ascii="Times New Roman" w:hAnsi="Times New Roman" w:cs="Times New Roman"/>
          <w:sz w:val="24"/>
          <w:szCs w:val="24"/>
        </w:rPr>
        <w:t xml:space="preserve"> and </w:t>
      </w:r>
      <w:proofErr w:type="spellStart"/>
      <w:r w:rsidRPr="00823B86">
        <w:rPr>
          <w:rFonts w:ascii="Times New Roman" w:hAnsi="Times New Roman" w:cs="Times New Roman"/>
          <w:sz w:val="24"/>
          <w:szCs w:val="24"/>
        </w:rPr>
        <w:t>Alda</w:t>
      </w:r>
      <w:proofErr w:type="spellEnd"/>
      <w:r w:rsidRPr="00823B86">
        <w:rPr>
          <w:rFonts w:ascii="Times New Roman" w:hAnsi="Times New Roman" w:cs="Times New Roman"/>
          <w:sz w:val="24"/>
          <w:szCs w:val="24"/>
        </w:rPr>
        <w:t xml:space="preserve"> (2023) showed that teachers who actively engaged in continuing professional development developed stronger teaching competence and confidence. Similarly, Mantos et al. (2025) emphasized that structured training and career advancement opportunities strengthened teachers’ commitment and instructional effectiveness, supporting the predictive power of career growth and training opportunities in the present study.</w:t>
      </w:r>
      <w:r>
        <w:rPr>
          <w:rFonts w:ascii="Times New Roman" w:hAnsi="Times New Roman" w:cs="Times New Roman"/>
          <w:sz w:val="24"/>
          <w:szCs w:val="24"/>
        </w:rPr>
        <w:t xml:space="preserve"> Furthermore, </w:t>
      </w:r>
      <w:proofErr w:type="spellStart"/>
      <w:r w:rsidRPr="00823B86">
        <w:rPr>
          <w:rFonts w:ascii="Times New Roman" w:hAnsi="Times New Roman" w:cs="Times New Roman"/>
          <w:sz w:val="24"/>
          <w:szCs w:val="24"/>
        </w:rPr>
        <w:t>Saragena</w:t>
      </w:r>
      <w:proofErr w:type="spellEnd"/>
      <w:r w:rsidRPr="00823B86">
        <w:rPr>
          <w:rFonts w:ascii="Times New Roman" w:hAnsi="Times New Roman" w:cs="Times New Roman"/>
          <w:sz w:val="24"/>
          <w:szCs w:val="24"/>
        </w:rPr>
        <w:t xml:space="preserve"> et al. (2024) found that teachers’ efficacy beliefs were reinforced through successful teaching experiences, feedback, and professional competence, supporting the present finding that feedback and recognition significantly predicted teacher efficacy.</w:t>
      </w:r>
      <w:r>
        <w:rPr>
          <w:rFonts w:ascii="Times New Roman" w:hAnsi="Times New Roman" w:cs="Times New Roman"/>
          <w:sz w:val="24"/>
          <w:szCs w:val="24"/>
        </w:rPr>
        <w:t xml:space="preserve"> In summary, </w:t>
      </w:r>
      <w:r w:rsidRPr="00823B86">
        <w:rPr>
          <w:rFonts w:ascii="Times New Roman" w:hAnsi="Times New Roman" w:cs="Times New Roman"/>
          <w:sz w:val="24"/>
          <w:szCs w:val="24"/>
        </w:rPr>
        <w:t>the reviewed studies reinforced the present findings by confirming that teacher efficacy was best predicted by internalized motivation and meaningful engagement, particularly through professional growth opportunities and constructive feedback. These results emphasized that motivation and engagement jointly shaped teachers’ confidence, effectiveness, and capacity to sustain high‑quality instruction.</w:t>
      </w:r>
    </w:p>
    <w:p w14:paraId="0C46C9FD" w14:textId="77777777" w:rsidR="00823B86" w:rsidRDefault="00823B86" w:rsidP="00823B86">
      <w:pPr>
        <w:spacing w:before="240" w:after="240" w:line="240" w:lineRule="auto"/>
        <w:jc w:val="both"/>
        <w:rPr>
          <w:rFonts w:ascii="Times New Roman" w:hAnsi="Times New Roman" w:cs="Times New Roman"/>
          <w:b/>
          <w:bCs/>
          <w:sz w:val="28"/>
          <w:szCs w:val="28"/>
        </w:rPr>
      </w:pPr>
      <w:r w:rsidRPr="00823B86">
        <w:rPr>
          <w:rFonts w:ascii="Times New Roman" w:hAnsi="Times New Roman" w:cs="Times New Roman"/>
          <w:b/>
          <w:bCs/>
          <w:sz w:val="28"/>
          <w:szCs w:val="28"/>
        </w:rPr>
        <w:t>CONCLUSIONS</w:t>
      </w:r>
    </w:p>
    <w:p w14:paraId="13F71205" w14:textId="49E424F6" w:rsidR="00823B86"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lastRenderedPageBreak/>
        <w:t>Based on the findings of the study, the following conclusions were drawn:</w:t>
      </w:r>
    </w:p>
    <w:p w14:paraId="29A9BCF5" w14:textId="665BBAF8"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motivation was generally high, particularly in terms of enjoyment, performance, and the perceived importance of the teaching role. This reflected a strong internal drive and professional commitment among public school teachers toward their instructional responsibilities.</w:t>
      </w:r>
    </w:p>
    <w:p w14:paraId="3A934521"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engagement was also found to be high, as evidenced by shared values, the presence of feedback and recognition, and opportunities for career growth and training. This indicated that teachers were actively involved, emotionally connected, and professionally invested in their schools and work environment.</w:t>
      </w:r>
    </w:p>
    <w:p w14:paraId="2EC8A43B"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demonstrated a high level of instructional efficacy, showing strong confidence in lesson planning, classroom management, and facilitating effective learning experiences.</w:t>
      </w:r>
    </w:p>
    <w:p w14:paraId="36EC3E50" w14:textId="77777777"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motivation significantly influenced instructional efficacy, suggesting that motivated teachers tended to be more confident, persistent, and effective in delivering instruction.</w:t>
      </w:r>
    </w:p>
    <w:p w14:paraId="47582A26" w14:textId="07F9999D" w:rsidR="00A406C1" w:rsidRPr="00A406C1" w:rsidRDefault="00A406C1" w:rsidP="00A406C1">
      <w:pPr>
        <w:pStyle w:val="ListParagraph"/>
        <w:numPr>
          <w:ilvl w:val="0"/>
          <w:numId w:val="1"/>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engagement likewise had a significant influence on instructional efficacy, indicating that engaged teachers were more likely to exhibit effectiveness in instructional practices and classroom management.</w:t>
      </w:r>
    </w:p>
    <w:p w14:paraId="577F1EC3" w14:textId="0D86C82C" w:rsidR="00B53BB8"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b/>
          <w:bCs/>
          <w:sz w:val="28"/>
          <w:szCs w:val="28"/>
        </w:rPr>
        <w:t>RECOMMENDATIONS</w:t>
      </w:r>
    </w:p>
    <w:p w14:paraId="0978DED0" w14:textId="754108F2" w:rsidR="00A406C1" w:rsidRDefault="00823B86" w:rsidP="00823B86">
      <w:pPr>
        <w:spacing w:before="240" w:after="240" w:line="240" w:lineRule="auto"/>
        <w:jc w:val="both"/>
        <w:rPr>
          <w:rFonts w:ascii="Times New Roman" w:hAnsi="Times New Roman" w:cs="Times New Roman"/>
          <w:sz w:val="24"/>
          <w:szCs w:val="24"/>
        </w:rPr>
      </w:pPr>
      <w:r w:rsidRPr="00823B86">
        <w:rPr>
          <w:rFonts w:ascii="Times New Roman" w:hAnsi="Times New Roman" w:cs="Times New Roman"/>
          <w:sz w:val="24"/>
          <w:szCs w:val="24"/>
        </w:rPr>
        <w:t>Based on the findings of the study, the following recommendations were proposed and addressed</w:t>
      </w:r>
      <w:r w:rsidR="00A406C1">
        <w:rPr>
          <w:rFonts w:ascii="Times New Roman" w:hAnsi="Times New Roman" w:cs="Times New Roman"/>
          <w:sz w:val="24"/>
          <w:szCs w:val="24"/>
        </w:rPr>
        <w:t>:</w:t>
      </w:r>
    </w:p>
    <w:p w14:paraId="51208347"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School Administrators should sustain and strengthen a supportive school climate that promotes teachers’ intrinsic motivation by recognizing teachers’ efforts, encouraging collegial support, and providing opportunities for shared decision‑making to reinforce enjoyment of teaching and the perceived importance of the profession.</w:t>
      </w:r>
    </w:p>
    <w:p w14:paraId="49D357BA"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DepEd Division of Valencia City Administrators should provide continuous and needs‑based institutional support by strengthening professional development programs, enhancing Learning Action Cell (LAC) sessions, ensuring fair and constructive feedback systems, and expanding access to leadership and training opportunities to further increase teachers’ engagement and professional commitment.</w:t>
      </w:r>
    </w:p>
    <w:p w14:paraId="05422F8F"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Teachers should continue to build confidence in classroom management, instructional delivery, and learner interaction by engaging in reflective practices, adopting innovative teaching strategies, and participating in peer collaboration and mentoring to enhance instructional effectiveness.</w:t>
      </w:r>
    </w:p>
    <w:p w14:paraId="65D77E94"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School Principals should implement integrated strategies that simultaneously foster teacher motivation and engagement, including aligning school goals with teachers’ values, encouraging collaboration, and providing supportive feedback and continuous professional learning opportunities to strengthen teaching performance.</w:t>
      </w:r>
    </w:p>
    <w:p w14:paraId="696FA12A" w14:textId="77777777" w:rsidR="00A406C1" w:rsidRPr="00A406C1" w:rsidRDefault="00A406C1" w:rsidP="00A406C1">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DepEd Policymakers and Program Planners should prioritize the reinforcement of the importance of teaching, institutionalize meaningful feedback and recognition systems, and establish clear and sustainable pathways for career growth and continuous professional development, as these significantly strengthen teacher efficacy.</w:t>
      </w:r>
    </w:p>
    <w:p w14:paraId="53041AE3" w14:textId="01BAE35D" w:rsidR="00A406C1" w:rsidRDefault="00A406C1" w:rsidP="000A3BD7">
      <w:pPr>
        <w:pStyle w:val="ListParagraph"/>
        <w:numPr>
          <w:ilvl w:val="0"/>
          <w:numId w:val="2"/>
        </w:numPr>
        <w:spacing w:before="240" w:after="240" w:line="240" w:lineRule="auto"/>
        <w:jc w:val="both"/>
        <w:rPr>
          <w:rFonts w:ascii="Times New Roman" w:hAnsi="Times New Roman" w:cs="Times New Roman"/>
          <w:sz w:val="24"/>
          <w:szCs w:val="24"/>
        </w:rPr>
      </w:pPr>
      <w:r w:rsidRPr="00A406C1">
        <w:rPr>
          <w:rFonts w:ascii="Times New Roman" w:hAnsi="Times New Roman" w:cs="Times New Roman"/>
          <w:sz w:val="24"/>
          <w:szCs w:val="24"/>
        </w:rPr>
        <w:t>Future Researchers are encouraged to conduct similar studies in other divisions or educational levels and explore additional variables such as leadership style, school climate, workload, and learner characteristics, using qualitative or mixed‑methods approaches to gain deeper insights into the long‑term relationship among motivation, engagement, and teacher efficacy.</w:t>
      </w:r>
    </w:p>
    <w:p w14:paraId="0DA783B0" w14:textId="77777777" w:rsidR="00531CF1" w:rsidRDefault="00531CF1" w:rsidP="00531CF1">
      <w:pPr>
        <w:pStyle w:val="ListParagraph"/>
        <w:spacing w:before="240" w:after="240" w:line="240" w:lineRule="auto"/>
        <w:jc w:val="both"/>
        <w:rPr>
          <w:rFonts w:ascii="Times New Roman" w:hAnsi="Times New Roman" w:cs="Times New Roman"/>
          <w:sz w:val="24"/>
          <w:szCs w:val="24"/>
        </w:rPr>
      </w:pPr>
    </w:p>
    <w:p w14:paraId="64E7C6FD" w14:textId="77777777" w:rsidR="00531CF1" w:rsidRPr="00A406C1" w:rsidRDefault="00531CF1" w:rsidP="00531CF1">
      <w:pPr>
        <w:pStyle w:val="ListParagraph"/>
        <w:spacing w:before="240" w:after="240" w:line="240" w:lineRule="auto"/>
        <w:jc w:val="both"/>
        <w:rPr>
          <w:rFonts w:ascii="Times New Roman" w:hAnsi="Times New Roman" w:cs="Times New Roman"/>
          <w:sz w:val="24"/>
          <w:szCs w:val="24"/>
        </w:rPr>
      </w:pPr>
    </w:p>
    <w:p w14:paraId="07F83D07" w14:textId="77777777" w:rsidR="000A3BD7" w:rsidRPr="000A3BD7" w:rsidRDefault="000A3BD7" w:rsidP="000A3BD7">
      <w:pPr>
        <w:spacing w:before="240" w:after="240" w:line="240" w:lineRule="auto"/>
        <w:jc w:val="both"/>
        <w:rPr>
          <w:rFonts w:ascii="Times New Roman" w:hAnsi="Times New Roman" w:cs="Times New Roman"/>
          <w:b/>
          <w:bCs/>
          <w:sz w:val="28"/>
          <w:szCs w:val="28"/>
        </w:rPr>
      </w:pPr>
      <w:r w:rsidRPr="000A3BD7">
        <w:rPr>
          <w:rFonts w:ascii="Times New Roman" w:hAnsi="Times New Roman" w:cs="Times New Roman"/>
          <w:b/>
          <w:bCs/>
          <w:sz w:val="28"/>
          <w:szCs w:val="28"/>
        </w:rPr>
        <w:t>REFERENCES</w:t>
      </w:r>
    </w:p>
    <w:p w14:paraId="557B7AD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lastRenderedPageBreak/>
        <w:t xml:space="preserve">Abellar, H. A. A., &amp; </w:t>
      </w:r>
      <w:proofErr w:type="spellStart"/>
      <w:r w:rsidRPr="00531CF1">
        <w:rPr>
          <w:rFonts w:ascii="Times New Roman" w:hAnsi="Times New Roman" w:cs="Times New Roman"/>
          <w:sz w:val="24"/>
          <w:szCs w:val="24"/>
        </w:rPr>
        <w:t>Villocino</w:t>
      </w:r>
      <w:proofErr w:type="spellEnd"/>
      <w:r w:rsidRPr="00531CF1">
        <w:rPr>
          <w:rFonts w:ascii="Times New Roman" w:hAnsi="Times New Roman" w:cs="Times New Roman"/>
          <w:sz w:val="24"/>
          <w:szCs w:val="24"/>
        </w:rPr>
        <w:t>, R. P. (2025). Classroom management, self‑efficacy of elementary teachers and student engagement: A correlational study. International Journal of Innovative Science and Research Technology, 10(7). https://doi.org/10.38124/ijisrt/25jul645</w:t>
      </w:r>
    </w:p>
    <w:p w14:paraId="7D2481C3"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Adlaon</w:t>
      </w:r>
      <w:proofErr w:type="spellEnd"/>
      <w:r w:rsidRPr="00531CF1">
        <w:rPr>
          <w:rFonts w:ascii="Times New Roman" w:hAnsi="Times New Roman" w:cs="Times New Roman"/>
          <w:sz w:val="24"/>
          <w:szCs w:val="24"/>
        </w:rPr>
        <w:t>, G., Kulano, K. S., Crase, E. P., Mangindra, N. M., &amp; Abalos, E. I. R. A. (2024). The elementary school teachers’ motivational types and their individual performance commitment. Indonesian Journal of Education Research, 5(5), 196–204. https://doi.org/10.37251/ijoer.v5i5.1128</w:t>
      </w:r>
    </w:p>
    <w:p w14:paraId="7C93191C"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Afriantoni</w:t>
      </w:r>
      <w:proofErr w:type="spellEnd"/>
      <w:r w:rsidRPr="00531CF1">
        <w:rPr>
          <w:rFonts w:ascii="Times New Roman" w:hAnsi="Times New Roman" w:cs="Times New Roman"/>
          <w:sz w:val="24"/>
          <w:szCs w:val="24"/>
        </w:rPr>
        <w:t xml:space="preserve">, A., </w:t>
      </w:r>
      <w:proofErr w:type="spellStart"/>
      <w:r w:rsidRPr="00531CF1">
        <w:rPr>
          <w:rFonts w:ascii="Times New Roman" w:hAnsi="Times New Roman" w:cs="Times New Roman"/>
          <w:sz w:val="24"/>
          <w:szCs w:val="24"/>
        </w:rPr>
        <w:t>Nurazizah</w:t>
      </w:r>
      <w:proofErr w:type="spellEnd"/>
      <w:r w:rsidRPr="00531CF1">
        <w:rPr>
          <w:rFonts w:ascii="Times New Roman" w:hAnsi="Times New Roman" w:cs="Times New Roman"/>
          <w:sz w:val="24"/>
          <w:szCs w:val="24"/>
        </w:rPr>
        <w:t xml:space="preserve">, D., &amp; Ayu, W. R. (2025). </w:t>
      </w:r>
      <w:proofErr w:type="spellStart"/>
      <w:r w:rsidRPr="00531CF1">
        <w:rPr>
          <w:rFonts w:ascii="Times New Roman" w:hAnsi="Times New Roman" w:cs="Times New Roman"/>
          <w:sz w:val="24"/>
          <w:szCs w:val="24"/>
        </w:rPr>
        <w:t>Peran</w:t>
      </w:r>
      <w:proofErr w:type="spellEnd"/>
      <w:r w:rsidRPr="00531CF1">
        <w:rPr>
          <w:rFonts w:ascii="Times New Roman" w:hAnsi="Times New Roman" w:cs="Times New Roman"/>
          <w:sz w:val="24"/>
          <w:szCs w:val="24"/>
        </w:rPr>
        <w:t xml:space="preserve"> guru </w:t>
      </w:r>
      <w:proofErr w:type="spellStart"/>
      <w:r w:rsidRPr="00531CF1">
        <w:rPr>
          <w:rFonts w:ascii="Times New Roman" w:hAnsi="Times New Roman" w:cs="Times New Roman"/>
          <w:sz w:val="24"/>
          <w:szCs w:val="24"/>
        </w:rPr>
        <w:t>dalam</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meningkatkan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manajemen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mutu</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pendidikan</w:t>
      </w:r>
      <w:proofErr w:type="spellEnd"/>
      <w:r w:rsidRPr="00531CF1">
        <w:rPr>
          <w:rFonts w:ascii="Times New Roman" w:hAnsi="Times New Roman" w:cs="Times New Roman"/>
          <w:sz w:val="24"/>
          <w:szCs w:val="24"/>
        </w:rPr>
        <w:t xml:space="preserve"> di Indonesia. </w:t>
      </w:r>
      <w:proofErr w:type="spellStart"/>
      <w:r w:rsidRPr="00531CF1">
        <w:rPr>
          <w:rFonts w:ascii="Times New Roman" w:hAnsi="Times New Roman" w:cs="Times New Roman"/>
          <w:sz w:val="24"/>
          <w:szCs w:val="24"/>
        </w:rPr>
        <w:t>Jurnal</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Inovasi</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Pendidikan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dan</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Teknologi</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Informasi</w:t>
      </w:r>
      <w:proofErr w:type="spellEnd"/>
      <w:r w:rsidRPr="00531CF1">
        <w:rPr>
          <w:rFonts w:ascii="Times New Roman" w:hAnsi="Times New Roman" w:cs="Times New Roman"/>
          <w:sz w:val="24"/>
          <w:szCs w:val="24"/>
        </w:rPr>
        <w:t>, 6(1), 250–265. https://doi.org/10.52060/jipti.v6i1.2913</w:t>
      </w:r>
    </w:p>
    <w:p w14:paraId="3237505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Al Thani, H., Santhosh, M. E., &amp; Al Dosari, M. (2025). From values to action: The role of personal and social values in shaping K–12 teachers’ wellbeing and professional outcomes. Frontiers in Education, 10, Article 1571907. https://doi.org/10.3389/feduc.2025.1571907</w:t>
      </w:r>
    </w:p>
    <w:p w14:paraId="0F12F01B"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Aliste, D. P., &amp; </w:t>
      </w:r>
      <w:proofErr w:type="spellStart"/>
      <w:r w:rsidRPr="00531CF1">
        <w:rPr>
          <w:rFonts w:ascii="Times New Roman" w:hAnsi="Times New Roman" w:cs="Times New Roman"/>
          <w:sz w:val="24"/>
          <w:szCs w:val="24"/>
        </w:rPr>
        <w:t>Basañes</w:t>
      </w:r>
      <w:proofErr w:type="spellEnd"/>
      <w:r w:rsidRPr="00531CF1">
        <w:rPr>
          <w:rFonts w:ascii="Times New Roman" w:hAnsi="Times New Roman" w:cs="Times New Roman"/>
          <w:sz w:val="24"/>
          <w:szCs w:val="24"/>
        </w:rPr>
        <w:t>, R. A. (2024). Assessing teachers’ engagement in public elementary schools in the Philippines. FMDB Transactions on Sustainable Techno Learning, 2(2), 62–74. https://doi.org/10.69888/ftstl.2024.000207</w:t>
      </w:r>
    </w:p>
    <w:p w14:paraId="6491F9FF"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Antonio, G. C. (2023). Resilience and sense of self‑efficacy among Filipino educators during the COVID‑19 pandemic. American Journal of IR 4.0 and Beyond, 2(1), 1–5. https://doi.org/10.54536/ajirb.v2i1.1457</w:t>
      </w:r>
    </w:p>
    <w:p w14:paraId="4F30A2B2"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Aranguez, J. B. (2023). Empowering through awards and recognition: Strengthening teachers’ morale. EPRA International Journal of Multidisciplinary Research. https://doi.org/10.36713/epra16824</w:t>
      </w:r>
    </w:p>
    <w:p w14:paraId="17DE788F"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Blömeke</w:t>
      </w:r>
      <w:proofErr w:type="spellEnd"/>
      <w:r w:rsidRPr="00531CF1">
        <w:rPr>
          <w:rFonts w:ascii="Times New Roman" w:hAnsi="Times New Roman" w:cs="Times New Roman"/>
          <w:sz w:val="24"/>
          <w:szCs w:val="24"/>
        </w:rPr>
        <w:t>, S., Jentsch, A., Ross, N., Kaiser, G., &amp; König, J. (2022). Opening up the black box: Teacher competence, instructional quality, and students’ learning progress. Learning and Instruction, 79, Article 101600. https://doi.org/10.1016/j.learninstruc.2022.101600</w:t>
      </w:r>
    </w:p>
    <w:p w14:paraId="4CC3BD0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Burić, I., Jakšić, K., &amp; </w:t>
      </w:r>
      <w:proofErr w:type="spellStart"/>
      <w:r w:rsidRPr="00531CF1">
        <w:rPr>
          <w:rFonts w:ascii="Times New Roman" w:hAnsi="Times New Roman" w:cs="Times New Roman"/>
          <w:sz w:val="24"/>
          <w:szCs w:val="24"/>
        </w:rPr>
        <w:t>Balaž</w:t>
      </w:r>
      <w:proofErr w:type="spellEnd"/>
      <w:r w:rsidRPr="00531CF1">
        <w:rPr>
          <w:rFonts w:ascii="Times New Roman" w:hAnsi="Times New Roman" w:cs="Times New Roman"/>
          <w:sz w:val="24"/>
          <w:szCs w:val="24"/>
        </w:rPr>
        <w:t>, B. (2024). Teacher self‑efficacy and teaching quality: A three‑wave longitudinal investigation. International Journal of Psychology, 59, 1317–1325. https://doi.org/10.1002/ijop.13255</w:t>
      </w:r>
    </w:p>
    <w:p w14:paraId="0C375611"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Cents‑Boonstra, M., Lichtwarck‑Aschoff, A., </w:t>
      </w:r>
      <w:proofErr w:type="spellStart"/>
      <w:r w:rsidRPr="00531CF1">
        <w:rPr>
          <w:rFonts w:ascii="Times New Roman" w:hAnsi="Times New Roman" w:cs="Times New Roman"/>
          <w:sz w:val="24"/>
          <w:szCs w:val="24"/>
        </w:rPr>
        <w:t>Denessen</w:t>
      </w:r>
      <w:proofErr w:type="spellEnd"/>
      <w:r w:rsidRPr="00531CF1">
        <w:rPr>
          <w:rFonts w:ascii="Times New Roman" w:hAnsi="Times New Roman" w:cs="Times New Roman"/>
          <w:sz w:val="24"/>
          <w:szCs w:val="24"/>
        </w:rPr>
        <w:t xml:space="preserve">, E., </w:t>
      </w:r>
      <w:proofErr w:type="spellStart"/>
      <w:r w:rsidRPr="00531CF1">
        <w:rPr>
          <w:rFonts w:ascii="Times New Roman" w:hAnsi="Times New Roman" w:cs="Times New Roman"/>
          <w:sz w:val="24"/>
          <w:szCs w:val="24"/>
        </w:rPr>
        <w:t>Aelterman</w:t>
      </w:r>
      <w:proofErr w:type="spellEnd"/>
      <w:r w:rsidRPr="00531CF1">
        <w:rPr>
          <w:rFonts w:ascii="Times New Roman" w:hAnsi="Times New Roman" w:cs="Times New Roman"/>
          <w:sz w:val="24"/>
          <w:szCs w:val="24"/>
        </w:rPr>
        <w:t xml:space="preserve">, N., </w:t>
      </w:r>
      <w:proofErr w:type="spellStart"/>
      <w:r w:rsidRPr="00531CF1">
        <w:rPr>
          <w:rFonts w:ascii="Times New Roman" w:hAnsi="Times New Roman" w:cs="Times New Roman"/>
          <w:sz w:val="24"/>
          <w:szCs w:val="24"/>
        </w:rPr>
        <w:t>Haerens</w:t>
      </w:r>
      <w:proofErr w:type="spellEnd"/>
      <w:r w:rsidRPr="00531CF1">
        <w:rPr>
          <w:rFonts w:ascii="Times New Roman" w:hAnsi="Times New Roman" w:cs="Times New Roman"/>
          <w:sz w:val="24"/>
          <w:szCs w:val="24"/>
        </w:rPr>
        <w:t>, L., &amp; Ceulemans, E. (2020). Fostering student engagement with motivating teaching: An observation study of teacher and student behaviours. Research Papers in Education, 35(6), 675–697. https://doi.org/10.1080/02671522.2020.1767184</w:t>
      </w:r>
    </w:p>
    <w:p w14:paraId="41ED773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Chang, N., &amp; Isa, Z. M. (2024). Exploring the influence of teacher self‑efficacy on teaching quality in higher vocational education. DREAM Journal of Research in Education and Management, 3(7). https://doi.org/10.56982/dream.v3i07.246</w:t>
      </w:r>
    </w:p>
    <w:p w14:paraId="4E030C76"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Dayagbil</w:t>
      </w:r>
      <w:proofErr w:type="spellEnd"/>
      <w:r w:rsidRPr="00531CF1">
        <w:rPr>
          <w:rFonts w:ascii="Times New Roman" w:hAnsi="Times New Roman" w:cs="Times New Roman"/>
          <w:sz w:val="24"/>
          <w:szCs w:val="24"/>
        </w:rPr>
        <w:t>, F., &amp; Alda, R. (2023). Continuing professional development opportunities: Teachers’ motivation and perceived effectiveness. Journal of Education and Educational Development, 12(3). https://doi.org/10.18488/61.v12i3.3733</w:t>
      </w:r>
    </w:p>
    <w:p w14:paraId="6601ED6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Doño</w:t>
      </w:r>
      <w:proofErr w:type="spellEnd"/>
      <w:r w:rsidRPr="00531CF1">
        <w:rPr>
          <w:rFonts w:ascii="Times New Roman" w:hAnsi="Times New Roman" w:cs="Times New Roman"/>
          <w:sz w:val="24"/>
          <w:szCs w:val="24"/>
        </w:rPr>
        <w:t xml:space="preserve">, M. J. A., &amp; </w:t>
      </w:r>
      <w:proofErr w:type="spellStart"/>
      <w:r w:rsidRPr="00531CF1">
        <w:rPr>
          <w:rFonts w:ascii="Times New Roman" w:hAnsi="Times New Roman" w:cs="Times New Roman"/>
          <w:sz w:val="24"/>
          <w:szCs w:val="24"/>
        </w:rPr>
        <w:t>Mangila</w:t>
      </w:r>
      <w:proofErr w:type="spellEnd"/>
      <w:r w:rsidRPr="00531CF1">
        <w:rPr>
          <w:rFonts w:ascii="Times New Roman" w:hAnsi="Times New Roman" w:cs="Times New Roman"/>
          <w:sz w:val="24"/>
          <w:szCs w:val="24"/>
        </w:rPr>
        <w:t>, B. B. (2021). Mathematics teachers’ engagement and students’ motivation to learn mathematics. Infinity Journal, 10(2), 285–300. https://doi.org/10.22460/infinity.v10i2.p285-300</w:t>
      </w:r>
    </w:p>
    <w:p w14:paraId="72FD366C"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Dorji, T. (2024). Teacher motivation under </w:t>
      </w:r>
      <w:proofErr w:type="spellStart"/>
      <w:r w:rsidRPr="00531CF1">
        <w:rPr>
          <w:rFonts w:ascii="Times New Roman" w:hAnsi="Times New Roman" w:cs="Times New Roman"/>
          <w:sz w:val="24"/>
          <w:szCs w:val="24"/>
        </w:rPr>
        <w:t>Chhukha</w:t>
      </w:r>
      <w:proofErr w:type="spellEnd"/>
      <w:r w:rsidRPr="00531CF1">
        <w:rPr>
          <w:rFonts w:ascii="Times New Roman" w:hAnsi="Times New Roman" w:cs="Times New Roman"/>
          <w:sz w:val="24"/>
          <w:szCs w:val="24"/>
        </w:rPr>
        <w:t xml:space="preserve"> </w:t>
      </w:r>
      <w:proofErr w:type="spellStart"/>
      <w:r w:rsidRPr="00531CF1">
        <w:rPr>
          <w:rFonts w:ascii="Times New Roman" w:hAnsi="Times New Roman" w:cs="Times New Roman"/>
          <w:sz w:val="24"/>
          <w:szCs w:val="24"/>
        </w:rPr>
        <w:t>Dzongkhag</w:t>
      </w:r>
      <w:proofErr w:type="spellEnd"/>
      <w:r w:rsidRPr="00531CF1">
        <w:rPr>
          <w:rFonts w:ascii="Times New Roman" w:hAnsi="Times New Roman" w:cs="Times New Roman"/>
          <w:sz w:val="24"/>
          <w:szCs w:val="24"/>
        </w:rPr>
        <w:t>. Journal of Humanities and Education Development, 6(4). https://doi.org/10.22161/jhed.6.4.1</w:t>
      </w:r>
    </w:p>
    <w:p w14:paraId="771DBB4D"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Fabrigas, E. J. A., &amp; Paglinawan, J. L. (2025). Beyond the classroom: Challenges and resilience of teachers in remote schools. International Journal of Research and Innovation in Social Science, 9(4), 6421–6429. https://doi.org/10.47772/ijriss.2025.90400464</w:t>
      </w:r>
    </w:p>
    <w:p w14:paraId="4AA772BB"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Fackler, S., Malmberg, L.‑E., &amp; Sammons, P. (2021). An international perspective on teacher self‑efficacy: Personal, structural and environmental factors. Teaching and Teacher Education, 99, Article 103255. https://doi.org/10.1016/j.tate.2020.103255</w:t>
      </w:r>
    </w:p>
    <w:p w14:paraId="14E9503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Farida, I. (2021). Teacher work motivation and instructional persistence. Asian Journal of Education and Social Studies, 25(1), 24–34. https://doi.org/10.9734/ajess/2021/v25i130590</w:t>
      </w:r>
    </w:p>
    <w:p w14:paraId="55B7377A"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Lazarides, R., Fauth, B., Gaspard, H., &amp; Göllner, R. (2021). Teacher self‑efficacy and enthusiasm: Relations to changes in student‑perceived teaching quality. Learning and Instruction, 73, Article 101435. https://doi.org/10.1016/j.learninstruc.2020.101435</w:t>
      </w:r>
    </w:p>
    <w:p w14:paraId="70D839E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lastRenderedPageBreak/>
        <w:t>Ojales</w:t>
      </w:r>
      <w:proofErr w:type="spellEnd"/>
      <w:r w:rsidRPr="00531CF1">
        <w:rPr>
          <w:rFonts w:ascii="Times New Roman" w:hAnsi="Times New Roman" w:cs="Times New Roman"/>
          <w:sz w:val="24"/>
          <w:szCs w:val="24"/>
        </w:rPr>
        <w:t xml:space="preserve">, M. P., </w:t>
      </w:r>
      <w:proofErr w:type="spellStart"/>
      <w:r w:rsidRPr="00531CF1">
        <w:rPr>
          <w:rFonts w:ascii="Times New Roman" w:hAnsi="Times New Roman" w:cs="Times New Roman"/>
          <w:sz w:val="24"/>
          <w:szCs w:val="24"/>
        </w:rPr>
        <w:t>Licaros</w:t>
      </w:r>
      <w:proofErr w:type="spellEnd"/>
      <w:r w:rsidRPr="00531CF1">
        <w:rPr>
          <w:rFonts w:ascii="Times New Roman" w:hAnsi="Times New Roman" w:cs="Times New Roman"/>
          <w:sz w:val="24"/>
          <w:szCs w:val="24"/>
        </w:rPr>
        <w:t xml:space="preserve">, O. J., &amp; </w:t>
      </w:r>
      <w:proofErr w:type="spellStart"/>
      <w:r w:rsidRPr="00531CF1">
        <w:rPr>
          <w:rFonts w:ascii="Times New Roman" w:hAnsi="Times New Roman" w:cs="Times New Roman"/>
          <w:sz w:val="24"/>
          <w:szCs w:val="24"/>
        </w:rPr>
        <w:t>Cadampog</w:t>
      </w:r>
      <w:proofErr w:type="spellEnd"/>
      <w:r w:rsidRPr="00531CF1">
        <w:rPr>
          <w:rFonts w:ascii="Times New Roman" w:hAnsi="Times New Roman" w:cs="Times New Roman"/>
          <w:sz w:val="24"/>
          <w:szCs w:val="24"/>
        </w:rPr>
        <w:t>, C. B. (2023). Teacher engagement and teaching adaptability in basic education. Psychology and Education: A Multidisciplinary Journal, 19(8), 902–916. https://doi.org/10.5281/zenodo.11177152</w:t>
      </w:r>
    </w:p>
    <w:p w14:paraId="32334DE8"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Parason</w:t>
      </w:r>
      <w:proofErr w:type="spellEnd"/>
      <w:r w:rsidRPr="00531CF1">
        <w:rPr>
          <w:rFonts w:ascii="Times New Roman" w:hAnsi="Times New Roman" w:cs="Times New Roman"/>
          <w:sz w:val="24"/>
          <w:szCs w:val="24"/>
        </w:rPr>
        <w:t>, J. B., &amp; Baguio, J. B. (2025). Communal collaboration system and organizational demeanor of teachers in public secondary schools. EPRA International Journal of Multidisciplinary Research, 11(8). https://doi.org/10.36713/epra23854</w:t>
      </w:r>
    </w:p>
    <w:p w14:paraId="75408D3A"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Pelingon</w:t>
      </w:r>
      <w:proofErr w:type="spellEnd"/>
      <w:r w:rsidRPr="00531CF1">
        <w:rPr>
          <w:rFonts w:ascii="Times New Roman" w:hAnsi="Times New Roman" w:cs="Times New Roman"/>
          <w:sz w:val="24"/>
          <w:szCs w:val="24"/>
        </w:rPr>
        <w:t>, K. F. R., et al. (2024). Self‑efficacy of proficient public secondary school teachers in the Philippines: A sequential explanatory study. International Journal of Multidisciplinary: Applied Business and Education Research, 5(5), 1814–1842. https://doi.org/10.11594/ijmaber.05.05.2</w:t>
      </w:r>
    </w:p>
    <w:p w14:paraId="4876E301"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 xml:space="preserve">Rajagopalan, I. (2019). Concept of teaching. </w:t>
      </w:r>
      <w:proofErr w:type="spellStart"/>
      <w:r w:rsidRPr="00531CF1">
        <w:rPr>
          <w:rFonts w:ascii="Times New Roman" w:hAnsi="Times New Roman" w:cs="Times New Roman"/>
          <w:sz w:val="24"/>
          <w:szCs w:val="24"/>
        </w:rPr>
        <w:t>Shanlax</w:t>
      </w:r>
      <w:proofErr w:type="spellEnd"/>
      <w:r w:rsidRPr="00531CF1">
        <w:rPr>
          <w:rFonts w:ascii="Times New Roman" w:hAnsi="Times New Roman" w:cs="Times New Roman"/>
          <w:sz w:val="24"/>
          <w:szCs w:val="24"/>
        </w:rPr>
        <w:t xml:space="preserve"> International Journal of Education, 7(2), 5–8. https://doi.org/10.34293/education.v7i2.329</w:t>
      </w:r>
    </w:p>
    <w:p w14:paraId="13EF7DCD"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Samaco, B. M. (2023). Work motivation factors in relation to teachers’ performance of secondary school teachers in Sanchez Mira, Cagayan. AIDE Interdisciplinary Research Journal, 3(1), 74–84. https://doi.org/10.56648/aide-irj.v3i1.55</w:t>
      </w:r>
    </w:p>
    <w:p w14:paraId="65B9CC2E"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proofErr w:type="spellStart"/>
      <w:r w:rsidRPr="00531CF1">
        <w:rPr>
          <w:rFonts w:ascii="Times New Roman" w:hAnsi="Times New Roman" w:cs="Times New Roman"/>
          <w:sz w:val="24"/>
          <w:szCs w:val="24"/>
        </w:rPr>
        <w:t>Saragena</w:t>
      </w:r>
      <w:proofErr w:type="spellEnd"/>
      <w:r w:rsidRPr="00531CF1">
        <w:rPr>
          <w:rFonts w:ascii="Times New Roman" w:hAnsi="Times New Roman" w:cs="Times New Roman"/>
          <w:sz w:val="24"/>
          <w:szCs w:val="24"/>
        </w:rPr>
        <w:t>, N. D., Maravillas, N. C., Bual, J. M., &amp; Ramales, J. L. M. (2024). Associating instructional practices and self‑efficacy of teachers in selected public elementary schools in Antique, Philippines. Asian Journal of Advanced Research and Reports, 18(11), 252–263. https://doi.org/10.9734/ajarr/2024/v18i11793</w:t>
      </w:r>
    </w:p>
    <w:p w14:paraId="23DAEF15" w14:textId="77777777" w:rsidR="000A3BD7" w:rsidRPr="00531CF1" w:rsidRDefault="000A3BD7" w:rsidP="000A3BD7">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Tolentino, A. B., et al. (2023). Self‑efficacy, interest, and effort indicators in the teaching motivation of public senior high school teachers in the Philippines. Journal of Advances in Education and Philosophy, 7(2), 59–66. https://doi.org/10.36348/jaep.2023.v07i02.002</w:t>
      </w:r>
    </w:p>
    <w:p w14:paraId="32226387" w14:textId="77777777" w:rsidR="00531CF1" w:rsidRDefault="000A3BD7" w:rsidP="00531CF1">
      <w:pPr>
        <w:pStyle w:val="ListParagraph"/>
        <w:numPr>
          <w:ilvl w:val="0"/>
          <w:numId w:val="3"/>
        </w:numPr>
        <w:spacing w:before="240" w:after="240" w:line="240" w:lineRule="auto"/>
        <w:jc w:val="both"/>
        <w:rPr>
          <w:rFonts w:ascii="Times New Roman" w:hAnsi="Times New Roman" w:cs="Times New Roman"/>
          <w:sz w:val="24"/>
          <w:szCs w:val="24"/>
        </w:rPr>
      </w:pPr>
      <w:r w:rsidRPr="00531CF1">
        <w:rPr>
          <w:rFonts w:ascii="Times New Roman" w:hAnsi="Times New Roman" w:cs="Times New Roman"/>
          <w:sz w:val="24"/>
          <w:szCs w:val="24"/>
        </w:rPr>
        <w:t>Zhang, J., Ye, Z., Chen, S., &amp; Sun, Q. (2025). Association between school climate, teachers’ self‑efficacy, instructional practice, and perceived needs in professional development. Large‑Scale Assessments in Education, 13, Article 26. https://doi.org/10.1186/s40536‑025‑00268‑5</w:t>
      </w:r>
    </w:p>
    <w:p w14:paraId="253872F4" w14:textId="4D4A300E" w:rsidR="00823B86" w:rsidRPr="00531CF1" w:rsidRDefault="000A3BD7" w:rsidP="00531CF1">
      <w:pPr>
        <w:spacing w:before="240" w:after="240" w:line="240" w:lineRule="auto"/>
        <w:ind w:left="360"/>
        <w:jc w:val="both"/>
        <w:rPr>
          <w:rFonts w:ascii="Times New Roman" w:hAnsi="Times New Roman" w:cs="Times New Roman"/>
          <w:sz w:val="24"/>
          <w:szCs w:val="24"/>
        </w:rPr>
      </w:pPr>
      <w:r w:rsidRPr="00531CF1">
        <w:rPr>
          <w:rFonts w:ascii="Times New Roman" w:hAnsi="Times New Roman" w:cs="Times New Roman"/>
          <w:sz w:val="24"/>
          <w:szCs w:val="24"/>
        </w:rPr>
        <w:br/>
      </w:r>
    </w:p>
    <w:p w14:paraId="56BE8C0D" w14:textId="77777777" w:rsidR="000A3BD7" w:rsidRDefault="000A3BD7" w:rsidP="000A3BD7">
      <w:pPr>
        <w:spacing w:before="240" w:after="240" w:line="240" w:lineRule="auto"/>
        <w:jc w:val="both"/>
        <w:rPr>
          <w:rFonts w:ascii="Times New Roman" w:hAnsi="Times New Roman" w:cs="Times New Roman"/>
          <w:sz w:val="24"/>
          <w:szCs w:val="24"/>
        </w:rPr>
      </w:pPr>
    </w:p>
    <w:p w14:paraId="40BE18BC" w14:textId="77777777" w:rsidR="00823B86" w:rsidRPr="00F8168E" w:rsidRDefault="00823B86" w:rsidP="000A3BD7">
      <w:pPr>
        <w:spacing w:before="240" w:after="240" w:line="240" w:lineRule="auto"/>
        <w:jc w:val="both"/>
        <w:rPr>
          <w:rFonts w:ascii="Times New Roman" w:hAnsi="Times New Roman" w:cs="Times New Roman"/>
          <w:sz w:val="24"/>
          <w:szCs w:val="24"/>
        </w:rPr>
      </w:pPr>
    </w:p>
    <w:sectPr w:rsidR="00823B86" w:rsidRPr="00F8168E" w:rsidSect="00E234FB">
      <w:type w:val="continuous"/>
      <w:pgSz w:w="12240" w:h="15840" w:code="1"/>
      <w:pgMar w:top="1094" w:right="607" w:bottom="607" w:left="607" w:header="357" w:footer="35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28E94" w14:textId="77777777" w:rsidR="00C553BB" w:rsidRDefault="00C553BB" w:rsidP="00E234FB">
      <w:pPr>
        <w:spacing w:after="0" w:line="240" w:lineRule="auto"/>
      </w:pPr>
      <w:r>
        <w:separator/>
      </w:r>
    </w:p>
  </w:endnote>
  <w:endnote w:type="continuationSeparator" w:id="0">
    <w:p w14:paraId="279EE979" w14:textId="77777777" w:rsidR="00C553BB" w:rsidRDefault="00C553BB" w:rsidP="00E2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A4FA5" w14:textId="77777777" w:rsidR="00C553BB" w:rsidRDefault="00C553BB" w:rsidP="00E234FB">
      <w:pPr>
        <w:spacing w:after="0" w:line="240" w:lineRule="auto"/>
      </w:pPr>
      <w:r>
        <w:separator/>
      </w:r>
    </w:p>
  </w:footnote>
  <w:footnote w:type="continuationSeparator" w:id="0">
    <w:p w14:paraId="505B92C5" w14:textId="77777777" w:rsidR="00C553BB" w:rsidRDefault="00C553BB" w:rsidP="00E23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9A8"/>
    <w:multiLevelType w:val="hybridMultilevel"/>
    <w:tmpl w:val="0DC6C4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568386C"/>
    <w:multiLevelType w:val="hybridMultilevel"/>
    <w:tmpl w:val="942CC3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3FE62D63"/>
    <w:multiLevelType w:val="hybridMultilevel"/>
    <w:tmpl w:val="E24C31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4FB"/>
    <w:rsid w:val="000837A8"/>
    <w:rsid w:val="00092919"/>
    <w:rsid w:val="000A3BD7"/>
    <w:rsid w:val="000E4999"/>
    <w:rsid w:val="001B0175"/>
    <w:rsid w:val="00381DFA"/>
    <w:rsid w:val="003F19C3"/>
    <w:rsid w:val="00486BED"/>
    <w:rsid w:val="00531CF1"/>
    <w:rsid w:val="00546D14"/>
    <w:rsid w:val="005522DD"/>
    <w:rsid w:val="005710C7"/>
    <w:rsid w:val="00602E84"/>
    <w:rsid w:val="00661D7D"/>
    <w:rsid w:val="006E28DC"/>
    <w:rsid w:val="007A7D8D"/>
    <w:rsid w:val="00823B86"/>
    <w:rsid w:val="00984BA2"/>
    <w:rsid w:val="00A406C1"/>
    <w:rsid w:val="00A65231"/>
    <w:rsid w:val="00A71BC9"/>
    <w:rsid w:val="00B53BB8"/>
    <w:rsid w:val="00B6475A"/>
    <w:rsid w:val="00BE5358"/>
    <w:rsid w:val="00C553BB"/>
    <w:rsid w:val="00CA0682"/>
    <w:rsid w:val="00CF6005"/>
    <w:rsid w:val="00E234FB"/>
    <w:rsid w:val="00E237FC"/>
    <w:rsid w:val="00E51DA2"/>
    <w:rsid w:val="00E62EE1"/>
    <w:rsid w:val="00F775A8"/>
    <w:rsid w:val="00F8168E"/>
    <w:rsid w:val="00F8356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FB"/>
    <w:rPr>
      <w:rFonts w:eastAsiaTheme="majorEastAsia" w:cstheme="majorBidi"/>
      <w:color w:val="272727" w:themeColor="text1" w:themeTint="D8"/>
    </w:rPr>
  </w:style>
  <w:style w:type="paragraph" w:styleId="Title">
    <w:name w:val="Title"/>
    <w:basedOn w:val="Normal"/>
    <w:next w:val="Normal"/>
    <w:link w:val="TitleChar"/>
    <w:uiPriority w:val="10"/>
    <w:qFormat/>
    <w:rsid w:val="00E2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FB"/>
    <w:pPr>
      <w:spacing w:before="160"/>
      <w:jc w:val="center"/>
    </w:pPr>
    <w:rPr>
      <w:i/>
      <w:iCs/>
      <w:color w:val="404040" w:themeColor="text1" w:themeTint="BF"/>
    </w:rPr>
  </w:style>
  <w:style w:type="character" w:customStyle="1" w:styleId="QuoteChar">
    <w:name w:val="Quote Char"/>
    <w:basedOn w:val="DefaultParagraphFont"/>
    <w:link w:val="Quote"/>
    <w:uiPriority w:val="29"/>
    <w:rsid w:val="00E234FB"/>
    <w:rPr>
      <w:i/>
      <w:iCs/>
      <w:color w:val="404040" w:themeColor="text1" w:themeTint="BF"/>
    </w:rPr>
  </w:style>
  <w:style w:type="paragraph" w:styleId="ListParagraph">
    <w:name w:val="List Paragraph"/>
    <w:basedOn w:val="Normal"/>
    <w:uiPriority w:val="34"/>
    <w:qFormat/>
    <w:rsid w:val="00E234FB"/>
    <w:pPr>
      <w:ind w:left="720"/>
      <w:contextualSpacing/>
    </w:pPr>
  </w:style>
  <w:style w:type="character" w:styleId="IntenseEmphasis">
    <w:name w:val="Intense Emphasis"/>
    <w:basedOn w:val="DefaultParagraphFont"/>
    <w:uiPriority w:val="21"/>
    <w:qFormat/>
    <w:rsid w:val="00E234FB"/>
    <w:rPr>
      <w:i/>
      <w:iCs/>
      <w:color w:val="0F4761" w:themeColor="accent1" w:themeShade="BF"/>
    </w:rPr>
  </w:style>
  <w:style w:type="paragraph" w:styleId="IntenseQuote">
    <w:name w:val="Intense Quote"/>
    <w:basedOn w:val="Normal"/>
    <w:next w:val="Normal"/>
    <w:link w:val="IntenseQuoteChar"/>
    <w:uiPriority w:val="30"/>
    <w:qFormat/>
    <w:rsid w:val="00E23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4FB"/>
    <w:rPr>
      <w:i/>
      <w:iCs/>
      <w:color w:val="0F4761" w:themeColor="accent1" w:themeShade="BF"/>
    </w:rPr>
  </w:style>
  <w:style w:type="character" w:styleId="IntenseReference">
    <w:name w:val="Intense Reference"/>
    <w:basedOn w:val="DefaultParagraphFont"/>
    <w:uiPriority w:val="32"/>
    <w:qFormat/>
    <w:rsid w:val="00E234FB"/>
    <w:rPr>
      <w:b/>
      <w:bCs/>
      <w:smallCaps/>
      <w:color w:val="0F4761" w:themeColor="accent1" w:themeShade="BF"/>
      <w:spacing w:val="5"/>
    </w:rPr>
  </w:style>
  <w:style w:type="paragraph" w:styleId="Header">
    <w:name w:val="header"/>
    <w:basedOn w:val="Normal"/>
    <w:link w:val="HeaderChar"/>
    <w:uiPriority w:val="99"/>
    <w:unhideWhenUsed/>
    <w:rsid w:val="00E2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FB"/>
  </w:style>
  <w:style w:type="paragraph" w:styleId="Footer">
    <w:name w:val="footer"/>
    <w:basedOn w:val="Normal"/>
    <w:link w:val="FooterChar"/>
    <w:uiPriority w:val="99"/>
    <w:unhideWhenUsed/>
    <w:rsid w:val="00E2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FB"/>
  </w:style>
  <w:style w:type="table" w:customStyle="1" w:styleId="PlainTable4">
    <w:name w:val="Plain Table 4"/>
    <w:basedOn w:val="TableNormal"/>
    <w:uiPriority w:val="44"/>
    <w:rsid w:val="000837A8"/>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E84"/>
    <w:rPr>
      <w:color w:val="467886" w:themeColor="hyperlink"/>
      <w:u w:val="single"/>
    </w:rPr>
  </w:style>
  <w:style w:type="character" w:customStyle="1" w:styleId="UnresolvedMention">
    <w:name w:val="Unresolved Mention"/>
    <w:basedOn w:val="DefaultParagraphFont"/>
    <w:uiPriority w:val="99"/>
    <w:semiHidden/>
    <w:unhideWhenUsed/>
    <w:rsid w:val="00602E8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4FB"/>
    <w:rPr>
      <w:rFonts w:eastAsiaTheme="majorEastAsia" w:cstheme="majorBidi"/>
      <w:color w:val="272727" w:themeColor="text1" w:themeTint="D8"/>
    </w:rPr>
  </w:style>
  <w:style w:type="paragraph" w:styleId="Title">
    <w:name w:val="Title"/>
    <w:basedOn w:val="Normal"/>
    <w:next w:val="Normal"/>
    <w:link w:val="TitleChar"/>
    <w:uiPriority w:val="10"/>
    <w:qFormat/>
    <w:rsid w:val="00E2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4FB"/>
    <w:pPr>
      <w:spacing w:before="160"/>
      <w:jc w:val="center"/>
    </w:pPr>
    <w:rPr>
      <w:i/>
      <w:iCs/>
      <w:color w:val="404040" w:themeColor="text1" w:themeTint="BF"/>
    </w:rPr>
  </w:style>
  <w:style w:type="character" w:customStyle="1" w:styleId="QuoteChar">
    <w:name w:val="Quote Char"/>
    <w:basedOn w:val="DefaultParagraphFont"/>
    <w:link w:val="Quote"/>
    <w:uiPriority w:val="29"/>
    <w:rsid w:val="00E234FB"/>
    <w:rPr>
      <w:i/>
      <w:iCs/>
      <w:color w:val="404040" w:themeColor="text1" w:themeTint="BF"/>
    </w:rPr>
  </w:style>
  <w:style w:type="paragraph" w:styleId="ListParagraph">
    <w:name w:val="List Paragraph"/>
    <w:basedOn w:val="Normal"/>
    <w:uiPriority w:val="34"/>
    <w:qFormat/>
    <w:rsid w:val="00E234FB"/>
    <w:pPr>
      <w:ind w:left="720"/>
      <w:contextualSpacing/>
    </w:pPr>
  </w:style>
  <w:style w:type="character" w:styleId="IntenseEmphasis">
    <w:name w:val="Intense Emphasis"/>
    <w:basedOn w:val="DefaultParagraphFont"/>
    <w:uiPriority w:val="21"/>
    <w:qFormat/>
    <w:rsid w:val="00E234FB"/>
    <w:rPr>
      <w:i/>
      <w:iCs/>
      <w:color w:val="0F4761" w:themeColor="accent1" w:themeShade="BF"/>
    </w:rPr>
  </w:style>
  <w:style w:type="paragraph" w:styleId="IntenseQuote">
    <w:name w:val="Intense Quote"/>
    <w:basedOn w:val="Normal"/>
    <w:next w:val="Normal"/>
    <w:link w:val="IntenseQuoteChar"/>
    <w:uiPriority w:val="30"/>
    <w:qFormat/>
    <w:rsid w:val="00E23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4FB"/>
    <w:rPr>
      <w:i/>
      <w:iCs/>
      <w:color w:val="0F4761" w:themeColor="accent1" w:themeShade="BF"/>
    </w:rPr>
  </w:style>
  <w:style w:type="character" w:styleId="IntenseReference">
    <w:name w:val="Intense Reference"/>
    <w:basedOn w:val="DefaultParagraphFont"/>
    <w:uiPriority w:val="32"/>
    <w:qFormat/>
    <w:rsid w:val="00E234FB"/>
    <w:rPr>
      <w:b/>
      <w:bCs/>
      <w:smallCaps/>
      <w:color w:val="0F4761" w:themeColor="accent1" w:themeShade="BF"/>
      <w:spacing w:val="5"/>
    </w:rPr>
  </w:style>
  <w:style w:type="paragraph" w:styleId="Header">
    <w:name w:val="header"/>
    <w:basedOn w:val="Normal"/>
    <w:link w:val="HeaderChar"/>
    <w:uiPriority w:val="99"/>
    <w:unhideWhenUsed/>
    <w:rsid w:val="00E2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FB"/>
  </w:style>
  <w:style w:type="paragraph" w:styleId="Footer">
    <w:name w:val="footer"/>
    <w:basedOn w:val="Normal"/>
    <w:link w:val="FooterChar"/>
    <w:uiPriority w:val="99"/>
    <w:unhideWhenUsed/>
    <w:rsid w:val="00E2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FB"/>
  </w:style>
  <w:style w:type="table" w:customStyle="1" w:styleId="PlainTable4">
    <w:name w:val="Plain Table 4"/>
    <w:basedOn w:val="TableNormal"/>
    <w:uiPriority w:val="44"/>
    <w:rsid w:val="000837A8"/>
    <w:pPr>
      <w:spacing w:after="0" w:line="240" w:lineRule="auto"/>
    </w:pPr>
    <w:rPr>
      <w:sz w:val="24"/>
      <w:szCs w:val="24"/>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602E84"/>
    <w:rPr>
      <w:color w:val="467886" w:themeColor="hyperlink"/>
      <w:u w:val="single"/>
    </w:rPr>
  </w:style>
  <w:style w:type="character" w:customStyle="1" w:styleId="UnresolvedMention">
    <w:name w:val="Unresolved Mention"/>
    <w:basedOn w:val="DefaultParagraphFont"/>
    <w:uiPriority w:val="99"/>
    <w:semiHidden/>
    <w:unhideWhenUsed/>
    <w:rsid w:val="00602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6408</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Benzly Ralph Amorio</dc:creator>
  <cp:keywords/>
  <dc:description/>
  <cp:lastModifiedBy>qwert</cp:lastModifiedBy>
  <cp:revision>4</cp:revision>
  <dcterms:created xsi:type="dcterms:W3CDTF">2026-05-11T11:12:00Z</dcterms:created>
  <dcterms:modified xsi:type="dcterms:W3CDTF">2026-05-12T07:57:00Z</dcterms:modified>
</cp:coreProperties>
</file>