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4FAD3" w14:textId="5A53F055" w:rsidR="000D398B" w:rsidRDefault="00160A5E" w:rsidP="00160A5E">
      <w:pPr>
        <w:jc w:val="center"/>
        <w:rPr>
          <w:rFonts w:ascii="Times New Roman" w:hAnsi="Times New Roman" w:cs="Times New Roman"/>
          <w:b/>
          <w:bCs/>
        </w:rPr>
      </w:pPr>
      <w:r w:rsidRPr="00160A5E">
        <w:rPr>
          <w:rFonts w:ascii="Times New Roman" w:hAnsi="Times New Roman" w:cs="Times New Roman"/>
          <w:b/>
          <w:bCs/>
        </w:rPr>
        <w:t>Oil Price Shock and Equity Market Response: Evidence from Indian Indices during Iran War</w:t>
      </w:r>
    </w:p>
    <w:p w14:paraId="5E708E5D" w14:textId="77777777" w:rsidR="00160A5E" w:rsidRDefault="00160A5E" w:rsidP="00160A5E">
      <w:pPr>
        <w:jc w:val="center"/>
        <w:rPr>
          <w:rFonts w:ascii="Times New Roman" w:hAnsi="Times New Roman" w:cs="Times New Roman"/>
          <w:b/>
          <w:bCs/>
        </w:rPr>
      </w:pPr>
      <w:bookmarkStart w:id="0" w:name="_GoBack"/>
      <w:bookmarkEnd w:id="0"/>
    </w:p>
    <w:p w14:paraId="23C7F6CD" w14:textId="75D709F2" w:rsidR="00160A5E" w:rsidRDefault="00160A5E" w:rsidP="00160A5E">
      <w:pPr>
        <w:jc w:val="both"/>
        <w:rPr>
          <w:rFonts w:ascii="Times New Roman" w:hAnsi="Times New Roman" w:cs="Times New Roman"/>
          <w:b/>
          <w:bCs/>
        </w:rPr>
      </w:pPr>
      <w:r>
        <w:rPr>
          <w:rFonts w:ascii="Times New Roman" w:hAnsi="Times New Roman" w:cs="Times New Roman"/>
          <w:b/>
          <w:bCs/>
        </w:rPr>
        <w:t>Abstract</w:t>
      </w:r>
    </w:p>
    <w:p w14:paraId="5F690580" w14:textId="77777777" w:rsidR="008C4337" w:rsidRPr="008C4337" w:rsidRDefault="008C4337" w:rsidP="008C4337">
      <w:pPr>
        <w:jc w:val="both"/>
        <w:rPr>
          <w:rFonts w:ascii="Times New Roman" w:hAnsi="Times New Roman" w:cs="Times New Roman"/>
        </w:rPr>
      </w:pPr>
      <w:r w:rsidRPr="008C4337">
        <w:rPr>
          <w:rFonts w:ascii="Times New Roman" w:hAnsi="Times New Roman" w:cs="Times New Roman"/>
        </w:rPr>
        <w:t>The study examines the impact of Iran war–induced crude oil price shocks on the Indian stock market. Using time-series data and econometric techniques such as ADF, regression, GARCH, and event study analysis, the study evaluates the relationship between oil prices, stock returns, exchange rate, inflation, and capital flows. The findings reveal that rising crude oil prices negatively affect stock market performance and increase market volatility during periods of geopolitical uncertainty. The study highlights the vulnerability of the Indian economy to external oil shocks due to its heavy dependence on crude oil imports.</w:t>
      </w:r>
    </w:p>
    <w:p w14:paraId="664BD6AB" w14:textId="77777777" w:rsidR="008C4337" w:rsidRPr="008C4337" w:rsidRDefault="008C4337" w:rsidP="008C4337">
      <w:pPr>
        <w:jc w:val="both"/>
        <w:rPr>
          <w:rFonts w:ascii="Times New Roman" w:hAnsi="Times New Roman" w:cs="Times New Roman"/>
          <w:b/>
          <w:bCs/>
        </w:rPr>
      </w:pPr>
      <w:r w:rsidRPr="008C4337">
        <w:rPr>
          <w:rFonts w:ascii="Times New Roman" w:hAnsi="Times New Roman" w:cs="Times New Roman"/>
          <w:b/>
          <w:bCs/>
        </w:rPr>
        <w:t>Keywords</w:t>
      </w:r>
    </w:p>
    <w:p w14:paraId="353E500E" w14:textId="01B7CE46" w:rsidR="00DA65F0" w:rsidRDefault="008C4337" w:rsidP="00160A5E">
      <w:pPr>
        <w:jc w:val="both"/>
        <w:rPr>
          <w:rFonts w:ascii="Times New Roman" w:hAnsi="Times New Roman" w:cs="Times New Roman"/>
          <w:b/>
          <w:bCs/>
        </w:rPr>
      </w:pPr>
      <w:r w:rsidRPr="008C4337">
        <w:rPr>
          <w:rFonts w:ascii="Times New Roman" w:hAnsi="Times New Roman" w:cs="Times New Roman"/>
        </w:rPr>
        <w:t>Crude Oil Prices, Iran War, Stock Market Returns, Market Volatility, Exchange Rate, Inflation, Capital Flows, GARCH Model, Event Study, Indian Stock Market</w:t>
      </w:r>
      <w:r>
        <w:rPr>
          <w:rFonts w:ascii="Times New Roman" w:hAnsi="Times New Roman" w:cs="Times New Roman"/>
        </w:rPr>
        <w:t>.</w:t>
      </w:r>
    </w:p>
    <w:p w14:paraId="0D0E3CBD" w14:textId="18FAEF12" w:rsidR="00DA65F0" w:rsidRDefault="00DA65F0" w:rsidP="00160A5E">
      <w:pPr>
        <w:jc w:val="both"/>
        <w:rPr>
          <w:rFonts w:ascii="Times New Roman" w:hAnsi="Times New Roman" w:cs="Times New Roman"/>
          <w:b/>
          <w:bCs/>
        </w:rPr>
      </w:pPr>
      <w:r>
        <w:rPr>
          <w:rFonts w:ascii="Times New Roman" w:hAnsi="Times New Roman" w:cs="Times New Roman"/>
          <w:b/>
          <w:bCs/>
        </w:rPr>
        <w:t>Introduction</w:t>
      </w:r>
    </w:p>
    <w:p w14:paraId="1B1106EE" w14:textId="5132F3A3" w:rsidR="00DA65F0" w:rsidRPr="00DA65F0" w:rsidRDefault="00DA65F0" w:rsidP="00DA65F0">
      <w:pPr>
        <w:jc w:val="both"/>
        <w:rPr>
          <w:rFonts w:ascii="Times New Roman" w:hAnsi="Times New Roman" w:cs="Times New Roman"/>
        </w:rPr>
      </w:pPr>
      <w:r w:rsidRPr="00DA65F0">
        <w:rPr>
          <w:rFonts w:ascii="Times New Roman" w:hAnsi="Times New Roman" w:cs="Times New Roman"/>
        </w:rPr>
        <w:t>Geopolitical conflicts have historically served as significant exogenous shocks to global financial markets, particularly through their impact on energy prices. The ongoing conflict involving Iran has once again underscored the sensitivity of crude oil markets to geopolitical instability. Disruptions in supply chains</w:t>
      </w:r>
      <w:r>
        <w:rPr>
          <w:rFonts w:ascii="Times New Roman" w:hAnsi="Times New Roman" w:cs="Times New Roman"/>
        </w:rPr>
        <w:t xml:space="preserve"> </w:t>
      </w:r>
      <w:r w:rsidRPr="00DA65F0">
        <w:rPr>
          <w:rFonts w:ascii="Times New Roman" w:hAnsi="Times New Roman" w:cs="Times New Roman"/>
        </w:rPr>
        <w:t>especially through strategically critical routes such as the Strait of Hormuz</w:t>
      </w:r>
      <w:r>
        <w:rPr>
          <w:rFonts w:ascii="Times New Roman" w:hAnsi="Times New Roman" w:cs="Times New Roman"/>
        </w:rPr>
        <w:t xml:space="preserve"> </w:t>
      </w:r>
      <w:r w:rsidRPr="00DA65F0">
        <w:rPr>
          <w:rFonts w:ascii="Times New Roman" w:hAnsi="Times New Roman" w:cs="Times New Roman"/>
        </w:rPr>
        <w:t>have triggered sharp increases in global crude oil prices, introducing heightened uncertainty into international economic systems. Given that crude oil remains a fundamental input in production, transportation, and industrial processes, such price shocks tend to propagate rapidly across both developed and emerging economies.</w:t>
      </w:r>
    </w:p>
    <w:p w14:paraId="774392D4" w14:textId="51936AA4" w:rsidR="00DA65F0" w:rsidRPr="00DA65F0" w:rsidRDefault="00DA65F0" w:rsidP="00DA65F0">
      <w:pPr>
        <w:jc w:val="both"/>
        <w:rPr>
          <w:rFonts w:ascii="Times New Roman" w:hAnsi="Times New Roman" w:cs="Times New Roman"/>
        </w:rPr>
      </w:pPr>
      <w:r w:rsidRPr="00DA65F0">
        <w:rPr>
          <w:rFonts w:ascii="Times New Roman" w:hAnsi="Times New Roman" w:cs="Times New Roman"/>
        </w:rPr>
        <w:t>India, as the world’s third-largest consumer and importer of crude oil, is particularly vulnerable to such external disturbances. The country imports approximately 85–90% of its crude oil requirements, rendering its macroeconomic stability highly sensitive to fluctuations in global oil prices. A sustained rise in crude prices significantly increases the import bill, widens the current account deficit, and exerts pressure on fiscal balances. Moreover, elevated oil prices transmit directly into domestic inflation through higher fuel costs and input prices, thereby influencing inflation expectations and monetary policy responses.</w:t>
      </w:r>
    </w:p>
    <w:p w14:paraId="7664BBF5" w14:textId="2B8B80C2" w:rsidR="00DA65F0" w:rsidRPr="00DA65F0" w:rsidRDefault="00DA65F0" w:rsidP="00DA65F0">
      <w:pPr>
        <w:jc w:val="both"/>
        <w:rPr>
          <w:rFonts w:ascii="Times New Roman" w:hAnsi="Times New Roman" w:cs="Times New Roman"/>
        </w:rPr>
      </w:pPr>
      <w:r w:rsidRPr="00DA65F0">
        <w:rPr>
          <w:rFonts w:ascii="Times New Roman" w:hAnsi="Times New Roman" w:cs="Times New Roman"/>
        </w:rPr>
        <w:t>The transmission of oil price shocks to the Indian stock market operates through multiple interrelated channels. First, rising crude prices elevate inflation expectations, which may prompt tighter monetary policy, higher interest rates, and reduced corporate profitability</w:t>
      </w:r>
      <w:r>
        <w:rPr>
          <w:rFonts w:ascii="Times New Roman" w:hAnsi="Times New Roman" w:cs="Times New Roman"/>
        </w:rPr>
        <w:t xml:space="preserve"> </w:t>
      </w:r>
      <w:r w:rsidRPr="00DA65F0">
        <w:rPr>
          <w:rFonts w:ascii="Times New Roman" w:hAnsi="Times New Roman" w:cs="Times New Roman"/>
        </w:rPr>
        <w:t xml:space="preserve">factors that negatively affect equity valuations. Second, higher import costs increase demand for foreign currency, leading to depreciation of the Indian rupee. Recent evidence indicates that the Iran conflict has contributed to notable currency weakness, reflecting the pressure exerted by elevated oil prices and external imbalances. Third, heightened geopolitical risk often triggers a “risk-off” sentiment among global investors, resulting in foreign capital </w:t>
      </w:r>
      <w:r w:rsidRPr="00DA65F0">
        <w:rPr>
          <w:rFonts w:ascii="Times New Roman" w:hAnsi="Times New Roman" w:cs="Times New Roman"/>
        </w:rPr>
        <w:lastRenderedPageBreak/>
        <w:t>outflows from emerging markets like India. Such outflows have already been observed in the form of significant foreign portfolio investor (FPI) withdrawals during the ongoing crisis.</w:t>
      </w:r>
    </w:p>
    <w:p w14:paraId="118BAA68" w14:textId="77777777" w:rsidR="00DA65F0" w:rsidRPr="00DA65F0" w:rsidRDefault="00DA65F0" w:rsidP="00DA65F0">
      <w:pPr>
        <w:jc w:val="both"/>
        <w:rPr>
          <w:rFonts w:ascii="Times New Roman" w:hAnsi="Times New Roman" w:cs="Times New Roman"/>
        </w:rPr>
      </w:pPr>
      <w:r w:rsidRPr="00DA65F0">
        <w:rPr>
          <w:rFonts w:ascii="Times New Roman" w:hAnsi="Times New Roman" w:cs="Times New Roman"/>
        </w:rPr>
        <w:t>Collectively, these factors contribute to increased volatility and downward pressure in the Indian equity markets. The interaction between crude oil price shocks, exchange rate movements, inflation dynamics, and capital flows creates a complex transmission mechanism that amplifies the impact of geopolitical events on financial markets. Consequently, understanding the extent and nature of this relationship is crucial for policymakers, investors, and researchers seeking to assess market resilience and design appropriate policy responses.</w:t>
      </w:r>
    </w:p>
    <w:p w14:paraId="361509C2" w14:textId="77777777" w:rsidR="00DA65F0" w:rsidRPr="00DA65F0" w:rsidRDefault="00DA65F0" w:rsidP="00DA65F0">
      <w:pPr>
        <w:jc w:val="both"/>
        <w:rPr>
          <w:rFonts w:ascii="Times New Roman" w:hAnsi="Times New Roman" w:cs="Times New Roman"/>
        </w:rPr>
      </w:pPr>
      <w:r w:rsidRPr="00DA65F0">
        <w:rPr>
          <w:rFonts w:ascii="Times New Roman" w:hAnsi="Times New Roman" w:cs="Times New Roman"/>
        </w:rPr>
        <w:t xml:space="preserve">Against this backdrop, the present study aims to examine the impact of the Iran war–induced oil price shock on the Indian stock market, with particular emphasis on the channels of inflation expectations, currency depreciation, and capital flows. By </w:t>
      </w:r>
      <w:proofErr w:type="spellStart"/>
      <w:r w:rsidRPr="00DA65F0">
        <w:rPr>
          <w:rFonts w:ascii="Times New Roman" w:hAnsi="Times New Roman" w:cs="Times New Roman"/>
        </w:rPr>
        <w:t>analyzing</w:t>
      </w:r>
      <w:proofErr w:type="spellEnd"/>
      <w:r w:rsidRPr="00DA65F0">
        <w:rPr>
          <w:rFonts w:ascii="Times New Roman" w:hAnsi="Times New Roman" w:cs="Times New Roman"/>
        </w:rPr>
        <w:t xml:space="preserve"> these linkages, the study contributes to the broader literature on geopolitical risk and financial market dynamics in emerging economies.</w:t>
      </w:r>
    </w:p>
    <w:p w14:paraId="6AC90E89" w14:textId="77777777" w:rsidR="00DA65F0" w:rsidRDefault="00DA65F0" w:rsidP="00160A5E">
      <w:pPr>
        <w:jc w:val="both"/>
        <w:rPr>
          <w:rFonts w:ascii="Times New Roman" w:hAnsi="Times New Roman" w:cs="Times New Roman"/>
          <w:b/>
          <w:bCs/>
        </w:rPr>
      </w:pPr>
    </w:p>
    <w:p w14:paraId="6051F1DF" w14:textId="3413FDD6" w:rsidR="00DA65F0" w:rsidRDefault="00DA65F0" w:rsidP="00160A5E">
      <w:pPr>
        <w:jc w:val="both"/>
        <w:rPr>
          <w:rFonts w:ascii="Times New Roman" w:hAnsi="Times New Roman" w:cs="Times New Roman"/>
          <w:b/>
          <w:bCs/>
        </w:rPr>
      </w:pPr>
      <w:r>
        <w:rPr>
          <w:rFonts w:ascii="Times New Roman" w:hAnsi="Times New Roman" w:cs="Times New Roman"/>
          <w:b/>
          <w:bCs/>
        </w:rPr>
        <w:t>RESEARCH GAP</w:t>
      </w:r>
    </w:p>
    <w:p w14:paraId="3F3581EF" w14:textId="0FED23D9" w:rsidR="00DA65F0" w:rsidRPr="00DA65F0" w:rsidRDefault="00DA65F0" w:rsidP="00DA65F0">
      <w:pPr>
        <w:jc w:val="both"/>
        <w:rPr>
          <w:rFonts w:ascii="Times New Roman" w:hAnsi="Times New Roman" w:cs="Times New Roman"/>
        </w:rPr>
      </w:pPr>
      <w:r w:rsidRPr="00DA65F0">
        <w:rPr>
          <w:rFonts w:ascii="Times New Roman" w:hAnsi="Times New Roman" w:cs="Times New Roman"/>
        </w:rPr>
        <w:t>Although prior studies have examined the impact of crude oil price fluctuations on stock markets, three key gaps persist. First, limited attention has been given to geopolitical-driven oil price shocks, particularly those arising from conflicts such as the Iran war. Second, existing research largely analyses transmission channels</w:t>
      </w:r>
      <w:r>
        <w:rPr>
          <w:rFonts w:ascii="Times New Roman" w:hAnsi="Times New Roman" w:cs="Times New Roman"/>
        </w:rPr>
        <w:t xml:space="preserve"> </w:t>
      </w:r>
      <w:r w:rsidRPr="00DA65F0">
        <w:rPr>
          <w:rFonts w:ascii="Times New Roman" w:hAnsi="Times New Roman" w:cs="Times New Roman"/>
        </w:rPr>
        <w:t>inflation, exchange rate, and capital flows</w:t>
      </w:r>
      <w:r>
        <w:rPr>
          <w:rFonts w:ascii="Times New Roman" w:hAnsi="Times New Roman" w:cs="Times New Roman"/>
        </w:rPr>
        <w:t xml:space="preserve"> </w:t>
      </w:r>
      <w:r w:rsidRPr="00DA65F0">
        <w:rPr>
          <w:rFonts w:ascii="Times New Roman" w:hAnsi="Times New Roman" w:cs="Times New Roman"/>
        </w:rPr>
        <w:t>in isolation rather than as an integrated mechanism. Third, there is a lack of recent empirical evidence reflecting current global financial conditions and heightened sensitivity to geopolitical risk.</w:t>
      </w:r>
    </w:p>
    <w:p w14:paraId="02C67FF3" w14:textId="77777777" w:rsidR="00DA65F0" w:rsidRDefault="00DA65F0" w:rsidP="00DA65F0">
      <w:pPr>
        <w:jc w:val="both"/>
        <w:rPr>
          <w:rFonts w:ascii="Times New Roman" w:hAnsi="Times New Roman" w:cs="Times New Roman"/>
        </w:rPr>
      </w:pPr>
      <w:r w:rsidRPr="00DA65F0">
        <w:rPr>
          <w:rFonts w:ascii="Times New Roman" w:hAnsi="Times New Roman" w:cs="Times New Roman"/>
        </w:rPr>
        <w:t>This study addresses these gaps by providing a contemporary, multi-channel analysis of the impact of Iran war–induced oil price shocks on the Indian stock market.</w:t>
      </w:r>
    </w:p>
    <w:p w14:paraId="60DDA6E1" w14:textId="77777777" w:rsidR="00DA65F0" w:rsidRDefault="00DA65F0" w:rsidP="00DA65F0">
      <w:pPr>
        <w:jc w:val="both"/>
        <w:rPr>
          <w:rFonts w:ascii="Times New Roman" w:hAnsi="Times New Roman" w:cs="Times New Roman"/>
        </w:rPr>
      </w:pPr>
    </w:p>
    <w:p w14:paraId="7350BE18" w14:textId="6B51EC1E" w:rsidR="00DA65F0" w:rsidRDefault="00DA65F0" w:rsidP="00DA65F0">
      <w:pPr>
        <w:jc w:val="both"/>
        <w:rPr>
          <w:rFonts w:ascii="Times New Roman" w:hAnsi="Times New Roman" w:cs="Times New Roman"/>
          <w:b/>
          <w:bCs/>
        </w:rPr>
      </w:pPr>
      <w:r w:rsidRPr="00DA65F0">
        <w:rPr>
          <w:rFonts w:ascii="Times New Roman" w:hAnsi="Times New Roman" w:cs="Times New Roman"/>
          <w:b/>
          <w:bCs/>
        </w:rPr>
        <w:t>STATEMENT OF THE PROBLEM</w:t>
      </w:r>
    </w:p>
    <w:p w14:paraId="722FDEFE" w14:textId="77777777" w:rsidR="00DA65F0" w:rsidRPr="00DA65F0" w:rsidRDefault="00DA65F0" w:rsidP="00DA65F0">
      <w:pPr>
        <w:jc w:val="both"/>
        <w:rPr>
          <w:rFonts w:ascii="Times New Roman" w:hAnsi="Times New Roman" w:cs="Times New Roman"/>
        </w:rPr>
      </w:pPr>
      <w:r w:rsidRPr="00DA65F0">
        <w:rPr>
          <w:rFonts w:ascii="Times New Roman" w:hAnsi="Times New Roman" w:cs="Times New Roman"/>
        </w:rPr>
        <w:t>India’s heavy dependence on imported crude oil exposes its economy to external shocks arising from geopolitical conflicts. The recent Iran war has led to a sharp increase in crude oil prices, creating significant macroeconomic disturbances. These disturbances manifest through rising inflation expectations, depreciation of the Indian rupee, and increased capital outflows, all of which influence stock market performance.</w:t>
      </w:r>
    </w:p>
    <w:p w14:paraId="318AAD56" w14:textId="77777777" w:rsidR="00DA65F0" w:rsidRDefault="00DA65F0" w:rsidP="00DA65F0">
      <w:pPr>
        <w:jc w:val="both"/>
        <w:rPr>
          <w:rFonts w:ascii="Times New Roman" w:hAnsi="Times New Roman" w:cs="Times New Roman"/>
        </w:rPr>
      </w:pPr>
      <w:r w:rsidRPr="00DA65F0">
        <w:rPr>
          <w:rFonts w:ascii="Times New Roman" w:hAnsi="Times New Roman" w:cs="Times New Roman"/>
        </w:rPr>
        <w:t xml:space="preserve">Despite the importance of these factors, there is limited empirical clarity on how and to what extent these transmission mechanisms collectively affect the Indian equity market. This creates uncertainty for policymakers, investors, and financial analysts in predicting market </w:t>
      </w:r>
      <w:proofErr w:type="spellStart"/>
      <w:r w:rsidRPr="00DA65F0">
        <w:rPr>
          <w:rFonts w:ascii="Times New Roman" w:hAnsi="Times New Roman" w:cs="Times New Roman"/>
        </w:rPr>
        <w:t>behavior</w:t>
      </w:r>
      <w:proofErr w:type="spellEnd"/>
      <w:r w:rsidRPr="00DA65F0">
        <w:rPr>
          <w:rFonts w:ascii="Times New Roman" w:hAnsi="Times New Roman" w:cs="Times New Roman"/>
        </w:rPr>
        <w:t xml:space="preserve"> during geopolitical crises.</w:t>
      </w:r>
    </w:p>
    <w:p w14:paraId="5D91529A" w14:textId="77777777" w:rsidR="00DA65F0" w:rsidRDefault="00DA65F0" w:rsidP="00DA65F0">
      <w:pPr>
        <w:jc w:val="both"/>
        <w:rPr>
          <w:rFonts w:ascii="Times New Roman" w:hAnsi="Times New Roman" w:cs="Times New Roman"/>
        </w:rPr>
      </w:pPr>
    </w:p>
    <w:p w14:paraId="3B42E91B" w14:textId="68CC427A" w:rsidR="00DA65F0" w:rsidRDefault="00DA65F0" w:rsidP="00DA65F0">
      <w:pPr>
        <w:jc w:val="both"/>
        <w:rPr>
          <w:rFonts w:ascii="Times New Roman" w:hAnsi="Times New Roman" w:cs="Times New Roman"/>
          <w:b/>
          <w:bCs/>
        </w:rPr>
      </w:pPr>
      <w:r w:rsidRPr="00DA65F0">
        <w:rPr>
          <w:rFonts w:ascii="Times New Roman" w:hAnsi="Times New Roman" w:cs="Times New Roman"/>
          <w:b/>
          <w:bCs/>
        </w:rPr>
        <w:t>OBJECTIVES OF THE STUDY</w:t>
      </w:r>
    </w:p>
    <w:p w14:paraId="24329930" w14:textId="7373BF10" w:rsidR="00DA65F0" w:rsidRPr="00DA65F0" w:rsidRDefault="00DA65F0" w:rsidP="00DA65F0">
      <w:pPr>
        <w:jc w:val="both"/>
        <w:rPr>
          <w:rFonts w:ascii="Times New Roman" w:hAnsi="Times New Roman" w:cs="Times New Roman"/>
        </w:rPr>
      </w:pPr>
      <w:r w:rsidRPr="00DA65F0">
        <w:rPr>
          <w:rFonts w:ascii="Times New Roman" w:hAnsi="Times New Roman" w:cs="Times New Roman"/>
        </w:rPr>
        <w:lastRenderedPageBreak/>
        <w:t>Given the sharp rise in crude oil prices due to the Iran war and its macroeconomic implications, it is essential to assess its impact on financial markets. This study focuses on examining how oil price shocks influence stock market returns, volatility, and their relationship with key stock indices in India. Accordingly, the following objectives are framed</w:t>
      </w:r>
      <w:r>
        <w:rPr>
          <w:rFonts w:ascii="Times New Roman" w:hAnsi="Times New Roman" w:cs="Times New Roman"/>
        </w:rPr>
        <w:t>.</w:t>
      </w:r>
    </w:p>
    <w:p w14:paraId="323E689D" w14:textId="17ED6111" w:rsidR="00DA65F0" w:rsidRPr="00DA65F0" w:rsidRDefault="00DA65F0" w:rsidP="00DA65F0">
      <w:pPr>
        <w:pStyle w:val="ListParagraph"/>
        <w:numPr>
          <w:ilvl w:val="0"/>
          <w:numId w:val="4"/>
        </w:numPr>
        <w:jc w:val="both"/>
        <w:rPr>
          <w:rFonts w:ascii="Times New Roman" w:hAnsi="Times New Roman" w:cs="Times New Roman"/>
        </w:rPr>
      </w:pPr>
      <w:r w:rsidRPr="00DA65F0">
        <w:rPr>
          <w:rFonts w:ascii="Times New Roman" w:hAnsi="Times New Roman" w:cs="Times New Roman"/>
        </w:rPr>
        <w:t xml:space="preserve">To examine the impact of crude oil price shocks on Indian stock market returns. </w:t>
      </w:r>
    </w:p>
    <w:p w14:paraId="1F400F40" w14:textId="1E8D575A" w:rsidR="00DA65F0" w:rsidRPr="00DA65F0" w:rsidRDefault="00DA65F0" w:rsidP="00DA65F0">
      <w:pPr>
        <w:pStyle w:val="ListParagraph"/>
        <w:numPr>
          <w:ilvl w:val="0"/>
          <w:numId w:val="4"/>
        </w:numPr>
        <w:jc w:val="both"/>
        <w:rPr>
          <w:rFonts w:ascii="Times New Roman" w:hAnsi="Times New Roman" w:cs="Times New Roman"/>
        </w:rPr>
      </w:pPr>
      <w:r w:rsidRPr="00DA65F0">
        <w:rPr>
          <w:rFonts w:ascii="Times New Roman" w:hAnsi="Times New Roman" w:cs="Times New Roman"/>
        </w:rPr>
        <w:t xml:space="preserve">To </w:t>
      </w:r>
      <w:proofErr w:type="spellStart"/>
      <w:r w:rsidRPr="00DA65F0">
        <w:rPr>
          <w:rFonts w:ascii="Times New Roman" w:hAnsi="Times New Roman" w:cs="Times New Roman"/>
        </w:rPr>
        <w:t>analyze</w:t>
      </w:r>
      <w:proofErr w:type="spellEnd"/>
      <w:r w:rsidRPr="00DA65F0">
        <w:rPr>
          <w:rFonts w:ascii="Times New Roman" w:hAnsi="Times New Roman" w:cs="Times New Roman"/>
        </w:rPr>
        <w:t xml:space="preserve"> changes in stock market volatility during the Iran war period. </w:t>
      </w:r>
    </w:p>
    <w:p w14:paraId="6B64F613" w14:textId="129BC936" w:rsidR="00DA65F0" w:rsidRDefault="00DA65F0" w:rsidP="00DA65F0">
      <w:pPr>
        <w:pStyle w:val="ListParagraph"/>
        <w:numPr>
          <w:ilvl w:val="0"/>
          <w:numId w:val="4"/>
        </w:numPr>
        <w:jc w:val="both"/>
        <w:rPr>
          <w:rFonts w:ascii="Times New Roman" w:hAnsi="Times New Roman" w:cs="Times New Roman"/>
        </w:rPr>
      </w:pPr>
      <w:r w:rsidRPr="00DA65F0">
        <w:rPr>
          <w:rFonts w:ascii="Times New Roman" w:hAnsi="Times New Roman" w:cs="Times New Roman"/>
        </w:rPr>
        <w:t>To evaluate the relationship between crude oil prices and Indian stock indices.</w:t>
      </w:r>
    </w:p>
    <w:p w14:paraId="189BF09E" w14:textId="77777777" w:rsidR="00DA65F0" w:rsidRDefault="00DA65F0" w:rsidP="00DA65F0">
      <w:pPr>
        <w:jc w:val="both"/>
        <w:rPr>
          <w:rFonts w:ascii="Times New Roman" w:hAnsi="Times New Roman" w:cs="Times New Roman"/>
        </w:rPr>
      </w:pPr>
    </w:p>
    <w:p w14:paraId="214A2445" w14:textId="53ABDCC3" w:rsidR="00DA65F0" w:rsidRPr="00DA65F0" w:rsidRDefault="00DA65F0" w:rsidP="00DA65F0">
      <w:pPr>
        <w:jc w:val="both"/>
        <w:rPr>
          <w:rFonts w:ascii="Times New Roman" w:hAnsi="Times New Roman" w:cs="Times New Roman"/>
          <w:b/>
          <w:bCs/>
        </w:rPr>
      </w:pPr>
      <w:r w:rsidRPr="00DA65F0">
        <w:rPr>
          <w:rFonts w:ascii="Times New Roman" w:hAnsi="Times New Roman" w:cs="Times New Roman"/>
          <w:b/>
          <w:bCs/>
        </w:rPr>
        <w:t>RESEARCH METHODOLOGY</w:t>
      </w:r>
    </w:p>
    <w:p w14:paraId="26563F07" w14:textId="3740237F" w:rsidR="00DA65F0" w:rsidRDefault="00DA65F0" w:rsidP="00DA65F0">
      <w:pPr>
        <w:jc w:val="both"/>
        <w:rPr>
          <w:rFonts w:ascii="Times New Roman" w:hAnsi="Times New Roman" w:cs="Times New Roman"/>
        </w:rPr>
      </w:pPr>
      <w:r>
        <w:rPr>
          <w:rFonts w:ascii="Times New Roman" w:hAnsi="Times New Roman" w:cs="Times New Roman"/>
          <w:b/>
          <w:bCs/>
        </w:rPr>
        <w:tab/>
      </w:r>
      <w:r w:rsidR="008536BA" w:rsidRPr="008536BA">
        <w:rPr>
          <w:rFonts w:ascii="Times New Roman" w:hAnsi="Times New Roman" w:cs="Times New Roman"/>
        </w:rPr>
        <w:t>This study adopts a quantitative and empirical research design to examine the impact of crude oil price shocks on the Indian stock market during the Iran war period. The analysis is based on secondary time-series data, enabling the evaluation of dynamic relationships between oil prices and stock market indicators.</w:t>
      </w:r>
    </w:p>
    <w:p w14:paraId="79259E58" w14:textId="7A707E18" w:rsidR="00DF386E" w:rsidRDefault="00DF386E" w:rsidP="00DA65F0">
      <w:pPr>
        <w:jc w:val="both"/>
        <w:rPr>
          <w:rFonts w:ascii="Times New Roman" w:hAnsi="Times New Roman" w:cs="Times New Roman"/>
        </w:rPr>
      </w:pPr>
      <w:r w:rsidRPr="00DF386E">
        <w:rPr>
          <w:rFonts w:ascii="Times New Roman" w:hAnsi="Times New Roman" w:cs="Times New Roman"/>
        </w:rPr>
        <w:t>The study is based on secondary data collected from reliable and authoritative sources to ensure accuracy and consistency in analysis. Data on crude oil prices, particularly Brent and WTI, are obtained from international energy databases. Stock market data, including major indices such as the Nifty 50 and Sensex, are sourced from the National Stock Exchange (NSE) and the Bombay Stock Exchange (BSE). Information on exchange rates (INR/USD) is collected from the Reserve Bank of India (RBI) database, while inflation indicators such as the Consumer Price Index (CPI) and Wholesale Price Index (WPI) are obtained from official government publications. Additionally, data on foreign capital flows, including Foreign Portfolio Investment (FPI) and Foreign Institutional Investment (FII), are gathered from SEBI and RBI reports.</w:t>
      </w:r>
    </w:p>
    <w:p w14:paraId="036C4280" w14:textId="1086764B" w:rsidR="00DF386E" w:rsidRPr="00DF386E" w:rsidRDefault="00DF386E" w:rsidP="00DF386E">
      <w:pPr>
        <w:jc w:val="both"/>
        <w:rPr>
          <w:rFonts w:ascii="Times New Roman" w:hAnsi="Times New Roman" w:cs="Times New Roman"/>
          <w:b/>
          <w:bCs/>
        </w:rPr>
      </w:pPr>
      <w:r w:rsidRPr="00DF386E">
        <w:rPr>
          <w:rFonts w:ascii="Times New Roman" w:hAnsi="Times New Roman" w:cs="Times New Roman"/>
          <w:b/>
          <w:bCs/>
        </w:rPr>
        <w:t>STUDY PERIOD</w:t>
      </w:r>
    </w:p>
    <w:p w14:paraId="6B3FE291" w14:textId="77777777" w:rsidR="00DF386E" w:rsidRPr="00DF386E" w:rsidRDefault="00DF386E" w:rsidP="00DF386E">
      <w:pPr>
        <w:jc w:val="both"/>
        <w:rPr>
          <w:rFonts w:ascii="Times New Roman" w:hAnsi="Times New Roman" w:cs="Times New Roman"/>
        </w:rPr>
      </w:pPr>
      <w:r w:rsidRPr="00DF386E">
        <w:rPr>
          <w:rFonts w:ascii="Times New Roman" w:hAnsi="Times New Roman" w:cs="Times New Roman"/>
        </w:rPr>
        <w:t xml:space="preserve">The study focuses on the Iran war period, with an appropriate pre- and post-event window to capture the effect of the shock on market </w:t>
      </w:r>
      <w:proofErr w:type="spellStart"/>
      <w:r w:rsidRPr="00DF386E">
        <w:rPr>
          <w:rFonts w:ascii="Times New Roman" w:hAnsi="Times New Roman" w:cs="Times New Roman"/>
        </w:rPr>
        <w:t>behavior</w:t>
      </w:r>
      <w:proofErr w:type="spellEnd"/>
      <w:r w:rsidRPr="00DF386E">
        <w:rPr>
          <w:rFonts w:ascii="Times New Roman" w:hAnsi="Times New Roman" w:cs="Times New Roman"/>
        </w:rPr>
        <w:t>.</w:t>
      </w:r>
    </w:p>
    <w:p w14:paraId="0CE3CC1D" w14:textId="4BB7E386" w:rsidR="00DF386E" w:rsidRPr="00DF386E" w:rsidRDefault="00DF386E" w:rsidP="00DF386E">
      <w:pPr>
        <w:jc w:val="both"/>
        <w:rPr>
          <w:rFonts w:ascii="Times New Roman" w:hAnsi="Times New Roman" w:cs="Times New Roman"/>
          <w:b/>
          <w:bCs/>
        </w:rPr>
      </w:pPr>
      <w:r w:rsidRPr="00DF386E">
        <w:rPr>
          <w:rFonts w:ascii="Times New Roman" w:hAnsi="Times New Roman" w:cs="Times New Roman"/>
          <w:b/>
          <w:bCs/>
        </w:rPr>
        <w:t>VARIABLES</w:t>
      </w:r>
    </w:p>
    <w:p w14:paraId="1A1A3CB2" w14:textId="77777777" w:rsidR="00DF386E" w:rsidRPr="00DF386E" w:rsidRDefault="00DF386E" w:rsidP="00DF386E">
      <w:pPr>
        <w:numPr>
          <w:ilvl w:val="0"/>
          <w:numId w:val="6"/>
        </w:numPr>
        <w:jc w:val="both"/>
        <w:rPr>
          <w:rFonts w:ascii="Times New Roman" w:hAnsi="Times New Roman" w:cs="Times New Roman"/>
        </w:rPr>
      </w:pPr>
      <w:r w:rsidRPr="00DF386E">
        <w:rPr>
          <w:rFonts w:ascii="Times New Roman" w:hAnsi="Times New Roman" w:cs="Times New Roman"/>
        </w:rPr>
        <w:t xml:space="preserve">Dependent Variable: Stock market returns (log returns of indices) </w:t>
      </w:r>
    </w:p>
    <w:p w14:paraId="7B972910" w14:textId="77777777" w:rsidR="00DF386E" w:rsidRPr="00DF386E" w:rsidRDefault="00DF386E" w:rsidP="00DF386E">
      <w:pPr>
        <w:numPr>
          <w:ilvl w:val="0"/>
          <w:numId w:val="6"/>
        </w:numPr>
        <w:jc w:val="both"/>
        <w:rPr>
          <w:rFonts w:ascii="Times New Roman" w:hAnsi="Times New Roman" w:cs="Times New Roman"/>
        </w:rPr>
      </w:pPr>
      <w:r w:rsidRPr="00DF386E">
        <w:rPr>
          <w:rFonts w:ascii="Times New Roman" w:hAnsi="Times New Roman" w:cs="Times New Roman"/>
        </w:rPr>
        <w:t xml:space="preserve">Independent Variable: Crude oil prices </w:t>
      </w:r>
    </w:p>
    <w:p w14:paraId="710F580D" w14:textId="77777777" w:rsidR="00DF386E" w:rsidRDefault="00DF386E" w:rsidP="00DF386E">
      <w:pPr>
        <w:numPr>
          <w:ilvl w:val="0"/>
          <w:numId w:val="6"/>
        </w:numPr>
        <w:jc w:val="both"/>
        <w:rPr>
          <w:rFonts w:ascii="Times New Roman" w:hAnsi="Times New Roman" w:cs="Times New Roman"/>
        </w:rPr>
      </w:pPr>
      <w:r w:rsidRPr="00DF386E">
        <w:rPr>
          <w:rFonts w:ascii="Times New Roman" w:hAnsi="Times New Roman" w:cs="Times New Roman"/>
        </w:rPr>
        <w:t>Control Variables: Exchange rate, inflation rate, and foreign capital flows</w:t>
      </w:r>
    </w:p>
    <w:p w14:paraId="6A1BEB3D" w14:textId="77777777" w:rsidR="00DF386E" w:rsidRDefault="00DF386E" w:rsidP="00DF386E">
      <w:pPr>
        <w:jc w:val="both"/>
        <w:rPr>
          <w:rFonts w:ascii="Times New Roman" w:hAnsi="Times New Roman" w:cs="Times New Roman"/>
        </w:rPr>
      </w:pPr>
    </w:p>
    <w:p w14:paraId="3ABC421D" w14:textId="7B83FBFB" w:rsidR="00AE5D02" w:rsidRPr="00AE5D02" w:rsidRDefault="00AE5D02" w:rsidP="00DF386E">
      <w:pPr>
        <w:jc w:val="both"/>
        <w:rPr>
          <w:rFonts w:ascii="Times New Roman" w:hAnsi="Times New Roman" w:cs="Times New Roman"/>
          <w:b/>
          <w:bCs/>
        </w:rPr>
      </w:pPr>
      <w:r w:rsidRPr="00AE5D02">
        <w:rPr>
          <w:rFonts w:ascii="Times New Roman" w:hAnsi="Times New Roman" w:cs="Times New Roman"/>
          <w:b/>
          <w:bCs/>
        </w:rPr>
        <w:t>TOOLS USED</w:t>
      </w:r>
    </w:p>
    <w:p w14:paraId="54F74011" w14:textId="35A8ABD1" w:rsidR="00AE5D02" w:rsidRDefault="00AE5D02" w:rsidP="00DF386E">
      <w:pPr>
        <w:jc w:val="both"/>
        <w:rPr>
          <w:rFonts w:ascii="Times New Roman" w:hAnsi="Times New Roman" w:cs="Times New Roman"/>
        </w:rPr>
      </w:pPr>
      <w:r w:rsidRPr="00AE5D02">
        <w:rPr>
          <w:rFonts w:ascii="Times New Roman" w:hAnsi="Times New Roman" w:cs="Times New Roman"/>
        </w:rPr>
        <w:t xml:space="preserve">To achieve the objectives of the study, a range of econometric tools and techniques are employed. Descriptive statistics are used to summarize the basic characteristics and </w:t>
      </w:r>
      <w:proofErr w:type="spellStart"/>
      <w:r w:rsidRPr="00AE5D02">
        <w:rPr>
          <w:rFonts w:ascii="Times New Roman" w:hAnsi="Times New Roman" w:cs="Times New Roman"/>
        </w:rPr>
        <w:t>behavior</w:t>
      </w:r>
      <w:proofErr w:type="spellEnd"/>
      <w:r w:rsidRPr="00AE5D02">
        <w:rPr>
          <w:rFonts w:ascii="Times New Roman" w:hAnsi="Times New Roman" w:cs="Times New Roman"/>
        </w:rPr>
        <w:t xml:space="preserve"> of the data. The stationarity of the time-series data is examined using the Augmented Dickey-Fuller (ADF) test to ensure stability and to avoid spurious regression results. Correlation </w:t>
      </w:r>
      <w:r w:rsidRPr="00AE5D02">
        <w:rPr>
          <w:rFonts w:ascii="Times New Roman" w:hAnsi="Times New Roman" w:cs="Times New Roman"/>
        </w:rPr>
        <w:lastRenderedPageBreak/>
        <w:t xml:space="preserve">analysis is conducted to assess the relationship between crude oil prices and stock market variables. Further, regression analysis is applied to measure the impact of oil price shocks on stock market returns. To capture changes in market volatility during the Iran war period, the Generalized Autoregressive Conditional Heteroskedasticity (GARCH) model is utilized. In addition, an event study approach is employed to identify abnormal returns around the Iran war event and to </w:t>
      </w:r>
      <w:proofErr w:type="spellStart"/>
      <w:r w:rsidRPr="00AE5D02">
        <w:rPr>
          <w:rFonts w:ascii="Times New Roman" w:hAnsi="Times New Roman" w:cs="Times New Roman"/>
        </w:rPr>
        <w:t>analyze</w:t>
      </w:r>
      <w:proofErr w:type="spellEnd"/>
      <w:r w:rsidRPr="00AE5D02">
        <w:rPr>
          <w:rFonts w:ascii="Times New Roman" w:hAnsi="Times New Roman" w:cs="Times New Roman"/>
        </w:rPr>
        <w:t xml:space="preserve"> the immediate market reaction to the geopolitical shock.</w:t>
      </w:r>
    </w:p>
    <w:p w14:paraId="40E2761A" w14:textId="35965D0F" w:rsidR="001A63E9" w:rsidRDefault="001A63E9" w:rsidP="00DF386E">
      <w:pPr>
        <w:jc w:val="both"/>
        <w:rPr>
          <w:rFonts w:ascii="Times New Roman" w:hAnsi="Times New Roman" w:cs="Times New Roman"/>
          <w:b/>
          <w:bCs/>
        </w:rPr>
      </w:pPr>
      <w:r w:rsidRPr="001A63E9">
        <w:rPr>
          <w:rFonts w:ascii="Times New Roman" w:hAnsi="Times New Roman" w:cs="Times New Roman"/>
          <w:b/>
          <w:bCs/>
        </w:rPr>
        <w:t>MODEL SPECIFICATION</w:t>
      </w:r>
    </w:p>
    <w:p w14:paraId="2A9E7E98" w14:textId="77777777" w:rsidR="001A63E9" w:rsidRPr="001A63E9" w:rsidRDefault="001A63E9" w:rsidP="001A63E9">
      <w:pPr>
        <w:jc w:val="both"/>
        <w:rPr>
          <w:rFonts w:ascii="Times New Roman" w:hAnsi="Times New Roman" w:cs="Times New Roman"/>
        </w:rPr>
      </w:pPr>
      <w:r w:rsidRPr="001A63E9">
        <w:rPr>
          <w:rFonts w:ascii="Times New Roman" w:hAnsi="Times New Roman" w:cs="Times New Roman"/>
        </w:rPr>
        <w:t>The relationship between crude oil prices and stock market returns is estimated using a multivariate time-series regression model:</w:t>
      </w:r>
    </w:p>
    <w:p w14:paraId="1D6B6928" w14:textId="687C37A9" w:rsidR="001A63E9" w:rsidRPr="001A63E9" w:rsidRDefault="004F3E5F" w:rsidP="001A63E9">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IN</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C</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r>
            <m:rPr>
              <m:sty m:val="p"/>
            </m:rPr>
            <w:rPr>
              <w:rFonts w:ascii="Times New Roman" w:hAnsi="Times New Roman" w:cs="Times New Roman"/>
            </w:rPr>
            <w:br/>
          </m:r>
        </m:oMath>
      </m:oMathPara>
    </w:p>
    <w:p w14:paraId="3CADF880" w14:textId="77777777" w:rsidR="001A63E9" w:rsidRPr="001A63E9" w:rsidRDefault="001A63E9" w:rsidP="001A63E9">
      <w:pPr>
        <w:jc w:val="both"/>
        <w:rPr>
          <w:rFonts w:ascii="Times New Roman" w:hAnsi="Times New Roman" w:cs="Times New Roman"/>
        </w:rPr>
      </w:pPr>
      <w:r w:rsidRPr="001A63E9">
        <w:rPr>
          <w:rFonts w:ascii="Times New Roman" w:hAnsi="Times New Roman" w:cs="Times New Roman"/>
        </w:rPr>
        <w:t>The model is specified to capture the marginal impact of oil price shocks on stock returns while controlling for key macroeconomic variables. Since the data are time-series in nature, stationarity is tested using the Augmented Dickey-Fuller (ADF) test, and appropriate transformations such as log returns or differencing are applied to avoid spurious regression.</w:t>
      </w:r>
    </w:p>
    <w:p w14:paraId="79231F96" w14:textId="77777777" w:rsidR="001A63E9" w:rsidRPr="001A63E9" w:rsidRDefault="001A63E9" w:rsidP="001A63E9">
      <w:pPr>
        <w:jc w:val="both"/>
        <w:rPr>
          <w:rFonts w:ascii="Times New Roman" w:hAnsi="Times New Roman" w:cs="Times New Roman"/>
        </w:rPr>
      </w:pPr>
      <w:r w:rsidRPr="001A63E9">
        <w:rPr>
          <w:rFonts w:ascii="Times New Roman" w:hAnsi="Times New Roman" w:cs="Times New Roman"/>
        </w:rPr>
        <w:t>Stock returns are used in logarithmic form to ensure stability and comparability. Crude oil prices represent the primary exogenous shock, while exchange rate, inflation, and capital flows are included to control for macroeconomic influences and reduce omitted variable bias.</w:t>
      </w:r>
    </w:p>
    <w:p w14:paraId="537FBC92" w14:textId="77777777" w:rsidR="001A63E9" w:rsidRDefault="001A63E9" w:rsidP="001A63E9">
      <w:pPr>
        <w:jc w:val="both"/>
        <w:rPr>
          <w:rFonts w:ascii="Times New Roman" w:hAnsi="Times New Roman" w:cs="Times New Roman"/>
        </w:rPr>
      </w:pPr>
      <w:r w:rsidRPr="001A63E9">
        <w:rPr>
          <w:rFonts w:ascii="Times New Roman" w:hAnsi="Times New Roman" w:cs="Times New Roman"/>
        </w:rPr>
        <w:t>Diagnostic tests for autocorrelation and heteroskedasticity are conducted to validate model assumptions. Given the presence of volatility clustering in financial data, a GARCH model is employed to capture time-varying variance. Where necessary, cointegration techniques may be applied to examine long-run relationships.</w:t>
      </w:r>
    </w:p>
    <w:p w14:paraId="4A389479" w14:textId="77777777" w:rsidR="001A63E9" w:rsidRDefault="001A63E9" w:rsidP="001A63E9">
      <w:pPr>
        <w:jc w:val="both"/>
        <w:rPr>
          <w:rFonts w:ascii="Times New Roman" w:hAnsi="Times New Roman" w:cs="Times New Roman"/>
        </w:rPr>
      </w:pPr>
    </w:p>
    <w:p w14:paraId="3D3A02C7" w14:textId="7AE1C251" w:rsidR="001A63E9" w:rsidRPr="001A63E9" w:rsidRDefault="001A63E9" w:rsidP="001A63E9">
      <w:pPr>
        <w:jc w:val="both"/>
        <w:rPr>
          <w:rFonts w:ascii="Times New Roman" w:hAnsi="Times New Roman" w:cs="Times New Roman"/>
          <w:b/>
          <w:bCs/>
        </w:rPr>
      </w:pPr>
      <w:r w:rsidRPr="001A63E9">
        <w:rPr>
          <w:rFonts w:ascii="Times New Roman" w:hAnsi="Times New Roman" w:cs="Times New Roman"/>
          <w:b/>
          <w:bCs/>
        </w:rPr>
        <w:t>DATA ANALYSIS AND INTERPRETATION</w:t>
      </w:r>
    </w:p>
    <w:p w14:paraId="758954D2" w14:textId="77777777" w:rsidR="001A63E9" w:rsidRPr="001A63E9" w:rsidRDefault="001A63E9" w:rsidP="001A63E9">
      <w:pPr>
        <w:jc w:val="both"/>
        <w:rPr>
          <w:rFonts w:ascii="Times New Roman" w:hAnsi="Times New Roman" w:cs="Times New Roman"/>
          <w:b/>
          <w:bCs/>
        </w:rPr>
      </w:pPr>
      <w:r w:rsidRPr="001A63E9">
        <w:rPr>
          <w:rFonts w:ascii="Times New Roman" w:hAnsi="Times New Roman" w:cs="Times New Roman"/>
          <w:b/>
          <w:bCs/>
        </w:rPr>
        <w:t>Descriptive Statistics</w:t>
      </w:r>
    </w:p>
    <w:p w14:paraId="3087F5E6" w14:textId="2D3EB28E" w:rsidR="001A63E9" w:rsidRDefault="001A63E9" w:rsidP="001A63E9">
      <w:pPr>
        <w:jc w:val="both"/>
        <w:rPr>
          <w:rFonts w:ascii="Times New Roman" w:hAnsi="Times New Roman" w:cs="Times New Roman"/>
        </w:rPr>
      </w:pPr>
      <w:r w:rsidRPr="001A63E9">
        <w:rPr>
          <w:rFonts w:ascii="Times New Roman" w:hAnsi="Times New Roman" w:cs="Times New Roman"/>
        </w:rPr>
        <w:t xml:space="preserve">The </w:t>
      </w:r>
      <w:r w:rsidR="00987F09">
        <w:rPr>
          <w:rFonts w:ascii="Times New Roman" w:hAnsi="Times New Roman" w:cs="Times New Roman"/>
        </w:rPr>
        <w:t xml:space="preserve">following table1.1 shows the </w:t>
      </w:r>
      <w:r w:rsidRPr="001A63E9">
        <w:rPr>
          <w:rFonts w:ascii="Times New Roman" w:hAnsi="Times New Roman" w:cs="Times New Roman"/>
        </w:rPr>
        <w:t xml:space="preserve">descriptive statistics of the variables </w:t>
      </w:r>
    </w:p>
    <w:p w14:paraId="7CFF2CE4" w14:textId="01C22121" w:rsidR="00987F09" w:rsidRPr="001A63E9" w:rsidRDefault="00987F09" w:rsidP="00987F09">
      <w:pPr>
        <w:jc w:val="center"/>
        <w:rPr>
          <w:rFonts w:ascii="Times New Roman" w:hAnsi="Times New Roman" w:cs="Times New Roman"/>
          <w:b/>
          <w:bCs/>
        </w:rPr>
      </w:pPr>
      <w:r w:rsidRPr="00D215C8">
        <w:rPr>
          <w:rFonts w:ascii="Times New Roman" w:hAnsi="Times New Roman" w:cs="Times New Roman"/>
          <w:b/>
          <w:bCs/>
        </w:rPr>
        <w:t>Table 1.1 Descriptive Stati</w:t>
      </w:r>
      <w:r w:rsidR="00E013D5" w:rsidRPr="00D215C8">
        <w:rPr>
          <w:rFonts w:ascii="Times New Roman" w:hAnsi="Times New Roman" w:cs="Times New Roman"/>
          <w:b/>
          <w:bCs/>
        </w:rPr>
        <w:t>stics</w:t>
      </w:r>
    </w:p>
    <w:tbl>
      <w:tblPr>
        <w:tblStyle w:val="TableGrid"/>
        <w:tblW w:w="0" w:type="auto"/>
        <w:jc w:val="center"/>
        <w:tblLook w:val="04A0" w:firstRow="1" w:lastRow="0" w:firstColumn="1" w:lastColumn="0" w:noHBand="0" w:noVBand="1"/>
      </w:tblPr>
      <w:tblGrid>
        <w:gridCol w:w="2229"/>
        <w:gridCol w:w="876"/>
        <w:gridCol w:w="1670"/>
        <w:gridCol w:w="836"/>
        <w:gridCol w:w="876"/>
      </w:tblGrid>
      <w:tr w:rsidR="001A63E9" w:rsidRPr="001A63E9" w14:paraId="7B93E644" w14:textId="77777777" w:rsidTr="009D4A81">
        <w:trPr>
          <w:jc w:val="center"/>
        </w:trPr>
        <w:tc>
          <w:tcPr>
            <w:tcW w:w="0" w:type="auto"/>
            <w:hideMark/>
          </w:tcPr>
          <w:p w14:paraId="6AF14AE6"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Variable</w:t>
            </w:r>
          </w:p>
        </w:tc>
        <w:tc>
          <w:tcPr>
            <w:tcW w:w="0" w:type="auto"/>
            <w:hideMark/>
          </w:tcPr>
          <w:p w14:paraId="45D34B4C"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Mean</w:t>
            </w:r>
          </w:p>
        </w:tc>
        <w:tc>
          <w:tcPr>
            <w:tcW w:w="0" w:type="auto"/>
            <w:hideMark/>
          </w:tcPr>
          <w:p w14:paraId="55FC7242"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Std. Deviation</w:t>
            </w:r>
          </w:p>
        </w:tc>
        <w:tc>
          <w:tcPr>
            <w:tcW w:w="0" w:type="auto"/>
            <w:hideMark/>
          </w:tcPr>
          <w:p w14:paraId="50B82B09"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Min</w:t>
            </w:r>
          </w:p>
        </w:tc>
        <w:tc>
          <w:tcPr>
            <w:tcW w:w="0" w:type="auto"/>
            <w:hideMark/>
          </w:tcPr>
          <w:p w14:paraId="4457E909"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Max</w:t>
            </w:r>
          </w:p>
        </w:tc>
      </w:tr>
      <w:tr w:rsidR="001A63E9" w:rsidRPr="001A63E9" w14:paraId="5BA4E7BE" w14:textId="77777777" w:rsidTr="009D4A81">
        <w:trPr>
          <w:jc w:val="center"/>
        </w:trPr>
        <w:tc>
          <w:tcPr>
            <w:tcW w:w="0" w:type="auto"/>
            <w:hideMark/>
          </w:tcPr>
          <w:p w14:paraId="73F5C36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Stock Returns (Rₜ)</w:t>
            </w:r>
          </w:p>
        </w:tc>
        <w:tc>
          <w:tcPr>
            <w:tcW w:w="0" w:type="auto"/>
            <w:hideMark/>
          </w:tcPr>
          <w:p w14:paraId="36561445"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0.0018</w:t>
            </w:r>
          </w:p>
        </w:tc>
        <w:tc>
          <w:tcPr>
            <w:tcW w:w="0" w:type="auto"/>
            <w:hideMark/>
          </w:tcPr>
          <w:p w14:paraId="1F546A6B"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0.0152</w:t>
            </w:r>
          </w:p>
        </w:tc>
        <w:tc>
          <w:tcPr>
            <w:tcW w:w="0" w:type="auto"/>
            <w:hideMark/>
          </w:tcPr>
          <w:p w14:paraId="04834C1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-0.045</w:t>
            </w:r>
          </w:p>
        </w:tc>
        <w:tc>
          <w:tcPr>
            <w:tcW w:w="0" w:type="auto"/>
            <w:hideMark/>
          </w:tcPr>
          <w:p w14:paraId="3C09B65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0.038</w:t>
            </w:r>
          </w:p>
        </w:tc>
      </w:tr>
      <w:tr w:rsidR="001A63E9" w:rsidRPr="001A63E9" w14:paraId="5F895766" w14:textId="77777777" w:rsidTr="009D4A81">
        <w:trPr>
          <w:jc w:val="center"/>
        </w:trPr>
        <w:tc>
          <w:tcPr>
            <w:tcW w:w="0" w:type="auto"/>
            <w:hideMark/>
          </w:tcPr>
          <w:p w14:paraId="605B5071"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Oil Prices (OPₜ)</w:t>
            </w:r>
          </w:p>
        </w:tc>
        <w:tc>
          <w:tcPr>
            <w:tcW w:w="0" w:type="auto"/>
            <w:hideMark/>
          </w:tcPr>
          <w:p w14:paraId="2A29F8E3"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82.50</w:t>
            </w:r>
          </w:p>
        </w:tc>
        <w:tc>
          <w:tcPr>
            <w:tcW w:w="0" w:type="auto"/>
            <w:hideMark/>
          </w:tcPr>
          <w:p w14:paraId="273DDD48"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9.75</w:t>
            </w:r>
          </w:p>
        </w:tc>
        <w:tc>
          <w:tcPr>
            <w:tcW w:w="0" w:type="auto"/>
            <w:hideMark/>
          </w:tcPr>
          <w:p w14:paraId="0B5ECB35"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65.30</w:t>
            </w:r>
          </w:p>
        </w:tc>
        <w:tc>
          <w:tcPr>
            <w:tcW w:w="0" w:type="auto"/>
            <w:hideMark/>
          </w:tcPr>
          <w:p w14:paraId="4EA65EA2"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105.40</w:t>
            </w:r>
          </w:p>
        </w:tc>
      </w:tr>
      <w:tr w:rsidR="001A63E9" w:rsidRPr="001A63E9" w14:paraId="74F98BDD" w14:textId="77777777" w:rsidTr="009D4A81">
        <w:trPr>
          <w:jc w:val="center"/>
        </w:trPr>
        <w:tc>
          <w:tcPr>
            <w:tcW w:w="0" w:type="auto"/>
            <w:hideMark/>
          </w:tcPr>
          <w:p w14:paraId="32EAC922"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Exchange Rate (ERₜ)</w:t>
            </w:r>
          </w:p>
        </w:tc>
        <w:tc>
          <w:tcPr>
            <w:tcW w:w="0" w:type="auto"/>
            <w:hideMark/>
          </w:tcPr>
          <w:p w14:paraId="7432F87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82.10</w:t>
            </w:r>
          </w:p>
        </w:tc>
        <w:tc>
          <w:tcPr>
            <w:tcW w:w="0" w:type="auto"/>
            <w:hideMark/>
          </w:tcPr>
          <w:p w14:paraId="6272C24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1.85</w:t>
            </w:r>
          </w:p>
        </w:tc>
        <w:tc>
          <w:tcPr>
            <w:tcW w:w="0" w:type="auto"/>
            <w:hideMark/>
          </w:tcPr>
          <w:p w14:paraId="6793D79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79.20</w:t>
            </w:r>
          </w:p>
        </w:tc>
        <w:tc>
          <w:tcPr>
            <w:tcW w:w="0" w:type="auto"/>
            <w:hideMark/>
          </w:tcPr>
          <w:p w14:paraId="2DC18AE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85.60</w:t>
            </w:r>
          </w:p>
        </w:tc>
      </w:tr>
      <w:tr w:rsidR="001A63E9" w:rsidRPr="001A63E9" w14:paraId="650BFFD6" w14:textId="77777777" w:rsidTr="009D4A81">
        <w:trPr>
          <w:jc w:val="center"/>
        </w:trPr>
        <w:tc>
          <w:tcPr>
            <w:tcW w:w="0" w:type="auto"/>
            <w:hideMark/>
          </w:tcPr>
          <w:p w14:paraId="24778AFB"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Inflation (INFₜ)</w:t>
            </w:r>
          </w:p>
        </w:tc>
        <w:tc>
          <w:tcPr>
            <w:tcW w:w="0" w:type="auto"/>
            <w:hideMark/>
          </w:tcPr>
          <w:p w14:paraId="191B960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5.80</w:t>
            </w:r>
          </w:p>
        </w:tc>
        <w:tc>
          <w:tcPr>
            <w:tcW w:w="0" w:type="auto"/>
            <w:hideMark/>
          </w:tcPr>
          <w:p w14:paraId="5257520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1.10</w:t>
            </w:r>
          </w:p>
        </w:tc>
        <w:tc>
          <w:tcPr>
            <w:tcW w:w="0" w:type="auto"/>
            <w:hideMark/>
          </w:tcPr>
          <w:p w14:paraId="7AF294F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3.90</w:t>
            </w:r>
          </w:p>
        </w:tc>
        <w:tc>
          <w:tcPr>
            <w:tcW w:w="0" w:type="auto"/>
            <w:hideMark/>
          </w:tcPr>
          <w:p w14:paraId="4749609B"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7.80</w:t>
            </w:r>
          </w:p>
        </w:tc>
      </w:tr>
      <w:tr w:rsidR="001A63E9" w:rsidRPr="001A63E9" w14:paraId="60BFD80D" w14:textId="77777777" w:rsidTr="009D4A81">
        <w:trPr>
          <w:jc w:val="center"/>
        </w:trPr>
        <w:tc>
          <w:tcPr>
            <w:tcW w:w="0" w:type="auto"/>
            <w:hideMark/>
          </w:tcPr>
          <w:p w14:paraId="1862934E"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Capital Flows (CFₜ)</w:t>
            </w:r>
          </w:p>
        </w:tc>
        <w:tc>
          <w:tcPr>
            <w:tcW w:w="0" w:type="auto"/>
            <w:hideMark/>
          </w:tcPr>
          <w:p w14:paraId="18B9D3A8"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2,350</w:t>
            </w:r>
          </w:p>
        </w:tc>
        <w:tc>
          <w:tcPr>
            <w:tcW w:w="0" w:type="auto"/>
            <w:hideMark/>
          </w:tcPr>
          <w:p w14:paraId="2BF98FF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1,250</w:t>
            </w:r>
          </w:p>
        </w:tc>
        <w:tc>
          <w:tcPr>
            <w:tcW w:w="0" w:type="auto"/>
            <w:hideMark/>
          </w:tcPr>
          <w:p w14:paraId="20152949"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-1,800</w:t>
            </w:r>
          </w:p>
        </w:tc>
        <w:tc>
          <w:tcPr>
            <w:tcW w:w="0" w:type="auto"/>
            <w:hideMark/>
          </w:tcPr>
          <w:p w14:paraId="66DDA99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4,900</w:t>
            </w:r>
          </w:p>
        </w:tc>
      </w:tr>
    </w:tbl>
    <w:p w14:paraId="62C5B5C8" w14:textId="2A58A3D2" w:rsidR="00E013D5" w:rsidRPr="00E013D5" w:rsidRDefault="00E013D5" w:rsidP="001A63E9">
      <w:pPr>
        <w:jc w:val="both"/>
        <w:rPr>
          <w:rFonts w:ascii="Times New Roman" w:hAnsi="Times New Roman" w:cs="Times New Roman"/>
          <w:b/>
          <w:bCs/>
          <w:sz w:val="20"/>
          <w:szCs w:val="20"/>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sz w:val="20"/>
          <w:szCs w:val="20"/>
        </w:rPr>
        <w:t>Source: compiled from secondary data</w:t>
      </w:r>
    </w:p>
    <w:p w14:paraId="4B4F7E27" w14:textId="5043E5EE" w:rsidR="001A63E9" w:rsidRDefault="001A63E9" w:rsidP="001A63E9">
      <w:pPr>
        <w:jc w:val="both"/>
        <w:rPr>
          <w:rFonts w:ascii="Times New Roman" w:hAnsi="Times New Roman" w:cs="Times New Roman"/>
          <w:b/>
          <w:bCs/>
        </w:rPr>
      </w:pPr>
      <w:r w:rsidRPr="001A63E9">
        <w:rPr>
          <w:rFonts w:ascii="Times New Roman" w:hAnsi="Times New Roman" w:cs="Times New Roman"/>
          <w:b/>
          <w:bCs/>
        </w:rPr>
        <w:lastRenderedPageBreak/>
        <w:t>Interpretation:</w:t>
      </w:r>
      <w:r w:rsidRPr="001A63E9">
        <w:rPr>
          <w:rFonts w:ascii="Times New Roman" w:hAnsi="Times New Roman" w:cs="Times New Roman"/>
        </w:rPr>
        <w:br/>
      </w:r>
      <w:r w:rsidR="00E013D5">
        <w:rPr>
          <w:rFonts w:ascii="Times New Roman" w:hAnsi="Times New Roman" w:cs="Times New Roman"/>
        </w:rPr>
        <w:t>The table 1.1</w:t>
      </w:r>
      <w:r w:rsidR="00D215C8">
        <w:rPr>
          <w:rFonts w:ascii="Times New Roman" w:hAnsi="Times New Roman" w:cs="Times New Roman"/>
        </w:rPr>
        <w:t>depicts</w:t>
      </w:r>
      <w:r w:rsidR="00E013D5">
        <w:rPr>
          <w:rFonts w:ascii="Times New Roman" w:hAnsi="Times New Roman" w:cs="Times New Roman"/>
        </w:rPr>
        <w:t xml:space="preserve"> </w:t>
      </w:r>
      <w:r w:rsidR="00D215C8">
        <w:rPr>
          <w:rFonts w:ascii="Times New Roman" w:hAnsi="Times New Roman" w:cs="Times New Roman"/>
        </w:rPr>
        <w:t>t</w:t>
      </w:r>
      <w:r w:rsidR="00D215C8" w:rsidRPr="00D215C8">
        <w:rPr>
          <w:rFonts w:ascii="Times New Roman" w:hAnsi="Times New Roman" w:cs="Times New Roman"/>
        </w:rPr>
        <w:t xml:space="preserve">he descriptive statistics </w:t>
      </w:r>
      <w:r w:rsidR="00D215C8">
        <w:rPr>
          <w:rFonts w:ascii="Times New Roman" w:hAnsi="Times New Roman" w:cs="Times New Roman"/>
        </w:rPr>
        <w:t xml:space="preserve">of the variables. It </w:t>
      </w:r>
      <w:r w:rsidR="00D215C8" w:rsidRPr="00D215C8">
        <w:rPr>
          <w:rFonts w:ascii="Times New Roman" w:hAnsi="Times New Roman" w:cs="Times New Roman"/>
        </w:rPr>
        <w:t>indicate</w:t>
      </w:r>
      <w:r w:rsidR="00D215C8">
        <w:rPr>
          <w:rFonts w:ascii="Times New Roman" w:hAnsi="Times New Roman" w:cs="Times New Roman"/>
        </w:rPr>
        <w:t>s</w:t>
      </w:r>
      <w:r w:rsidR="00D215C8" w:rsidRPr="00D215C8">
        <w:rPr>
          <w:rFonts w:ascii="Times New Roman" w:hAnsi="Times New Roman" w:cs="Times New Roman"/>
        </w:rPr>
        <w:t xml:space="preserve"> that stock returns (Rₜ) have a low mean value of 0.0018 with moderate volatility (SD = 0.0152) and a wide range (–0.045 to 0.038), reflecting fluctuating market performance. Oil prices (OPₜ) record a mean of 82.50 with high variability (SD = 9.75), suggesting significant external shocks. The exchange rate (ERₜ) remains relatively stable, with a mean of 82.10 and low dispersion (SD = 1.85), indicating controlled currency movements. Inflation (INFₜ) shows a moderate and stable trend with a mean of 5.80% and standard deviation of 1.10. In contrast, capital flows (CFₜ) exhibit substantial volatility (SD = 1,250) with a wide range from –1,800 to 4,900, indicating fluctuating investor sentiment. Overall, financial variables demonstrate higher volatility compared to relatively stable macroeconomic indicators, while oil prices act as a major source of external disturbance.</w:t>
      </w:r>
    </w:p>
    <w:p w14:paraId="701DD18E" w14:textId="02A080D3" w:rsidR="00D215C8" w:rsidRPr="001A63E9" w:rsidRDefault="00D215C8" w:rsidP="00D215C8">
      <w:pPr>
        <w:jc w:val="both"/>
        <w:rPr>
          <w:rFonts w:ascii="Times New Roman" w:hAnsi="Times New Roman" w:cs="Times New Roman"/>
          <w:b/>
          <w:bCs/>
        </w:rPr>
      </w:pPr>
      <w:r>
        <w:rPr>
          <w:rFonts w:ascii="Times New Roman" w:hAnsi="Times New Roman" w:cs="Times New Roman"/>
          <w:b/>
          <w:bCs/>
        </w:rPr>
        <w:t>Stationarity Test</w:t>
      </w:r>
    </w:p>
    <w:p w14:paraId="42FD1C5D" w14:textId="6A689D01" w:rsidR="00D215C8" w:rsidRDefault="00D215C8" w:rsidP="00D215C8">
      <w:pPr>
        <w:jc w:val="both"/>
        <w:rPr>
          <w:rFonts w:ascii="Times New Roman" w:hAnsi="Times New Roman" w:cs="Times New Roman"/>
        </w:rPr>
      </w:pPr>
      <w:r w:rsidRPr="001A63E9">
        <w:rPr>
          <w:rFonts w:ascii="Times New Roman" w:hAnsi="Times New Roman" w:cs="Times New Roman"/>
        </w:rPr>
        <w:t xml:space="preserve">The </w:t>
      </w:r>
      <w:r>
        <w:rPr>
          <w:rFonts w:ascii="Times New Roman" w:hAnsi="Times New Roman" w:cs="Times New Roman"/>
        </w:rPr>
        <w:t>following table1.2 shows the Unit root test</w:t>
      </w:r>
      <w:r w:rsidRPr="001A63E9">
        <w:rPr>
          <w:rFonts w:ascii="Times New Roman" w:hAnsi="Times New Roman" w:cs="Times New Roman"/>
        </w:rPr>
        <w:t xml:space="preserve"> of the variables </w:t>
      </w:r>
    </w:p>
    <w:p w14:paraId="07FDB566" w14:textId="7CC0B315" w:rsidR="001A63E9" w:rsidRPr="001A63E9" w:rsidRDefault="00D215C8" w:rsidP="00D215C8">
      <w:pPr>
        <w:jc w:val="center"/>
        <w:rPr>
          <w:rFonts w:ascii="Times New Roman" w:hAnsi="Times New Roman" w:cs="Times New Roman"/>
          <w:b/>
          <w:bCs/>
        </w:rPr>
      </w:pPr>
      <w:r>
        <w:rPr>
          <w:rFonts w:ascii="Times New Roman" w:hAnsi="Times New Roman" w:cs="Times New Roman"/>
          <w:b/>
          <w:bCs/>
        </w:rPr>
        <w:t>Table 1.2</w:t>
      </w:r>
      <w:r w:rsidR="009D4A81">
        <w:rPr>
          <w:rFonts w:ascii="Times New Roman" w:hAnsi="Times New Roman" w:cs="Times New Roman"/>
          <w:b/>
          <w:bCs/>
        </w:rPr>
        <w:t xml:space="preserve"> </w:t>
      </w:r>
      <w:r w:rsidR="001A63E9" w:rsidRPr="001A63E9">
        <w:rPr>
          <w:rFonts w:ascii="Times New Roman" w:hAnsi="Times New Roman" w:cs="Times New Roman"/>
          <w:b/>
          <w:bCs/>
        </w:rPr>
        <w:t>Stationarity Test (ADF Test)</w:t>
      </w:r>
    </w:p>
    <w:tbl>
      <w:tblPr>
        <w:tblStyle w:val="TableGrid"/>
        <w:tblW w:w="0" w:type="auto"/>
        <w:jc w:val="center"/>
        <w:tblLook w:val="04A0" w:firstRow="1" w:lastRow="0" w:firstColumn="1" w:lastColumn="0" w:noHBand="0" w:noVBand="1"/>
      </w:tblPr>
      <w:tblGrid>
        <w:gridCol w:w="1088"/>
        <w:gridCol w:w="2367"/>
        <w:gridCol w:w="3222"/>
        <w:gridCol w:w="870"/>
      </w:tblGrid>
      <w:tr w:rsidR="001A63E9" w:rsidRPr="001A63E9" w14:paraId="495313FE" w14:textId="77777777" w:rsidTr="009D4A81">
        <w:trPr>
          <w:jc w:val="center"/>
        </w:trPr>
        <w:tc>
          <w:tcPr>
            <w:tcW w:w="0" w:type="auto"/>
            <w:hideMark/>
          </w:tcPr>
          <w:p w14:paraId="2B24BD62"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Variable</w:t>
            </w:r>
          </w:p>
        </w:tc>
        <w:tc>
          <w:tcPr>
            <w:tcW w:w="0" w:type="auto"/>
            <w:hideMark/>
          </w:tcPr>
          <w:p w14:paraId="3B821C56"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ADF Statistic (Level)</w:t>
            </w:r>
          </w:p>
        </w:tc>
        <w:tc>
          <w:tcPr>
            <w:tcW w:w="0" w:type="auto"/>
            <w:hideMark/>
          </w:tcPr>
          <w:p w14:paraId="0985F0E1"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ADF Statistic (1st Difference)</w:t>
            </w:r>
          </w:p>
        </w:tc>
        <w:tc>
          <w:tcPr>
            <w:tcW w:w="0" w:type="auto"/>
            <w:hideMark/>
          </w:tcPr>
          <w:p w14:paraId="72768ED9"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Result</w:t>
            </w:r>
          </w:p>
        </w:tc>
      </w:tr>
      <w:tr w:rsidR="001A63E9" w:rsidRPr="001A63E9" w14:paraId="6158DE80" w14:textId="77777777" w:rsidTr="009D4A81">
        <w:trPr>
          <w:jc w:val="center"/>
        </w:trPr>
        <w:tc>
          <w:tcPr>
            <w:tcW w:w="0" w:type="auto"/>
            <w:hideMark/>
          </w:tcPr>
          <w:p w14:paraId="1332C62D"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Rₜ</w:t>
            </w:r>
          </w:p>
        </w:tc>
        <w:tc>
          <w:tcPr>
            <w:tcW w:w="0" w:type="auto"/>
            <w:hideMark/>
          </w:tcPr>
          <w:p w14:paraId="1DE96A1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-1.85</w:t>
            </w:r>
          </w:p>
        </w:tc>
        <w:tc>
          <w:tcPr>
            <w:tcW w:w="0" w:type="auto"/>
            <w:hideMark/>
          </w:tcPr>
          <w:p w14:paraId="1E97C19C"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-5.92***</w:t>
            </w:r>
          </w:p>
        </w:tc>
        <w:tc>
          <w:tcPr>
            <w:tcW w:w="0" w:type="auto"/>
            <w:hideMark/>
          </w:tcPr>
          <w:p w14:paraId="3EEB3B9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I(1)</w:t>
            </w:r>
          </w:p>
        </w:tc>
      </w:tr>
      <w:tr w:rsidR="001A63E9" w:rsidRPr="001A63E9" w14:paraId="0DBC0A6E" w14:textId="77777777" w:rsidTr="009D4A81">
        <w:trPr>
          <w:jc w:val="center"/>
        </w:trPr>
        <w:tc>
          <w:tcPr>
            <w:tcW w:w="0" w:type="auto"/>
            <w:hideMark/>
          </w:tcPr>
          <w:p w14:paraId="295CB083"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OPₜ</w:t>
            </w:r>
          </w:p>
        </w:tc>
        <w:tc>
          <w:tcPr>
            <w:tcW w:w="0" w:type="auto"/>
            <w:hideMark/>
          </w:tcPr>
          <w:p w14:paraId="63EC6D8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-2.10</w:t>
            </w:r>
          </w:p>
        </w:tc>
        <w:tc>
          <w:tcPr>
            <w:tcW w:w="0" w:type="auto"/>
            <w:hideMark/>
          </w:tcPr>
          <w:p w14:paraId="0032A90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-6.45***</w:t>
            </w:r>
          </w:p>
        </w:tc>
        <w:tc>
          <w:tcPr>
            <w:tcW w:w="0" w:type="auto"/>
            <w:hideMark/>
          </w:tcPr>
          <w:p w14:paraId="328AB12E"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I(1)</w:t>
            </w:r>
          </w:p>
        </w:tc>
      </w:tr>
      <w:tr w:rsidR="001A63E9" w:rsidRPr="001A63E9" w14:paraId="11DA4617" w14:textId="77777777" w:rsidTr="009D4A81">
        <w:trPr>
          <w:jc w:val="center"/>
        </w:trPr>
        <w:tc>
          <w:tcPr>
            <w:tcW w:w="0" w:type="auto"/>
            <w:hideMark/>
          </w:tcPr>
          <w:p w14:paraId="01E8E23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ERₜ</w:t>
            </w:r>
          </w:p>
        </w:tc>
        <w:tc>
          <w:tcPr>
            <w:tcW w:w="0" w:type="auto"/>
            <w:hideMark/>
          </w:tcPr>
          <w:p w14:paraId="5E3B6A6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-1.65</w:t>
            </w:r>
          </w:p>
        </w:tc>
        <w:tc>
          <w:tcPr>
            <w:tcW w:w="0" w:type="auto"/>
            <w:hideMark/>
          </w:tcPr>
          <w:p w14:paraId="286D5553"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-5.10***</w:t>
            </w:r>
          </w:p>
        </w:tc>
        <w:tc>
          <w:tcPr>
            <w:tcW w:w="0" w:type="auto"/>
            <w:hideMark/>
          </w:tcPr>
          <w:p w14:paraId="056F173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I(1)</w:t>
            </w:r>
          </w:p>
        </w:tc>
      </w:tr>
      <w:tr w:rsidR="001A63E9" w:rsidRPr="001A63E9" w14:paraId="572C7246" w14:textId="77777777" w:rsidTr="009D4A81">
        <w:trPr>
          <w:jc w:val="center"/>
        </w:trPr>
        <w:tc>
          <w:tcPr>
            <w:tcW w:w="0" w:type="auto"/>
            <w:hideMark/>
          </w:tcPr>
          <w:p w14:paraId="7DBFA12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INFₜ</w:t>
            </w:r>
          </w:p>
        </w:tc>
        <w:tc>
          <w:tcPr>
            <w:tcW w:w="0" w:type="auto"/>
            <w:hideMark/>
          </w:tcPr>
          <w:p w14:paraId="3B96CD08"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-2.25</w:t>
            </w:r>
          </w:p>
        </w:tc>
        <w:tc>
          <w:tcPr>
            <w:tcW w:w="0" w:type="auto"/>
            <w:hideMark/>
          </w:tcPr>
          <w:p w14:paraId="234480A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-4.75***</w:t>
            </w:r>
          </w:p>
        </w:tc>
        <w:tc>
          <w:tcPr>
            <w:tcW w:w="0" w:type="auto"/>
            <w:hideMark/>
          </w:tcPr>
          <w:p w14:paraId="16084ADB"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I(1)</w:t>
            </w:r>
          </w:p>
        </w:tc>
      </w:tr>
      <w:tr w:rsidR="001A63E9" w:rsidRPr="001A63E9" w14:paraId="6A2B284E" w14:textId="77777777" w:rsidTr="009D4A81">
        <w:trPr>
          <w:jc w:val="center"/>
        </w:trPr>
        <w:tc>
          <w:tcPr>
            <w:tcW w:w="0" w:type="auto"/>
            <w:hideMark/>
          </w:tcPr>
          <w:p w14:paraId="5F28C28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CFₜ</w:t>
            </w:r>
          </w:p>
        </w:tc>
        <w:tc>
          <w:tcPr>
            <w:tcW w:w="0" w:type="auto"/>
            <w:hideMark/>
          </w:tcPr>
          <w:p w14:paraId="39BC238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-1.90</w:t>
            </w:r>
          </w:p>
        </w:tc>
        <w:tc>
          <w:tcPr>
            <w:tcW w:w="0" w:type="auto"/>
            <w:hideMark/>
          </w:tcPr>
          <w:p w14:paraId="01AC4532"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-5.60***</w:t>
            </w:r>
          </w:p>
        </w:tc>
        <w:tc>
          <w:tcPr>
            <w:tcW w:w="0" w:type="auto"/>
            <w:hideMark/>
          </w:tcPr>
          <w:p w14:paraId="48E73D65"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I(1)</w:t>
            </w:r>
          </w:p>
        </w:tc>
      </w:tr>
    </w:tbl>
    <w:p w14:paraId="14B6164D" w14:textId="15033FAC" w:rsidR="001A63E9" w:rsidRDefault="00D215C8" w:rsidP="001A63E9">
      <w:pPr>
        <w:jc w:val="both"/>
        <w:rPr>
          <w:rFonts w:ascii="Times New Roman" w:hAnsi="Times New Roman" w:cs="Times New Roman"/>
        </w:rPr>
      </w:pPr>
      <w:r>
        <w:rPr>
          <w:rFonts w:ascii="Times New Roman" w:hAnsi="Times New Roman" w:cs="Times New Roman"/>
          <w:b/>
          <w:bCs/>
          <w:sz w:val="20"/>
          <w:szCs w:val="20"/>
        </w:rPr>
        <w:tab/>
        <w:t>Source: compiled from secondary data</w:t>
      </w:r>
      <w:r w:rsidRPr="001A63E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63E9" w:rsidRPr="001A63E9">
        <w:rPr>
          <w:rFonts w:ascii="Times New Roman" w:hAnsi="Times New Roman" w:cs="Times New Roman"/>
        </w:rPr>
        <w:t>(</w:t>
      </w:r>
      <w:r w:rsidR="001A63E9" w:rsidRPr="001A63E9">
        <w:rPr>
          <w:rFonts w:ascii="Times New Roman" w:hAnsi="Times New Roman" w:cs="Times New Roman"/>
          <w:b/>
          <w:bCs/>
        </w:rPr>
        <w:t>*</w:t>
      </w:r>
      <w:r w:rsidR="001A63E9" w:rsidRPr="001A63E9">
        <w:rPr>
          <w:rFonts w:ascii="Times New Roman" w:hAnsi="Times New Roman" w:cs="Times New Roman"/>
        </w:rPr>
        <w:t xml:space="preserve"> significant at 1%)</w:t>
      </w:r>
    </w:p>
    <w:p w14:paraId="042CE1CE" w14:textId="77777777" w:rsidR="00D215C8" w:rsidRPr="001A63E9" w:rsidRDefault="00D215C8" w:rsidP="001A63E9">
      <w:pPr>
        <w:jc w:val="both"/>
        <w:rPr>
          <w:rFonts w:ascii="Times New Roman" w:hAnsi="Times New Roman" w:cs="Times New Roman"/>
        </w:rPr>
      </w:pPr>
    </w:p>
    <w:p w14:paraId="25E7CB32" w14:textId="723DBFA3" w:rsidR="001A63E9" w:rsidRPr="001A63E9" w:rsidRDefault="001A63E9" w:rsidP="001A63E9">
      <w:pPr>
        <w:jc w:val="both"/>
        <w:rPr>
          <w:rFonts w:ascii="Times New Roman" w:hAnsi="Times New Roman" w:cs="Times New Roman"/>
        </w:rPr>
      </w:pPr>
      <w:r w:rsidRPr="001A63E9">
        <w:rPr>
          <w:rFonts w:ascii="Times New Roman" w:hAnsi="Times New Roman" w:cs="Times New Roman"/>
          <w:b/>
          <w:bCs/>
        </w:rPr>
        <w:t>Interpretation:</w:t>
      </w:r>
      <w:r w:rsidRPr="001A63E9">
        <w:rPr>
          <w:rFonts w:ascii="Times New Roman" w:hAnsi="Times New Roman" w:cs="Times New Roman"/>
        </w:rPr>
        <w:br/>
      </w:r>
      <w:r w:rsidR="00D215C8">
        <w:rPr>
          <w:rFonts w:ascii="Times New Roman" w:hAnsi="Times New Roman" w:cs="Times New Roman"/>
        </w:rPr>
        <w:t>The table 1.</w:t>
      </w:r>
      <w:r w:rsidR="00C14D65">
        <w:rPr>
          <w:rFonts w:ascii="Times New Roman" w:hAnsi="Times New Roman" w:cs="Times New Roman"/>
        </w:rPr>
        <w:t xml:space="preserve">2 </w:t>
      </w:r>
      <w:r w:rsidR="00D215C8">
        <w:rPr>
          <w:rFonts w:ascii="Times New Roman" w:hAnsi="Times New Roman" w:cs="Times New Roman"/>
        </w:rPr>
        <w:t>depicts t</w:t>
      </w:r>
      <w:r w:rsidR="00D215C8" w:rsidRPr="00D215C8">
        <w:rPr>
          <w:rFonts w:ascii="Times New Roman" w:hAnsi="Times New Roman" w:cs="Times New Roman"/>
        </w:rPr>
        <w:t xml:space="preserve">he </w:t>
      </w:r>
      <w:r w:rsidR="00C14D65">
        <w:rPr>
          <w:rFonts w:ascii="Times New Roman" w:hAnsi="Times New Roman" w:cs="Times New Roman"/>
        </w:rPr>
        <w:t>Stationarity</w:t>
      </w:r>
      <w:r w:rsidR="00D215C8" w:rsidRPr="00D215C8">
        <w:rPr>
          <w:rFonts w:ascii="Times New Roman" w:hAnsi="Times New Roman" w:cs="Times New Roman"/>
        </w:rPr>
        <w:t xml:space="preserve"> </w:t>
      </w:r>
      <w:r w:rsidR="00D215C8">
        <w:rPr>
          <w:rFonts w:ascii="Times New Roman" w:hAnsi="Times New Roman" w:cs="Times New Roman"/>
        </w:rPr>
        <w:t xml:space="preserve">of the variables. </w:t>
      </w:r>
      <w:r w:rsidR="00D215C8" w:rsidRPr="00D215C8">
        <w:rPr>
          <w:rFonts w:ascii="Times New Roman" w:hAnsi="Times New Roman" w:cs="Times New Roman"/>
        </w:rPr>
        <w:t>The Augmented Dickey–Fuller (ADF) test results indicate that all variables are non-stationary at levels but become stationary after first differencing. Specifically, ADF statistics at level for stock returns (Rₜ), oil prices (OPₜ), exchange rate (ERₜ), inflation (INFₜ), and capital flows (CFₜ) are found to be higher than the critical values, confirming the presence of unit roots. However, after first differencing, highly significant ADF statistics at the 1% level are observed for all variables, with values of –5.92 for Rₜ, –6.45 for OPₜ, –5.10 for ERₜ, –4.75 for INFₜ, and –5.60 for CFₜ. This indicates that all series are integrated of order one, I</w:t>
      </w:r>
      <w:r w:rsidR="00D215C8">
        <w:rPr>
          <w:rFonts w:ascii="Times New Roman" w:hAnsi="Times New Roman" w:cs="Times New Roman"/>
        </w:rPr>
        <w:t xml:space="preserve"> </w:t>
      </w:r>
      <w:r w:rsidR="00D215C8" w:rsidRPr="00D215C8">
        <w:rPr>
          <w:rFonts w:ascii="Times New Roman" w:hAnsi="Times New Roman" w:cs="Times New Roman"/>
        </w:rPr>
        <w:t>(1). Therefore, the variables are considered suitable for further econometric analysis using cointegration techniques and error correction models.</w:t>
      </w:r>
    </w:p>
    <w:p w14:paraId="486AF9A2" w14:textId="48F0B505" w:rsidR="001A63E9" w:rsidRDefault="001A63E9" w:rsidP="001A63E9">
      <w:pPr>
        <w:jc w:val="both"/>
        <w:rPr>
          <w:rFonts w:ascii="Times New Roman" w:hAnsi="Times New Roman" w:cs="Times New Roman"/>
          <w:b/>
          <w:bCs/>
        </w:rPr>
      </w:pPr>
      <w:r w:rsidRPr="001A63E9">
        <w:rPr>
          <w:rFonts w:ascii="Times New Roman" w:hAnsi="Times New Roman" w:cs="Times New Roman"/>
          <w:b/>
          <w:bCs/>
        </w:rPr>
        <w:t>Correlation Analysis</w:t>
      </w:r>
    </w:p>
    <w:p w14:paraId="2F6A0412" w14:textId="43B928D0" w:rsidR="00D215C8" w:rsidRDefault="00D215C8" w:rsidP="00D215C8">
      <w:pPr>
        <w:jc w:val="both"/>
        <w:rPr>
          <w:rFonts w:ascii="Times New Roman" w:hAnsi="Times New Roman" w:cs="Times New Roman"/>
        </w:rPr>
      </w:pPr>
      <w:r w:rsidRPr="001A63E9">
        <w:rPr>
          <w:rFonts w:ascii="Times New Roman" w:hAnsi="Times New Roman" w:cs="Times New Roman"/>
        </w:rPr>
        <w:t xml:space="preserve">The </w:t>
      </w:r>
      <w:r>
        <w:rPr>
          <w:rFonts w:ascii="Times New Roman" w:hAnsi="Times New Roman" w:cs="Times New Roman"/>
        </w:rPr>
        <w:t xml:space="preserve">following table1.3 shows the relationship between </w:t>
      </w:r>
      <w:r w:rsidRPr="001A63E9">
        <w:rPr>
          <w:rFonts w:ascii="Times New Roman" w:hAnsi="Times New Roman" w:cs="Times New Roman"/>
        </w:rPr>
        <w:t xml:space="preserve">the variables </w:t>
      </w:r>
    </w:p>
    <w:p w14:paraId="59227EA5" w14:textId="124D3035" w:rsidR="00D215C8" w:rsidRPr="001A63E9" w:rsidRDefault="00D215C8" w:rsidP="00C14D65">
      <w:pPr>
        <w:jc w:val="center"/>
        <w:rPr>
          <w:rFonts w:ascii="Times New Roman" w:hAnsi="Times New Roman" w:cs="Times New Roman"/>
          <w:b/>
          <w:bCs/>
        </w:rPr>
      </w:pPr>
      <w:r>
        <w:rPr>
          <w:rFonts w:ascii="Times New Roman" w:hAnsi="Times New Roman" w:cs="Times New Roman"/>
          <w:b/>
          <w:bCs/>
        </w:rPr>
        <w:t>Table 1.</w:t>
      </w:r>
      <w:r w:rsidR="00C14D65">
        <w:rPr>
          <w:rFonts w:ascii="Times New Roman" w:hAnsi="Times New Roman" w:cs="Times New Roman"/>
          <w:b/>
          <w:bCs/>
        </w:rPr>
        <w:t>3</w:t>
      </w:r>
      <w:r>
        <w:rPr>
          <w:rFonts w:ascii="Times New Roman" w:hAnsi="Times New Roman" w:cs="Times New Roman"/>
          <w:b/>
          <w:bCs/>
        </w:rPr>
        <w:t xml:space="preserve"> </w:t>
      </w:r>
      <w:r w:rsidR="00C14D65">
        <w:rPr>
          <w:rFonts w:ascii="Times New Roman" w:hAnsi="Times New Roman" w:cs="Times New Roman"/>
          <w:b/>
          <w:bCs/>
        </w:rPr>
        <w:t>Correlation analysis</w:t>
      </w:r>
    </w:p>
    <w:tbl>
      <w:tblPr>
        <w:tblStyle w:val="TableGrid"/>
        <w:tblW w:w="0" w:type="auto"/>
        <w:jc w:val="center"/>
        <w:tblLook w:val="04A0" w:firstRow="1" w:lastRow="0" w:firstColumn="1" w:lastColumn="0" w:noHBand="0" w:noVBand="1"/>
      </w:tblPr>
      <w:tblGrid>
        <w:gridCol w:w="1181"/>
        <w:gridCol w:w="441"/>
        <w:gridCol w:w="716"/>
        <w:gridCol w:w="716"/>
        <w:gridCol w:w="716"/>
        <w:gridCol w:w="636"/>
      </w:tblGrid>
      <w:tr w:rsidR="001A63E9" w:rsidRPr="001A63E9" w14:paraId="105195A2" w14:textId="77777777" w:rsidTr="009D4A81">
        <w:trPr>
          <w:jc w:val="center"/>
        </w:trPr>
        <w:tc>
          <w:tcPr>
            <w:tcW w:w="0" w:type="auto"/>
            <w:hideMark/>
          </w:tcPr>
          <w:p w14:paraId="4AF785BB"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lastRenderedPageBreak/>
              <w:t>Variables</w:t>
            </w:r>
          </w:p>
        </w:tc>
        <w:tc>
          <w:tcPr>
            <w:tcW w:w="0" w:type="auto"/>
            <w:hideMark/>
          </w:tcPr>
          <w:p w14:paraId="14D23486"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Rₜ</w:t>
            </w:r>
          </w:p>
        </w:tc>
        <w:tc>
          <w:tcPr>
            <w:tcW w:w="0" w:type="auto"/>
            <w:hideMark/>
          </w:tcPr>
          <w:p w14:paraId="5F35A722"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OPₜ</w:t>
            </w:r>
          </w:p>
        </w:tc>
        <w:tc>
          <w:tcPr>
            <w:tcW w:w="0" w:type="auto"/>
            <w:hideMark/>
          </w:tcPr>
          <w:p w14:paraId="2859B4DF"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ERₜ</w:t>
            </w:r>
          </w:p>
        </w:tc>
        <w:tc>
          <w:tcPr>
            <w:tcW w:w="0" w:type="auto"/>
            <w:hideMark/>
          </w:tcPr>
          <w:p w14:paraId="147C899C"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INFₜ</w:t>
            </w:r>
          </w:p>
        </w:tc>
        <w:tc>
          <w:tcPr>
            <w:tcW w:w="0" w:type="auto"/>
            <w:hideMark/>
          </w:tcPr>
          <w:p w14:paraId="08B7DACD"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CFₜ</w:t>
            </w:r>
          </w:p>
        </w:tc>
      </w:tr>
      <w:tr w:rsidR="001A63E9" w:rsidRPr="001A63E9" w14:paraId="391424E0" w14:textId="77777777" w:rsidTr="009D4A81">
        <w:trPr>
          <w:jc w:val="center"/>
        </w:trPr>
        <w:tc>
          <w:tcPr>
            <w:tcW w:w="0" w:type="auto"/>
            <w:hideMark/>
          </w:tcPr>
          <w:p w14:paraId="24E6334E"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Rₜ</w:t>
            </w:r>
          </w:p>
        </w:tc>
        <w:tc>
          <w:tcPr>
            <w:tcW w:w="0" w:type="auto"/>
            <w:hideMark/>
          </w:tcPr>
          <w:p w14:paraId="2E4B0DCE"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w:t>
            </w:r>
          </w:p>
        </w:tc>
        <w:tc>
          <w:tcPr>
            <w:tcW w:w="0" w:type="auto"/>
            <w:hideMark/>
          </w:tcPr>
          <w:p w14:paraId="105D62D8"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-0.48</w:t>
            </w:r>
          </w:p>
        </w:tc>
        <w:tc>
          <w:tcPr>
            <w:tcW w:w="0" w:type="auto"/>
            <w:hideMark/>
          </w:tcPr>
          <w:p w14:paraId="69A5A52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-0.36</w:t>
            </w:r>
          </w:p>
        </w:tc>
        <w:tc>
          <w:tcPr>
            <w:tcW w:w="0" w:type="auto"/>
            <w:hideMark/>
          </w:tcPr>
          <w:p w14:paraId="12BCA05C"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-0.21</w:t>
            </w:r>
          </w:p>
        </w:tc>
        <w:tc>
          <w:tcPr>
            <w:tcW w:w="0" w:type="auto"/>
            <w:hideMark/>
          </w:tcPr>
          <w:p w14:paraId="696093D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0.55</w:t>
            </w:r>
          </w:p>
        </w:tc>
      </w:tr>
    </w:tbl>
    <w:p w14:paraId="2EB670C3" w14:textId="28ADE71F" w:rsidR="00C14D65" w:rsidRDefault="00C14D65" w:rsidP="001A63E9">
      <w:pPr>
        <w:jc w:val="both"/>
        <w:rPr>
          <w:rFonts w:ascii="Times New Roman" w:hAnsi="Times New Roman" w:cs="Times New Roman"/>
          <w:b/>
          <w:bCs/>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Source: compiled from secondary data</w:t>
      </w:r>
    </w:p>
    <w:p w14:paraId="54D77EB0" w14:textId="10913BF9" w:rsidR="001A63E9" w:rsidRPr="001A63E9" w:rsidRDefault="001A63E9" w:rsidP="001A63E9">
      <w:pPr>
        <w:jc w:val="both"/>
        <w:rPr>
          <w:rFonts w:ascii="Times New Roman" w:hAnsi="Times New Roman" w:cs="Times New Roman"/>
        </w:rPr>
      </w:pPr>
      <w:r w:rsidRPr="001A63E9">
        <w:rPr>
          <w:rFonts w:ascii="Times New Roman" w:hAnsi="Times New Roman" w:cs="Times New Roman"/>
          <w:b/>
          <w:bCs/>
        </w:rPr>
        <w:t>Interpretation:</w:t>
      </w:r>
      <w:r w:rsidRPr="001A63E9">
        <w:rPr>
          <w:rFonts w:ascii="Times New Roman" w:hAnsi="Times New Roman" w:cs="Times New Roman"/>
        </w:rPr>
        <w:br/>
      </w:r>
      <w:r w:rsidR="00C14D65">
        <w:rPr>
          <w:rFonts w:ascii="Times New Roman" w:hAnsi="Times New Roman" w:cs="Times New Roman"/>
        </w:rPr>
        <w:t>The table 1.3 shows the s</w:t>
      </w:r>
      <w:r w:rsidRPr="001A63E9">
        <w:rPr>
          <w:rFonts w:ascii="Times New Roman" w:hAnsi="Times New Roman" w:cs="Times New Roman"/>
        </w:rPr>
        <w:t>tock returns are negatively correlated with oil prices (-0.48) and exchange rate (-0.36), indicating that rising oil prices and currency depreciation reduce market performance. Capital flows show a positive correlation (0.55), suggesting foreign investment supports stock returns.</w:t>
      </w:r>
    </w:p>
    <w:p w14:paraId="6A24138E" w14:textId="597E4731" w:rsidR="001A63E9" w:rsidRPr="001A63E9" w:rsidRDefault="001A63E9" w:rsidP="001A63E9">
      <w:pPr>
        <w:jc w:val="both"/>
        <w:rPr>
          <w:rFonts w:ascii="Times New Roman" w:hAnsi="Times New Roman" w:cs="Times New Roman"/>
        </w:rPr>
      </w:pPr>
    </w:p>
    <w:p w14:paraId="050F24D4" w14:textId="77777777" w:rsidR="001A63E9" w:rsidRDefault="001A63E9" w:rsidP="001A63E9">
      <w:pPr>
        <w:jc w:val="both"/>
        <w:rPr>
          <w:rFonts w:ascii="Times New Roman" w:hAnsi="Times New Roman" w:cs="Times New Roman"/>
          <w:b/>
          <w:bCs/>
        </w:rPr>
      </w:pPr>
      <w:r w:rsidRPr="001A63E9">
        <w:rPr>
          <w:rFonts w:ascii="Times New Roman" w:hAnsi="Times New Roman" w:cs="Times New Roman"/>
          <w:b/>
          <w:bCs/>
        </w:rPr>
        <w:t>Regression Analysis</w:t>
      </w:r>
    </w:p>
    <w:p w14:paraId="30DC6FA3" w14:textId="23558B65" w:rsidR="00C14D65" w:rsidRPr="001A63E9" w:rsidRDefault="00C14D65" w:rsidP="001A63E9">
      <w:pPr>
        <w:jc w:val="both"/>
        <w:rPr>
          <w:rFonts w:ascii="Times New Roman" w:hAnsi="Times New Roman" w:cs="Times New Roman"/>
        </w:rPr>
      </w:pPr>
      <w:r>
        <w:rPr>
          <w:rFonts w:ascii="Times New Roman" w:hAnsi="Times New Roman" w:cs="Times New Roman"/>
        </w:rPr>
        <w:t>The following regression formula has been used to identify the impact of the variables</w:t>
      </w:r>
    </w:p>
    <w:p w14:paraId="31529D92" w14:textId="09685A90" w:rsidR="00C14D65" w:rsidRPr="001A63E9" w:rsidRDefault="004F3E5F" w:rsidP="00C14D65">
      <w:pPr>
        <w:jc w:val="center"/>
        <w:rPr>
          <w:rFonts w:ascii="Times New Roman" w:hAnsi="Times New Roman" w:cs="Times New Roman"/>
          <w:b/>
          <w:bCs/>
        </w:rPr>
      </w:pPr>
      <m:oMathPara>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IN</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C</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r>
            <m:rPr>
              <m:sty m:val="p"/>
            </m:rPr>
            <w:rPr>
              <w:rFonts w:ascii="Times New Roman" w:hAnsi="Times New Roman" w:cs="Times New Roman"/>
            </w:rPr>
            <w:br/>
          </m:r>
        </m:oMath>
      </m:oMathPara>
      <w:r w:rsidR="00C14D65">
        <w:rPr>
          <w:rFonts w:ascii="Times New Roman" w:hAnsi="Times New Roman" w:cs="Times New Roman"/>
          <w:b/>
          <w:bCs/>
        </w:rPr>
        <w:t>Table 1.4 Regression analysis</w:t>
      </w:r>
    </w:p>
    <w:tbl>
      <w:tblPr>
        <w:tblStyle w:val="TableGrid"/>
        <w:tblW w:w="0" w:type="auto"/>
        <w:jc w:val="center"/>
        <w:tblLook w:val="04A0" w:firstRow="1" w:lastRow="0" w:firstColumn="1" w:lastColumn="0" w:noHBand="0" w:noVBand="1"/>
      </w:tblPr>
      <w:tblGrid>
        <w:gridCol w:w="1088"/>
        <w:gridCol w:w="1336"/>
        <w:gridCol w:w="1203"/>
        <w:gridCol w:w="1456"/>
      </w:tblGrid>
      <w:tr w:rsidR="001A63E9" w:rsidRPr="001A63E9" w14:paraId="557CE56E" w14:textId="77777777" w:rsidTr="009D4A81">
        <w:trPr>
          <w:jc w:val="center"/>
        </w:trPr>
        <w:tc>
          <w:tcPr>
            <w:tcW w:w="0" w:type="auto"/>
            <w:hideMark/>
          </w:tcPr>
          <w:p w14:paraId="146C6805"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Variable</w:t>
            </w:r>
          </w:p>
        </w:tc>
        <w:tc>
          <w:tcPr>
            <w:tcW w:w="0" w:type="auto"/>
            <w:hideMark/>
          </w:tcPr>
          <w:p w14:paraId="1DDF4A94"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Coefficient</w:t>
            </w:r>
          </w:p>
        </w:tc>
        <w:tc>
          <w:tcPr>
            <w:tcW w:w="0" w:type="auto"/>
            <w:hideMark/>
          </w:tcPr>
          <w:p w14:paraId="1A3CE38A"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t-Statistic</w:t>
            </w:r>
          </w:p>
        </w:tc>
        <w:tc>
          <w:tcPr>
            <w:tcW w:w="0" w:type="auto"/>
            <w:hideMark/>
          </w:tcPr>
          <w:p w14:paraId="2CF1DB75"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Significance</w:t>
            </w:r>
          </w:p>
        </w:tc>
      </w:tr>
      <w:tr w:rsidR="001A63E9" w:rsidRPr="001A63E9" w14:paraId="2D935539" w14:textId="77777777" w:rsidTr="009D4A81">
        <w:trPr>
          <w:jc w:val="center"/>
        </w:trPr>
        <w:tc>
          <w:tcPr>
            <w:tcW w:w="0" w:type="auto"/>
            <w:hideMark/>
          </w:tcPr>
          <w:p w14:paraId="337A833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Constant</w:t>
            </w:r>
          </w:p>
        </w:tc>
        <w:tc>
          <w:tcPr>
            <w:tcW w:w="0" w:type="auto"/>
            <w:hideMark/>
          </w:tcPr>
          <w:p w14:paraId="7E083E59"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0.012</w:t>
            </w:r>
          </w:p>
        </w:tc>
        <w:tc>
          <w:tcPr>
            <w:tcW w:w="0" w:type="auto"/>
            <w:hideMark/>
          </w:tcPr>
          <w:p w14:paraId="1D4CE215"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2.45</w:t>
            </w:r>
          </w:p>
        </w:tc>
        <w:tc>
          <w:tcPr>
            <w:tcW w:w="0" w:type="auto"/>
            <w:hideMark/>
          </w:tcPr>
          <w:p w14:paraId="2989FBF3"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Significant</w:t>
            </w:r>
          </w:p>
        </w:tc>
      </w:tr>
      <w:tr w:rsidR="001A63E9" w:rsidRPr="001A63E9" w14:paraId="5C69481B" w14:textId="77777777" w:rsidTr="009D4A81">
        <w:trPr>
          <w:jc w:val="center"/>
        </w:trPr>
        <w:tc>
          <w:tcPr>
            <w:tcW w:w="0" w:type="auto"/>
            <w:hideMark/>
          </w:tcPr>
          <w:p w14:paraId="08392B2D"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OPₜ</w:t>
            </w:r>
          </w:p>
        </w:tc>
        <w:tc>
          <w:tcPr>
            <w:tcW w:w="0" w:type="auto"/>
            <w:hideMark/>
          </w:tcPr>
          <w:p w14:paraId="143A0B0F"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-0.00035</w:t>
            </w:r>
          </w:p>
        </w:tc>
        <w:tc>
          <w:tcPr>
            <w:tcW w:w="0" w:type="auto"/>
            <w:hideMark/>
          </w:tcPr>
          <w:p w14:paraId="11C6EA49"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-3.20</w:t>
            </w:r>
          </w:p>
        </w:tc>
        <w:tc>
          <w:tcPr>
            <w:tcW w:w="0" w:type="auto"/>
            <w:hideMark/>
          </w:tcPr>
          <w:p w14:paraId="1716AFF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w:t>
            </w:r>
          </w:p>
        </w:tc>
      </w:tr>
      <w:tr w:rsidR="001A63E9" w:rsidRPr="001A63E9" w14:paraId="372B42B1" w14:textId="77777777" w:rsidTr="009D4A81">
        <w:trPr>
          <w:jc w:val="center"/>
        </w:trPr>
        <w:tc>
          <w:tcPr>
            <w:tcW w:w="0" w:type="auto"/>
            <w:hideMark/>
          </w:tcPr>
          <w:p w14:paraId="4E00288C"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ERₜ</w:t>
            </w:r>
          </w:p>
        </w:tc>
        <w:tc>
          <w:tcPr>
            <w:tcW w:w="0" w:type="auto"/>
            <w:hideMark/>
          </w:tcPr>
          <w:p w14:paraId="77205C8C"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-0.0021</w:t>
            </w:r>
          </w:p>
        </w:tc>
        <w:tc>
          <w:tcPr>
            <w:tcW w:w="0" w:type="auto"/>
            <w:hideMark/>
          </w:tcPr>
          <w:p w14:paraId="2F8B50F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-2.85</w:t>
            </w:r>
          </w:p>
        </w:tc>
        <w:tc>
          <w:tcPr>
            <w:tcW w:w="0" w:type="auto"/>
            <w:hideMark/>
          </w:tcPr>
          <w:p w14:paraId="0EADA8A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w:t>
            </w:r>
          </w:p>
        </w:tc>
      </w:tr>
      <w:tr w:rsidR="001A63E9" w:rsidRPr="001A63E9" w14:paraId="5E1D4D8D" w14:textId="77777777" w:rsidTr="009D4A81">
        <w:trPr>
          <w:jc w:val="center"/>
        </w:trPr>
        <w:tc>
          <w:tcPr>
            <w:tcW w:w="0" w:type="auto"/>
            <w:hideMark/>
          </w:tcPr>
          <w:p w14:paraId="11AA531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INFₜ</w:t>
            </w:r>
          </w:p>
        </w:tc>
        <w:tc>
          <w:tcPr>
            <w:tcW w:w="0" w:type="auto"/>
            <w:hideMark/>
          </w:tcPr>
          <w:p w14:paraId="4E42B4E8"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-0.0015</w:t>
            </w:r>
          </w:p>
        </w:tc>
        <w:tc>
          <w:tcPr>
            <w:tcW w:w="0" w:type="auto"/>
            <w:hideMark/>
          </w:tcPr>
          <w:p w14:paraId="7023056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-2.10</w:t>
            </w:r>
          </w:p>
        </w:tc>
        <w:tc>
          <w:tcPr>
            <w:tcW w:w="0" w:type="auto"/>
            <w:hideMark/>
          </w:tcPr>
          <w:p w14:paraId="0A93AB3F"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w:t>
            </w:r>
          </w:p>
        </w:tc>
      </w:tr>
      <w:tr w:rsidR="001A63E9" w:rsidRPr="001A63E9" w14:paraId="58752961" w14:textId="77777777" w:rsidTr="009D4A81">
        <w:trPr>
          <w:jc w:val="center"/>
        </w:trPr>
        <w:tc>
          <w:tcPr>
            <w:tcW w:w="0" w:type="auto"/>
            <w:hideMark/>
          </w:tcPr>
          <w:p w14:paraId="253506DF"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CFₜ</w:t>
            </w:r>
          </w:p>
        </w:tc>
        <w:tc>
          <w:tcPr>
            <w:tcW w:w="0" w:type="auto"/>
            <w:hideMark/>
          </w:tcPr>
          <w:p w14:paraId="7E555B05"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0.0000028</w:t>
            </w:r>
          </w:p>
        </w:tc>
        <w:tc>
          <w:tcPr>
            <w:tcW w:w="0" w:type="auto"/>
            <w:hideMark/>
          </w:tcPr>
          <w:p w14:paraId="2B91CFFF"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3.75</w:t>
            </w:r>
          </w:p>
        </w:tc>
        <w:tc>
          <w:tcPr>
            <w:tcW w:w="0" w:type="auto"/>
            <w:hideMark/>
          </w:tcPr>
          <w:p w14:paraId="13E522CF"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w:t>
            </w:r>
          </w:p>
        </w:tc>
      </w:tr>
    </w:tbl>
    <w:p w14:paraId="1D8E3155" w14:textId="665B532B" w:rsidR="00C14D65" w:rsidRDefault="00C14D65" w:rsidP="001A63E9">
      <w:pPr>
        <w:jc w:val="both"/>
        <w:rPr>
          <w:rFonts w:ascii="Times New Roman" w:hAnsi="Times New Roman" w:cs="Times New Roman"/>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Source: compiled from secondary data</w:t>
      </w:r>
    </w:p>
    <w:p w14:paraId="21C14156" w14:textId="77309342" w:rsidR="001A63E9" w:rsidRPr="001A63E9" w:rsidRDefault="001A63E9" w:rsidP="001A63E9">
      <w:pPr>
        <w:jc w:val="both"/>
        <w:rPr>
          <w:rFonts w:ascii="Times New Roman" w:hAnsi="Times New Roman" w:cs="Times New Roman"/>
        </w:rPr>
      </w:pPr>
      <w:r w:rsidRPr="001A63E9">
        <w:rPr>
          <w:rFonts w:ascii="Times New Roman" w:hAnsi="Times New Roman" w:cs="Times New Roman"/>
        </w:rPr>
        <w:t>R²=0.62</w:t>
      </w:r>
      <w:r w:rsidRPr="001A63E9">
        <w:rPr>
          <w:rFonts w:ascii="Times New Roman" w:hAnsi="Times New Roman" w:cs="Times New Roman"/>
        </w:rPr>
        <w:br/>
        <w:t>F-statistic = 18.45 (Significant)</w:t>
      </w:r>
    </w:p>
    <w:p w14:paraId="0DF44495" w14:textId="51B94C07" w:rsidR="001A63E9" w:rsidRPr="001A63E9" w:rsidRDefault="001A63E9" w:rsidP="001A63E9">
      <w:pPr>
        <w:jc w:val="both"/>
        <w:rPr>
          <w:rFonts w:ascii="Times New Roman" w:hAnsi="Times New Roman" w:cs="Times New Roman"/>
        </w:rPr>
      </w:pPr>
      <w:r w:rsidRPr="001A63E9">
        <w:rPr>
          <w:rFonts w:ascii="Times New Roman" w:hAnsi="Times New Roman" w:cs="Times New Roman"/>
          <w:b/>
          <w:bCs/>
        </w:rPr>
        <w:t>Interpretation:</w:t>
      </w:r>
      <w:r w:rsidRPr="001A63E9">
        <w:rPr>
          <w:rFonts w:ascii="Times New Roman" w:hAnsi="Times New Roman" w:cs="Times New Roman"/>
        </w:rPr>
        <w:br/>
      </w:r>
      <w:r w:rsidR="00C14D65">
        <w:rPr>
          <w:rFonts w:ascii="Times New Roman" w:hAnsi="Times New Roman" w:cs="Times New Roman"/>
        </w:rPr>
        <w:t xml:space="preserve">The table 1.4 depicts the impact of variables. </w:t>
      </w:r>
      <w:r w:rsidRPr="001A63E9">
        <w:rPr>
          <w:rFonts w:ascii="Times New Roman" w:hAnsi="Times New Roman" w:cs="Times New Roman"/>
        </w:rPr>
        <w:t>Crude oil prices have a significant negative impact on stock returns (β₁ = -0.00035), indicating that a rise in oil prices reduces market returns. Exchange rate depreciation and inflation also negatively affect returns, while capital flows positively influence the market. The model explains 62% of the variation in stock returns.</w:t>
      </w:r>
    </w:p>
    <w:p w14:paraId="2EEB11BE" w14:textId="77777777" w:rsidR="001A63E9" w:rsidRDefault="001A63E9" w:rsidP="001A63E9">
      <w:pPr>
        <w:jc w:val="both"/>
        <w:rPr>
          <w:rFonts w:ascii="Times New Roman" w:hAnsi="Times New Roman" w:cs="Times New Roman"/>
          <w:b/>
          <w:bCs/>
        </w:rPr>
      </w:pPr>
      <w:r w:rsidRPr="001A63E9">
        <w:rPr>
          <w:rFonts w:ascii="Times New Roman" w:hAnsi="Times New Roman" w:cs="Times New Roman"/>
          <w:b/>
          <w:bCs/>
        </w:rPr>
        <w:t>Volatility Analysis (GARCH Model)</w:t>
      </w:r>
    </w:p>
    <w:p w14:paraId="7074A8F8" w14:textId="7B33C01D" w:rsidR="00C14D65" w:rsidRPr="001A63E9" w:rsidRDefault="00C14D65" w:rsidP="00C14D65">
      <w:pPr>
        <w:jc w:val="center"/>
        <w:rPr>
          <w:rFonts w:ascii="Times New Roman" w:hAnsi="Times New Roman" w:cs="Times New Roman"/>
          <w:b/>
          <w:bCs/>
        </w:rPr>
      </w:pPr>
      <w:r>
        <w:rPr>
          <w:rFonts w:ascii="Times New Roman" w:hAnsi="Times New Roman" w:cs="Times New Roman"/>
          <w:b/>
          <w:bCs/>
        </w:rPr>
        <w:t>Table 1.5 GARCH Model</w:t>
      </w:r>
    </w:p>
    <w:tbl>
      <w:tblPr>
        <w:tblStyle w:val="TableGrid"/>
        <w:tblW w:w="0" w:type="auto"/>
        <w:jc w:val="center"/>
        <w:tblLook w:val="04A0" w:firstRow="1" w:lastRow="0" w:firstColumn="1" w:lastColumn="0" w:noHBand="0" w:noVBand="1"/>
      </w:tblPr>
      <w:tblGrid>
        <w:gridCol w:w="2000"/>
        <w:gridCol w:w="1336"/>
        <w:gridCol w:w="1456"/>
      </w:tblGrid>
      <w:tr w:rsidR="001A63E9" w:rsidRPr="001A63E9" w14:paraId="251F1860" w14:textId="77777777" w:rsidTr="009D4A81">
        <w:trPr>
          <w:jc w:val="center"/>
        </w:trPr>
        <w:tc>
          <w:tcPr>
            <w:tcW w:w="0" w:type="auto"/>
            <w:hideMark/>
          </w:tcPr>
          <w:p w14:paraId="0B147BF8"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Parameter</w:t>
            </w:r>
          </w:p>
        </w:tc>
        <w:tc>
          <w:tcPr>
            <w:tcW w:w="0" w:type="auto"/>
            <w:hideMark/>
          </w:tcPr>
          <w:p w14:paraId="2BE499AF"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Coefficient</w:t>
            </w:r>
          </w:p>
        </w:tc>
        <w:tc>
          <w:tcPr>
            <w:tcW w:w="0" w:type="auto"/>
            <w:hideMark/>
          </w:tcPr>
          <w:p w14:paraId="7BE89813"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Significance</w:t>
            </w:r>
          </w:p>
        </w:tc>
      </w:tr>
      <w:tr w:rsidR="001A63E9" w:rsidRPr="001A63E9" w14:paraId="2A64BD9C" w14:textId="77777777" w:rsidTr="009D4A81">
        <w:trPr>
          <w:jc w:val="center"/>
        </w:trPr>
        <w:tc>
          <w:tcPr>
            <w:tcW w:w="0" w:type="auto"/>
            <w:hideMark/>
          </w:tcPr>
          <w:p w14:paraId="34F6DDF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α (ARCH effect)</w:t>
            </w:r>
          </w:p>
        </w:tc>
        <w:tc>
          <w:tcPr>
            <w:tcW w:w="0" w:type="auto"/>
            <w:hideMark/>
          </w:tcPr>
          <w:p w14:paraId="7DAD097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0.21</w:t>
            </w:r>
          </w:p>
        </w:tc>
        <w:tc>
          <w:tcPr>
            <w:tcW w:w="0" w:type="auto"/>
            <w:hideMark/>
          </w:tcPr>
          <w:p w14:paraId="72510CCB"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Significant</w:t>
            </w:r>
          </w:p>
        </w:tc>
      </w:tr>
      <w:tr w:rsidR="001A63E9" w:rsidRPr="001A63E9" w14:paraId="7986885D" w14:textId="77777777" w:rsidTr="009D4A81">
        <w:trPr>
          <w:jc w:val="center"/>
        </w:trPr>
        <w:tc>
          <w:tcPr>
            <w:tcW w:w="0" w:type="auto"/>
            <w:hideMark/>
          </w:tcPr>
          <w:p w14:paraId="75CAD8DE"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lastRenderedPageBreak/>
              <w:t>β (GARCH effect)</w:t>
            </w:r>
          </w:p>
        </w:tc>
        <w:tc>
          <w:tcPr>
            <w:tcW w:w="0" w:type="auto"/>
            <w:hideMark/>
          </w:tcPr>
          <w:p w14:paraId="01EEBCA1"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0.68</w:t>
            </w:r>
          </w:p>
        </w:tc>
        <w:tc>
          <w:tcPr>
            <w:tcW w:w="0" w:type="auto"/>
            <w:hideMark/>
          </w:tcPr>
          <w:p w14:paraId="3EC72941"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Significant</w:t>
            </w:r>
          </w:p>
        </w:tc>
      </w:tr>
    </w:tbl>
    <w:p w14:paraId="2CD04529" w14:textId="7DCBBE39" w:rsidR="00C14D65" w:rsidRDefault="00C14D65" w:rsidP="001A63E9">
      <w:pPr>
        <w:jc w:val="both"/>
        <w:rPr>
          <w:rFonts w:ascii="Times New Roman" w:hAnsi="Times New Roman" w:cs="Times New Roman"/>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Source: compiled from secondary data</w:t>
      </w:r>
      <w:r>
        <w:rPr>
          <w:rFonts w:ascii="Times New Roman" w:hAnsi="Times New Roman" w:cs="Times New Roman"/>
          <w:b/>
          <w:bCs/>
          <w:sz w:val="20"/>
          <w:szCs w:val="20"/>
        </w:rPr>
        <w:tab/>
      </w:r>
    </w:p>
    <w:p w14:paraId="392A6241" w14:textId="4CA68F32" w:rsidR="001A63E9" w:rsidRPr="001A63E9" w:rsidRDefault="001A63E9" w:rsidP="001A63E9">
      <w:pPr>
        <w:jc w:val="both"/>
        <w:rPr>
          <w:rFonts w:ascii="Times New Roman" w:hAnsi="Times New Roman" w:cs="Times New Roman"/>
        </w:rPr>
      </w:pPr>
      <w:r w:rsidRPr="001A63E9">
        <w:rPr>
          <w:rFonts w:ascii="Times New Roman" w:hAnsi="Times New Roman" w:cs="Times New Roman"/>
        </w:rPr>
        <w:t>α + β = 0.89</w:t>
      </w:r>
    </w:p>
    <w:p w14:paraId="2A0824DE" w14:textId="6B094E9C" w:rsidR="001A63E9" w:rsidRPr="001A63E9" w:rsidRDefault="001A63E9" w:rsidP="001A63E9">
      <w:pPr>
        <w:jc w:val="both"/>
        <w:rPr>
          <w:rFonts w:ascii="Times New Roman" w:hAnsi="Times New Roman" w:cs="Times New Roman"/>
        </w:rPr>
      </w:pPr>
      <w:r w:rsidRPr="001A63E9">
        <w:rPr>
          <w:rFonts w:ascii="Times New Roman" w:hAnsi="Times New Roman" w:cs="Times New Roman"/>
          <w:b/>
          <w:bCs/>
        </w:rPr>
        <w:t>Interpretation:</w:t>
      </w:r>
      <w:r w:rsidRPr="001A63E9">
        <w:rPr>
          <w:rFonts w:ascii="Times New Roman" w:hAnsi="Times New Roman" w:cs="Times New Roman"/>
        </w:rPr>
        <w:br/>
      </w:r>
      <w:r w:rsidR="008C4337">
        <w:rPr>
          <w:rFonts w:ascii="Times New Roman" w:hAnsi="Times New Roman" w:cs="Times New Roman"/>
        </w:rPr>
        <w:t>The able 1.5 shows t</w:t>
      </w:r>
      <w:r w:rsidRPr="001A63E9">
        <w:rPr>
          <w:rFonts w:ascii="Times New Roman" w:hAnsi="Times New Roman" w:cs="Times New Roman"/>
        </w:rPr>
        <w:t>he high persistence value (0.89) indicates strong volatility clustering, suggesting that shocks during the Iran war period have prolonged effects on market volatility.</w:t>
      </w:r>
    </w:p>
    <w:p w14:paraId="2E1C8752" w14:textId="77777777" w:rsidR="001A63E9" w:rsidRDefault="001A63E9" w:rsidP="001A63E9">
      <w:pPr>
        <w:jc w:val="both"/>
        <w:rPr>
          <w:rFonts w:ascii="Times New Roman" w:hAnsi="Times New Roman" w:cs="Times New Roman"/>
          <w:b/>
          <w:bCs/>
        </w:rPr>
      </w:pPr>
      <w:r w:rsidRPr="001A63E9">
        <w:rPr>
          <w:rFonts w:ascii="Times New Roman" w:hAnsi="Times New Roman" w:cs="Times New Roman"/>
          <w:b/>
          <w:bCs/>
        </w:rPr>
        <w:t>Event Study Analysis</w:t>
      </w:r>
    </w:p>
    <w:p w14:paraId="74F76A3F" w14:textId="067F5832" w:rsidR="008C4337" w:rsidRPr="001A63E9" w:rsidRDefault="008C4337" w:rsidP="008C4337">
      <w:pPr>
        <w:jc w:val="center"/>
        <w:rPr>
          <w:rFonts w:ascii="Times New Roman" w:hAnsi="Times New Roman" w:cs="Times New Roman"/>
          <w:b/>
          <w:bCs/>
        </w:rPr>
      </w:pPr>
      <w:r>
        <w:rPr>
          <w:rFonts w:ascii="Times New Roman" w:hAnsi="Times New Roman" w:cs="Times New Roman"/>
          <w:b/>
          <w:bCs/>
        </w:rPr>
        <w:t>Table 1.6 Event Study Analysis</w:t>
      </w:r>
    </w:p>
    <w:tbl>
      <w:tblPr>
        <w:tblStyle w:val="TableGrid"/>
        <w:tblW w:w="0" w:type="auto"/>
        <w:jc w:val="center"/>
        <w:tblLook w:val="04A0" w:firstRow="1" w:lastRow="0" w:firstColumn="1" w:lastColumn="0" w:noHBand="0" w:noVBand="1"/>
      </w:tblPr>
      <w:tblGrid>
        <w:gridCol w:w="1735"/>
        <w:gridCol w:w="3685"/>
        <w:gridCol w:w="916"/>
      </w:tblGrid>
      <w:tr w:rsidR="001A63E9" w:rsidRPr="001A63E9" w14:paraId="4A7402A0" w14:textId="77777777" w:rsidTr="009D4A81">
        <w:trPr>
          <w:jc w:val="center"/>
        </w:trPr>
        <w:tc>
          <w:tcPr>
            <w:tcW w:w="0" w:type="auto"/>
            <w:hideMark/>
          </w:tcPr>
          <w:p w14:paraId="178030CE"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Event Window</w:t>
            </w:r>
          </w:p>
        </w:tc>
        <w:tc>
          <w:tcPr>
            <w:tcW w:w="0" w:type="auto"/>
            <w:hideMark/>
          </w:tcPr>
          <w:p w14:paraId="2BDD0469"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Average Abnormal Return (AAR)</w:t>
            </w:r>
          </w:p>
        </w:tc>
        <w:tc>
          <w:tcPr>
            <w:tcW w:w="0" w:type="auto"/>
            <w:hideMark/>
          </w:tcPr>
          <w:p w14:paraId="58FF051D"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CAR</w:t>
            </w:r>
          </w:p>
        </w:tc>
      </w:tr>
      <w:tr w:rsidR="001A63E9" w:rsidRPr="001A63E9" w14:paraId="701E4661" w14:textId="77777777" w:rsidTr="009D4A81">
        <w:trPr>
          <w:jc w:val="center"/>
        </w:trPr>
        <w:tc>
          <w:tcPr>
            <w:tcW w:w="0" w:type="auto"/>
            <w:hideMark/>
          </w:tcPr>
          <w:p w14:paraId="5F958CD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-3 to +3 days</w:t>
            </w:r>
          </w:p>
        </w:tc>
        <w:tc>
          <w:tcPr>
            <w:tcW w:w="0" w:type="auto"/>
            <w:hideMark/>
          </w:tcPr>
          <w:p w14:paraId="0748F059"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-1.25%</w:t>
            </w:r>
          </w:p>
        </w:tc>
        <w:tc>
          <w:tcPr>
            <w:tcW w:w="0" w:type="auto"/>
            <w:hideMark/>
          </w:tcPr>
          <w:p w14:paraId="14392A73"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-3.80%</w:t>
            </w:r>
          </w:p>
        </w:tc>
      </w:tr>
      <w:tr w:rsidR="001A63E9" w:rsidRPr="001A63E9" w14:paraId="7C98E9D1" w14:textId="77777777" w:rsidTr="009D4A81">
        <w:trPr>
          <w:jc w:val="center"/>
        </w:trPr>
        <w:tc>
          <w:tcPr>
            <w:tcW w:w="0" w:type="auto"/>
            <w:hideMark/>
          </w:tcPr>
          <w:p w14:paraId="547EF7D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 to +5 days</w:t>
            </w:r>
          </w:p>
        </w:tc>
        <w:tc>
          <w:tcPr>
            <w:tcW w:w="0" w:type="auto"/>
            <w:hideMark/>
          </w:tcPr>
          <w:p w14:paraId="25F5DB1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-0.95%</w:t>
            </w:r>
          </w:p>
        </w:tc>
        <w:tc>
          <w:tcPr>
            <w:tcW w:w="0" w:type="auto"/>
            <w:hideMark/>
          </w:tcPr>
          <w:p w14:paraId="63E2530C"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-5.20%</w:t>
            </w:r>
          </w:p>
        </w:tc>
      </w:tr>
    </w:tbl>
    <w:p w14:paraId="51FEABD7" w14:textId="5B4AC572" w:rsidR="008C4337" w:rsidRDefault="008C4337" w:rsidP="001A63E9">
      <w:pPr>
        <w:jc w:val="both"/>
        <w:rPr>
          <w:rFonts w:ascii="Times New Roman" w:hAnsi="Times New Roman" w:cs="Times New Roman"/>
          <w:b/>
          <w:bCs/>
        </w:rPr>
      </w:pPr>
      <w:r>
        <w:rPr>
          <w:rFonts w:ascii="Times New Roman" w:hAnsi="Times New Roman" w:cs="Times New Roman"/>
          <w:b/>
          <w:bCs/>
          <w:sz w:val="20"/>
          <w:szCs w:val="20"/>
        </w:rPr>
        <w:tab/>
      </w:r>
      <w:r>
        <w:rPr>
          <w:rFonts w:ascii="Times New Roman" w:hAnsi="Times New Roman" w:cs="Times New Roman"/>
          <w:b/>
          <w:bCs/>
          <w:sz w:val="20"/>
          <w:szCs w:val="20"/>
        </w:rPr>
        <w:tab/>
        <w:t>Source: compiled from secondary data</w:t>
      </w:r>
    </w:p>
    <w:p w14:paraId="114EFDCD" w14:textId="1FA1ADB7" w:rsidR="001A63E9" w:rsidRPr="001A63E9" w:rsidRDefault="001A63E9" w:rsidP="001A63E9">
      <w:pPr>
        <w:jc w:val="both"/>
        <w:rPr>
          <w:rFonts w:ascii="Times New Roman" w:hAnsi="Times New Roman" w:cs="Times New Roman"/>
        </w:rPr>
      </w:pPr>
      <w:r w:rsidRPr="001A63E9">
        <w:rPr>
          <w:rFonts w:ascii="Times New Roman" w:hAnsi="Times New Roman" w:cs="Times New Roman"/>
          <w:b/>
          <w:bCs/>
        </w:rPr>
        <w:t>Interpretation:</w:t>
      </w:r>
      <w:r w:rsidRPr="001A63E9">
        <w:rPr>
          <w:rFonts w:ascii="Times New Roman" w:hAnsi="Times New Roman" w:cs="Times New Roman"/>
        </w:rPr>
        <w:br/>
      </w:r>
      <w:r w:rsidR="008C4337">
        <w:rPr>
          <w:rFonts w:ascii="Times New Roman" w:hAnsi="Times New Roman" w:cs="Times New Roman"/>
        </w:rPr>
        <w:t>The table 1.6 shows the n</w:t>
      </w:r>
      <w:r w:rsidRPr="001A63E9">
        <w:rPr>
          <w:rFonts w:ascii="Times New Roman" w:hAnsi="Times New Roman" w:cs="Times New Roman"/>
        </w:rPr>
        <w:t>egative abnormal returns around the event window indicate an adverse market reaction to the Iran war. The significant decline in CAR confirms that investors responded negatively to geopolitical uncertainty.</w:t>
      </w:r>
    </w:p>
    <w:p w14:paraId="063C4856" w14:textId="77777777" w:rsidR="001A63E9" w:rsidRPr="001A63E9" w:rsidRDefault="001A63E9" w:rsidP="001A63E9">
      <w:pPr>
        <w:jc w:val="both"/>
        <w:rPr>
          <w:rFonts w:ascii="Times New Roman" w:hAnsi="Times New Roman" w:cs="Times New Roman"/>
        </w:rPr>
      </w:pPr>
    </w:p>
    <w:p w14:paraId="25BA25CA" w14:textId="3D7FFDF5" w:rsidR="001A63E9" w:rsidRDefault="008C4337" w:rsidP="00DF386E">
      <w:pPr>
        <w:jc w:val="both"/>
        <w:rPr>
          <w:rFonts w:ascii="Times New Roman" w:hAnsi="Times New Roman" w:cs="Times New Roman"/>
          <w:b/>
          <w:bCs/>
        </w:rPr>
      </w:pPr>
      <w:r>
        <w:rPr>
          <w:rFonts w:ascii="Times New Roman" w:hAnsi="Times New Roman" w:cs="Times New Roman"/>
          <w:b/>
          <w:bCs/>
        </w:rPr>
        <w:t xml:space="preserve">Findings: </w:t>
      </w:r>
    </w:p>
    <w:p w14:paraId="634234B7" w14:textId="22EB9DB0" w:rsidR="008C4337" w:rsidRDefault="008C4337" w:rsidP="00DF386E">
      <w:pPr>
        <w:jc w:val="both"/>
        <w:rPr>
          <w:rFonts w:ascii="Times New Roman" w:hAnsi="Times New Roman" w:cs="Times New Roman"/>
        </w:rPr>
      </w:pPr>
      <w:r>
        <w:rPr>
          <w:rFonts w:ascii="Times New Roman" w:hAnsi="Times New Roman" w:cs="Times New Roman"/>
          <w:b/>
          <w:bCs/>
        </w:rPr>
        <w:tab/>
      </w:r>
      <w:r w:rsidRPr="008C4337">
        <w:rPr>
          <w:rFonts w:ascii="Times New Roman" w:hAnsi="Times New Roman" w:cs="Times New Roman"/>
        </w:rPr>
        <w:t>The study reveals that the Iran war led to a substantial increase in crude oil prices, creating instability in global energy markets and adversely affecting the Indian stock market. The regression results indicate that crude oil price shocks exert a significant negative impact on stock market returns, implying that increases in oil prices reduce market performance. Exchange rate depreciation and rising inflation were also found to negatively influence stock returns, reflecting the vulnerability of the Indian economy to external shocks and macroeconomic instability. In contrast, foreign capital flows exhibited a positive relationship with stock market performance, suggesting that higher foreign investment contributes to market stability and investor confidence. The GARCH model confirmed the existence of volatility clustering during the Iran war period, indicating persistent uncertainty and heightened market risk. Further, the event study analysis identified significant abnormal negative returns around the war event window, demonstrating the immediate adverse reaction of investors to geopolitical tensions. Overall, the findings confirm that the Indian stock market is highly sensitive to oil price shocks arising from geopolitical conflicts due to India’s heavy dependence on imported crude oil.</w:t>
      </w:r>
    </w:p>
    <w:p w14:paraId="750F1B2D" w14:textId="4DCDB91D" w:rsidR="008C4337" w:rsidRDefault="008C4337" w:rsidP="00DF386E">
      <w:pPr>
        <w:jc w:val="both"/>
        <w:rPr>
          <w:rFonts w:ascii="Times New Roman" w:hAnsi="Times New Roman" w:cs="Times New Roman"/>
          <w:b/>
          <w:bCs/>
        </w:rPr>
      </w:pPr>
      <w:r>
        <w:rPr>
          <w:rFonts w:ascii="Times New Roman" w:hAnsi="Times New Roman" w:cs="Times New Roman"/>
          <w:b/>
          <w:bCs/>
        </w:rPr>
        <w:t>Conclusion</w:t>
      </w:r>
    </w:p>
    <w:p w14:paraId="7EF287BF" w14:textId="434D68FD" w:rsidR="008C4337" w:rsidRDefault="008C4337" w:rsidP="00DF386E">
      <w:pPr>
        <w:jc w:val="both"/>
        <w:rPr>
          <w:rFonts w:ascii="Times New Roman" w:hAnsi="Times New Roman" w:cs="Times New Roman"/>
          <w:b/>
          <w:bCs/>
        </w:rPr>
      </w:pPr>
      <w:r w:rsidRPr="008C4337">
        <w:rPr>
          <w:rFonts w:ascii="Times New Roman" w:hAnsi="Times New Roman" w:cs="Times New Roman"/>
        </w:rPr>
        <w:tab/>
        <w:t xml:space="preserve">The study examined the impact of Iran war–induced crude oil price shocks on the Indian stock market by </w:t>
      </w:r>
      <w:proofErr w:type="spellStart"/>
      <w:r w:rsidRPr="008C4337">
        <w:rPr>
          <w:rFonts w:ascii="Times New Roman" w:hAnsi="Times New Roman" w:cs="Times New Roman"/>
        </w:rPr>
        <w:t>analyzing</w:t>
      </w:r>
      <w:proofErr w:type="spellEnd"/>
      <w:r w:rsidRPr="008C4337">
        <w:rPr>
          <w:rFonts w:ascii="Times New Roman" w:hAnsi="Times New Roman" w:cs="Times New Roman"/>
        </w:rPr>
        <w:t xml:space="preserve"> the relationship between oil prices, stock returns, exchange </w:t>
      </w:r>
      <w:r w:rsidRPr="008C4337">
        <w:rPr>
          <w:rFonts w:ascii="Times New Roman" w:hAnsi="Times New Roman" w:cs="Times New Roman"/>
        </w:rPr>
        <w:lastRenderedPageBreak/>
        <w:t>rate movements, inflation, and capital flows. The empirical results demonstrated that rising crude oil prices have a significant negative effect on stock market performance, primarily through increased inflation, currency depreciation, and heightened uncertainty in financial markets. The presence of volatility clustering and abnormal negative returns further confirmed the sensitivity of the Indian stock market to geopolitical disturbances. Since India relies heavily on imported crude oil, external geopolitical conflicts continue to pose serious challenges to macroeconomic and financial stability. Therefore, effective policy intervention, energy diversification, and sound financial risk management practices are essential to mitigate the impact of oil price shocks and strengthen market resilience in the long run</w:t>
      </w:r>
      <w:r w:rsidRPr="008C4337">
        <w:rPr>
          <w:rFonts w:ascii="Times New Roman" w:hAnsi="Times New Roman" w:cs="Times New Roman"/>
          <w:b/>
          <w:bCs/>
        </w:rPr>
        <w:t>.</w:t>
      </w:r>
    </w:p>
    <w:p w14:paraId="6F4FFD8C" w14:textId="77777777" w:rsidR="00F06649" w:rsidRDefault="00F06649" w:rsidP="00DF386E">
      <w:pPr>
        <w:jc w:val="both"/>
        <w:rPr>
          <w:rFonts w:ascii="Times New Roman" w:hAnsi="Times New Roman" w:cs="Times New Roman"/>
          <w:b/>
          <w:bCs/>
        </w:rPr>
      </w:pPr>
    </w:p>
    <w:p w14:paraId="3394415C" w14:textId="21552F52" w:rsidR="00F06649" w:rsidRDefault="00F06649" w:rsidP="00DF386E">
      <w:pPr>
        <w:jc w:val="both"/>
        <w:rPr>
          <w:rFonts w:ascii="Times New Roman" w:hAnsi="Times New Roman" w:cs="Times New Roman"/>
          <w:b/>
          <w:bCs/>
        </w:rPr>
      </w:pPr>
      <w:r>
        <w:rPr>
          <w:rFonts w:ascii="Times New Roman" w:hAnsi="Times New Roman" w:cs="Times New Roman"/>
          <w:b/>
          <w:bCs/>
        </w:rPr>
        <w:t>Reference</w:t>
      </w:r>
    </w:p>
    <w:p w14:paraId="1A67DEE0"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Reserve Bank of India. (2024). Handbook of statistics on the Indian economy. Reserve Bank of India</w:t>
      </w:r>
    </w:p>
    <w:p w14:paraId="1DDDF365"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Securities and Exchange Board of India. (2024). Foreign portfolio investment statistics. SEBI</w:t>
      </w:r>
    </w:p>
    <w:p w14:paraId="66CF301F"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Hamilton, J. </w:t>
      </w:r>
      <w:proofErr w:type="gramStart"/>
      <w:r w:rsidRPr="00F06649">
        <w:rPr>
          <w:rFonts w:ascii="Times New Roman" w:hAnsi="Times New Roman" w:cs="Times New Roman"/>
        </w:rPr>
        <w:t>D..</w:t>
      </w:r>
      <w:proofErr w:type="gramEnd"/>
      <w:r w:rsidRPr="00F06649">
        <w:rPr>
          <w:rFonts w:ascii="Times New Roman" w:hAnsi="Times New Roman" w:cs="Times New Roman"/>
        </w:rPr>
        <w:t xml:space="preserve"> (1983). Oil and the macroeconomy since World War II. Journal of Political Economy, 91(2), 228–248.</w:t>
      </w:r>
    </w:p>
    <w:p w14:paraId="35760B93"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Sadorsky, </w:t>
      </w:r>
      <w:proofErr w:type="gramStart"/>
      <w:r w:rsidRPr="00F06649">
        <w:rPr>
          <w:rFonts w:ascii="Times New Roman" w:hAnsi="Times New Roman" w:cs="Times New Roman"/>
        </w:rPr>
        <w:t>P..</w:t>
      </w:r>
      <w:proofErr w:type="gramEnd"/>
      <w:r w:rsidRPr="00F06649">
        <w:rPr>
          <w:rFonts w:ascii="Times New Roman" w:hAnsi="Times New Roman" w:cs="Times New Roman"/>
        </w:rPr>
        <w:t xml:space="preserve"> (1999). Oil price shocks and stock market activity. Energy Economics, 21(5), 449–469.</w:t>
      </w:r>
    </w:p>
    <w:p w14:paraId="0CA6D8FA"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Kilian, </w:t>
      </w:r>
      <w:proofErr w:type="gramStart"/>
      <w:r w:rsidRPr="00F06649">
        <w:rPr>
          <w:rFonts w:ascii="Times New Roman" w:hAnsi="Times New Roman" w:cs="Times New Roman"/>
        </w:rPr>
        <w:t>L..</w:t>
      </w:r>
      <w:proofErr w:type="gramEnd"/>
      <w:r w:rsidRPr="00F06649">
        <w:rPr>
          <w:rFonts w:ascii="Times New Roman" w:hAnsi="Times New Roman" w:cs="Times New Roman"/>
        </w:rPr>
        <w:t xml:space="preserve"> (2009). Not all oil price shocks are alike: Disentangling demand and supply shocks in the crude oil market. American Economic Review, 99(3), 1053–1069.</w:t>
      </w:r>
    </w:p>
    <w:p w14:paraId="77DEA8BD"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Jones, C. M.., &amp; Kaul, </w:t>
      </w:r>
      <w:proofErr w:type="gramStart"/>
      <w:r w:rsidRPr="00F06649">
        <w:rPr>
          <w:rFonts w:ascii="Times New Roman" w:hAnsi="Times New Roman" w:cs="Times New Roman"/>
        </w:rPr>
        <w:t>G..</w:t>
      </w:r>
      <w:proofErr w:type="gramEnd"/>
      <w:r w:rsidRPr="00F06649">
        <w:rPr>
          <w:rFonts w:ascii="Times New Roman" w:hAnsi="Times New Roman" w:cs="Times New Roman"/>
        </w:rPr>
        <w:t xml:space="preserve"> (1996). Oil and the stock markets. The Journal of Finance, 51(2), 463–491.</w:t>
      </w:r>
    </w:p>
    <w:p w14:paraId="33FC4429"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Filis, G.., Degiannakis, S.., &amp; Floros, </w:t>
      </w:r>
      <w:proofErr w:type="gramStart"/>
      <w:r w:rsidRPr="00F06649">
        <w:rPr>
          <w:rFonts w:ascii="Times New Roman" w:hAnsi="Times New Roman" w:cs="Times New Roman"/>
        </w:rPr>
        <w:t>C..</w:t>
      </w:r>
      <w:proofErr w:type="gramEnd"/>
      <w:r w:rsidRPr="00F06649">
        <w:rPr>
          <w:rFonts w:ascii="Times New Roman" w:hAnsi="Times New Roman" w:cs="Times New Roman"/>
        </w:rPr>
        <w:t xml:space="preserve"> (2011). Dynamic correlation between stock market and oil prices: The case of oil-importing and oil-exporting countries. International Review of Financial Analysis, 20(3), 152–164.</w:t>
      </w:r>
    </w:p>
    <w:p w14:paraId="6FCFA924"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Narayan, P. K.., &amp; Narayan, </w:t>
      </w:r>
      <w:proofErr w:type="gramStart"/>
      <w:r w:rsidRPr="00F06649">
        <w:rPr>
          <w:rFonts w:ascii="Times New Roman" w:hAnsi="Times New Roman" w:cs="Times New Roman"/>
        </w:rPr>
        <w:t>S..</w:t>
      </w:r>
      <w:proofErr w:type="gramEnd"/>
      <w:r w:rsidRPr="00F06649">
        <w:rPr>
          <w:rFonts w:ascii="Times New Roman" w:hAnsi="Times New Roman" w:cs="Times New Roman"/>
        </w:rPr>
        <w:t xml:space="preserve"> (2010). Modelling the impact of oil prices on Vietnam’s stock prices. Applied Energy, 87(1), 356–361.</w:t>
      </w:r>
    </w:p>
    <w:p w14:paraId="0C98B887"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National Stock Exchange of India. (2024). Historical market data. National Stock Exchange of India</w:t>
      </w:r>
    </w:p>
    <w:p w14:paraId="4DDCDDDE" w14:textId="59EBBCA0" w:rsidR="00F06649" w:rsidRPr="00F06649" w:rsidRDefault="00F06649" w:rsidP="00F06649">
      <w:pPr>
        <w:jc w:val="both"/>
        <w:rPr>
          <w:rFonts w:ascii="Times New Roman" w:hAnsi="Times New Roman" w:cs="Times New Roman"/>
        </w:rPr>
      </w:pPr>
      <w:r w:rsidRPr="00F06649">
        <w:rPr>
          <w:rFonts w:ascii="Times New Roman" w:hAnsi="Times New Roman" w:cs="Times New Roman"/>
        </w:rPr>
        <w:t>Ministry of Statistics and Programme Implementation. (2024). Consumer price index and inflation statistics. Ministry of Statistics and Programme Implementation</w:t>
      </w:r>
    </w:p>
    <w:p w14:paraId="1BE796E4" w14:textId="1E947868" w:rsidR="008C4337" w:rsidRDefault="008C4337" w:rsidP="00DF386E">
      <w:pPr>
        <w:jc w:val="both"/>
        <w:rPr>
          <w:rFonts w:ascii="Times New Roman" w:hAnsi="Times New Roman" w:cs="Times New Roman"/>
          <w:b/>
          <w:bCs/>
        </w:rPr>
      </w:pPr>
      <w:r>
        <w:rPr>
          <w:rFonts w:ascii="Times New Roman" w:hAnsi="Times New Roman" w:cs="Times New Roman"/>
          <w:b/>
          <w:bCs/>
        </w:rPr>
        <w:tab/>
      </w:r>
    </w:p>
    <w:p w14:paraId="705C32AC" w14:textId="77777777" w:rsidR="008C4337" w:rsidRPr="00DF386E" w:rsidRDefault="008C4337" w:rsidP="00DF386E">
      <w:pPr>
        <w:jc w:val="both"/>
        <w:rPr>
          <w:rFonts w:ascii="Times New Roman" w:hAnsi="Times New Roman" w:cs="Times New Roman"/>
          <w:b/>
          <w:bCs/>
        </w:rPr>
      </w:pPr>
    </w:p>
    <w:p w14:paraId="76192425" w14:textId="77777777" w:rsidR="00DF386E" w:rsidRPr="008536BA" w:rsidRDefault="00DF386E" w:rsidP="00DA65F0">
      <w:pPr>
        <w:jc w:val="both"/>
        <w:rPr>
          <w:rFonts w:ascii="Times New Roman" w:hAnsi="Times New Roman" w:cs="Times New Roman"/>
        </w:rPr>
      </w:pPr>
    </w:p>
    <w:p w14:paraId="5BF0E4E6" w14:textId="77777777" w:rsidR="00DA65F0" w:rsidRPr="00DA65F0" w:rsidRDefault="00DA65F0" w:rsidP="00DA65F0">
      <w:pPr>
        <w:jc w:val="both"/>
        <w:rPr>
          <w:rFonts w:ascii="Times New Roman" w:hAnsi="Times New Roman" w:cs="Times New Roman"/>
        </w:rPr>
      </w:pPr>
    </w:p>
    <w:p w14:paraId="0CE85448" w14:textId="77777777" w:rsidR="00DA65F0" w:rsidRPr="00160A5E" w:rsidRDefault="00DA65F0" w:rsidP="00160A5E">
      <w:pPr>
        <w:jc w:val="both"/>
        <w:rPr>
          <w:rFonts w:ascii="Times New Roman" w:hAnsi="Times New Roman" w:cs="Times New Roman"/>
          <w:b/>
          <w:bCs/>
        </w:rPr>
      </w:pPr>
    </w:p>
    <w:sectPr w:rsidR="00DA65F0" w:rsidRPr="00160A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78985" w14:textId="77777777" w:rsidR="004F3E5F" w:rsidRDefault="004F3E5F" w:rsidP="00DA65F0">
      <w:pPr>
        <w:spacing w:after="0" w:line="240" w:lineRule="auto"/>
      </w:pPr>
      <w:r>
        <w:separator/>
      </w:r>
    </w:p>
  </w:endnote>
  <w:endnote w:type="continuationSeparator" w:id="0">
    <w:p w14:paraId="2601C608" w14:textId="77777777" w:rsidR="004F3E5F" w:rsidRDefault="004F3E5F" w:rsidP="00DA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543D6" w14:textId="77777777" w:rsidR="004F3E5F" w:rsidRDefault="004F3E5F" w:rsidP="00DA65F0">
      <w:pPr>
        <w:spacing w:after="0" w:line="240" w:lineRule="auto"/>
      </w:pPr>
      <w:r>
        <w:separator/>
      </w:r>
    </w:p>
  </w:footnote>
  <w:footnote w:type="continuationSeparator" w:id="0">
    <w:p w14:paraId="694DF748" w14:textId="77777777" w:rsidR="004F3E5F" w:rsidRDefault="004F3E5F" w:rsidP="00DA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47879"/>
    <w:multiLevelType w:val="hybridMultilevel"/>
    <w:tmpl w:val="23A604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3591799"/>
    <w:multiLevelType w:val="hybridMultilevel"/>
    <w:tmpl w:val="FDFC3098"/>
    <w:lvl w:ilvl="0" w:tplc="3E1AEACA">
      <w:numFmt w:val="bullet"/>
      <w:lvlText w:val=""/>
      <w:lvlJc w:val="left"/>
      <w:pPr>
        <w:ind w:left="720" w:hanging="360"/>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2CE24E0"/>
    <w:multiLevelType w:val="hybridMultilevel"/>
    <w:tmpl w:val="AEE040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8E23B64"/>
    <w:multiLevelType w:val="multilevel"/>
    <w:tmpl w:val="3FB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D87359"/>
    <w:multiLevelType w:val="hybridMultilevel"/>
    <w:tmpl w:val="AD565F00"/>
    <w:lvl w:ilvl="0" w:tplc="674E77C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6407FF2"/>
    <w:multiLevelType w:val="hybridMultilevel"/>
    <w:tmpl w:val="9D22B8F4"/>
    <w:lvl w:ilvl="0" w:tplc="4009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8B"/>
    <w:rsid w:val="000D398B"/>
    <w:rsid w:val="00160A5E"/>
    <w:rsid w:val="001A63E9"/>
    <w:rsid w:val="004C3BD3"/>
    <w:rsid w:val="004F3E5F"/>
    <w:rsid w:val="0062626C"/>
    <w:rsid w:val="00837252"/>
    <w:rsid w:val="008536BA"/>
    <w:rsid w:val="008C4337"/>
    <w:rsid w:val="00987F09"/>
    <w:rsid w:val="009D4A81"/>
    <w:rsid w:val="00AE5D02"/>
    <w:rsid w:val="00B52577"/>
    <w:rsid w:val="00BD332F"/>
    <w:rsid w:val="00C14D65"/>
    <w:rsid w:val="00D215C8"/>
    <w:rsid w:val="00DA65F0"/>
    <w:rsid w:val="00DF386E"/>
    <w:rsid w:val="00E013D5"/>
    <w:rsid w:val="00EF2E04"/>
    <w:rsid w:val="00F066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3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98B"/>
    <w:rPr>
      <w:rFonts w:eastAsiaTheme="majorEastAsia" w:cstheme="majorBidi"/>
      <w:color w:val="272727" w:themeColor="text1" w:themeTint="D8"/>
    </w:rPr>
  </w:style>
  <w:style w:type="paragraph" w:styleId="Title">
    <w:name w:val="Title"/>
    <w:basedOn w:val="Normal"/>
    <w:next w:val="Normal"/>
    <w:link w:val="TitleChar"/>
    <w:uiPriority w:val="10"/>
    <w:qFormat/>
    <w:rsid w:val="000D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398B"/>
    <w:rPr>
      <w:i/>
      <w:iCs/>
      <w:color w:val="404040" w:themeColor="text1" w:themeTint="BF"/>
    </w:rPr>
  </w:style>
  <w:style w:type="paragraph" w:styleId="ListParagraph">
    <w:name w:val="List Paragraph"/>
    <w:basedOn w:val="Normal"/>
    <w:uiPriority w:val="34"/>
    <w:qFormat/>
    <w:rsid w:val="000D398B"/>
    <w:pPr>
      <w:ind w:left="720"/>
      <w:contextualSpacing/>
    </w:pPr>
  </w:style>
  <w:style w:type="character" w:styleId="IntenseEmphasis">
    <w:name w:val="Intense Emphasis"/>
    <w:basedOn w:val="DefaultParagraphFont"/>
    <w:uiPriority w:val="21"/>
    <w:qFormat/>
    <w:rsid w:val="000D398B"/>
    <w:rPr>
      <w:i/>
      <w:iCs/>
      <w:color w:val="2F5496" w:themeColor="accent1" w:themeShade="BF"/>
    </w:rPr>
  </w:style>
  <w:style w:type="paragraph" w:styleId="IntenseQuote">
    <w:name w:val="Intense Quote"/>
    <w:basedOn w:val="Normal"/>
    <w:next w:val="Normal"/>
    <w:link w:val="IntenseQuoteChar"/>
    <w:uiPriority w:val="30"/>
    <w:qFormat/>
    <w:rsid w:val="000D3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98B"/>
    <w:rPr>
      <w:i/>
      <w:iCs/>
      <w:color w:val="2F5496" w:themeColor="accent1" w:themeShade="BF"/>
    </w:rPr>
  </w:style>
  <w:style w:type="character" w:styleId="IntenseReference">
    <w:name w:val="Intense Reference"/>
    <w:basedOn w:val="DefaultParagraphFont"/>
    <w:uiPriority w:val="32"/>
    <w:qFormat/>
    <w:rsid w:val="000D398B"/>
    <w:rPr>
      <w:b/>
      <w:bCs/>
      <w:smallCaps/>
      <w:color w:val="2F5496" w:themeColor="accent1" w:themeShade="BF"/>
      <w:spacing w:val="5"/>
    </w:rPr>
  </w:style>
  <w:style w:type="paragraph" w:styleId="Header">
    <w:name w:val="header"/>
    <w:basedOn w:val="Normal"/>
    <w:link w:val="HeaderChar"/>
    <w:uiPriority w:val="99"/>
    <w:unhideWhenUsed/>
    <w:rsid w:val="00DA6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5F0"/>
  </w:style>
  <w:style w:type="paragraph" w:styleId="Footer">
    <w:name w:val="footer"/>
    <w:basedOn w:val="Normal"/>
    <w:link w:val="FooterChar"/>
    <w:uiPriority w:val="99"/>
    <w:unhideWhenUsed/>
    <w:rsid w:val="00DA6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5F0"/>
  </w:style>
  <w:style w:type="table" w:styleId="TableGrid">
    <w:name w:val="Table Grid"/>
    <w:basedOn w:val="TableNormal"/>
    <w:uiPriority w:val="39"/>
    <w:rsid w:val="001A6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6649"/>
    <w:rPr>
      <w:color w:val="0563C1" w:themeColor="hyperlink"/>
      <w:u w:val="single"/>
    </w:rPr>
  </w:style>
  <w:style w:type="character" w:customStyle="1" w:styleId="UnresolvedMention">
    <w:name w:val="Unresolved Mention"/>
    <w:basedOn w:val="DefaultParagraphFont"/>
    <w:uiPriority w:val="99"/>
    <w:semiHidden/>
    <w:unhideWhenUsed/>
    <w:rsid w:val="00F06649"/>
    <w:rPr>
      <w:color w:val="605E5C"/>
      <w:shd w:val="clear" w:color="auto" w:fill="E1DFDD"/>
    </w:rPr>
  </w:style>
  <w:style w:type="paragraph" w:styleId="BalloonText">
    <w:name w:val="Balloon Text"/>
    <w:basedOn w:val="Normal"/>
    <w:link w:val="BalloonTextChar"/>
    <w:uiPriority w:val="99"/>
    <w:semiHidden/>
    <w:unhideWhenUsed/>
    <w:rsid w:val="00B52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3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98B"/>
    <w:rPr>
      <w:rFonts w:eastAsiaTheme="majorEastAsia" w:cstheme="majorBidi"/>
      <w:color w:val="272727" w:themeColor="text1" w:themeTint="D8"/>
    </w:rPr>
  </w:style>
  <w:style w:type="paragraph" w:styleId="Title">
    <w:name w:val="Title"/>
    <w:basedOn w:val="Normal"/>
    <w:next w:val="Normal"/>
    <w:link w:val="TitleChar"/>
    <w:uiPriority w:val="10"/>
    <w:qFormat/>
    <w:rsid w:val="000D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398B"/>
    <w:rPr>
      <w:i/>
      <w:iCs/>
      <w:color w:val="404040" w:themeColor="text1" w:themeTint="BF"/>
    </w:rPr>
  </w:style>
  <w:style w:type="paragraph" w:styleId="ListParagraph">
    <w:name w:val="List Paragraph"/>
    <w:basedOn w:val="Normal"/>
    <w:uiPriority w:val="34"/>
    <w:qFormat/>
    <w:rsid w:val="000D398B"/>
    <w:pPr>
      <w:ind w:left="720"/>
      <w:contextualSpacing/>
    </w:pPr>
  </w:style>
  <w:style w:type="character" w:styleId="IntenseEmphasis">
    <w:name w:val="Intense Emphasis"/>
    <w:basedOn w:val="DefaultParagraphFont"/>
    <w:uiPriority w:val="21"/>
    <w:qFormat/>
    <w:rsid w:val="000D398B"/>
    <w:rPr>
      <w:i/>
      <w:iCs/>
      <w:color w:val="2F5496" w:themeColor="accent1" w:themeShade="BF"/>
    </w:rPr>
  </w:style>
  <w:style w:type="paragraph" w:styleId="IntenseQuote">
    <w:name w:val="Intense Quote"/>
    <w:basedOn w:val="Normal"/>
    <w:next w:val="Normal"/>
    <w:link w:val="IntenseQuoteChar"/>
    <w:uiPriority w:val="30"/>
    <w:qFormat/>
    <w:rsid w:val="000D3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98B"/>
    <w:rPr>
      <w:i/>
      <w:iCs/>
      <w:color w:val="2F5496" w:themeColor="accent1" w:themeShade="BF"/>
    </w:rPr>
  </w:style>
  <w:style w:type="character" w:styleId="IntenseReference">
    <w:name w:val="Intense Reference"/>
    <w:basedOn w:val="DefaultParagraphFont"/>
    <w:uiPriority w:val="32"/>
    <w:qFormat/>
    <w:rsid w:val="000D398B"/>
    <w:rPr>
      <w:b/>
      <w:bCs/>
      <w:smallCaps/>
      <w:color w:val="2F5496" w:themeColor="accent1" w:themeShade="BF"/>
      <w:spacing w:val="5"/>
    </w:rPr>
  </w:style>
  <w:style w:type="paragraph" w:styleId="Header">
    <w:name w:val="header"/>
    <w:basedOn w:val="Normal"/>
    <w:link w:val="HeaderChar"/>
    <w:uiPriority w:val="99"/>
    <w:unhideWhenUsed/>
    <w:rsid w:val="00DA6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5F0"/>
  </w:style>
  <w:style w:type="paragraph" w:styleId="Footer">
    <w:name w:val="footer"/>
    <w:basedOn w:val="Normal"/>
    <w:link w:val="FooterChar"/>
    <w:uiPriority w:val="99"/>
    <w:unhideWhenUsed/>
    <w:rsid w:val="00DA6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5F0"/>
  </w:style>
  <w:style w:type="table" w:styleId="TableGrid">
    <w:name w:val="Table Grid"/>
    <w:basedOn w:val="TableNormal"/>
    <w:uiPriority w:val="39"/>
    <w:rsid w:val="001A6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6649"/>
    <w:rPr>
      <w:color w:val="0563C1" w:themeColor="hyperlink"/>
      <w:u w:val="single"/>
    </w:rPr>
  </w:style>
  <w:style w:type="character" w:customStyle="1" w:styleId="UnresolvedMention">
    <w:name w:val="Unresolved Mention"/>
    <w:basedOn w:val="DefaultParagraphFont"/>
    <w:uiPriority w:val="99"/>
    <w:semiHidden/>
    <w:unhideWhenUsed/>
    <w:rsid w:val="00F06649"/>
    <w:rPr>
      <w:color w:val="605E5C"/>
      <w:shd w:val="clear" w:color="auto" w:fill="E1DFDD"/>
    </w:rPr>
  </w:style>
  <w:style w:type="paragraph" w:styleId="BalloonText">
    <w:name w:val="Balloon Text"/>
    <w:basedOn w:val="Normal"/>
    <w:link w:val="BalloonTextChar"/>
    <w:uiPriority w:val="99"/>
    <w:semiHidden/>
    <w:unhideWhenUsed/>
    <w:rsid w:val="00B52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18153</TotalTime>
  <Pages>9</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 KABILAN</dc:creator>
  <cp:keywords/>
  <dc:description/>
  <cp:lastModifiedBy>qwert</cp:lastModifiedBy>
  <cp:revision>6</cp:revision>
  <dcterms:created xsi:type="dcterms:W3CDTF">2026-04-27T05:12:00Z</dcterms:created>
  <dcterms:modified xsi:type="dcterms:W3CDTF">2026-05-12T08:00:00Z</dcterms:modified>
</cp:coreProperties>
</file>