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A3F" w:rsidRPr="002D359D" w:rsidRDefault="00F11A3F" w:rsidP="00F11A3F">
      <w:pPr>
        <w:pStyle w:val="NoSpacing"/>
        <w:jc w:val="center"/>
        <w:rPr>
          <w:rFonts w:ascii="Times New Roman" w:eastAsia="Bookman Old Style" w:hAnsi="Times New Roman"/>
          <w:b/>
          <w:color w:val="000000" w:themeColor="text1"/>
          <w:sz w:val="36"/>
          <w:szCs w:val="36"/>
          <w:lang w:val="en-PH" w:eastAsia="en-PH"/>
        </w:rPr>
      </w:pPr>
      <w:r w:rsidRPr="002D359D">
        <w:rPr>
          <w:rFonts w:ascii="Times New Roman" w:eastAsia="Bookman Old Style" w:hAnsi="Times New Roman"/>
          <w:b/>
          <w:color w:val="000000" w:themeColor="text1"/>
          <w:sz w:val="36"/>
          <w:szCs w:val="36"/>
          <w:lang w:val="en-PH" w:eastAsia="en-PH"/>
        </w:rPr>
        <w:t xml:space="preserve">Rolling the Dice on Learning: Utilizing the Bomber Board Game to </w:t>
      </w:r>
    </w:p>
    <w:p w:rsidR="00F11A3F" w:rsidRPr="002D359D" w:rsidRDefault="00F11A3F" w:rsidP="00F11A3F">
      <w:pPr>
        <w:pStyle w:val="NoSpacing"/>
        <w:jc w:val="center"/>
        <w:rPr>
          <w:rFonts w:ascii="Times New Roman" w:eastAsia="Bookman Old Style" w:hAnsi="Times New Roman"/>
          <w:b/>
          <w:color w:val="000000" w:themeColor="text1"/>
          <w:sz w:val="36"/>
          <w:szCs w:val="36"/>
          <w:lang w:val="en-PH" w:eastAsia="en-PH"/>
        </w:rPr>
      </w:pPr>
      <w:r w:rsidRPr="002D359D">
        <w:rPr>
          <w:rFonts w:ascii="Times New Roman" w:eastAsia="Bookman Old Style" w:hAnsi="Times New Roman"/>
          <w:b/>
          <w:color w:val="000000" w:themeColor="text1"/>
          <w:sz w:val="36"/>
          <w:szCs w:val="36"/>
          <w:lang w:val="en-PH" w:eastAsia="en-PH"/>
        </w:rPr>
        <w:t xml:space="preserve">Improve Mastery of Simple Interest Among HUMSS Grade 11 </w:t>
      </w:r>
    </w:p>
    <w:p w:rsidR="00F11A3F" w:rsidRPr="002D359D" w:rsidRDefault="00F11A3F" w:rsidP="00F11A3F">
      <w:pPr>
        <w:pStyle w:val="NoSpacing"/>
        <w:jc w:val="center"/>
        <w:rPr>
          <w:rFonts w:ascii="Times New Roman" w:eastAsia="Bookman Old Style" w:hAnsi="Times New Roman"/>
          <w:b/>
          <w:color w:val="000000" w:themeColor="text1"/>
          <w:sz w:val="36"/>
          <w:szCs w:val="36"/>
          <w:lang w:val="en-PH" w:eastAsia="en-PH"/>
        </w:rPr>
      </w:pPr>
      <w:r w:rsidRPr="002D359D">
        <w:rPr>
          <w:rFonts w:ascii="Times New Roman" w:eastAsia="Bookman Old Style" w:hAnsi="Times New Roman"/>
          <w:b/>
          <w:color w:val="000000" w:themeColor="text1"/>
          <w:sz w:val="36"/>
          <w:szCs w:val="36"/>
          <w:lang w:val="en-PH" w:eastAsia="en-PH"/>
        </w:rPr>
        <w:t>students at Luis Y. Ferrer Jr. Senior High School</w:t>
      </w:r>
    </w:p>
    <w:p w:rsidR="00E265C4" w:rsidRPr="002D359D" w:rsidRDefault="00E265C4" w:rsidP="00E265C4">
      <w:pPr>
        <w:pStyle w:val="NoSpacing"/>
        <w:jc w:val="center"/>
        <w:rPr>
          <w:rFonts w:ascii="Times New Roman" w:hAnsi="Times New Roman"/>
          <w:color w:val="000000" w:themeColor="text1"/>
          <w:sz w:val="24"/>
          <w:szCs w:val="24"/>
        </w:rPr>
      </w:pPr>
      <w:bookmarkStart w:id="0" w:name="_GoBack"/>
      <w:bookmarkEnd w:id="0"/>
    </w:p>
    <w:p w:rsidR="00CE116F" w:rsidRPr="002D359D" w:rsidRDefault="00E265C4" w:rsidP="00E265C4">
      <w:pPr>
        <w:pStyle w:val="NoSpacing"/>
        <w:rPr>
          <w:rFonts w:ascii="Times New Roman" w:hAnsi="Times New Roman"/>
          <w:b/>
          <w:bCs/>
          <w:color w:val="000000" w:themeColor="text1"/>
          <w:sz w:val="28"/>
          <w:szCs w:val="28"/>
        </w:rPr>
      </w:pPr>
      <w:r w:rsidRPr="002D359D">
        <w:rPr>
          <w:rFonts w:ascii="Times New Roman" w:hAnsi="Times New Roman"/>
          <w:b/>
          <w:bCs/>
          <w:color w:val="000000" w:themeColor="text1"/>
          <w:sz w:val="28"/>
          <w:szCs w:val="28"/>
        </w:rPr>
        <w:t>ABSTRACT</w:t>
      </w:r>
    </w:p>
    <w:p w:rsidR="00F11A3F" w:rsidRPr="002D359D" w:rsidRDefault="00F11A3F" w:rsidP="00E265C4">
      <w:pPr>
        <w:pStyle w:val="NoSpacing"/>
        <w:jc w:val="both"/>
        <w:rPr>
          <w:rFonts w:ascii="Times New Roman" w:eastAsia="Bookman Old Style" w:hAnsi="Times New Roman"/>
          <w:bCs/>
          <w:color w:val="000000" w:themeColor="text1"/>
          <w:sz w:val="24"/>
          <w:szCs w:val="24"/>
          <w:lang w:val="en-PH" w:eastAsia="en-PH"/>
        </w:rPr>
      </w:pPr>
      <w:r w:rsidRPr="002D359D">
        <w:rPr>
          <w:rFonts w:ascii="Times New Roman" w:eastAsia="Bookman Old Style" w:hAnsi="Times New Roman"/>
          <w:bCs/>
          <w:color w:val="000000" w:themeColor="text1"/>
          <w:sz w:val="24"/>
          <w:szCs w:val="24"/>
          <w:lang w:val="en-PH" w:eastAsia="en-PH"/>
        </w:rPr>
        <w:t>Gamification in mathematics education are essential to engage students and deepen their understanding of mathematical concepts like a simple interest. The study was conducted to improve the mastery of simple interest by utilizing bomber board game. Specifically, to identify how the students performed in the pre-test and post-test before and after using the bomber board game in teaching simple interest. This action research used Quantitative - quasi-experimental method. The respondents of the study were selected through purposive sampling. The study is limited to HUMSS Grade 11 students at Luis Y. Ferrer Jr. Senior High School taking General Mathematics. Furthermore, weighted mean and t-test were used in analysis of data. The study revealed that utilizing bomber board game in teaching simple interest obtained the mean in pre-test (4.00) and the post-test (7.25). The increase of 3.25 points indicates that the students’ performance improved after the intervention, suggesting that the use of bomber board game was effective. The study revealed that there is a significant difference between the pre-test and post-test result of the students. Overall, the intervention or learning experience had a substantial and meaningful impact on the students' performance. This indicates that the improvement in scores after using the bomber board game in teaching simple interest is highly significant and not due to random chance.</w:t>
      </w:r>
    </w:p>
    <w:p w:rsidR="00B858A0" w:rsidRPr="002D359D" w:rsidRDefault="00B858A0" w:rsidP="00E265C4">
      <w:pPr>
        <w:pStyle w:val="NoSpacing"/>
        <w:jc w:val="both"/>
        <w:rPr>
          <w:rFonts w:ascii="Times New Roman" w:hAnsi="Times New Roman"/>
          <w:b/>
          <w:bCs/>
          <w:color w:val="000000" w:themeColor="text1"/>
          <w:lang w:eastAsia="en-PH"/>
        </w:rPr>
      </w:pPr>
      <w:r w:rsidRPr="002D359D">
        <w:rPr>
          <w:rFonts w:ascii="Times New Roman" w:hAnsi="Times New Roman"/>
          <w:b/>
          <w:bCs/>
          <w:color w:val="000000" w:themeColor="text1"/>
          <w:lang w:eastAsia="en-PH"/>
        </w:rPr>
        <w:t>Keywords:</w:t>
      </w:r>
    </w:p>
    <w:p w:rsidR="00E265C4" w:rsidRPr="002D359D" w:rsidRDefault="00F11A3F" w:rsidP="00E265C4">
      <w:pPr>
        <w:pStyle w:val="NoSpacing"/>
        <w:rPr>
          <w:rFonts w:ascii="Times New Roman" w:hAnsi="Times New Roman"/>
          <w:b/>
          <w:bCs/>
          <w:color w:val="000000" w:themeColor="text1"/>
          <w:lang w:eastAsia="en-PH"/>
        </w:rPr>
      </w:pPr>
      <w:r w:rsidRPr="002D359D">
        <w:rPr>
          <w:rFonts w:ascii="Times New Roman" w:hAnsi="Times New Roman"/>
          <w:b/>
          <w:bCs/>
          <w:color w:val="000000" w:themeColor="text1"/>
          <w:lang w:eastAsia="en-PH"/>
        </w:rPr>
        <w:t>Gamification, Mathematics Education, Bomber Board, Mathematical Concepts, Simple Interest</w:t>
      </w:r>
    </w:p>
    <w:p w:rsidR="00F11A3F" w:rsidRPr="002D359D" w:rsidRDefault="00F11A3F" w:rsidP="00E265C4">
      <w:pPr>
        <w:pStyle w:val="NoSpacing"/>
        <w:rPr>
          <w:rFonts w:ascii="Times New Roman" w:hAnsi="Times New Roman"/>
          <w:b/>
          <w:bCs/>
          <w:color w:val="000000" w:themeColor="text1"/>
          <w:lang w:eastAsia="en-PH"/>
        </w:rPr>
      </w:pPr>
    </w:p>
    <w:p w:rsidR="00F11A3F" w:rsidRPr="002D359D" w:rsidRDefault="00E265C4" w:rsidP="00F11A3F">
      <w:pPr>
        <w:pStyle w:val="NoSpacing"/>
        <w:rPr>
          <w:rFonts w:ascii="Times New Roman" w:hAnsi="Times New Roman"/>
          <w:b/>
          <w:bCs/>
          <w:color w:val="000000" w:themeColor="text1"/>
          <w:sz w:val="28"/>
          <w:szCs w:val="28"/>
        </w:rPr>
      </w:pPr>
      <w:r w:rsidRPr="002D359D">
        <w:rPr>
          <w:rFonts w:ascii="Times New Roman" w:hAnsi="Times New Roman"/>
          <w:b/>
          <w:bCs/>
          <w:color w:val="000000" w:themeColor="text1"/>
          <w:sz w:val="28"/>
          <w:szCs w:val="28"/>
        </w:rPr>
        <w:t>INTRODUCTION</w:t>
      </w:r>
    </w:p>
    <w:p w:rsidR="00F11A3F" w:rsidRPr="002D359D" w:rsidRDefault="00F11A3F" w:rsidP="00F11A3F">
      <w:pPr>
        <w:pStyle w:val="NoSpacing"/>
        <w:rPr>
          <w:rFonts w:ascii="Times New Roman" w:hAnsi="Times New Roman"/>
          <w:b/>
          <w:bCs/>
          <w:color w:val="000000" w:themeColor="text1"/>
          <w:sz w:val="28"/>
          <w:szCs w:val="28"/>
        </w:rPr>
      </w:pPr>
    </w:p>
    <w:p w:rsidR="00F11A3F" w:rsidRPr="002D359D" w:rsidRDefault="00F11A3F" w:rsidP="00F11A3F">
      <w:pPr>
        <w:spacing w:line="240" w:lineRule="auto"/>
        <w:jc w:val="both"/>
        <w:rPr>
          <w:rFonts w:ascii="Times New Roman" w:eastAsia="Bookman Old Style" w:hAnsi="Times New Roman"/>
          <w:color w:val="000000" w:themeColor="text1"/>
          <w:sz w:val="24"/>
          <w:szCs w:val="24"/>
          <w:lang w:val="en-PH" w:eastAsia="en-PH"/>
        </w:rPr>
      </w:pPr>
      <w:r w:rsidRPr="002D359D">
        <w:rPr>
          <w:rFonts w:ascii="Times New Roman" w:eastAsia="Bookman Old Style" w:hAnsi="Times New Roman"/>
          <w:color w:val="000000" w:themeColor="text1"/>
          <w:sz w:val="24"/>
          <w:szCs w:val="24"/>
          <w:lang w:val="en-PH" w:eastAsia="en-PH"/>
        </w:rPr>
        <w:t xml:space="preserve">Innovative and captivating methods of teaching are very crucial in today's educational environment to capture students' attention and improve their learning outcomes. Even while they can be somewhat successful, traditional teaching approaches frequently fail to promote deep understanding, particularly in areas like mathematics that call on analytical abilities. One such subject that many students find difficult to completely understand is simple interest, a fundamental idea in mathematics and finance. </w:t>
      </w:r>
    </w:p>
    <w:p w:rsidR="00F11A3F" w:rsidRPr="002D359D" w:rsidRDefault="00F11A3F" w:rsidP="00F11A3F">
      <w:pPr>
        <w:spacing w:line="240" w:lineRule="auto"/>
        <w:jc w:val="both"/>
        <w:rPr>
          <w:rFonts w:ascii="Times New Roman" w:eastAsia="Bookman Old Style" w:hAnsi="Times New Roman"/>
          <w:color w:val="000000" w:themeColor="text1"/>
          <w:sz w:val="24"/>
          <w:szCs w:val="24"/>
          <w:lang w:val="en-PH" w:eastAsia="en-PH"/>
        </w:rPr>
      </w:pPr>
      <w:r w:rsidRPr="002D359D">
        <w:rPr>
          <w:rFonts w:ascii="Times New Roman" w:eastAsia="Bookman Old Style" w:hAnsi="Times New Roman"/>
          <w:color w:val="000000" w:themeColor="text1"/>
          <w:sz w:val="24"/>
          <w:szCs w:val="24"/>
          <w:lang w:val="en-PH" w:eastAsia="en-PH"/>
        </w:rPr>
        <w:t>The study of (Jayaraman et.al, 2020) measured financial literacy levels among high school students (N = 608) in India and found low levels of performance on standard measures of financial literacy.  These findings lend support for high school financial education which involves parents and stresses practical hands-on application, societal and macroeconomic impact, as a means of improving financial literacy.</w:t>
      </w:r>
    </w:p>
    <w:p w:rsidR="00F11A3F" w:rsidRPr="002D359D" w:rsidRDefault="00F11A3F" w:rsidP="00F11A3F">
      <w:pPr>
        <w:spacing w:line="240" w:lineRule="auto"/>
        <w:jc w:val="both"/>
        <w:rPr>
          <w:rFonts w:ascii="Times New Roman" w:eastAsia="Bookman Old Style" w:hAnsi="Times New Roman"/>
          <w:color w:val="000000" w:themeColor="text1"/>
          <w:sz w:val="24"/>
          <w:szCs w:val="24"/>
          <w:lang w:val="en-PH" w:eastAsia="en-PH"/>
        </w:rPr>
      </w:pPr>
      <w:r w:rsidRPr="002D359D">
        <w:rPr>
          <w:rFonts w:ascii="Times New Roman" w:eastAsia="Bookman Old Style" w:hAnsi="Times New Roman"/>
          <w:color w:val="000000" w:themeColor="text1"/>
          <w:sz w:val="24"/>
          <w:szCs w:val="24"/>
          <w:lang w:val="en-PH" w:eastAsia="en-PH"/>
        </w:rPr>
        <w:t xml:space="preserve">The study reveals that the financial literacy level among youth is low across most parts of the world that has become a cause of concern. (Garg &amp; Singh 2021) Also, it has been observed that various socio-economic and demographic factors such as age, gender, income, marital status and educational attainment influence the financial literacy level of youth and there exists an interrelationship between financial knowledge, financial attitude and financial behavior. </w:t>
      </w:r>
    </w:p>
    <w:p w:rsidR="00F11A3F" w:rsidRPr="002D359D" w:rsidRDefault="00F11A3F" w:rsidP="00F11A3F">
      <w:pPr>
        <w:spacing w:line="240" w:lineRule="auto"/>
        <w:jc w:val="both"/>
        <w:rPr>
          <w:rFonts w:ascii="Times New Roman" w:eastAsia="Bookman Old Style" w:hAnsi="Times New Roman"/>
          <w:color w:val="000000" w:themeColor="text1"/>
          <w:sz w:val="24"/>
          <w:szCs w:val="24"/>
          <w:lang w:val="en-PH" w:eastAsia="en-PH"/>
        </w:rPr>
      </w:pPr>
      <w:r w:rsidRPr="002D359D">
        <w:rPr>
          <w:rFonts w:ascii="Times New Roman" w:eastAsia="Bookman Old Style" w:hAnsi="Times New Roman"/>
          <w:color w:val="000000" w:themeColor="text1"/>
          <w:sz w:val="24"/>
          <w:szCs w:val="24"/>
          <w:lang w:val="en-PH" w:eastAsia="en-PH"/>
        </w:rPr>
        <w:t>Financial literacy is mandated by the State according to Republic Act (RA) no. 10922 or “An Act Declaring the Second Week of November Every Year as Economic and Financial Literacy Week”; RA no. 10679 or “An Act Promoting Entrepreneurship and Financial Education among Filipino Youth.” The said laws promote financial awareness among the learners whose aptitudes and skills in the field of finance and entrepreneurship shall be encouraged and honed through education and specialized training programs. Simple interest is a foundational financial concept that helps individuals understand the cost of borrowing or the return on investment. Financial literacy enables people to apply this knowledge in personal financial planning, leading to better decisions when borrowing or saving. It helps individuals avoid common mistakes and manage their finances more effectively, whether by calculating interest on loans or understanding potential returns on savings. In the study of (</w:t>
      </w:r>
      <w:proofErr w:type="spellStart"/>
      <w:r w:rsidRPr="002D359D">
        <w:rPr>
          <w:rFonts w:ascii="Times New Roman" w:eastAsia="Bookman Old Style" w:hAnsi="Times New Roman"/>
          <w:color w:val="000000" w:themeColor="text1"/>
          <w:sz w:val="24"/>
          <w:szCs w:val="24"/>
          <w:lang w:val="en-PH" w:eastAsia="en-PH"/>
        </w:rPr>
        <w:t>Lalosa</w:t>
      </w:r>
      <w:proofErr w:type="spellEnd"/>
      <w:r w:rsidRPr="002D359D">
        <w:rPr>
          <w:rFonts w:ascii="Times New Roman" w:eastAsia="Bookman Old Style" w:hAnsi="Times New Roman"/>
          <w:color w:val="000000" w:themeColor="text1"/>
          <w:sz w:val="24"/>
          <w:szCs w:val="24"/>
          <w:lang w:val="en-PH" w:eastAsia="en-PH"/>
        </w:rPr>
        <w:t xml:space="preserve"> 2020) was found out that most of the respondents possess inadequate knowledge in terms of financial literacy even on the practical level of application for their day-to-day activities. This problem is evident among HUMSS students at Luis Y. Ferrer Jr. Senior High School in Grade </w:t>
      </w:r>
      <w:r w:rsidRPr="002D359D">
        <w:rPr>
          <w:rFonts w:ascii="Times New Roman" w:eastAsia="Bookman Old Style" w:hAnsi="Times New Roman"/>
          <w:color w:val="000000" w:themeColor="text1"/>
          <w:sz w:val="24"/>
          <w:szCs w:val="24"/>
          <w:lang w:val="en-PH" w:eastAsia="en-PH"/>
        </w:rPr>
        <w:lastRenderedPageBreak/>
        <w:t>11, when conventional methods of instruction do not adequately interest students or promote topic mastery. DepEd Memo No. 160, S. 2012 emphasizes the importance of ensuring that students achieve a level of mastery in their learning, particularly regarding basic competencies.</w:t>
      </w:r>
    </w:p>
    <w:p w:rsidR="00F11A3F" w:rsidRPr="002D359D" w:rsidRDefault="00F11A3F" w:rsidP="00F11A3F">
      <w:pPr>
        <w:spacing w:line="240" w:lineRule="auto"/>
        <w:jc w:val="both"/>
        <w:rPr>
          <w:rFonts w:ascii="Times New Roman" w:eastAsia="Bookman Old Style" w:hAnsi="Times New Roman"/>
          <w:color w:val="000000" w:themeColor="text1"/>
          <w:sz w:val="24"/>
          <w:szCs w:val="24"/>
          <w:lang w:val="en-PH" w:eastAsia="en-PH"/>
        </w:rPr>
      </w:pPr>
      <w:r w:rsidRPr="002D359D">
        <w:rPr>
          <w:rFonts w:ascii="Times New Roman" w:eastAsia="Bookman Old Style" w:hAnsi="Times New Roman"/>
          <w:color w:val="000000" w:themeColor="text1"/>
          <w:sz w:val="24"/>
          <w:szCs w:val="24"/>
          <w:lang w:val="en-PH" w:eastAsia="en-PH"/>
        </w:rPr>
        <w:t>Considering this variable in relation to the issue, there were studies that have linked and discovered the relationship between numeracy and financial literacy. This discovery has then paved a way for possible solutions as to how numeracy can be utilized to integrate financial education in response to the low level of financial literacy among students. (</w:t>
      </w:r>
      <w:proofErr w:type="spellStart"/>
      <w:r w:rsidRPr="002D359D">
        <w:rPr>
          <w:rFonts w:ascii="Times New Roman" w:eastAsia="Bookman Old Style" w:hAnsi="Times New Roman"/>
          <w:color w:val="000000" w:themeColor="text1"/>
          <w:sz w:val="24"/>
          <w:szCs w:val="24"/>
          <w:lang w:val="en-PH" w:eastAsia="en-PH"/>
        </w:rPr>
        <w:t>Indefonso</w:t>
      </w:r>
      <w:proofErr w:type="spellEnd"/>
      <w:r w:rsidRPr="002D359D">
        <w:rPr>
          <w:rFonts w:ascii="Times New Roman" w:eastAsia="Bookman Old Style" w:hAnsi="Times New Roman"/>
          <w:color w:val="000000" w:themeColor="text1"/>
          <w:sz w:val="24"/>
          <w:szCs w:val="24"/>
          <w:lang w:val="en-PH" w:eastAsia="en-PH"/>
        </w:rPr>
        <w:t xml:space="preserve"> and </w:t>
      </w:r>
      <w:proofErr w:type="spellStart"/>
      <w:r w:rsidRPr="002D359D">
        <w:rPr>
          <w:rFonts w:ascii="Times New Roman" w:eastAsia="Bookman Old Style" w:hAnsi="Times New Roman"/>
          <w:color w:val="000000" w:themeColor="text1"/>
          <w:sz w:val="24"/>
          <w:szCs w:val="24"/>
          <w:lang w:val="en-PH" w:eastAsia="en-PH"/>
        </w:rPr>
        <w:t>Yazon</w:t>
      </w:r>
      <w:proofErr w:type="spellEnd"/>
      <w:r w:rsidRPr="002D359D">
        <w:rPr>
          <w:rFonts w:ascii="Times New Roman" w:eastAsia="Bookman Old Style" w:hAnsi="Times New Roman"/>
          <w:color w:val="000000" w:themeColor="text1"/>
          <w:sz w:val="24"/>
          <w:szCs w:val="24"/>
          <w:lang w:val="en-PH" w:eastAsia="en-PH"/>
        </w:rPr>
        <w:t xml:space="preserve">, 2020) </w:t>
      </w:r>
    </w:p>
    <w:p w:rsidR="00F11A3F" w:rsidRPr="002D359D" w:rsidRDefault="00F11A3F" w:rsidP="00F11A3F">
      <w:pPr>
        <w:spacing w:line="240" w:lineRule="auto"/>
        <w:jc w:val="both"/>
        <w:rPr>
          <w:rFonts w:ascii="Times New Roman" w:eastAsia="Bookman Old Style" w:hAnsi="Times New Roman"/>
          <w:color w:val="000000" w:themeColor="text1"/>
          <w:sz w:val="24"/>
          <w:szCs w:val="24"/>
          <w:lang w:val="en-PH" w:eastAsia="en-PH"/>
        </w:rPr>
      </w:pPr>
      <w:r w:rsidRPr="002D359D">
        <w:rPr>
          <w:rFonts w:ascii="Times New Roman" w:eastAsia="Bookman Old Style" w:hAnsi="Times New Roman"/>
          <w:color w:val="000000" w:themeColor="text1"/>
          <w:sz w:val="24"/>
          <w:szCs w:val="24"/>
          <w:lang w:val="en-PH" w:eastAsia="en-PH"/>
        </w:rPr>
        <w:t>Study of (Kimble 2020) analyze how the use of gamification could improve student achievement in math. This action research aims to address this learning gap by introducing the Bomber Board Game, a unique and interactive learning tool designed to foster engagement and comprehension of simple interest. By integrating game-based learning, students are encouraged to participate actively, work collaboratively, and apply theoretical knowledge in practical, real-world scenarios. The game’s competitive yet cooperative nature motivates learners to explore the concept of simple interest in a fun and accessible manner. Also, this research will determine the effectiveness of the Bomber Board Game in improving students' mastery of simple interest, making learning both enjoyable and impactful. Through this study, we hope to provide insights into the potential of game-based learning to enhance mathematical proficiency and student engagement.</w:t>
      </w:r>
    </w:p>
    <w:p w:rsidR="00F11A3F" w:rsidRPr="002D359D" w:rsidRDefault="00F11A3F" w:rsidP="00F11A3F">
      <w:pPr>
        <w:pStyle w:val="NoSpacing"/>
        <w:spacing w:before="240" w:after="240"/>
        <w:rPr>
          <w:rFonts w:ascii="Times New Roman" w:eastAsia="Bookman Old Style" w:hAnsi="Times New Roman"/>
          <w:color w:val="000000" w:themeColor="text1"/>
          <w:sz w:val="24"/>
          <w:szCs w:val="24"/>
          <w:lang w:val="fil-PH"/>
        </w:rPr>
      </w:pPr>
      <w:r w:rsidRPr="002D359D">
        <w:rPr>
          <w:rFonts w:ascii="Times New Roman" w:eastAsia="Bookman Old Style" w:hAnsi="Times New Roman"/>
          <w:color w:val="000000" w:themeColor="text1"/>
          <w:sz w:val="24"/>
          <w:szCs w:val="24"/>
          <w:lang w:val="fil-PH"/>
        </w:rPr>
        <w:t>The study will be conducted to determine whether the integration of the bomber board game into the learning process can enhance students’ comprehension and retention of simple interest concepts of HUMSS Grade 11 students at Luis Y. Ferrer Jr. Senior High School. Specifically, the research seeks to address the following question:</w:t>
      </w:r>
    </w:p>
    <w:p w:rsidR="00F11A3F" w:rsidRPr="002D359D" w:rsidRDefault="00F11A3F" w:rsidP="00F11A3F">
      <w:pPr>
        <w:pStyle w:val="NoSpacing"/>
        <w:spacing w:before="240" w:after="240"/>
        <w:rPr>
          <w:rFonts w:ascii="Times New Roman" w:eastAsia="Bookman Old Style" w:hAnsi="Times New Roman"/>
          <w:color w:val="000000" w:themeColor="text1"/>
          <w:sz w:val="24"/>
          <w:szCs w:val="24"/>
          <w:lang w:val="fil-PH"/>
        </w:rPr>
      </w:pPr>
      <w:r w:rsidRPr="002D359D">
        <w:rPr>
          <w:rFonts w:ascii="Times New Roman" w:eastAsia="Bookman Old Style" w:hAnsi="Times New Roman"/>
          <w:color w:val="000000" w:themeColor="text1"/>
          <w:sz w:val="24"/>
          <w:szCs w:val="24"/>
          <w:lang w:val="fil-PH"/>
        </w:rPr>
        <w:t>1. What is the pre-test result of the HUMSS 11 students in simple interest?</w:t>
      </w:r>
    </w:p>
    <w:p w:rsidR="00F11A3F" w:rsidRPr="002D359D" w:rsidRDefault="00F11A3F" w:rsidP="00F11A3F">
      <w:pPr>
        <w:pStyle w:val="NoSpacing"/>
        <w:spacing w:before="240" w:after="240"/>
        <w:rPr>
          <w:rFonts w:ascii="Times New Roman" w:eastAsia="Bookman Old Style" w:hAnsi="Times New Roman"/>
          <w:color w:val="000000" w:themeColor="text1"/>
          <w:sz w:val="24"/>
          <w:szCs w:val="24"/>
          <w:lang w:val="fil-PH"/>
        </w:rPr>
      </w:pPr>
      <w:r w:rsidRPr="002D359D">
        <w:rPr>
          <w:rFonts w:ascii="Times New Roman" w:eastAsia="Bookman Old Style" w:hAnsi="Times New Roman"/>
          <w:color w:val="000000" w:themeColor="text1"/>
          <w:sz w:val="24"/>
          <w:szCs w:val="24"/>
          <w:lang w:val="fil-PH"/>
        </w:rPr>
        <w:t>2. How do students perform in the post test after using bomber board game in teaching simple interest?</w:t>
      </w:r>
    </w:p>
    <w:p w:rsidR="00F11A3F" w:rsidRPr="002D359D" w:rsidRDefault="00F11A3F" w:rsidP="00F11A3F">
      <w:pPr>
        <w:pStyle w:val="NoSpacing"/>
        <w:spacing w:before="240" w:after="240"/>
        <w:rPr>
          <w:rFonts w:ascii="Times New Roman" w:eastAsia="Bookman Old Style" w:hAnsi="Times New Roman"/>
          <w:color w:val="000000" w:themeColor="text1"/>
          <w:sz w:val="24"/>
          <w:szCs w:val="24"/>
          <w:lang w:val="fil-PH"/>
        </w:rPr>
      </w:pPr>
      <w:r w:rsidRPr="002D359D">
        <w:rPr>
          <w:rFonts w:ascii="Times New Roman" w:eastAsia="Bookman Old Style" w:hAnsi="Times New Roman"/>
          <w:color w:val="000000" w:themeColor="text1"/>
          <w:sz w:val="24"/>
          <w:szCs w:val="24"/>
          <w:lang w:val="fil-PH"/>
        </w:rPr>
        <w:t>3. Is there a significant difference between pre-test and post-test?</w:t>
      </w:r>
    </w:p>
    <w:p w:rsidR="00F11A3F" w:rsidRPr="002D359D" w:rsidRDefault="00F11A3F" w:rsidP="00F11A3F">
      <w:pPr>
        <w:pStyle w:val="NoSpacing"/>
        <w:spacing w:before="240" w:after="240"/>
        <w:rPr>
          <w:rFonts w:ascii="Times New Roman" w:eastAsia="Bookman Old Style" w:hAnsi="Times New Roman"/>
          <w:b/>
          <w:bCs/>
          <w:color w:val="000000" w:themeColor="text1"/>
          <w:sz w:val="28"/>
          <w:szCs w:val="28"/>
          <w:lang w:val="fil-PH"/>
        </w:rPr>
      </w:pPr>
      <w:r w:rsidRPr="002D359D">
        <w:rPr>
          <w:rFonts w:ascii="Times New Roman" w:eastAsia="Bookman Old Style" w:hAnsi="Times New Roman"/>
          <w:b/>
          <w:bCs/>
          <w:color w:val="000000" w:themeColor="text1"/>
          <w:sz w:val="28"/>
          <w:szCs w:val="28"/>
          <w:lang w:val="fil-PH"/>
        </w:rPr>
        <w:t>THEORETICAL FRAMEWORK</w:t>
      </w:r>
    </w:p>
    <w:p w:rsidR="00F11A3F" w:rsidRPr="002D359D" w:rsidRDefault="00F11A3F" w:rsidP="00F11A3F">
      <w:pPr>
        <w:pStyle w:val="NoSpacing"/>
        <w:spacing w:before="240" w:after="240"/>
        <w:rPr>
          <w:rFonts w:ascii="Times New Roman" w:eastAsia="Bookman Old Style" w:hAnsi="Times New Roman"/>
          <w:color w:val="000000" w:themeColor="text1"/>
          <w:sz w:val="24"/>
          <w:szCs w:val="24"/>
          <w:lang w:val="fil-PH"/>
        </w:rPr>
      </w:pPr>
      <w:r w:rsidRPr="002D359D">
        <w:rPr>
          <w:rFonts w:ascii="Times New Roman" w:eastAsia="Bookman Old Style" w:hAnsi="Times New Roman"/>
          <w:color w:val="000000" w:themeColor="text1"/>
          <w:sz w:val="24"/>
          <w:szCs w:val="24"/>
          <w:lang w:val="fil-PH"/>
        </w:rPr>
        <w:t>Jerome Bruner's theory (1966), which forms the basis of this study, highlights the critical role of the teacher, language, and the process of teaching in learning. Bruner argues that social interaction plays a pivotal role in effective learning, and students utilize various problem-solving methods that differ from one individual to another. He believes cognitive development occurs through the interaction of basic human abilities with cultural tools designed to enhance those abilities. These tools can be abstract, like the organization of language and knowledge within a culture, or tangible, such as computers and televisions.</w:t>
      </w:r>
    </w:p>
    <w:p w:rsidR="00F11A3F" w:rsidRPr="002D359D" w:rsidRDefault="00F11A3F" w:rsidP="00F11A3F">
      <w:pPr>
        <w:pStyle w:val="NoSpacing"/>
        <w:spacing w:before="240" w:after="240"/>
        <w:rPr>
          <w:rFonts w:ascii="Times New Roman" w:eastAsia="Bookman Old Style" w:hAnsi="Times New Roman"/>
          <w:color w:val="000000" w:themeColor="text1"/>
          <w:sz w:val="24"/>
          <w:szCs w:val="24"/>
          <w:lang w:val="fil-PH"/>
        </w:rPr>
      </w:pPr>
      <w:r w:rsidRPr="002D359D">
        <w:rPr>
          <w:rFonts w:ascii="Times New Roman" w:eastAsia="Bookman Old Style" w:hAnsi="Times New Roman"/>
          <w:color w:val="000000" w:themeColor="text1"/>
          <w:sz w:val="24"/>
          <w:szCs w:val="24"/>
          <w:lang w:val="fil-PH"/>
        </w:rPr>
        <w:t>Likewise, Bruner (1960) stated that the main point of school is not just to stuff the brain with facts rather it is about helping learners learn how to think and solve problems so they can use that skill in all sorts of situations. On the other hand, when reviewing gamification in education, Landers (2014) stands out as a significant theoretical contribution to scientific studies. This theory incorporates concepts such as self-determination theory, goal-setting theory (Locke, 1968; Locke &amp; Latham, 2002), and behavior reinforcement theory (Skinner, 1957). However, in terms of the theoretical underpinnings of gamification, serious games, and game-based learning, the findings reveal ongoing debates and a lack of comprehensive understanding regarding the theories used as a foundation for research in different contexts. Additionally, there are questions about how these theories explain the positive outcomes associated with gamification.</w:t>
      </w:r>
    </w:p>
    <w:p w:rsidR="00287769" w:rsidRPr="002D359D" w:rsidRDefault="00C51568" w:rsidP="00F11A3F">
      <w:pPr>
        <w:pStyle w:val="NoSpacing"/>
        <w:spacing w:before="240" w:after="240"/>
        <w:rPr>
          <w:rFonts w:ascii="Times New Roman" w:hAnsi="Times New Roman"/>
          <w:b/>
          <w:bCs/>
          <w:color w:val="000000" w:themeColor="text1"/>
          <w:sz w:val="28"/>
          <w:szCs w:val="28"/>
        </w:rPr>
      </w:pPr>
      <w:r w:rsidRPr="002D359D">
        <w:rPr>
          <w:rFonts w:ascii="Times New Roman" w:hAnsi="Times New Roman"/>
          <w:b/>
          <w:bCs/>
          <w:color w:val="000000" w:themeColor="text1"/>
          <w:sz w:val="28"/>
          <w:szCs w:val="28"/>
        </w:rPr>
        <w:t>M</w:t>
      </w:r>
      <w:r w:rsidR="00826976" w:rsidRPr="002D359D">
        <w:rPr>
          <w:rFonts w:ascii="Times New Roman" w:hAnsi="Times New Roman"/>
          <w:b/>
          <w:bCs/>
          <w:color w:val="000000" w:themeColor="text1"/>
          <w:sz w:val="28"/>
          <w:szCs w:val="28"/>
        </w:rPr>
        <w:t>ETHODOLOGY</w:t>
      </w:r>
    </w:p>
    <w:p w:rsidR="00826976" w:rsidRPr="002D359D" w:rsidRDefault="00826976" w:rsidP="00826976">
      <w:pPr>
        <w:spacing w:before="100" w:beforeAutospacing="1" w:after="100" w:afterAutospacing="1" w:line="240" w:lineRule="auto"/>
        <w:jc w:val="both"/>
        <w:rPr>
          <w:rFonts w:ascii="Times New Roman" w:eastAsia="Bookman Old Style" w:hAnsi="Times New Roman"/>
          <w:b/>
          <w:bCs/>
          <w:iCs/>
          <w:color w:val="000000" w:themeColor="text1"/>
          <w:sz w:val="24"/>
          <w:szCs w:val="24"/>
          <w:lang w:val="en-PH" w:eastAsia="en-PH"/>
        </w:rPr>
      </w:pPr>
      <w:r w:rsidRPr="002D359D">
        <w:rPr>
          <w:rFonts w:ascii="Times New Roman" w:eastAsia="Bookman Old Style" w:hAnsi="Times New Roman"/>
          <w:b/>
          <w:bCs/>
          <w:iCs/>
          <w:color w:val="000000" w:themeColor="text1"/>
          <w:sz w:val="24"/>
          <w:szCs w:val="24"/>
          <w:lang w:val="en-PH" w:eastAsia="en-PH"/>
        </w:rPr>
        <w:t>Study design</w:t>
      </w:r>
    </w:p>
    <w:p w:rsidR="00F11A3F" w:rsidRPr="002D359D" w:rsidRDefault="00F11A3F" w:rsidP="00FF209F">
      <w:pPr>
        <w:spacing w:after="160" w:line="240" w:lineRule="auto"/>
        <w:rPr>
          <w:rFonts w:ascii="Times New Roman" w:eastAsia="Bookman Old Style" w:hAnsi="Times New Roman"/>
          <w:iCs/>
          <w:color w:val="000000" w:themeColor="text1"/>
          <w:sz w:val="24"/>
          <w:szCs w:val="24"/>
          <w:lang w:val="en-PH" w:eastAsia="en-PH"/>
        </w:rPr>
      </w:pPr>
      <w:r w:rsidRPr="002D359D">
        <w:rPr>
          <w:rFonts w:ascii="Times New Roman" w:eastAsia="Bookman Old Style" w:hAnsi="Times New Roman"/>
          <w:iCs/>
          <w:color w:val="000000" w:themeColor="text1"/>
          <w:sz w:val="24"/>
          <w:szCs w:val="24"/>
          <w:lang w:val="en-PH" w:eastAsia="en-PH"/>
        </w:rPr>
        <w:t xml:space="preserve">The research is basically quantitative in nature as it utilized quasi-experimental method. This method of research requires pre-test and post-test. Administering pre-test and post-test to the respondents will measure </w:t>
      </w:r>
      <w:r w:rsidRPr="002D359D">
        <w:rPr>
          <w:rFonts w:ascii="Times New Roman" w:eastAsia="Bookman Old Style" w:hAnsi="Times New Roman"/>
          <w:iCs/>
          <w:color w:val="000000" w:themeColor="text1"/>
          <w:sz w:val="24"/>
          <w:szCs w:val="24"/>
          <w:lang w:val="en-PH" w:eastAsia="en-PH"/>
        </w:rPr>
        <w:lastRenderedPageBreak/>
        <w:t>their initial and final results to see the changes with their Mathematics Performances. The results of which were compared to measure the effect of the intervention on the learners used by researchers.</w:t>
      </w:r>
    </w:p>
    <w:p w:rsidR="00B67C10" w:rsidRPr="002D359D" w:rsidRDefault="00F11A3F" w:rsidP="00FF209F">
      <w:pPr>
        <w:spacing w:after="160" w:line="240" w:lineRule="auto"/>
        <w:rPr>
          <w:rFonts w:ascii="Times New Roman" w:eastAsia="Bookman Old Style" w:hAnsi="Times New Roman"/>
          <w:b/>
          <w:color w:val="000000" w:themeColor="text1"/>
          <w:sz w:val="24"/>
          <w:szCs w:val="24"/>
          <w:lang w:val="en-PH" w:eastAsia="en-PH"/>
        </w:rPr>
      </w:pPr>
      <w:r w:rsidRPr="002D359D">
        <w:rPr>
          <w:rFonts w:ascii="Times New Roman" w:eastAsia="Bookman Old Style" w:hAnsi="Times New Roman"/>
          <w:b/>
          <w:color w:val="000000" w:themeColor="text1"/>
          <w:sz w:val="24"/>
          <w:szCs w:val="24"/>
          <w:lang w:val="en-PH" w:eastAsia="en-PH"/>
        </w:rPr>
        <w:t>Respondents</w:t>
      </w:r>
      <w:r w:rsidR="00B67C10" w:rsidRPr="002D359D">
        <w:rPr>
          <w:rFonts w:ascii="Times New Roman" w:eastAsia="Bookman Old Style" w:hAnsi="Times New Roman"/>
          <w:b/>
          <w:color w:val="000000" w:themeColor="text1"/>
          <w:sz w:val="24"/>
          <w:szCs w:val="24"/>
          <w:lang w:val="en-PH" w:eastAsia="en-PH"/>
        </w:rPr>
        <w:t xml:space="preserve"> </w:t>
      </w:r>
      <w:r w:rsidR="00287769" w:rsidRPr="002D359D">
        <w:rPr>
          <w:rFonts w:ascii="Times New Roman" w:eastAsia="Bookman Old Style" w:hAnsi="Times New Roman"/>
          <w:b/>
          <w:color w:val="000000" w:themeColor="text1"/>
          <w:sz w:val="24"/>
          <w:szCs w:val="24"/>
          <w:lang w:val="en-PH" w:eastAsia="en-PH"/>
        </w:rPr>
        <w:t>of the Study</w:t>
      </w:r>
    </w:p>
    <w:p w:rsidR="00F11A3F" w:rsidRPr="002D359D" w:rsidRDefault="00F11A3F" w:rsidP="00FF209F">
      <w:pPr>
        <w:spacing w:after="160" w:line="240" w:lineRule="auto"/>
        <w:rPr>
          <w:rFonts w:ascii="Times New Roman" w:eastAsia="Bookman Old Style" w:hAnsi="Times New Roman"/>
          <w:bCs/>
          <w:color w:val="000000" w:themeColor="text1"/>
          <w:sz w:val="24"/>
          <w:szCs w:val="24"/>
          <w:lang w:val="en-PH" w:eastAsia="en-PH"/>
        </w:rPr>
      </w:pPr>
      <w:r w:rsidRPr="002D359D">
        <w:rPr>
          <w:rFonts w:ascii="Times New Roman" w:eastAsia="Bookman Old Style" w:hAnsi="Times New Roman"/>
          <w:bCs/>
          <w:color w:val="000000" w:themeColor="text1"/>
          <w:sz w:val="24"/>
          <w:szCs w:val="24"/>
          <w:lang w:val="en-PH" w:eastAsia="en-PH"/>
        </w:rPr>
        <w:t>The respondents were HUMSS Grade 11 students enrolled in Luis Y. Ferrer Jr. Senior High School, a public school in General Trias City, who were identified with difficulties in understanding and mastering the concepts of simple interest.</w:t>
      </w:r>
    </w:p>
    <w:p w:rsidR="00B67C10" w:rsidRPr="002D359D" w:rsidRDefault="00B67C10" w:rsidP="00FF209F">
      <w:pPr>
        <w:spacing w:after="160" w:line="240" w:lineRule="auto"/>
        <w:rPr>
          <w:rFonts w:ascii="Times New Roman" w:eastAsia="Bookman Old Style" w:hAnsi="Times New Roman"/>
          <w:b/>
          <w:color w:val="000000" w:themeColor="text1"/>
          <w:sz w:val="24"/>
          <w:szCs w:val="24"/>
          <w:lang w:val="en-PH" w:eastAsia="en-PH"/>
        </w:rPr>
      </w:pPr>
      <w:r w:rsidRPr="002D359D">
        <w:rPr>
          <w:rFonts w:ascii="Times New Roman" w:eastAsia="Bookman Old Style" w:hAnsi="Times New Roman"/>
          <w:b/>
          <w:color w:val="000000" w:themeColor="text1"/>
          <w:sz w:val="24"/>
          <w:szCs w:val="24"/>
          <w:lang w:val="en-PH" w:eastAsia="en-PH"/>
        </w:rPr>
        <w:t xml:space="preserve">Data Gathering </w:t>
      </w:r>
      <w:r w:rsidR="00287769" w:rsidRPr="002D359D">
        <w:rPr>
          <w:rFonts w:ascii="Times New Roman" w:eastAsia="Bookman Old Style" w:hAnsi="Times New Roman"/>
          <w:b/>
          <w:color w:val="000000" w:themeColor="text1"/>
          <w:sz w:val="24"/>
          <w:szCs w:val="24"/>
          <w:lang w:val="en-PH" w:eastAsia="en-PH"/>
        </w:rPr>
        <w:t>Procedure</w:t>
      </w:r>
    </w:p>
    <w:p w:rsidR="00935C3C" w:rsidRPr="002D359D" w:rsidRDefault="00935C3C" w:rsidP="00FF209F">
      <w:pPr>
        <w:spacing w:after="160" w:line="240" w:lineRule="auto"/>
        <w:rPr>
          <w:rFonts w:ascii="Times New Roman" w:eastAsia="Bookman Old Style" w:hAnsi="Times New Roman"/>
          <w:bCs/>
          <w:color w:val="000000" w:themeColor="text1"/>
          <w:sz w:val="24"/>
          <w:szCs w:val="24"/>
          <w:lang w:val="en-PH" w:eastAsia="en-PH"/>
        </w:rPr>
      </w:pPr>
      <w:r w:rsidRPr="002D359D">
        <w:rPr>
          <w:rFonts w:ascii="Times New Roman" w:eastAsia="Bookman Old Style" w:hAnsi="Times New Roman"/>
          <w:bCs/>
          <w:color w:val="000000" w:themeColor="text1"/>
          <w:sz w:val="24"/>
          <w:szCs w:val="24"/>
          <w:lang w:val="en-PH" w:eastAsia="en-PH"/>
        </w:rPr>
        <w:t>The respondents to the research were purposely chosen. As a purposive sampling, the researchers identified these students from the population of Academic Track HUMSS Grade 11 students enrolled in Luis Y. Ferrer Jr. Senior High School. The researchers developed a validated test by the experts used in the pre-test and post-test.</w:t>
      </w:r>
    </w:p>
    <w:p w:rsidR="00935C3C" w:rsidRPr="002D359D" w:rsidRDefault="00935C3C" w:rsidP="00935C3C">
      <w:pPr>
        <w:pStyle w:val="NoSpacing"/>
        <w:rPr>
          <w:rFonts w:ascii="Times New Roman" w:hAnsi="Times New Roman"/>
          <w:b/>
          <w:bCs/>
          <w:color w:val="000000" w:themeColor="text1"/>
          <w:sz w:val="28"/>
          <w:szCs w:val="28"/>
        </w:rPr>
      </w:pPr>
      <w:r w:rsidRPr="002D359D">
        <w:rPr>
          <w:rFonts w:ascii="Times New Roman" w:hAnsi="Times New Roman"/>
          <w:b/>
          <w:bCs/>
          <w:color w:val="000000" w:themeColor="text1"/>
          <w:sz w:val="28"/>
          <w:szCs w:val="28"/>
        </w:rPr>
        <w:t>Research Instrument</w:t>
      </w:r>
    </w:p>
    <w:p w:rsidR="00CE116F" w:rsidRPr="002D359D" w:rsidRDefault="00935C3C" w:rsidP="00935C3C">
      <w:pPr>
        <w:pStyle w:val="NoSpacing"/>
        <w:rPr>
          <w:rFonts w:ascii="Times New Roman" w:hAnsi="Times New Roman"/>
          <w:color w:val="000000" w:themeColor="text1"/>
          <w:sz w:val="24"/>
          <w:szCs w:val="24"/>
        </w:rPr>
      </w:pPr>
      <w:r w:rsidRPr="002D359D">
        <w:rPr>
          <w:rFonts w:ascii="Times New Roman" w:hAnsi="Times New Roman"/>
          <w:color w:val="000000" w:themeColor="text1"/>
          <w:sz w:val="24"/>
          <w:szCs w:val="24"/>
        </w:rPr>
        <w:tab/>
      </w:r>
      <w:r w:rsidRPr="002D359D">
        <w:rPr>
          <w:rFonts w:ascii="Times New Roman" w:hAnsi="Times New Roman"/>
          <w:color w:val="000000" w:themeColor="text1"/>
          <w:sz w:val="24"/>
          <w:szCs w:val="24"/>
        </w:rPr>
        <w:tab/>
        <w:t>The research instrument consists of a pretest, a post-test and bomber board. For the first phase, the pre-test will be conducted. During the second phase utilization of bomber board in teaching for the mastery of simple interest. For the third and final phase, the post-test concerns the simple interest. The pre-test and post-test were validated by the experts.</w:t>
      </w:r>
    </w:p>
    <w:p w:rsidR="00935C3C" w:rsidRPr="002D359D" w:rsidRDefault="00935C3C" w:rsidP="00935C3C">
      <w:pPr>
        <w:pStyle w:val="NoSpacing"/>
        <w:rPr>
          <w:rFonts w:ascii="Times New Roman" w:hAnsi="Times New Roman"/>
          <w:color w:val="000000" w:themeColor="text1"/>
          <w:sz w:val="24"/>
          <w:szCs w:val="24"/>
        </w:rPr>
      </w:pPr>
    </w:p>
    <w:p w:rsidR="00935C3C" w:rsidRPr="002D359D" w:rsidRDefault="00935C3C" w:rsidP="00935C3C">
      <w:pPr>
        <w:pStyle w:val="NoSpacing"/>
        <w:rPr>
          <w:rFonts w:ascii="Times New Roman" w:hAnsi="Times New Roman"/>
          <w:b/>
          <w:bCs/>
          <w:color w:val="000000" w:themeColor="text1"/>
          <w:sz w:val="28"/>
          <w:szCs w:val="28"/>
        </w:rPr>
      </w:pPr>
      <w:r w:rsidRPr="002D359D">
        <w:rPr>
          <w:rFonts w:ascii="Times New Roman" w:hAnsi="Times New Roman"/>
          <w:b/>
          <w:bCs/>
          <w:color w:val="000000" w:themeColor="text1"/>
          <w:sz w:val="28"/>
          <w:szCs w:val="28"/>
        </w:rPr>
        <w:t>Statistical Treatment of the Study</w:t>
      </w:r>
    </w:p>
    <w:p w:rsidR="00935C3C" w:rsidRPr="002D359D" w:rsidRDefault="00935C3C" w:rsidP="00935C3C">
      <w:pPr>
        <w:pStyle w:val="NoSpacing"/>
        <w:rPr>
          <w:rFonts w:ascii="Times New Roman" w:hAnsi="Times New Roman"/>
          <w:color w:val="000000" w:themeColor="text1"/>
          <w:sz w:val="24"/>
          <w:szCs w:val="24"/>
        </w:rPr>
      </w:pPr>
      <w:r w:rsidRPr="002D359D">
        <w:rPr>
          <w:rFonts w:ascii="Times New Roman" w:hAnsi="Times New Roman"/>
          <w:color w:val="000000" w:themeColor="text1"/>
          <w:sz w:val="24"/>
          <w:szCs w:val="24"/>
        </w:rPr>
        <w:t xml:space="preserve">The paired t-test will be used to analyze the pre-test and post-test data to evaluate the effectiveness of the intervention by determining significant differences in students' performance. </w:t>
      </w:r>
      <w:proofErr w:type="gramStart"/>
      <w:r w:rsidRPr="002D359D">
        <w:rPr>
          <w:rFonts w:ascii="Times New Roman" w:hAnsi="Times New Roman"/>
          <w:color w:val="000000" w:themeColor="text1"/>
          <w:sz w:val="24"/>
          <w:szCs w:val="24"/>
        </w:rPr>
        <w:t>Pallant (2020) highlights that the paired t-test is ideal for related groups, as it measures</w:t>
      </w:r>
      <w:proofErr w:type="gramEnd"/>
      <w:r w:rsidRPr="002D359D">
        <w:rPr>
          <w:rFonts w:ascii="Times New Roman" w:hAnsi="Times New Roman"/>
          <w:color w:val="000000" w:themeColor="text1"/>
          <w:sz w:val="24"/>
          <w:szCs w:val="24"/>
        </w:rPr>
        <w:t xml:space="preserve"> the mean difference between paired scores. The process includes recording pre-test and post-test scores, calculating differences, and verifying normality assumptions, the results will be tested at a 0.05 significance level to determine if the intervention had a statistically significant effect.       </w:t>
      </w:r>
    </w:p>
    <w:p w:rsidR="00935C3C" w:rsidRPr="002D359D" w:rsidRDefault="00935C3C" w:rsidP="00935C3C">
      <w:pPr>
        <w:pStyle w:val="NoSpacing"/>
        <w:rPr>
          <w:rFonts w:ascii="Times New Roman" w:hAnsi="Times New Roman"/>
          <w:color w:val="000000" w:themeColor="text1"/>
          <w:sz w:val="24"/>
          <w:szCs w:val="24"/>
        </w:rPr>
      </w:pPr>
      <w:r w:rsidRPr="002D359D">
        <w:rPr>
          <w:rFonts w:ascii="Times New Roman" w:hAnsi="Times New Roman"/>
          <w:color w:val="000000" w:themeColor="text1"/>
          <w:sz w:val="24"/>
          <w:szCs w:val="24"/>
        </w:rPr>
        <w:t>Formula:</w:t>
      </w:r>
    </w:p>
    <w:p w:rsidR="00935C3C" w:rsidRPr="002D359D" w:rsidRDefault="00935C3C" w:rsidP="00935C3C">
      <w:pPr>
        <w:pStyle w:val="NoSpacing"/>
        <w:jc w:val="center"/>
        <w:rPr>
          <w:rFonts w:ascii="Times New Roman" w:hAnsi="Times New Roman"/>
          <w:color w:val="000000" w:themeColor="text1"/>
          <w:sz w:val="24"/>
          <w:szCs w:val="24"/>
        </w:rPr>
      </w:pPr>
      <w:r w:rsidRPr="002D359D">
        <w:rPr>
          <w:rFonts w:ascii="Arial" w:hAnsi="Arial" w:cs="Arial"/>
          <w:noProof/>
          <w:color w:val="000000" w:themeColor="text1"/>
          <w:sz w:val="24"/>
          <w:szCs w:val="24"/>
          <w:lang w:val="en-IN" w:eastAsia="en-IN"/>
        </w:rPr>
        <w:drawing>
          <wp:inline distT="0" distB="0" distL="0" distR="0" wp14:anchorId="4E8F1F20" wp14:editId="63A9F7AC">
            <wp:extent cx="923925" cy="393405"/>
            <wp:effectExtent l="0" t="0" r="0" b="6985"/>
            <wp:docPr id="955445184" name="Picture 95544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29221" cy="395660"/>
                    </a:xfrm>
                    <a:prstGeom prst="rect">
                      <a:avLst/>
                    </a:prstGeom>
                  </pic:spPr>
                </pic:pic>
              </a:graphicData>
            </a:graphic>
          </wp:inline>
        </w:drawing>
      </w:r>
    </w:p>
    <w:p w:rsidR="00935C3C" w:rsidRPr="002D359D" w:rsidRDefault="00935C3C" w:rsidP="00935C3C">
      <w:pPr>
        <w:pStyle w:val="NoSpacing"/>
        <w:rPr>
          <w:rFonts w:ascii="Times New Roman" w:hAnsi="Times New Roman"/>
          <w:color w:val="000000" w:themeColor="text1"/>
          <w:sz w:val="24"/>
          <w:szCs w:val="24"/>
        </w:rPr>
      </w:pPr>
      <w:r w:rsidRPr="002D359D">
        <w:rPr>
          <w:rFonts w:ascii="Times New Roman" w:hAnsi="Times New Roman"/>
          <w:color w:val="000000" w:themeColor="text1"/>
          <w:sz w:val="24"/>
          <w:szCs w:val="24"/>
        </w:rPr>
        <w:t xml:space="preserve"> Where: </w:t>
      </w:r>
    </w:p>
    <w:p w:rsidR="00935C3C" w:rsidRPr="002D359D" w:rsidRDefault="00935C3C" w:rsidP="00935C3C">
      <w:pPr>
        <w:pStyle w:val="NoSpacing"/>
        <w:rPr>
          <w:rFonts w:ascii="Times New Roman" w:hAnsi="Times New Roman"/>
          <w:color w:val="000000" w:themeColor="text1"/>
          <w:sz w:val="24"/>
          <w:szCs w:val="24"/>
        </w:rPr>
      </w:pPr>
      <w:r w:rsidRPr="002D359D">
        <w:rPr>
          <w:rFonts w:ascii="Times New Roman" w:hAnsi="Times New Roman"/>
          <w:color w:val="000000" w:themeColor="text1"/>
          <w:sz w:val="24"/>
          <w:szCs w:val="24"/>
        </w:rPr>
        <w:t xml:space="preserve">     </w:t>
      </w:r>
      <w:r w:rsidRPr="002D359D">
        <w:rPr>
          <w:rFonts w:ascii="Arial" w:hAnsi="Arial" w:cs="Arial"/>
          <w:noProof/>
          <w:color w:val="000000" w:themeColor="text1"/>
          <w:sz w:val="24"/>
          <w:szCs w:val="24"/>
          <w:lang w:val="en-IN" w:eastAsia="en-IN"/>
        </w:rPr>
        <w:drawing>
          <wp:inline distT="0" distB="0" distL="0" distR="0" wp14:anchorId="51A07E4A" wp14:editId="1519CE41">
            <wp:extent cx="228632" cy="276264"/>
            <wp:effectExtent l="0" t="0" r="0" b="0"/>
            <wp:docPr id="1105332920" name="Picture 110533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28632" cy="276264"/>
                    </a:xfrm>
                    <a:prstGeom prst="rect">
                      <a:avLst/>
                    </a:prstGeom>
                  </pic:spPr>
                </pic:pic>
              </a:graphicData>
            </a:graphic>
          </wp:inline>
        </w:drawing>
      </w:r>
      <w:r w:rsidRPr="002D359D">
        <w:rPr>
          <w:rFonts w:ascii="Times New Roman" w:hAnsi="Times New Roman"/>
          <w:color w:val="000000" w:themeColor="text1"/>
          <w:sz w:val="24"/>
          <w:szCs w:val="24"/>
        </w:rPr>
        <w:t>= Mean of the difference of pretest and post test</w:t>
      </w:r>
    </w:p>
    <w:p w:rsidR="00935C3C" w:rsidRPr="002D359D" w:rsidRDefault="008250DF" w:rsidP="00935C3C">
      <w:pPr>
        <w:pStyle w:val="NoSpacing"/>
        <w:ind w:left="360"/>
        <w:rPr>
          <w:rFonts w:ascii="Times New Roman" w:hAnsi="Times New Roman"/>
          <w:color w:val="000000" w:themeColor="text1"/>
          <w:sz w:val="24"/>
          <w:szCs w:val="24"/>
        </w:rPr>
      </w:pPr>
      <w:r>
        <w:rPr>
          <w:rFonts w:ascii="Arial" w:hAnsi="Arial" w:cs="Arial"/>
          <w:noProof/>
          <w:color w:val="000000" w:themeColor="text1"/>
          <w:sz w:val="24"/>
          <w:szCs w:val="24"/>
        </w:rPr>
        <w:pict w14:anchorId="1B07D838">
          <v:shape id="Picture 568287445" o:spid="_x0000_i1025" type="#_x0000_t75" style="width:17.6pt;height:17.6pt;visibility:visible;mso-wrap-style:square" o:bullet="t">
            <v:imagedata r:id="rId10" o:title=""/>
          </v:shape>
        </w:pict>
      </w:r>
      <w:r w:rsidR="00935C3C" w:rsidRPr="002D359D">
        <w:rPr>
          <w:rFonts w:ascii="Times New Roman" w:hAnsi="Times New Roman"/>
          <w:color w:val="000000" w:themeColor="text1"/>
          <w:sz w:val="24"/>
          <w:szCs w:val="24"/>
        </w:rPr>
        <w:t>= Standard deviation of the difference</w:t>
      </w:r>
    </w:p>
    <w:p w:rsidR="00935C3C" w:rsidRPr="002D359D" w:rsidRDefault="00935C3C" w:rsidP="00935C3C">
      <w:pPr>
        <w:pStyle w:val="NoSpacing"/>
        <w:rPr>
          <w:rFonts w:ascii="Times New Roman" w:hAnsi="Times New Roman"/>
          <w:color w:val="000000" w:themeColor="text1"/>
          <w:sz w:val="24"/>
          <w:szCs w:val="24"/>
        </w:rPr>
      </w:pPr>
      <w:r w:rsidRPr="002D359D">
        <w:rPr>
          <w:rFonts w:ascii="Times New Roman" w:hAnsi="Times New Roman"/>
          <w:color w:val="000000" w:themeColor="text1"/>
          <w:sz w:val="24"/>
          <w:szCs w:val="24"/>
        </w:rPr>
        <w:t xml:space="preserve">      n = number of samples</w:t>
      </w:r>
    </w:p>
    <w:p w:rsidR="00935C3C" w:rsidRPr="002D359D" w:rsidRDefault="00935C3C" w:rsidP="00935C3C">
      <w:pPr>
        <w:pStyle w:val="NoSpacing"/>
        <w:rPr>
          <w:rFonts w:ascii="Times New Roman" w:hAnsi="Times New Roman"/>
          <w:color w:val="000000" w:themeColor="text1"/>
          <w:sz w:val="24"/>
          <w:szCs w:val="24"/>
        </w:rPr>
      </w:pPr>
    </w:p>
    <w:p w:rsidR="00CE116F" w:rsidRPr="002D359D" w:rsidRDefault="00175CDA" w:rsidP="00826976">
      <w:pPr>
        <w:pStyle w:val="NoSpacing"/>
        <w:rPr>
          <w:rFonts w:ascii="Times New Roman" w:hAnsi="Times New Roman"/>
          <w:b/>
          <w:bCs/>
          <w:color w:val="000000" w:themeColor="text1"/>
          <w:sz w:val="28"/>
          <w:szCs w:val="28"/>
        </w:rPr>
      </w:pPr>
      <w:r w:rsidRPr="002D359D">
        <w:rPr>
          <w:rFonts w:ascii="Times New Roman" w:hAnsi="Times New Roman"/>
          <w:b/>
          <w:bCs/>
          <w:color w:val="000000" w:themeColor="text1"/>
          <w:sz w:val="28"/>
          <w:szCs w:val="28"/>
        </w:rPr>
        <w:t>RESULTS AND DISCUSSION</w:t>
      </w:r>
    </w:p>
    <w:p w:rsidR="000302F2" w:rsidRPr="002D359D" w:rsidRDefault="000302F2" w:rsidP="00FF209F">
      <w:pPr>
        <w:pStyle w:val="NoSpacing"/>
        <w:rPr>
          <w:rFonts w:ascii="Times New Roman" w:hAnsi="Times New Roman"/>
          <w:b/>
          <w:bCs/>
          <w:color w:val="000000" w:themeColor="text1"/>
          <w:sz w:val="24"/>
          <w:szCs w:val="24"/>
        </w:rPr>
      </w:pPr>
    </w:p>
    <w:p w:rsidR="00935C3C"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 xml:space="preserve">What is the pre-test result of the HUMSS 11 students in simple interest? </w:t>
      </w:r>
    </w:p>
    <w:p w:rsidR="002D359D" w:rsidRPr="002D359D" w:rsidRDefault="002D359D" w:rsidP="002D359D">
      <w:pPr>
        <w:spacing w:after="0"/>
        <w:ind w:right="414"/>
        <w:jc w:val="both"/>
        <w:rPr>
          <w:rFonts w:ascii="Times New Roman" w:hAnsi="Times New Roman"/>
          <w:sz w:val="24"/>
          <w:szCs w:val="24"/>
        </w:rPr>
      </w:pPr>
      <w:r w:rsidRPr="002D359D">
        <w:rPr>
          <w:rFonts w:ascii="Times New Roman" w:eastAsia="Century Gothic" w:hAnsi="Times New Roman"/>
          <w:b/>
          <w:bCs/>
          <w:sz w:val="24"/>
          <w:szCs w:val="24"/>
          <w:lang w:val="en-PH"/>
        </w:rPr>
        <w:t>Table 1</w:t>
      </w:r>
    </w:p>
    <w:p w:rsidR="002D359D" w:rsidRPr="002D359D" w:rsidRDefault="002D359D" w:rsidP="002D359D">
      <w:pPr>
        <w:spacing w:after="0"/>
        <w:ind w:right="414"/>
        <w:jc w:val="both"/>
        <w:rPr>
          <w:rFonts w:ascii="Times New Roman" w:hAnsi="Times New Roman"/>
          <w:sz w:val="24"/>
          <w:szCs w:val="24"/>
        </w:rPr>
      </w:pPr>
      <w:r w:rsidRPr="002D359D">
        <w:rPr>
          <w:rFonts w:ascii="Times New Roman" w:eastAsia="Century Gothic" w:hAnsi="Times New Roman"/>
          <w:b/>
          <w:bCs/>
          <w:sz w:val="24"/>
          <w:szCs w:val="24"/>
          <w:lang w:val="en-PH"/>
        </w:rPr>
        <w:t>Student Respondents Mean Score in the Pretest Results.</w:t>
      </w:r>
    </w:p>
    <w:tbl>
      <w:tblPr>
        <w:tblStyle w:val="TableGrid"/>
        <w:tblW w:w="5000" w:type="pct"/>
        <w:tblLook w:val="04A0" w:firstRow="1" w:lastRow="0" w:firstColumn="1" w:lastColumn="0" w:noHBand="0" w:noVBand="1"/>
      </w:tblPr>
      <w:tblGrid>
        <w:gridCol w:w="3589"/>
        <w:gridCol w:w="3501"/>
        <w:gridCol w:w="3784"/>
      </w:tblGrid>
      <w:tr w:rsidR="002D359D" w:rsidRPr="002D359D" w:rsidTr="002D359D">
        <w:trPr>
          <w:trHeight w:val="312"/>
        </w:trPr>
        <w:tc>
          <w:tcPr>
            <w:tcW w:w="1650" w:type="pct"/>
            <w:vAlign w:val="center"/>
          </w:tcPr>
          <w:p w:rsidR="002D359D" w:rsidRPr="002D359D" w:rsidRDefault="002D359D" w:rsidP="002D359D">
            <w:pPr>
              <w:spacing w:after="0"/>
              <w:ind w:left="567" w:right="414"/>
              <w:jc w:val="center"/>
              <w:rPr>
                <w:rFonts w:ascii="Times New Roman" w:hAnsi="Times New Roman" w:cs="Times New Roman"/>
                <w:sz w:val="24"/>
                <w:szCs w:val="24"/>
              </w:rPr>
            </w:pPr>
            <w:r w:rsidRPr="002D359D">
              <w:rPr>
                <w:rFonts w:ascii="Times New Roman" w:eastAsia="Century Gothic" w:hAnsi="Times New Roman" w:cs="Times New Roman"/>
                <w:b/>
                <w:bCs/>
                <w:sz w:val="24"/>
                <w:szCs w:val="24"/>
              </w:rPr>
              <w:t>Student Respondents</w:t>
            </w:r>
          </w:p>
        </w:tc>
        <w:tc>
          <w:tcPr>
            <w:tcW w:w="1610" w:type="pct"/>
            <w:vAlign w:val="center"/>
          </w:tcPr>
          <w:p w:rsidR="002D359D" w:rsidRPr="002D359D" w:rsidRDefault="002D359D" w:rsidP="002D359D">
            <w:pPr>
              <w:spacing w:after="0"/>
              <w:ind w:left="567" w:right="414"/>
              <w:jc w:val="center"/>
              <w:rPr>
                <w:rFonts w:ascii="Times New Roman" w:hAnsi="Times New Roman" w:cs="Times New Roman"/>
                <w:sz w:val="24"/>
                <w:szCs w:val="24"/>
              </w:rPr>
            </w:pPr>
            <w:r w:rsidRPr="002D359D">
              <w:rPr>
                <w:rFonts w:ascii="Times New Roman" w:eastAsia="Century Gothic" w:hAnsi="Times New Roman" w:cs="Times New Roman"/>
                <w:b/>
                <w:bCs/>
                <w:sz w:val="24"/>
                <w:szCs w:val="24"/>
              </w:rPr>
              <w:t>Pre-Test Average</w:t>
            </w:r>
          </w:p>
        </w:tc>
        <w:tc>
          <w:tcPr>
            <w:tcW w:w="1741" w:type="pct"/>
            <w:vAlign w:val="center"/>
          </w:tcPr>
          <w:p w:rsidR="002D359D" w:rsidRPr="002D359D" w:rsidRDefault="002D359D" w:rsidP="002D359D">
            <w:pPr>
              <w:spacing w:after="0"/>
              <w:ind w:left="567" w:right="414"/>
              <w:jc w:val="center"/>
              <w:rPr>
                <w:rFonts w:ascii="Times New Roman" w:eastAsia="Century Gothic" w:hAnsi="Times New Roman" w:cs="Times New Roman"/>
                <w:b/>
                <w:bCs/>
                <w:sz w:val="24"/>
                <w:szCs w:val="24"/>
              </w:rPr>
            </w:pPr>
            <w:r w:rsidRPr="002D359D">
              <w:rPr>
                <w:rFonts w:ascii="Times New Roman" w:eastAsia="Century Gothic" w:hAnsi="Times New Roman" w:cs="Times New Roman"/>
                <w:b/>
                <w:bCs/>
                <w:sz w:val="24"/>
                <w:szCs w:val="24"/>
              </w:rPr>
              <w:t>Mean Percentage Score</w:t>
            </w:r>
          </w:p>
        </w:tc>
      </w:tr>
      <w:tr w:rsidR="002D359D" w:rsidRPr="002D359D" w:rsidTr="002D359D">
        <w:trPr>
          <w:trHeight w:val="211"/>
        </w:trPr>
        <w:tc>
          <w:tcPr>
            <w:tcW w:w="1650" w:type="pct"/>
            <w:vAlign w:val="center"/>
          </w:tcPr>
          <w:p w:rsidR="002D359D" w:rsidRPr="002D359D" w:rsidRDefault="002D359D" w:rsidP="002D359D">
            <w:pPr>
              <w:spacing w:after="0"/>
              <w:ind w:left="567" w:right="414"/>
              <w:jc w:val="center"/>
              <w:rPr>
                <w:rFonts w:ascii="Times New Roman" w:hAnsi="Times New Roman" w:cs="Times New Roman"/>
                <w:sz w:val="24"/>
                <w:szCs w:val="24"/>
              </w:rPr>
            </w:pPr>
            <w:r w:rsidRPr="002D359D">
              <w:rPr>
                <w:rFonts w:ascii="Times New Roman" w:eastAsia="Century Gothic" w:hAnsi="Times New Roman" w:cs="Times New Roman"/>
                <w:sz w:val="24"/>
                <w:szCs w:val="24"/>
              </w:rPr>
              <w:t>HUMSS</w:t>
            </w:r>
          </w:p>
        </w:tc>
        <w:tc>
          <w:tcPr>
            <w:tcW w:w="1610" w:type="pct"/>
            <w:vAlign w:val="center"/>
          </w:tcPr>
          <w:p w:rsidR="002D359D" w:rsidRPr="002D359D" w:rsidRDefault="002D359D" w:rsidP="002D359D">
            <w:pPr>
              <w:spacing w:after="0"/>
              <w:ind w:left="567" w:right="414"/>
              <w:jc w:val="center"/>
              <w:rPr>
                <w:rFonts w:ascii="Times New Roman" w:hAnsi="Times New Roman" w:cs="Times New Roman"/>
                <w:sz w:val="24"/>
                <w:szCs w:val="24"/>
              </w:rPr>
            </w:pPr>
            <w:r w:rsidRPr="002D359D">
              <w:rPr>
                <w:rFonts w:ascii="Times New Roman" w:eastAsia="Century Gothic" w:hAnsi="Times New Roman" w:cs="Times New Roman"/>
                <w:sz w:val="24"/>
                <w:szCs w:val="24"/>
              </w:rPr>
              <w:t>4.00</w:t>
            </w:r>
          </w:p>
        </w:tc>
        <w:tc>
          <w:tcPr>
            <w:tcW w:w="1741" w:type="pct"/>
            <w:vAlign w:val="center"/>
          </w:tcPr>
          <w:p w:rsidR="002D359D" w:rsidRPr="002D359D" w:rsidRDefault="002D359D" w:rsidP="002D359D">
            <w:pPr>
              <w:spacing w:after="0"/>
              <w:ind w:left="567" w:right="414"/>
              <w:jc w:val="center"/>
              <w:rPr>
                <w:rFonts w:ascii="Times New Roman" w:eastAsia="Century Gothic" w:hAnsi="Times New Roman" w:cs="Times New Roman"/>
                <w:sz w:val="24"/>
                <w:szCs w:val="24"/>
              </w:rPr>
            </w:pPr>
            <w:r w:rsidRPr="002D359D">
              <w:rPr>
                <w:rFonts w:ascii="Times New Roman" w:eastAsia="Century Gothic" w:hAnsi="Times New Roman" w:cs="Times New Roman"/>
                <w:sz w:val="24"/>
                <w:szCs w:val="24"/>
              </w:rPr>
              <w:t>40%</w:t>
            </w:r>
          </w:p>
        </w:tc>
      </w:tr>
    </w:tbl>
    <w:p w:rsidR="002D359D" w:rsidRDefault="002D359D" w:rsidP="00935C3C">
      <w:pPr>
        <w:spacing w:after="160" w:line="240" w:lineRule="auto"/>
        <w:jc w:val="both"/>
        <w:rPr>
          <w:rFonts w:ascii="Times New Roman" w:eastAsia="Bookman Old Style" w:hAnsi="Times New Roman"/>
          <w:color w:val="000000" w:themeColor="text1"/>
          <w:sz w:val="24"/>
          <w:szCs w:val="24"/>
          <w:lang w:val="en-US" w:eastAsia="zh-CN" w:bidi="ar"/>
        </w:rPr>
      </w:pPr>
    </w:p>
    <w:p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The HUMSS group’s mean score of 4.00 in the pre-test, corresponding to a mean percentage score (MPS) of 40%, indicates that, on average, the students achieved 40% of the possible points in the pre-test. This suggests that the group had a relatively low level of knowledge or skill in the subject matter at the beginning of the study. The 40% MPS provides a clear indication of the need for improvement, and subsequent post-test results will help determine if there was significant progress after any interventions or learning activities.</w:t>
      </w:r>
    </w:p>
    <w:p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How do students perform in the post-test after using bomber board game in teaching simple interest?</w:t>
      </w:r>
    </w:p>
    <w:p w:rsidR="00935C3C" w:rsidRPr="002D359D" w:rsidRDefault="00935C3C" w:rsidP="00935C3C">
      <w:pPr>
        <w:spacing w:after="160" w:line="240" w:lineRule="auto"/>
        <w:jc w:val="both"/>
        <w:rPr>
          <w:rFonts w:ascii="Times New Roman" w:eastAsia="Bookman Old Style" w:hAnsi="Times New Roman"/>
          <w:b/>
          <w:bCs/>
          <w:color w:val="000000" w:themeColor="text1"/>
          <w:sz w:val="24"/>
          <w:szCs w:val="24"/>
          <w:lang w:val="en-US" w:eastAsia="zh-CN" w:bidi="ar"/>
        </w:rPr>
      </w:pPr>
      <w:r w:rsidRPr="002D359D">
        <w:rPr>
          <w:rFonts w:ascii="Times New Roman" w:eastAsia="Bookman Old Style" w:hAnsi="Times New Roman"/>
          <w:b/>
          <w:bCs/>
          <w:color w:val="000000" w:themeColor="text1"/>
          <w:sz w:val="24"/>
          <w:szCs w:val="24"/>
          <w:lang w:val="en-US" w:eastAsia="zh-CN" w:bidi="ar"/>
        </w:rPr>
        <w:lastRenderedPageBreak/>
        <w:t>Table 2</w:t>
      </w:r>
    </w:p>
    <w:p w:rsidR="00935C3C" w:rsidRPr="002D359D" w:rsidRDefault="00935C3C" w:rsidP="00935C3C">
      <w:pPr>
        <w:spacing w:after="160" w:line="240" w:lineRule="auto"/>
        <w:jc w:val="both"/>
        <w:rPr>
          <w:rFonts w:ascii="Times New Roman" w:eastAsia="Bookman Old Style" w:hAnsi="Times New Roman"/>
          <w:b/>
          <w:bCs/>
          <w:color w:val="000000" w:themeColor="text1"/>
          <w:sz w:val="24"/>
          <w:szCs w:val="24"/>
          <w:lang w:val="en-US" w:eastAsia="zh-CN" w:bidi="ar"/>
        </w:rPr>
      </w:pPr>
      <w:r w:rsidRPr="002D359D">
        <w:rPr>
          <w:rFonts w:ascii="Times New Roman" w:eastAsia="Bookman Old Style" w:hAnsi="Times New Roman"/>
          <w:b/>
          <w:bCs/>
          <w:color w:val="000000" w:themeColor="text1"/>
          <w:sz w:val="24"/>
          <w:szCs w:val="24"/>
          <w:lang w:val="en-US" w:eastAsia="zh-CN" w:bidi="ar"/>
        </w:rPr>
        <w:t>Student Respondents Mean Score in the Post test Results.</w:t>
      </w:r>
    </w:p>
    <w:tbl>
      <w:tblPr>
        <w:tblStyle w:val="TableGrid"/>
        <w:tblW w:w="5000" w:type="pct"/>
        <w:tblLook w:val="04A0" w:firstRow="1" w:lastRow="0" w:firstColumn="1" w:lastColumn="0" w:noHBand="0" w:noVBand="1"/>
      </w:tblPr>
      <w:tblGrid>
        <w:gridCol w:w="3589"/>
        <w:gridCol w:w="3499"/>
        <w:gridCol w:w="3786"/>
      </w:tblGrid>
      <w:tr w:rsidR="002D359D" w:rsidRPr="002D359D" w:rsidTr="002D359D">
        <w:trPr>
          <w:trHeight w:val="376"/>
        </w:trPr>
        <w:tc>
          <w:tcPr>
            <w:tcW w:w="1650" w:type="pct"/>
            <w:vAlign w:val="center"/>
          </w:tcPr>
          <w:p w:rsidR="002D359D" w:rsidRPr="002D359D" w:rsidRDefault="002D359D" w:rsidP="002D359D">
            <w:pPr>
              <w:spacing w:after="0"/>
              <w:ind w:left="567" w:right="414"/>
              <w:jc w:val="center"/>
              <w:rPr>
                <w:rFonts w:ascii="Times New Roman" w:hAnsi="Times New Roman" w:cs="Times New Roman"/>
                <w:sz w:val="24"/>
                <w:szCs w:val="24"/>
              </w:rPr>
            </w:pPr>
            <w:r w:rsidRPr="002D359D">
              <w:rPr>
                <w:rFonts w:ascii="Times New Roman" w:eastAsia="Century Gothic" w:hAnsi="Times New Roman" w:cs="Times New Roman"/>
                <w:b/>
                <w:bCs/>
                <w:sz w:val="24"/>
                <w:szCs w:val="24"/>
              </w:rPr>
              <w:t>Student Respondents</w:t>
            </w:r>
          </w:p>
        </w:tc>
        <w:tc>
          <w:tcPr>
            <w:tcW w:w="1609" w:type="pct"/>
            <w:vAlign w:val="center"/>
          </w:tcPr>
          <w:p w:rsidR="002D359D" w:rsidRPr="002D359D" w:rsidRDefault="002D359D" w:rsidP="002D359D">
            <w:pPr>
              <w:spacing w:after="0"/>
              <w:ind w:left="567" w:right="414"/>
              <w:jc w:val="center"/>
              <w:rPr>
                <w:rFonts w:ascii="Times New Roman" w:hAnsi="Times New Roman" w:cs="Times New Roman"/>
                <w:sz w:val="24"/>
                <w:szCs w:val="24"/>
              </w:rPr>
            </w:pPr>
            <w:r w:rsidRPr="002D359D">
              <w:rPr>
                <w:rFonts w:ascii="Times New Roman" w:eastAsia="Century Gothic" w:hAnsi="Times New Roman" w:cs="Times New Roman"/>
                <w:b/>
                <w:bCs/>
                <w:sz w:val="24"/>
                <w:szCs w:val="24"/>
              </w:rPr>
              <w:t>Post Test Average</w:t>
            </w:r>
          </w:p>
        </w:tc>
        <w:tc>
          <w:tcPr>
            <w:tcW w:w="1741" w:type="pct"/>
            <w:vAlign w:val="center"/>
          </w:tcPr>
          <w:p w:rsidR="002D359D" w:rsidRPr="002D359D" w:rsidRDefault="002D359D" w:rsidP="002D359D">
            <w:pPr>
              <w:spacing w:after="0"/>
              <w:ind w:left="567" w:right="414"/>
              <w:jc w:val="center"/>
              <w:rPr>
                <w:rFonts w:ascii="Times New Roman" w:eastAsia="Century Gothic" w:hAnsi="Times New Roman" w:cs="Times New Roman"/>
                <w:b/>
                <w:bCs/>
                <w:sz w:val="24"/>
                <w:szCs w:val="24"/>
              </w:rPr>
            </w:pPr>
            <w:r w:rsidRPr="002D359D">
              <w:rPr>
                <w:rFonts w:ascii="Times New Roman" w:eastAsia="Century Gothic" w:hAnsi="Times New Roman" w:cs="Times New Roman"/>
                <w:b/>
                <w:bCs/>
                <w:sz w:val="24"/>
                <w:szCs w:val="24"/>
              </w:rPr>
              <w:t>Mean Percentage Score</w:t>
            </w:r>
          </w:p>
        </w:tc>
      </w:tr>
      <w:tr w:rsidR="002D359D" w:rsidRPr="002D359D" w:rsidTr="002D359D">
        <w:trPr>
          <w:trHeight w:val="283"/>
        </w:trPr>
        <w:tc>
          <w:tcPr>
            <w:tcW w:w="1650" w:type="pct"/>
            <w:vAlign w:val="center"/>
          </w:tcPr>
          <w:p w:rsidR="002D359D" w:rsidRPr="002D359D" w:rsidRDefault="002D359D" w:rsidP="002D359D">
            <w:pPr>
              <w:spacing w:after="0"/>
              <w:ind w:left="567" w:right="414"/>
              <w:jc w:val="center"/>
              <w:rPr>
                <w:rFonts w:ascii="Times New Roman" w:eastAsia="Century Gothic" w:hAnsi="Times New Roman" w:cs="Times New Roman"/>
                <w:b/>
                <w:bCs/>
                <w:sz w:val="24"/>
                <w:szCs w:val="24"/>
              </w:rPr>
            </w:pPr>
            <w:r w:rsidRPr="002D359D">
              <w:rPr>
                <w:rFonts w:ascii="Times New Roman" w:eastAsia="Century Gothic" w:hAnsi="Times New Roman" w:cs="Times New Roman"/>
                <w:b/>
                <w:bCs/>
                <w:sz w:val="24"/>
                <w:szCs w:val="24"/>
              </w:rPr>
              <w:t>HUMSS</w:t>
            </w:r>
          </w:p>
        </w:tc>
        <w:tc>
          <w:tcPr>
            <w:tcW w:w="1609" w:type="pct"/>
            <w:vAlign w:val="center"/>
          </w:tcPr>
          <w:p w:rsidR="002D359D" w:rsidRPr="002D359D" w:rsidRDefault="002D359D" w:rsidP="002D359D">
            <w:pPr>
              <w:spacing w:after="0"/>
              <w:ind w:left="567" w:right="414"/>
              <w:jc w:val="center"/>
              <w:rPr>
                <w:rFonts w:ascii="Times New Roman" w:eastAsia="Century Gothic" w:hAnsi="Times New Roman" w:cs="Times New Roman"/>
                <w:b/>
                <w:bCs/>
                <w:sz w:val="24"/>
                <w:szCs w:val="24"/>
              </w:rPr>
            </w:pPr>
            <w:r w:rsidRPr="002D359D">
              <w:rPr>
                <w:rFonts w:ascii="Times New Roman" w:eastAsia="Century Gothic" w:hAnsi="Times New Roman" w:cs="Times New Roman"/>
                <w:b/>
                <w:bCs/>
                <w:sz w:val="24"/>
                <w:szCs w:val="24"/>
              </w:rPr>
              <w:t>7.25</w:t>
            </w:r>
          </w:p>
        </w:tc>
        <w:tc>
          <w:tcPr>
            <w:tcW w:w="1741" w:type="pct"/>
            <w:vAlign w:val="center"/>
          </w:tcPr>
          <w:p w:rsidR="002D359D" w:rsidRPr="002D359D" w:rsidRDefault="002D359D" w:rsidP="002D359D">
            <w:pPr>
              <w:spacing w:after="0"/>
              <w:ind w:left="567" w:right="414"/>
              <w:jc w:val="center"/>
              <w:rPr>
                <w:rFonts w:ascii="Times New Roman" w:eastAsia="Century Gothic" w:hAnsi="Times New Roman" w:cs="Times New Roman"/>
                <w:b/>
                <w:bCs/>
                <w:sz w:val="24"/>
                <w:szCs w:val="24"/>
              </w:rPr>
            </w:pPr>
            <w:r w:rsidRPr="002D359D">
              <w:rPr>
                <w:rFonts w:ascii="Times New Roman" w:eastAsia="Century Gothic" w:hAnsi="Times New Roman" w:cs="Times New Roman"/>
                <w:b/>
                <w:bCs/>
                <w:sz w:val="24"/>
                <w:szCs w:val="24"/>
              </w:rPr>
              <w:t>72.5%</w:t>
            </w:r>
          </w:p>
        </w:tc>
      </w:tr>
    </w:tbl>
    <w:p w:rsidR="002D359D" w:rsidRDefault="002D359D" w:rsidP="00935C3C">
      <w:pPr>
        <w:spacing w:after="160" w:line="240" w:lineRule="auto"/>
        <w:jc w:val="both"/>
        <w:rPr>
          <w:rFonts w:ascii="Times New Roman" w:eastAsia="Bookman Old Style" w:hAnsi="Times New Roman"/>
          <w:color w:val="000000" w:themeColor="text1"/>
          <w:sz w:val="24"/>
          <w:szCs w:val="24"/>
          <w:lang w:val="en-US" w:eastAsia="zh-CN" w:bidi="ar"/>
        </w:rPr>
      </w:pPr>
    </w:p>
    <w:p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The HUMSS group’s post-test average score of 7.25, with a mean percentage score (MPS) of 72.5%, indicates a notable improvement in performance compared to the pre-test. This suggests that after the learning interventions or study period, students were able to increase their understanding of the simple interest using the bomber board, as reflected by the higher percentage score. The MPS of 72.5% demonstrates that, they are on moving towards mastery, highlighting a positive outcome and suggesting effective learning or intervention.</w:t>
      </w:r>
    </w:p>
    <w:p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p>
    <w:p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Is there a significant difference between the pre-test and post-test?</w:t>
      </w:r>
    </w:p>
    <w:p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Table 3</w:t>
      </w:r>
    </w:p>
    <w:p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Paired Sample T-Test Results Comparing Pre-test and Post test Scores</w:t>
      </w:r>
    </w:p>
    <w:p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Group</w:t>
      </w:r>
      <w:r w:rsidRPr="002D359D">
        <w:rPr>
          <w:rFonts w:ascii="Times New Roman" w:eastAsia="Bookman Old Style" w:hAnsi="Times New Roman"/>
          <w:color w:val="000000" w:themeColor="text1"/>
          <w:sz w:val="24"/>
          <w:szCs w:val="24"/>
          <w:lang w:val="en-US" w:eastAsia="zh-CN" w:bidi="ar"/>
        </w:rPr>
        <w:tab/>
        <w:t>Mean</w:t>
      </w:r>
      <w:r w:rsidRPr="002D359D">
        <w:rPr>
          <w:rFonts w:ascii="Times New Roman" w:eastAsia="Bookman Old Style" w:hAnsi="Times New Roman"/>
          <w:color w:val="000000" w:themeColor="text1"/>
          <w:sz w:val="24"/>
          <w:szCs w:val="24"/>
          <w:lang w:val="en-US" w:eastAsia="zh-CN" w:bidi="ar"/>
        </w:rPr>
        <w:tab/>
        <w:t>Standard Deviation</w:t>
      </w:r>
      <w:r w:rsidRPr="002D359D">
        <w:rPr>
          <w:rFonts w:ascii="Times New Roman" w:eastAsia="Bookman Old Style" w:hAnsi="Times New Roman"/>
          <w:color w:val="000000" w:themeColor="text1"/>
          <w:sz w:val="24"/>
          <w:szCs w:val="24"/>
          <w:lang w:val="en-US" w:eastAsia="zh-CN" w:bidi="ar"/>
        </w:rPr>
        <w:tab/>
        <w:t>t-value</w:t>
      </w:r>
      <w:r w:rsidRPr="002D359D">
        <w:rPr>
          <w:rFonts w:ascii="Times New Roman" w:eastAsia="Bookman Old Style" w:hAnsi="Times New Roman"/>
          <w:color w:val="000000" w:themeColor="text1"/>
          <w:sz w:val="24"/>
          <w:szCs w:val="24"/>
          <w:lang w:val="en-US" w:eastAsia="zh-CN" w:bidi="ar"/>
        </w:rPr>
        <w:tab/>
        <w:t>Degrees of freedom</w:t>
      </w:r>
      <w:r w:rsidRPr="002D359D">
        <w:rPr>
          <w:rFonts w:ascii="Times New Roman" w:eastAsia="Bookman Old Style" w:hAnsi="Times New Roman"/>
          <w:color w:val="000000" w:themeColor="text1"/>
          <w:sz w:val="24"/>
          <w:szCs w:val="24"/>
          <w:lang w:val="en-US" w:eastAsia="zh-CN" w:bidi="ar"/>
        </w:rPr>
        <w:tab/>
        <w:t>p-value</w:t>
      </w:r>
    </w:p>
    <w:p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Pretest Scores</w:t>
      </w:r>
      <w:r w:rsidRPr="002D359D">
        <w:rPr>
          <w:rFonts w:ascii="Times New Roman" w:eastAsia="Bookman Old Style" w:hAnsi="Times New Roman"/>
          <w:color w:val="000000" w:themeColor="text1"/>
          <w:sz w:val="24"/>
          <w:szCs w:val="24"/>
          <w:lang w:val="en-US" w:eastAsia="zh-CN" w:bidi="ar"/>
        </w:rPr>
        <w:tab/>
        <w:t>4.00</w:t>
      </w:r>
      <w:r w:rsidRPr="002D359D">
        <w:rPr>
          <w:rFonts w:ascii="Times New Roman" w:eastAsia="Bookman Old Style" w:hAnsi="Times New Roman"/>
          <w:color w:val="000000" w:themeColor="text1"/>
          <w:sz w:val="24"/>
          <w:szCs w:val="24"/>
          <w:lang w:val="en-US" w:eastAsia="zh-CN" w:bidi="ar"/>
        </w:rPr>
        <w:tab/>
        <w:t>1.32</w:t>
      </w:r>
      <w:r w:rsidRPr="002D359D">
        <w:rPr>
          <w:rFonts w:ascii="Times New Roman" w:eastAsia="Bookman Old Style" w:hAnsi="Times New Roman"/>
          <w:color w:val="000000" w:themeColor="text1"/>
          <w:sz w:val="24"/>
          <w:szCs w:val="24"/>
          <w:lang w:val="en-US" w:eastAsia="zh-CN" w:bidi="ar"/>
        </w:rPr>
        <w:tab/>
      </w:r>
      <w:r w:rsidRPr="002D359D">
        <w:rPr>
          <w:rFonts w:ascii="Times New Roman" w:eastAsia="Bookman Old Style" w:hAnsi="Times New Roman"/>
          <w:color w:val="000000" w:themeColor="text1"/>
          <w:sz w:val="24"/>
          <w:szCs w:val="24"/>
          <w:lang w:val="en-US" w:eastAsia="zh-CN" w:bidi="ar"/>
        </w:rPr>
        <w:tab/>
        <w:t>39</w:t>
      </w:r>
      <w:r w:rsidRPr="002D359D">
        <w:rPr>
          <w:rFonts w:ascii="Times New Roman" w:eastAsia="Bookman Old Style" w:hAnsi="Times New Roman"/>
          <w:color w:val="000000" w:themeColor="text1"/>
          <w:sz w:val="24"/>
          <w:szCs w:val="24"/>
          <w:lang w:val="en-US" w:eastAsia="zh-CN" w:bidi="ar"/>
        </w:rPr>
        <w:tab/>
      </w:r>
    </w:p>
    <w:p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Post test Scores</w:t>
      </w:r>
      <w:r w:rsidRPr="002D359D">
        <w:rPr>
          <w:rFonts w:ascii="Times New Roman" w:eastAsia="Bookman Old Style" w:hAnsi="Times New Roman"/>
          <w:color w:val="000000" w:themeColor="text1"/>
          <w:sz w:val="24"/>
          <w:szCs w:val="24"/>
          <w:lang w:val="en-US" w:eastAsia="zh-CN" w:bidi="ar"/>
        </w:rPr>
        <w:tab/>
        <w:t>7.25</w:t>
      </w:r>
      <w:r w:rsidRPr="002D359D">
        <w:rPr>
          <w:rFonts w:ascii="Times New Roman" w:eastAsia="Bookman Old Style" w:hAnsi="Times New Roman"/>
          <w:color w:val="000000" w:themeColor="text1"/>
          <w:sz w:val="24"/>
          <w:szCs w:val="24"/>
          <w:lang w:val="en-US" w:eastAsia="zh-CN" w:bidi="ar"/>
        </w:rPr>
        <w:tab/>
        <w:t>1.10</w:t>
      </w:r>
      <w:r w:rsidRPr="002D359D">
        <w:rPr>
          <w:rFonts w:ascii="Times New Roman" w:eastAsia="Bookman Old Style" w:hAnsi="Times New Roman"/>
          <w:color w:val="000000" w:themeColor="text1"/>
          <w:sz w:val="24"/>
          <w:szCs w:val="24"/>
          <w:lang w:val="en-US" w:eastAsia="zh-CN" w:bidi="ar"/>
        </w:rPr>
        <w:tab/>
        <w:t>12.27</w:t>
      </w:r>
      <w:r w:rsidRPr="002D359D">
        <w:rPr>
          <w:rFonts w:ascii="Times New Roman" w:eastAsia="Bookman Old Style" w:hAnsi="Times New Roman"/>
          <w:color w:val="000000" w:themeColor="text1"/>
          <w:sz w:val="24"/>
          <w:szCs w:val="24"/>
          <w:lang w:val="en-US" w:eastAsia="zh-CN" w:bidi="ar"/>
        </w:rPr>
        <w:tab/>
        <w:t>39</w:t>
      </w:r>
      <w:r w:rsidRPr="002D359D">
        <w:rPr>
          <w:rFonts w:ascii="Times New Roman" w:eastAsia="Bookman Old Style" w:hAnsi="Times New Roman"/>
          <w:color w:val="000000" w:themeColor="text1"/>
          <w:sz w:val="24"/>
          <w:szCs w:val="24"/>
          <w:lang w:val="en-US" w:eastAsia="zh-CN" w:bidi="ar"/>
        </w:rPr>
        <w:tab/>
        <w:t>˂ 0.0001</w:t>
      </w:r>
    </w:p>
    <w:p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Level of Significance = 0.05</w:t>
      </w:r>
    </w:p>
    <w:p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ab/>
      </w:r>
      <w:r w:rsidRPr="002D359D">
        <w:rPr>
          <w:rFonts w:ascii="Times New Roman" w:eastAsia="Bookman Old Style" w:hAnsi="Times New Roman"/>
          <w:color w:val="000000" w:themeColor="text1"/>
          <w:sz w:val="24"/>
          <w:szCs w:val="24"/>
          <w:lang w:val="en-US" w:eastAsia="zh-CN" w:bidi="ar"/>
        </w:rPr>
        <w:tab/>
        <w:t xml:space="preserve">The table shows a statistically significant improvement in the students' scores between the pre-test and post-test. The pre-test mean was 4.00 with a standard deviation of 1.32, while the post-test mean increased to 7.25, with a standard deviation of 1.10, indicating less variability. The t-value of 12.27 suggests a strong difference between the two sets of scores, and with 39 degrees of freedom, the result is highly reliable. The p-value of less than 0.0001 further confirms that the observed improvement is highly statistically significant, meaning the change is unlikely to have occurred by chance. </w:t>
      </w:r>
    </w:p>
    <w:p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Discussion</w:t>
      </w:r>
    </w:p>
    <w:p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ab/>
        <w:t>The increase of 3.25 points indicates that the students’ performance improved after the intervention, suggesting that the use of bomber board game was effective. The pre-test score of 4.00 reflects a relatively low level of knowledge or skill, while the post-test score of 7.25 demonstrates notable progress. This improvement highlights the positive impact of the learning experience or instruction on the students’ abilities. Overall, the data suggests that the intervention successfully contributed to enhancing the students' performance. Overall, this data indicates that the intervention or learning experience had a substantial and meaningful impact on the students' performance. This indicates that the improvement in scores after using the bomber board game in teaching simple interest is highly significant and not due to random chance.</w:t>
      </w:r>
    </w:p>
    <w:p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ab/>
      </w:r>
      <w:r w:rsidRPr="002D359D">
        <w:rPr>
          <w:rFonts w:ascii="Times New Roman" w:eastAsia="Bookman Old Style" w:hAnsi="Times New Roman"/>
          <w:color w:val="000000" w:themeColor="text1"/>
          <w:sz w:val="24"/>
          <w:szCs w:val="24"/>
          <w:lang w:val="en-US" w:eastAsia="zh-CN" w:bidi="ar"/>
        </w:rPr>
        <w:tab/>
        <w:t xml:space="preserve">According to by Zainuddin et al. (2020), gamification may enhance students’ motivation and engagement, improve academic performance, promote interaction and socialization, and offer opportunities for students to develop autonomous learning skills. Likewise in the study of Aguiar-Castillo et al. (2020) suggest that gamification can contribute to students’ pro-deep-learning approaches, and Putz et al. (2020) draw attention to the positive effect of gamification on knowledge retention. Bai et al. (2020) state their four reasons behind the students’ gamification preferences. In addition, one of the respondents says “enjoyable at </w:t>
      </w:r>
      <w:proofErr w:type="gramStart"/>
      <w:r w:rsidRPr="002D359D">
        <w:rPr>
          <w:rFonts w:ascii="Times New Roman" w:eastAsia="Bookman Old Style" w:hAnsi="Times New Roman"/>
          <w:color w:val="000000" w:themeColor="text1"/>
          <w:sz w:val="24"/>
          <w:szCs w:val="24"/>
          <w:lang w:val="en-US" w:eastAsia="zh-CN" w:bidi="ar"/>
        </w:rPr>
        <w:t>mas</w:t>
      </w:r>
      <w:proofErr w:type="gramEnd"/>
      <w:r w:rsidRPr="002D359D">
        <w:rPr>
          <w:rFonts w:ascii="Times New Roman" w:eastAsia="Bookman Old Style" w:hAnsi="Times New Roman"/>
          <w:color w:val="000000" w:themeColor="text1"/>
          <w:sz w:val="24"/>
          <w:szCs w:val="24"/>
          <w:lang w:val="en-US" w:eastAsia="zh-CN" w:bidi="ar"/>
        </w:rPr>
        <w:t xml:space="preserve"> </w:t>
      </w:r>
      <w:proofErr w:type="spellStart"/>
      <w:r w:rsidRPr="002D359D">
        <w:rPr>
          <w:rFonts w:ascii="Times New Roman" w:eastAsia="Bookman Old Style" w:hAnsi="Times New Roman"/>
          <w:color w:val="000000" w:themeColor="text1"/>
          <w:sz w:val="24"/>
          <w:szCs w:val="24"/>
          <w:lang w:val="en-US" w:eastAsia="zh-CN" w:bidi="ar"/>
        </w:rPr>
        <w:t>mabilis</w:t>
      </w:r>
      <w:proofErr w:type="spellEnd"/>
      <w:r w:rsidRPr="002D359D">
        <w:rPr>
          <w:rFonts w:ascii="Times New Roman" w:eastAsia="Bookman Old Style" w:hAnsi="Times New Roman"/>
          <w:color w:val="000000" w:themeColor="text1"/>
          <w:sz w:val="24"/>
          <w:szCs w:val="24"/>
          <w:lang w:val="en-US" w:eastAsia="zh-CN" w:bidi="ar"/>
        </w:rPr>
        <w:t xml:space="preserve"> </w:t>
      </w:r>
      <w:proofErr w:type="spellStart"/>
      <w:r w:rsidRPr="002D359D">
        <w:rPr>
          <w:rFonts w:ascii="Times New Roman" w:eastAsia="Bookman Old Style" w:hAnsi="Times New Roman"/>
          <w:color w:val="000000" w:themeColor="text1"/>
          <w:sz w:val="24"/>
          <w:szCs w:val="24"/>
          <w:lang w:val="en-US" w:eastAsia="zh-CN" w:bidi="ar"/>
        </w:rPr>
        <w:t>natandaan</w:t>
      </w:r>
      <w:proofErr w:type="spellEnd"/>
      <w:r w:rsidRPr="002D359D">
        <w:rPr>
          <w:rFonts w:ascii="Times New Roman" w:eastAsia="Bookman Old Style" w:hAnsi="Times New Roman"/>
          <w:color w:val="000000" w:themeColor="text1"/>
          <w:sz w:val="24"/>
          <w:szCs w:val="24"/>
          <w:lang w:val="en-US" w:eastAsia="zh-CN" w:bidi="ar"/>
        </w:rPr>
        <w:t xml:space="preserve"> </w:t>
      </w:r>
      <w:proofErr w:type="spellStart"/>
      <w:r w:rsidRPr="002D359D">
        <w:rPr>
          <w:rFonts w:ascii="Times New Roman" w:eastAsia="Bookman Old Style" w:hAnsi="Times New Roman"/>
          <w:color w:val="000000" w:themeColor="text1"/>
          <w:sz w:val="24"/>
          <w:szCs w:val="24"/>
          <w:lang w:val="en-US" w:eastAsia="zh-CN" w:bidi="ar"/>
        </w:rPr>
        <w:t>ang</w:t>
      </w:r>
      <w:proofErr w:type="spellEnd"/>
      <w:r w:rsidRPr="002D359D">
        <w:rPr>
          <w:rFonts w:ascii="Times New Roman" w:eastAsia="Bookman Old Style" w:hAnsi="Times New Roman"/>
          <w:color w:val="000000" w:themeColor="text1"/>
          <w:sz w:val="24"/>
          <w:szCs w:val="24"/>
          <w:lang w:val="en-US" w:eastAsia="zh-CN" w:bidi="ar"/>
        </w:rPr>
        <w:t xml:space="preserve"> </w:t>
      </w:r>
      <w:proofErr w:type="spellStart"/>
      <w:r w:rsidRPr="002D359D">
        <w:rPr>
          <w:rFonts w:ascii="Times New Roman" w:eastAsia="Bookman Old Style" w:hAnsi="Times New Roman"/>
          <w:color w:val="000000" w:themeColor="text1"/>
          <w:sz w:val="24"/>
          <w:szCs w:val="24"/>
          <w:lang w:val="en-US" w:eastAsia="zh-CN" w:bidi="ar"/>
        </w:rPr>
        <w:t>pagkuha</w:t>
      </w:r>
      <w:proofErr w:type="spellEnd"/>
      <w:r w:rsidRPr="002D359D">
        <w:rPr>
          <w:rFonts w:ascii="Times New Roman" w:eastAsia="Bookman Old Style" w:hAnsi="Times New Roman"/>
          <w:color w:val="000000" w:themeColor="text1"/>
          <w:sz w:val="24"/>
          <w:szCs w:val="24"/>
          <w:lang w:val="en-US" w:eastAsia="zh-CN" w:bidi="ar"/>
        </w:rPr>
        <w:t xml:space="preserve"> ng simple interest”. These include increasing enthusiasm, providing feedback about performance, meeting students’ recognition needs, and encouraging goal setting.</w:t>
      </w:r>
    </w:p>
    <w:p w:rsidR="00935C3C" w:rsidRPr="002D359D" w:rsidRDefault="00935C3C" w:rsidP="00935C3C">
      <w:pPr>
        <w:spacing w:after="160" w:line="240" w:lineRule="auto"/>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ab/>
      </w:r>
      <w:r w:rsidRPr="002D359D">
        <w:rPr>
          <w:rFonts w:ascii="Times New Roman" w:eastAsia="Bookman Old Style" w:hAnsi="Times New Roman"/>
          <w:color w:val="000000" w:themeColor="text1"/>
          <w:sz w:val="24"/>
          <w:szCs w:val="24"/>
          <w:lang w:val="en-US" w:eastAsia="zh-CN" w:bidi="ar"/>
        </w:rPr>
        <w:tab/>
        <w:t xml:space="preserve">Furthermore, DepEd Memo No. 160, S. 2012 emphasizes the importance of ensuring that students achieve a level of mastery in their learning, particularly regarding basic competencies. According to the mastery/achievement level from the results of the pre-test and </w:t>
      </w:r>
      <w:proofErr w:type="spellStart"/>
      <w:r w:rsidRPr="002D359D">
        <w:rPr>
          <w:rFonts w:ascii="Times New Roman" w:eastAsia="Bookman Old Style" w:hAnsi="Times New Roman"/>
          <w:color w:val="000000" w:themeColor="text1"/>
          <w:sz w:val="24"/>
          <w:szCs w:val="24"/>
          <w:lang w:val="en-US" w:eastAsia="zh-CN" w:bidi="ar"/>
        </w:rPr>
        <w:t>post test</w:t>
      </w:r>
      <w:proofErr w:type="spellEnd"/>
      <w:r w:rsidRPr="002D359D">
        <w:rPr>
          <w:rFonts w:ascii="Times New Roman" w:eastAsia="Bookman Old Style" w:hAnsi="Times New Roman"/>
          <w:color w:val="000000" w:themeColor="text1"/>
          <w:sz w:val="24"/>
          <w:szCs w:val="24"/>
          <w:lang w:val="en-US" w:eastAsia="zh-CN" w:bidi="ar"/>
        </w:rPr>
        <w:t xml:space="preserve"> the descriptive equivalent is </w:t>
      </w:r>
      <w:r w:rsidRPr="002D359D">
        <w:rPr>
          <w:rFonts w:ascii="Times New Roman" w:eastAsia="Bookman Old Style" w:hAnsi="Times New Roman"/>
          <w:color w:val="000000" w:themeColor="text1"/>
          <w:sz w:val="24"/>
          <w:szCs w:val="24"/>
          <w:lang w:val="en-US" w:eastAsia="zh-CN" w:bidi="ar"/>
        </w:rPr>
        <w:lastRenderedPageBreak/>
        <w:t>moving towards mastery. The improvement in students' performance observed in this study aligns with the memo's objectives, as it reflects substantial progress in mastering the topic of simple interest, which is critical for their overall academic development. This reinforces the importance of innovative instructional strategies, such as gamification, to support students in achieving mastery in key learning areas.</w:t>
      </w:r>
    </w:p>
    <w:p w:rsidR="000302F2" w:rsidRPr="002D359D" w:rsidRDefault="005A6F71" w:rsidP="00935C3C">
      <w:pPr>
        <w:spacing w:after="160" w:line="240" w:lineRule="auto"/>
        <w:jc w:val="both"/>
        <w:rPr>
          <w:rFonts w:ascii="Times New Roman" w:eastAsia="SimSun" w:hAnsi="Times New Roman"/>
          <w:color w:val="000000" w:themeColor="text1"/>
          <w:sz w:val="28"/>
          <w:szCs w:val="28"/>
          <w:lang w:val="en-PH" w:eastAsia="zh-CN" w:bidi="ar"/>
        </w:rPr>
      </w:pPr>
      <w:r w:rsidRPr="002D359D">
        <w:rPr>
          <w:rFonts w:ascii="Times New Roman" w:eastAsia="Bookman Old Style" w:hAnsi="Times New Roman"/>
          <w:b/>
          <w:color w:val="000000" w:themeColor="text1"/>
          <w:sz w:val="28"/>
          <w:szCs w:val="28"/>
          <w:lang w:val="en-US" w:eastAsia="zh-CN" w:bidi="ar"/>
        </w:rPr>
        <w:t>CONCLUSION</w:t>
      </w:r>
    </w:p>
    <w:p w:rsidR="00416357" w:rsidRPr="002D359D" w:rsidRDefault="00935C3C" w:rsidP="00935C3C">
      <w:pPr>
        <w:spacing w:after="160" w:line="240" w:lineRule="auto"/>
        <w:contextualSpacing/>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The average score of the students in the pre-test and post-test revealed a significant difference after using the bomber board game in teaching simple interest. It implies that using the bomber board game can enhance students' understanding and performance in simple interest. A large sample difference between the average in the pretest score and post test score is big enough to be statistically difference as reflected in the computed test statistics of 12.27 which is significantly higher than the critical value at the 0.05 level of significance. The null hypothesis is rejected due to the p-value of less than 0.0001, indicating that there is significant difference between the pre-test and post-test results of HUMSS grade 11 students before and after using the bomber board game in teaching simple interest.</w:t>
      </w:r>
    </w:p>
    <w:p w:rsidR="00935C3C" w:rsidRPr="002D359D" w:rsidRDefault="00935C3C" w:rsidP="00FF209F">
      <w:pPr>
        <w:spacing w:after="160" w:line="240" w:lineRule="auto"/>
        <w:rPr>
          <w:rFonts w:ascii="Times New Roman" w:eastAsia="Bookman Old Style" w:hAnsi="Times New Roman"/>
          <w:b/>
          <w:color w:val="000000" w:themeColor="text1"/>
          <w:sz w:val="28"/>
          <w:szCs w:val="28"/>
          <w:lang w:val="en-US" w:eastAsia="zh-CN" w:bidi="ar"/>
        </w:rPr>
      </w:pPr>
    </w:p>
    <w:p w:rsidR="000302F2" w:rsidRPr="002D359D" w:rsidRDefault="005A6F71" w:rsidP="00FF209F">
      <w:pPr>
        <w:spacing w:after="160" w:line="240" w:lineRule="auto"/>
        <w:rPr>
          <w:rFonts w:ascii="Times New Roman" w:eastAsia="Bookman Old Style" w:hAnsi="Times New Roman"/>
          <w:b/>
          <w:color w:val="000000" w:themeColor="text1"/>
          <w:sz w:val="28"/>
          <w:szCs w:val="28"/>
          <w:lang w:val="en-PH" w:eastAsia="en-PH"/>
        </w:rPr>
      </w:pPr>
      <w:r w:rsidRPr="002D359D">
        <w:rPr>
          <w:rFonts w:ascii="Times New Roman" w:eastAsia="Bookman Old Style" w:hAnsi="Times New Roman"/>
          <w:b/>
          <w:color w:val="000000" w:themeColor="text1"/>
          <w:sz w:val="28"/>
          <w:szCs w:val="28"/>
          <w:lang w:val="en-US" w:eastAsia="zh-CN" w:bidi="ar"/>
        </w:rPr>
        <w:t>RECOMMENDATION</w:t>
      </w:r>
    </w:p>
    <w:p w:rsidR="002573FA" w:rsidRPr="002D359D" w:rsidRDefault="00935C3C" w:rsidP="002573FA">
      <w:pPr>
        <w:pBdr>
          <w:top w:val="none" w:sz="0" w:space="0" w:color="000000"/>
          <w:left w:val="none" w:sz="0" w:space="0" w:color="000000"/>
          <w:bottom w:val="none" w:sz="0" w:space="0" w:color="000000"/>
          <w:right w:val="none" w:sz="0" w:space="0" w:color="000000"/>
          <w:between w:val="none" w:sz="0" w:space="0" w:color="000000"/>
        </w:pBdr>
        <w:spacing w:after="160" w:line="240" w:lineRule="auto"/>
        <w:contextualSpacing/>
        <w:jc w:val="both"/>
        <w:rPr>
          <w:rFonts w:ascii="Times New Roman" w:eastAsia="Bookman Old Style" w:hAnsi="Times New Roman"/>
          <w:color w:val="000000" w:themeColor="text1"/>
          <w:sz w:val="24"/>
          <w:szCs w:val="24"/>
          <w:lang w:val="en-US" w:eastAsia="zh-CN" w:bidi="ar"/>
        </w:rPr>
      </w:pPr>
      <w:r w:rsidRPr="002D359D">
        <w:rPr>
          <w:rFonts w:ascii="Times New Roman" w:eastAsia="Bookman Old Style" w:hAnsi="Times New Roman"/>
          <w:color w:val="000000" w:themeColor="text1"/>
          <w:sz w:val="24"/>
          <w:szCs w:val="24"/>
          <w:lang w:val="en-US" w:eastAsia="zh-CN" w:bidi="ar"/>
        </w:rPr>
        <w:t>Teachers are encouraged to use teaching materials in the form of gamification, especially in subjects/topics where most of the students struggle. Curriculum developers may conduct training about the development of gamification and other related instructional materials in other mathematics subjects. The administrators should propose an action plan for the development and utilization of gamification in various subject areas of mathematics.</w:t>
      </w:r>
    </w:p>
    <w:p w:rsidR="00935C3C" w:rsidRPr="00A27F0E" w:rsidRDefault="00935C3C" w:rsidP="002573FA">
      <w:pPr>
        <w:pBdr>
          <w:top w:val="none" w:sz="0" w:space="0" w:color="000000"/>
          <w:left w:val="none" w:sz="0" w:space="0" w:color="000000"/>
          <w:bottom w:val="none" w:sz="0" w:space="0" w:color="000000"/>
          <w:right w:val="none" w:sz="0" w:space="0" w:color="000000"/>
          <w:between w:val="none" w:sz="0" w:space="0" w:color="000000"/>
        </w:pBdr>
        <w:spacing w:after="160" w:line="240" w:lineRule="auto"/>
        <w:contextualSpacing/>
        <w:jc w:val="both"/>
        <w:rPr>
          <w:rFonts w:ascii="Times New Roman" w:eastAsia="Times New Roman" w:hAnsi="Times New Roman"/>
          <w:color w:val="EE0000"/>
          <w:sz w:val="24"/>
          <w:szCs w:val="24"/>
          <w:lang w:val="en-PH" w:eastAsia="en-PH"/>
        </w:rPr>
      </w:pPr>
    </w:p>
    <w:p w:rsidR="002573FA" w:rsidRPr="00C6138D" w:rsidRDefault="002573FA" w:rsidP="002573FA">
      <w:pPr>
        <w:spacing w:line="240" w:lineRule="auto"/>
        <w:rPr>
          <w:rFonts w:ascii="Bookman Old Style" w:hAnsi="Bookman Old Style"/>
          <w:b/>
          <w:bCs/>
          <w:color w:val="000000" w:themeColor="text1"/>
          <w:sz w:val="28"/>
          <w:szCs w:val="28"/>
        </w:rPr>
      </w:pPr>
      <w:r w:rsidRPr="00C6138D">
        <w:rPr>
          <w:rFonts w:ascii="Bookman Old Style" w:hAnsi="Bookman Old Style"/>
          <w:b/>
          <w:bCs/>
          <w:color w:val="000000" w:themeColor="text1"/>
          <w:sz w:val="28"/>
          <w:szCs w:val="28"/>
        </w:rPr>
        <w:t>ACKNOWLEDGMENT</w:t>
      </w:r>
    </w:p>
    <w:p w:rsidR="002573FA" w:rsidRPr="00C6138D" w:rsidRDefault="00C6138D" w:rsidP="002573FA">
      <w:pPr>
        <w:spacing w:line="240" w:lineRule="auto"/>
        <w:jc w:val="both"/>
        <w:rPr>
          <w:rFonts w:ascii="Times New Roman" w:hAnsi="Times New Roman"/>
          <w:b/>
          <w:bCs/>
          <w:color w:val="000000" w:themeColor="text1"/>
          <w:sz w:val="24"/>
          <w:szCs w:val="24"/>
        </w:rPr>
      </w:pPr>
      <w:r w:rsidRPr="00C6138D">
        <w:rPr>
          <w:rFonts w:ascii="Times New Roman" w:hAnsi="Times New Roman"/>
          <w:color w:val="000000" w:themeColor="text1"/>
          <w:sz w:val="24"/>
          <w:szCs w:val="24"/>
        </w:rPr>
        <w:t>The researchers would like to extend their deepest gratitude to all the individuals and institutions who made the completion of this study possible. We would like to express our sincere appreciation to the Division of General Trias City for its administrative and logistical support, and to the Research Team of the Division of General Trias City for their patience, guidance, constructive criticism, and encouragement throughout the development of this study. We also extend our appreciation to the Mathematics Department teachers of Luis Y. Ferrer Jr. Senior High School for their valuable assistance during the conduct of this research. Our heartfelt thanks also go to the HUMSS Grade 11 students who participated in this study, whose cooperation, enthusiasm, and willingness to engage in the activities were essential in gathering the data needed. Above all, we offer our deepest gratitude to Almighty God for His wisdom, strength, and guidance in helping us overcome every challenge encountered throughout this research journey.</w:t>
      </w:r>
    </w:p>
    <w:p w:rsidR="002573FA" w:rsidRPr="00C6138D" w:rsidRDefault="00C6138D" w:rsidP="002573FA">
      <w:pPr>
        <w:pStyle w:val="NoSpacing"/>
        <w:ind w:left="8640" w:firstLine="720"/>
        <w:jc w:val="center"/>
        <w:rPr>
          <w:rFonts w:ascii="Times New Roman" w:hAnsi="Times New Roman"/>
          <w:color w:val="000000" w:themeColor="text1"/>
          <w:sz w:val="24"/>
          <w:szCs w:val="24"/>
        </w:rPr>
      </w:pPr>
      <w:r w:rsidRPr="00C6138D">
        <w:rPr>
          <w:rFonts w:ascii="Times New Roman" w:hAnsi="Times New Roman"/>
          <w:color w:val="000000" w:themeColor="text1"/>
          <w:sz w:val="24"/>
          <w:szCs w:val="24"/>
        </w:rPr>
        <w:t>J.R.T.</w:t>
      </w:r>
    </w:p>
    <w:p w:rsidR="002573FA" w:rsidRPr="00A27F0E" w:rsidRDefault="002573FA" w:rsidP="009744A1">
      <w:pPr>
        <w:pStyle w:val="NoSpacing"/>
        <w:rPr>
          <w:rFonts w:ascii="Times New Roman" w:hAnsi="Times New Roman"/>
          <w:b/>
          <w:bCs/>
          <w:color w:val="EE0000"/>
          <w:sz w:val="28"/>
          <w:szCs w:val="28"/>
        </w:rPr>
      </w:pPr>
    </w:p>
    <w:p w:rsidR="00CE116F" w:rsidRPr="002D359D" w:rsidRDefault="009744A1" w:rsidP="009744A1">
      <w:pPr>
        <w:pStyle w:val="NoSpacing"/>
        <w:rPr>
          <w:rFonts w:ascii="Times New Roman" w:hAnsi="Times New Roman"/>
          <w:b/>
          <w:bCs/>
          <w:color w:val="000000" w:themeColor="text1"/>
          <w:sz w:val="28"/>
          <w:szCs w:val="28"/>
        </w:rPr>
      </w:pPr>
      <w:r w:rsidRPr="002D359D">
        <w:rPr>
          <w:rFonts w:ascii="Times New Roman" w:hAnsi="Times New Roman"/>
          <w:b/>
          <w:bCs/>
          <w:color w:val="000000" w:themeColor="text1"/>
          <w:sz w:val="28"/>
          <w:szCs w:val="28"/>
        </w:rPr>
        <w:t>REFERENCES</w:t>
      </w:r>
    </w:p>
    <w:p w:rsidR="009744A1" w:rsidRPr="002D359D" w:rsidRDefault="009744A1" w:rsidP="009744A1">
      <w:pPr>
        <w:pStyle w:val="NoSpacing"/>
        <w:rPr>
          <w:rFonts w:ascii="Times New Roman" w:hAnsi="Times New Roman"/>
          <w:b/>
          <w:bCs/>
          <w:color w:val="000000" w:themeColor="text1"/>
          <w:sz w:val="28"/>
          <w:szCs w:val="28"/>
        </w:rPr>
      </w:pP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Ronald R. Ramos - </w:t>
      </w:r>
      <w:proofErr w:type="spellStart"/>
      <w:r w:rsidRPr="002D359D">
        <w:rPr>
          <w:rFonts w:ascii="Times New Roman" w:hAnsi="Times New Roman"/>
          <w:color w:val="000000" w:themeColor="text1"/>
          <w:sz w:val="24"/>
          <w:szCs w:val="24"/>
          <w:lang w:eastAsia="en-PH"/>
        </w:rPr>
        <w:t>Bomberboard</w:t>
      </w:r>
      <w:proofErr w:type="spellEnd"/>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Aguiar-Castillo, L., et.al. (2021). “Gamification </w:t>
      </w:r>
      <w:proofErr w:type="gramStart"/>
      <w:r w:rsidRPr="002D359D">
        <w:rPr>
          <w:rFonts w:ascii="Times New Roman" w:hAnsi="Times New Roman"/>
          <w:color w:val="000000" w:themeColor="text1"/>
          <w:sz w:val="24"/>
          <w:szCs w:val="24"/>
          <w:lang w:eastAsia="en-PH"/>
        </w:rPr>
        <w:t>And</w:t>
      </w:r>
      <w:proofErr w:type="gramEnd"/>
      <w:r w:rsidRPr="002D359D">
        <w:rPr>
          <w:rFonts w:ascii="Times New Roman" w:hAnsi="Times New Roman"/>
          <w:color w:val="000000" w:themeColor="text1"/>
          <w:sz w:val="24"/>
          <w:szCs w:val="24"/>
          <w:lang w:eastAsia="en-PH"/>
        </w:rPr>
        <w:t xml:space="preserve"> Deep Learning </w:t>
      </w:r>
      <w:r w:rsidRPr="002D359D">
        <w:rPr>
          <w:rFonts w:ascii="Times New Roman" w:hAnsi="Times New Roman"/>
          <w:color w:val="000000" w:themeColor="text1"/>
          <w:sz w:val="24"/>
          <w:szCs w:val="24"/>
          <w:lang w:eastAsia="en-PH"/>
        </w:rPr>
        <w:tab/>
        <w:t xml:space="preserve">Approaches In Higher Education”. Journal of Hospitality, Leisure, Sport, and Tourism Education, 29, 100290. https://doi.org/10.1016/j.jhlste.2020.100290 </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Allan Lalosa (2020) Contributing Factors of students Financial </w:t>
      </w:r>
      <w:proofErr w:type="spellStart"/>
      <w:r w:rsidRPr="002D359D">
        <w:rPr>
          <w:rFonts w:ascii="Times New Roman" w:hAnsi="Times New Roman"/>
          <w:color w:val="000000" w:themeColor="text1"/>
          <w:sz w:val="24"/>
          <w:szCs w:val="24"/>
          <w:lang w:eastAsia="en-PH"/>
        </w:rPr>
        <w:t>Litecary</w:t>
      </w:r>
      <w:proofErr w:type="spellEnd"/>
      <w:r w:rsidRPr="002D359D">
        <w:rPr>
          <w:rFonts w:ascii="Times New Roman" w:hAnsi="Times New Roman"/>
          <w:color w:val="000000" w:themeColor="text1"/>
          <w:sz w:val="24"/>
          <w:szCs w:val="24"/>
          <w:lang w:eastAsia="en-PH"/>
        </w:rPr>
        <w:t xml:space="preserve"> in a </w:t>
      </w:r>
      <w:r w:rsidRPr="002D359D">
        <w:rPr>
          <w:rFonts w:ascii="Times New Roman" w:hAnsi="Times New Roman"/>
          <w:color w:val="000000" w:themeColor="text1"/>
          <w:sz w:val="24"/>
          <w:szCs w:val="24"/>
          <w:lang w:eastAsia="en-PH"/>
        </w:rPr>
        <w:tab/>
        <w:t>State University in Eastern Philippines. Eastern Samar Philippines DOI:10.5281/zenodo.4s454545</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Balladares, et.al. (2023) The Effects of Board Games On Math Skills In Children  Attending Prekindergarten And Kindergarten: A Systematic Review https://doi.org/10.1080/09575146.2023.2218598</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Bai, S. et.al. (2020). “Does Gamification Improve Student Learning </w:t>
      </w:r>
      <w:r w:rsidRPr="002D359D">
        <w:rPr>
          <w:rFonts w:ascii="Times New Roman" w:hAnsi="Times New Roman"/>
          <w:color w:val="000000" w:themeColor="text1"/>
          <w:sz w:val="24"/>
          <w:szCs w:val="24"/>
          <w:lang w:eastAsia="en-PH"/>
        </w:rPr>
        <w:tab/>
        <w:t xml:space="preserve">Outcome? Evidence </w:t>
      </w:r>
      <w:proofErr w:type="gramStart"/>
      <w:r w:rsidRPr="002D359D">
        <w:rPr>
          <w:rFonts w:ascii="Times New Roman" w:hAnsi="Times New Roman"/>
          <w:color w:val="000000" w:themeColor="text1"/>
          <w:sz w:val="24"/>
          <w:szCs w:val="24"/>
          <w:lang w:eastAsia="en-PH"/>
        </w:rPr>
        <w:t>From</w:t>
      </w:r>
      <w:proofErr w:type="gramEnd"/>
      <w:r w:rsidRPr="002D359D">
        <w:rPr>
          <w:rFonts w:ascii="Times New Roman" w:hAnsi="Times New Roman"/>
          <w:color w:val="000000" w:themeColor="text1"/>
          <w:sz w:val="24"/>
          <w:szCs w:val="24"/>
          <w:lang w:eastAsia="en-PH"/>
        </w:rPr>
        <w:t xml:space="preserve"> A Meta-Analysis And Synthesis Of </w:t>
      </w:r>
      <w:r w:rsidRPr="002D359D">
        <w:rPr>
          <w:rFonts w:ascii="Times New Roman" w:hAnsi="Times New Roman"/>
          <w:color w:val="000000" w:themeColor="text1"/>
          <w:sz w:val="24"/>
          <w:szCs w:val="24"/>
          <w:lang w:eastAsia="en-PH"/>
        </w:rPr>
        <w:tab/>
        <w:t xml:space="preserve">Qualitative Data In </w:t>
      </w:r>
      <w:r w:rsidRPr="002D359D">
        <w:rPr>
          <w:rFonts w:ascii="Times New Roman" w:hAnsi="Times New Roman"/>
          <w:color w:val="000000" w:themeColor="text1"/>
          <w:sz w:val="24"/>
          <w:szCs w:val="24"/>
          <w:lang w:eastAsia="en-PH"/>
        </w:rPr>
        <w:tab/>
      </w:r>
      <w:r w:rsidRPr="002D359D">
        <w:rPr>
          <w:rFonts w:ascii="Times New Roman" w:hAnsi="Times New Roman"/>
          <w:color w:val="000000" w:themeColor="text1"/>
          <w:sz w:val="24"/>
          <w:szCs w:val="24"/>
          <w:lang w:eastAsia="en-PH"/>
        </w:rPr>
        <w:tab/>
      </w:r>
      <w:r w:rsidRPr="002D359D">
        <w:rPr>
          <w:rFonts w:ascii="Times New Roman" w:hAnsi="Times New Roman"/>
          <w:color w:val="000000" w:themeColor="text1"/>
          <w:sz w:val="24"/>
          <w:szCs w:val="24"/>
          <w:lang w:eastAsia="en-PH"/>
        </w:rPr>
        <w:tab/>
      </w:r>
      <w:r w:rsidRPr="002D359D">
        <w:rPr>
          <w:rFonts w:ascii="Times New Roman" w:hAnsi="Times New Roman"/>
          <w:color w:val="000000" w:themeColor="text1"/>
          <w:sz w:val="24"/>
          <w:szCs w:val="24"/>
          <w:lang w:eastAsia="en-PH"/>
        </w:rPr>
        <w:tab/>
        <w:t xml:space="preserve">Educational Contexts”. Educational Research </w:t>
      </w:r>
      <w:r w:rsidRPr="002D359D">
        <w:rPr>
          <w:rFonts w:ascii="Times New Roman" w:hAnsi="Times New Roman"/>
          <w:color w:val="000000" w:themeColor="text1"/>
          <w:sz w:val="24"/>
          <w:szCs w:val="24"/>
          <w:lang w:eastAsia="en-PH"/>
        </w:rPr>
        <w:tab/>
        <w:t xml:space="preserve">Review, 30, 100322. https://doi.org/10.1016/j.edurev.2020.100322 </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Bruner, J. (1960). The Process of Education. Cambridge, MA: Harvard University Press</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Bruner, J. (1966). Toward a Theory of Instruction. Cambridge, MA: Harvard </w:t>
      </w:r>
      <w:r w:rsidRPr="002D359D">
        <w:rPr>
          <w:rFonts w:ascii="Times New Roman" w:hAnsi="Times New Roman"/>
          <w:color w:val="000000" w:themeColor="text1"/>
          <w:sz w:val="24"/>
          <w:szCs w:val="24"/>
          <w:lang w:eastAsia="en-PH"/>
        </w:rPr>
        <w:tab/>
        <w:t>University Press</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lastRenderedPageBreak/>
        <w:t>DepEd Memo No. 160, S. 2012</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proofErr w:type="spellStart"/>
      <w:r w:rsidRPr="002D359D">
        <w:rPr>
          <w:rFonts w:ascii="Times New Roman" w:hAnsi="Times New Roman"/>
          <w:color w:val="000000" w:themeColor="text1"/>
          <w:sz w:val="24"/>
          <w:szCs w:val="24"/>
          <w:lang w:eastAsia="en-PH"/>
        </w:rPr>
        <w:t>Indefenso</w:t>
      </w:r>
      <w:proofErr w:type="spellEnd"/>
      <w:r w:rsidRPr="002D359D">
        <w:rPr>
          <w:rFonts w:ascii="Times New Roman" w:hAnsi="Times New Roman"/>
          <w:color w:val="000000" w:themeColor="text1"/>
          <w:sz w:val="24"/>
          <w:szCs w:val="24"/>
          <w:lang w:eastAsia="en-PH"/>
        </w:rPr>
        <w:t xml:space="preserve">, E. E., &amp; </w:t>
      </w:r>
      <w:proofErr w:type="spellStart"/>
      <w:r w:rsidRPr="002D359D">
        <w:rPr>
          <w:rFonts w:ascii="Times New Roman" w:hAnsi="Times New Roman"/>
          <w:color w:val="000000" w:themeColor="text1"/>
          <w:sz w:val="24"/>
          <w:szCs w:val="24"/>
          <w:lang w:eastAsia="en-PH"/>
        </w:rPr>
        <w:t>Yazon</w:t>
      </w:r>
      <w:proofErr w:type="spellEnd"/>
      <w:r w:rsidRPr="002D359D">
        <w:rPr>
          <w:rFonts w:ascii="Times New Roman" w:hAnsi="Times New Roman"/>
          <w:color w:val="000000" w:themeColor="text1"/>
          <w:sz w:val="24"/>
          <w:szCs w:val="24"/>
          <w:lang w:eastAsia="en-PH"/>
        </w:rPr>
        <w:t xml:space="preserve">, A. D. (2020). Numeracy Level, Mathematics Problem Skills, and Financial Literacy. Universal Journal </w:t>
      </w:r>
      <w:proofErr w:type="gramStart"/>
      <w:r w:rsidRPr="002D359D">
        <w:rPr>
          <w:rFonts w:ascii="Times New Roman" w:hAnsi="Times New Roman"/>
          <w:color w:val="000000" w:themeColor="text1"/>
          <w:sz w:val="24"/>
          <w:szCs w:val="24"/>
          <w:lang w:eastAsia="en-PH"/>
        </w:rPr>
        <w:t>of  Educational</w:t>
      </w:r>
      <w:proofErr w:type="gramEnd"/>
      <w:r w:rsidRPr="002D359D">
        <w:rPr>
          <w:rFonts w:ascii="Times New Roman" w:hAnsi="Times New Roman"/>
          <w:color w:val="000000" w:themeColor="text1"/>
          <w:sz w:val="24"/>
          <w:szCs w:val="24"/>
          <w:lang w:eastAsia="en-PH"/>
        </w:rPr>
        <w:t xml:space="preserve"> Research, 8(10), 4393-4399.</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Jayaraman, J.D. et.al, (2020) Financial Literacy Among High School Students: Evidence from India https://doi.org/10.1177/2047173418809712</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Locke, E.A.  &amp; Latham, G.P. (2002). Building A Practically Useful Theory Of Goal Setting And Task Motivation</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Locke, E.A. (1968). Toward a Theory of Task Motivation and Incentives https://doi.org/10.1016/0030-5073(68)90004-4</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Mendiola, Albert C. and </w:t>
      </w:r>
      <w:proofErr w:type="spellStart"/>
      <w:r w:rsidRPr="002D359D">
        <w:rPr>
          <w:rFonts w:ascii="Times New Roman" w:hAnsi="Times New Roman"/>
          <w:color w:val="000000" w:themeColor="text1"/>
          <w:sz w:val="24"/>
          <w:szCs w:val="24"/>
          <w:lang w:eastAsia="en-PH"/>
        </w:rPr>
        <w:t>Estonanto</w:t>
      </w:r>
      <w:proofErr w:type="spellEnd"/>
      <w:r w:rsidRPr="002D359D">
        <w:rPr>
          <w:rFonts w:ascii="Times New Roman" w:hAnsi="Times New Roman"/>
          <w:color w:val="000000" w:themeColor="text1"/>
          <w:sz w:val="24"/>
          <w:szCs w:val="24"/>
          <w:lang w:eastAsia="en-PH"/>
        </w:rPr>
        <w:t xml:space="preserve">, </w:t>
      </w:r>
      <w:proofErr w:type="spellStart"/>
      <w:r w:rsidRPr="002D359D">
        <w:rPr>
          <w:rFonts w:ascii="Times New Roman" w:hAnsi="Times New Roman"/>
          <w:color w:val="000000" w:themeColor="text1"/>
          <w:sz w:val="24"/>
          <w:szCs w:val="24"/>
          <w:lang w:eastAsia="en-PH"/>
        </w:rPr>
        <w:t>Aldrin</w:t>
      </w:r>
      <w:proofErr w:type="spellEnd"/>
      <w:r w:rsidRPr="002D359D">
        <w:rPr>
          <w:rFonts w:ascii="Times New Roman" w:hAnsi="Times New Roman"/>
          <w:color w:val="000000" w:themeColor="text1"/>
          <w:sz w:val="24"/>
          <w:szCs w:val="24"/>
          <w:lang w:eastAsia="en-PH"/>
        </w:rPr>
        <w:t xml:space="preserve"> John J. (2022) “Utilization of </w:t>
      </w:r>
      <w:r w:rsidRPr="002D359D">
        <w:rPr>
          <w:rFonts w:ascii="Times New Roman" w:hAnsi="Times New Roman"/>
          <w:color w:val="000000" w:themeColor="text1"/>
          <w:sz w:val="24"/>
          <w:szCs w:val="24"/>
          <w:lang w:eastAsia="en-PH"/>
        </w:rPr>
        <w:tab/>
        <w:t>Instructional Materials Developed by the Mathematics Teachers in the Province of Sorsogon, Philippines” Volume 10 – Issue 3, ISSN: 23212454</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Pallant, J. (2020). SPSS Survival Manual: A Step by Step Guide to Data Analysis Using IBM SPSS. London: McGraw-Hill, Open University </w:t>
      </w:r>
      <w:r w:rsidRPr="002D359D">
        <w:rPr>
          <w:rFonts w:ascii="Times New Roman" w:hAnsi="Times New Roman"/>
          <w:color w:val="000000" w:themeColor="text1"/>
          <w:sz w:val="24"/>
          <w:szCs w:val="24"/>
          <w:lang w:eastAsia="en-PH"/>
        </w:rPr>
        <w:tab/>
        <w:t>Press.</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Pehlivan, et.al. (2023) “The Effect of Gamification on Math Achievement, Motivation, and Learning Strategies in Flipped Classrooms”. Vol. 11 Is. 4 ISSN: 2202-9478</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Putz, L. M. et.al., (2020). “Can gamification help to improve education? Findings from a longitudinal study”. Computers in Human Behavior, 110, 106392. https://doi.org/10.1016/j.chb.2020.106392 </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Silver, A.M. et.al. (2024) The benefits of math activities depend on the skills </w:t>
      </w:r>
      <w:r w:rsidRPr="002D359D">
        <w:rPr>
          <w:rFonts w:ascii="Times New Roman" w:hAnsi="Times New Roman"/>
          <w:color w:val="000000" w:themeColor="text1"/>
          <w:sz w:val="24"/>
          <w:szCs w:val="24"/>
          <w:lang w:eastAsia="en-PH"/>
        </w:rPr>
        <w:tab/>
        <w:t xml:space="preserve">children bring </w:t>
      </w:r>
      <w:r w:rsidRPr="002D359D">
        <w:rPr>
          <w:rFonts w:ascii="Times New Roman" w:hAnsi="Times New Roman"/>
          <w:color w:val="000000" w:themeColor="text1"/>
          <w:sz w:val="24"/>
          <w:szCs w:val="24"/>
          <w:lang w:eastAsia="en-PH"/>
        </w:rPr>
        <w:tab/>
        <w:t>to the table. Developmental Psychology, 60(2), 376 388 https://doi.org/10.1037/dev0001637</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Skinner B.F. (1957) Verbal Behavior DOI: https://doi.org/10.1017/CBO9781107415324.004</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Suyantano, et.al. (2021) “The Impact of Financial Socialization and Financial </w:t>
      </w:r>
      <w:r w:rsidRPr="002D359D">
        <w:rPr>
          <w:rFonts w:ascii="Times New Roman" w:hAnsi="Times New Roman"/>
          <w:color w:val="000000" w:themeColor="text1"/>
          <w:sz w:val="24"/>
          <w:szCs w:val="24"/>
          <w:lang w:eastAsia="en-PH"/>
        </w:rPr>
        <w:tab/>
        <w:t>Literacy</w:t>
      </w:r>
      <w:r w:rsidR="002D359D"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on</w:t>
      </w:r>
      <w:r w:rsidR="002D359D"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 xml:space="preserve">Financial Behaviors: An Empirical Study in Indonesia”. </w:t>
      </w:r>
      <w:r w:rsidRPr="002D359D">
        <w:rPr>
          <w:rFonts w:ascii="Times New Roman" w:hAnsi="Times New Roman"/>
          <w:color w:val="000000" w:themeColor="text1"/>
          <w:sz w:val="24"/>
          <w:szCs w:val="24"/>
          <w:lang w:eastAsia="en-PH"/>
        </w:rPr>
        <w:tab/>
        <w:t>Journal of Asian Finance, Economics and Business Vol. 8 No. 7 (2021) 0169–0180</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Tamisha Kimble (2020). The Impact of Gamification on the Mathematics Achievement of Elementary Student. Kennesaw State University Fall 12-1-2020 </w:t>
      </w:r>
    </w:p>
    <w:p w:rsidR="00935C3C"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Garg &amp; Singh (2021) Financial Literacy Among Youth. International Journal </w:t>
      </w:r>
      <w:proofErr w:type="gramStart"/>
      <w:r w:rsidRPr="002D359D">
        <w:rPr>
          <w:rFonts w:ascii="Times New Roman" w:hAnsi="Times New Roman"/>
          <w:color w:val="000000" w:themeColor="text1"/>
          <w:sz w:val="24"/>
          <w:szCs w:val="24"/>
          <w:lang w:eastAsia="en-PH"/>
        </w:rPr>
        <w:t xml:space="preserve">of </w:t>
      </w:r>
      <w:r w:rsidR="002D359D"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Social</w:t>
      </w:r>
      <w:proofErr w:type="gramEnd"/>
      <w:r w:rsidRPr="002D359D">
        <w:rPr>
          <w:rFonts w:ascii="Times New Roman" w:hAnsi="Times New Roman"/>
          <w:color w:val="000000" w:themeColor="text1"/>
          <w:sz w:val="24"/>
          <w:szCs w:val="24"/>
          <w:lang w:eastAsia="en-PH"/>
        </w:rPr>
        <w:t xml:space="preserve"> Economics. Vol. 45 No. 1, pp. 173-186. </w:t>
      </w:r>
    </w:p>
    <w:p w:rsidR="00935C3C" w:rsidRPr="002D359D" w:rsidRDefault="00935C3C" w:rsidP="002D359D">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Yeban, F.I. &amp; Florendo, J.A. (2020). “PISA Financial Literacy Framework vis-à-vis</w:t>
      </w:r>
      <w:r w:rsidR="002D359D"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 xml:space="preserve">the Kto12 Mathematics and Social Studies Curricula.” In M.U. Balagtas </w:t>
      </w:r>
      <w:r w:rsidRPr="002D359D">
        <w:rPr>
          <w:rFonts w:ascii="Times New Roman" w:hAnsi="Times New Roman"/>
          <w:color w:val="000000" w:themeColor="text1"/>
          <w:sz w:val="24"/>
          <w:szCs w:val="24"/>
          <w:lang w:eastAsia="en-PH"/>
        </w:rPr>
        <w:tab/>
        <w:t xml:space="preserve">&amp; MA.C. Montealegre (Eds), Challenges of </w:t>
      </w:r>
      <w:r w:rsidRPr="002D359D">
        <w:rPr>
          <w:rFonts w:ascii="Times New Roman" w:hAnsi="Times New Roman"/>
          <w:color w:val="000000" w:themeColor="text1"/>
          <w:sz w:val="24"/>
          <w:szCs w:val="24"/>
          <w:lang w:eastAsia="en-PH"/>
        </w:rPr>
        <w:tab/>
        <w:t>PISA:</w:t>
      </w:r>
      <w:r w:rsidR="002D359D"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The</w:t>
      </w:r>
      <w:r w:rsidR="002D359D"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PNU Report (pp.228-261). Philippine Normal University and Rex Institute for Student Excellence, Inc.</w:t>
      </w:r>
    </w:p>
    <w:p w:rsidR="00175CDA" w:rsidRPr="002D359D" w:rsidRDefault="00935C3C" w:rsidP="00935C3C">
      <w:pPr>
        <w:pStyle w:val="NoSpacing"/>
        <w:numPr>
          <w:ilvl w:val="0"/>
          <w:numId w:val="9"/>
        </w:numPr>
        <w:jc w:val="both"/>
        <w:rPr>
          <w:rFonts w:ascii="Times New Roman" w:hAnsi="Times New Roman"/>
          <w:color w:val="000000" w:themeColor="text1"/>
          <w:sz w:val="24"/>
          <w:szCs w:val="24"/>
          <w:lang w:eastAsia="en-PH"/>
        </w:rPr>
      </w:pPr>
      <w:r w:rsidRPr="002D359D">
        <w:rPr>
          <w:rFonts w:ascii="Times New Roman" w:hAnsi="Times New Roman"/>
          <w:color w:val="000000" w:themeColor="text1"/>
          <w:sz w:val="24"/>
          <w:szCs w:val="24"/>
          <w:lang w:eastAsia="en-PH"/>
        </w:rPr>
        <w:t xml:space="preserve">Zainuddin, Z., et.al. (2020). “The Impact </w:t>
      </w:r>
      <w:proofErr w:type="gramStart"/>
      <w:r w:rsidRPr="002D359D">
        <w:rPr>
          <w:rFonts w:ascii="Times New Roman" w:hAnsi="Times New Roman"/>
          <w:color w:val="000000" w:themeColor="text1"/>
          <w:sz w:val="24"/>
          <w:szCs w:val="24"/>
          <w:lang w:eastAsia="en-PH"/>
        </w:rPr>
        <w:t>Of</w:t>
      </w:r>
      <w:proofErr w:type="gramEnd"/>
      <w:r w:rsidRPr="002D359D">
        <w:rPr>
          <w:rFonts w:ascii="Times New Roman" w:hAnsi="Times New Roman"/>
          <w:color w:val="000000" w:themeColor="text1"/>
          <w:sz w:val="24"/>
          <w:szCs w:val="24"/>
          <w:lang w:eastAsia="en-PH"/>
        </w:rPr>
        <w:t xml:space="preserve"> Gamification On Learning And </w:t>
      </w:r>
      <w:r w:rsidRPr="002D359D">
        <w:rPr>
          <w:rFonts w:ascii="Times New Roman" w:hAnsi="Times New Roman"/>
          <w:color w:val="000000" w:themeColor="text1"/>
          <w:sz w:val="24"/>
          <w:szCs w:val="24"/>
          <w:lang w:eastAsia="en-PH"/>
        </w:rPr>
        <w:tab/>
        <w:t>Instruction: A Systematic Review Of Empirical Evidence”. Educational Research Review, 30 100326.</w:t>
      </w:r>
      <w:r w:rsidR="002D359D" w:rsidRPr="002D359D">
        <w:rPr>
          <w:rFonts w:ascii="Times New Roman" w:hAnsi="Times New Roman"/>
          <w:color w:val="000000" w:themeColor="text1"/>
          <w:sz w:val="24"/>
          <w:szCs w:val="24"/>
          <w:lang w:eastAsia="en-PH"/>
        </w:rPr>
        <w:t xml:space="preserve"> </w:t>
      </w:r>
      <w:r w:rsidRPr="002D359D">
        <w:rPr>
          <w:rFonts w:ascii="Times New Roman" w:hAnsi="Times New Roman"/>
          <w:color w:val="000000" w:themeColor="text1"/>
          <w:sz w:val="24"/>
          <w:szCs w:val="24"/>
          <w:lang w:eastAsia="en-PH"/>
        </w:rPr>
        <w:t>https://doi.org/10.1016/j.edurev.2020.100326</w:t>
      </w:r>
    </w:p>
    <w:sectPr w:rsidR="00175CDA" w:rsidRPr="002D359D" w:rsidSect="00C3010D">
      <w:pgSz w:w="11906" w:h="16838" w:code="9"/>
      <w:pgMar w:top="1077" w:right="624" w:bottom="624" w:left="624" w:header="34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585" w:rsidRDefault="00961585" w:rsidP="00175CDA">
      <w:pPr>
        <w:spacing w:after="0" w:line="240" w:lineRule="auto"/>
      </w:pPr>
      <w:r>
        <w:separator/>
      </w:r>
    </w:p>
  </w:endnote>
  <w:endnote w:type="continuationSeparator" w:id="0">
    <w:p w:rsidR="00961585" w:rsidRDefault="00961585" w:rsidP="0017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585" w:rsidRDefault="00961585" w:rsidP="00175CDA">
      <w:pPr>
        <w:spacing w:after="0" w:line="240" w:lineRule="auto"/>
      </w:pPr>
      <w:r>
        <w:separator/>
      </w:r>
    </w:p>
  </w:footnote>
  <w:footnote w:type="continuationSeparator" w:id="0">
    <w:p w:rsidR="00961585" w:rsidRDefault="00961585" w:rsidP="00175C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6pt;height:17.6pt;visibility:visible;mso-wrap-style:square" o:bullet="t">
        <v:imagedata r:id="rId1" o:title=""/>
      </v:shape>
    </w:pict>
  </w:numPicBullet>
  <w:abstractNum w:abstractNumId="0">
    <w:nsid w:val="85A66810"/>
    <w:multiLevelType w:val="multilevel"/>
    <w:tmpl w:val="F790D184"/>
    <w:lvl w:ilvl="0">
      <w:start w:val="1"/>
      <w:numFmt w:val="decimal"/>
      <w:suff w:val="space"/>
      <w:lvlText w:val="%1."/>
      <w:lvlJc w:val="left"/>
      <w:pPr>
        <w:ind w:left="0" w:firstLine="0"/>
      </w:pPr>
      <w:rPr>
        <w:rFonts w:ascii="Bookman Old Style" w:eastAsia="Bookman Old Style" w:hAnsi="Bookman Old Style" w:cs="Bookman Old Style"/>
        <w:color w:val="auto"/>
        <w:sz w:val="24"/>
        <w:szCs w:val="24"/>
      </w:rPr>
    </w:lvl>
    <w:lvl w:ilvl="1">
      <w:start w:val="1"/>
      <w:numFmt w:val="decimal"/>
      <w:lvlText w:val="%2."/>
      <w:lvlJc w:val="left"/>
      <w:pPr>
        <w:tabs>
          <w:tab w:val="left" w:pos="1440"/>
        </w:tabs>
        <w:ind w:left="1440" w:hanging="360"/>
      </w:pPr>
      <w:rPr>
        <w:rFonts w:ascii="Times New Roman" w:eastAsia="MS Mincho" w:hAnsi="Times New Roman" w:cs="Times New Roman"/>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8715AB16"/>
    <w:multiLevelType w:val="multilevel"/>
    <w:tmpl w:val="DCE02748"/>
    <w:lvl w:ilvl="0">
      <w:start w:val="1"/>
      <w:numFmt w:val="decimal"/>
      <w:lvlText w:val="%1."/>
      <w:lvlJc w:val="left"/>
      <w:pPr>
        <w:ind w:left="360" w:hanging="360"/>
      </w:pPr>
      <w:rPr>
        <w:rFonts w:ascii="Times New Roman" w:eastAsia="Bookman Old Style" w:hAnsi="Times New Roman" w:cs="Times New Roma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DF748C6"/>
    <w:multiLevelType w:val="hybridMultilevel"/>
    <w:tmpl w:val="28BE57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35510B9"/>
    <w:multiLevelType w:val="hybridMultilevel"/>
    <w:tmpl w:val="998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8545C"/>
    <w:multiLevelType w:val="hybridMultilevel"/>
    <w:tmpl w:val="20C8077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475F4C9E"/>
    <w:multiLevelType w:val="hybridMultilevel"/>
    <w:tmpl w:val="2E6E8F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4B4B3FB5"/>
    <w:multiLevelType w:val="hybridMultilevel"/>
    <w:tmpl w:val="734CA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45791C"/>
    <w:multiLevelType w:val="hybridMultilevel"/>
    <w:tmpl w:val="E3D2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174309"/>
    <w:multiLevelType w:val="hybridMultilevel"/>
    <w:tmpl w:val="C6148752"/>
    <w:lvl w:ilvl="0" w:tplc="F40ADF16">
      <w:start w:val="1"/>
      <w:numFmt w:val="bullet"/>
      <w:lvlText w:val=""/>
      <w:lvlPicBulletId w:val="0"/>
      <w:lvlJc w:val="left"/>
      <w:pPr>
        <w:tabs>
          <w:tab w:val="num" w:pos="720"/>
        </w:tabs>
        <w:ind w:left="720" w:hanging="360"/>
      </w:pPr>
      <w:rPr>
        <w:rFonts w:ascii="Symbol" w:hAnsi="Symbol" w:hint="default"/>
      </w:rPr>
    </w:lvl>
    <w:lvl w:ilvl="1" w:tplc="F3B64864" w:tentative="1">
      <w:start w:val="1"/>
      <w:numFmt w:val="bullet"/>
      <w:lvlText w:val=""/>
      <w:lvlJc w:val="left"/>
      <w:pPr>
        <w:tabs>
          <w:tab w:val="num" w:pos="1440"/>
        </w:tabs>
        <w:ind w:left="1440" w:hanging="360"/>
      </w:pPr>
      <w:rPr>
        <w:rFonts w:ascii="Symbol" w:hAnsi="Symbol" w:hint="default"/>
      </w:rPr>
    </w:lvl>
    <w:lvl w:ilvl="2" w:tplc="93F0E140" w:tentative="1">
      <w:start w:val="1"/>
      <w:numFmt w:val="bullet"/>
      <w:lvlText w:val=""/>
      <w:lvlJc w:val="left"/>
      <w:pPr>
        <w:tabs>
          <w:tab w:val="num" w:pos="2160"/>
        </w:tabs>
        <w:ind w:left="2160" w:hanging="360"/>
      </w:pPr>
      <w:rPr>
        <w:rFonts w:ascii="Symbol" w:hAnsi="Symbol" w:hint="default"/>
      </w:rPr>
    </w:lvl>
    <w:lvl w:ilvl="3" w:tplc="F060488A" w:tentative="1">
      <w:start w:val="1"/>
      <w:numFmt w:val="bullet"/>
      <w:lvlText w:val=""/>
      <w:lvlJc w:val="left"/>
      <w:pPr>
        <w:tabs>
          <w:tab w:val="num" w:pos="2880"/>
        </w:tabs>
        <w:ind w:left="2880" w:hanging="360"/>
      </w:pPr>
      <w:rPr>
        <w:rFonts w:ascii="Symbol" w:hAnsi="Symbol" w:hint="default"/>
      </w:rPr>
    </w:lvl>
    <w:lvl w:ilvl="4" w:tplc="69E048EC" w:tentative="1">
      <w:start w:val="1"/>
      <w:numFmt w:val="bullet"/>
      <w:lvlText w:val=""/>
      <w:lvlJc w:val="left"/>
      <w:pPr>
        <w:tabs>
          <w:tab w:val="num" w:pos="3600"/>
        </w:tabs>
        <w:ind w:left="3600" w:hanging="360"/>
      </w:pPr>
      <w:rPr>
        <w:rFonts w:ascii="Symbol" w:hAnsi="Symbol" w:hint="default"/>
      </w:rPr>
    </w:lvl>
    <w:lvl w:ilvl="5" w:tplc="08D04DC6" w:tentative="1">
      <w:start w:val="1"/>
      <w:numFmt w:val="bullet"/>
      <w:lvlText w:val=""/>
      <w:lvlJc w:val="left"/>
      <w:pPr>
        <w:tabs>
          <w:tab w:val="num" w:pos="4320"/>
        </w:tabs>
        <w:ind w:left="4320" w:hanging="360"/>
      </w:pPr>
      <w:rPr>
        <w:rFonts w:ascii="Symbol" w:hAnsi="Symbol" w:hint="default"/>
      </w:rPr>
    </w:lvl>
    <w:lvl w:ilvl="6" w:tplc="3DE047FC" w:tentative="1">
      <w:start w:val="1"/>
      <w:numFmt w:val="bullet"/>
      <w:lvlText w:val=""/>
      <w:lvlJc w:val="left"/>
      <w:pPr>
        <w:tabs>
          <w:tab w:val="num" w:pos="5040"/>
        </w:tabs>
        <w:ind w:left="5040" w:hanging="360"/>
      </w:pPr>
      <w:rPr>
        <w:rFonts w:ascii="Symbol" w:hAnsi="Symbol" w:hint="default"/>
      </w:rPr>
    </w:lvl>
    <w:lvl w:ilvl="7" w:tplc="192859FE" w:tentative="1">
      <w:start w:val="1"/>
      <w:numFmt w:val="bullet"/>
      <w:lvlText w:val=""/>
      <w:lvlJc w:val="left"/>
      <w:pPr>
        <w:tabs>
          <w:tab w:val="num" w:pos="5760"/>
        </w:tabs>
        <w:ind w:left="5760" w:hanging="360"/>
      </w:pPr>
      <w:rPr>
        <w:rFonts w:ascii="Symbol" w:hAnsi="Symbol" w:hint="default"/>
      </w:rPr>
    </w:lvl>
    <w:lvl w:ilvl="8" w:tplc="CD80472A" w:tentative="1">
      <w:start w:val="1"/>
      <w:numFmt w:val="bullet"/>
      <w:lvlText w:val=""/>
      <w:lvlJc w:val="left"/>
      <w:pPr>
        <w:tabs>
          <w:tab w:val="num" w:pos="6480"/>
        </w:tabs>
        <w:ind w:left="6480" w:hanging="360"/>
      </w:pPr>
      <w:rPr>
        <w:rFonts w:ascii="Symbol" w:hAnsi="Symbol" w:hint="default"/>
      </w:rPr>
    </w:lvl>
  </w:abstractNum>
  <w:abstractNum w:abstractNumId="9">
    <w:nsid w:val="668A0343"/>
    <w:multiLevelType w:val="hybridMultilevel"/>
    <w:tmpl w:val="B3B26AFE"/>
    <w:lvl w:ilvl="0" w:tplc="7D80FB1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6"/>
  </w:num>
  <w:num w:numId="4">
    <w:abstractNumId w:val="9"/>
  </w:num>
  <w:num w:numId="5">
    <w:abstractNumId w:val="5"/>
  </w:num>
  <w:num w:numId="6">
    <w:abstractNumId w:val="2"/>
  </w:num>
  <w:num w:numId="7">
    <w:abstractNumId w:val="1"/>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16F"/>
    <w:rsid w:val="000302F2"/>
    <w:rsid w:val="00096E86"/>
    <w:rsid w:val="00133688"/>
    <w:rsid w:val="001739B0"/>
    <w:rsid w:val="00175CDA"/>
    <w:rsid w:val="001B7AEC"/>
    <w:rsid w:val="00207429"/>
    <w:rsid w:val="002573FA"/>
    <w:rsid w:val="00287769"/>
    <w:rsid w:val="002D359D"/>
    <w:rsid w:val="002E25B5"/>
    <w:rsid w:val="00360B23"/>
    <w:rsid w:val="00416357"/>
    <w:rsid w:val="00452901"/>
    <w:rsid w:val="00470F3A"/>
    <w:rsid w:val="00480E17"/>
    <w:rsid w:val="00482B96"/>
    <w:rsid w:val="004B5D09"/>
    <w:rsid w:val="004F5F3F"/>
    <w:rsid w:val="005A6F71"/>
    <w:rsid w:val="00742A53"/>
    <w:rsid w:val="007671BB"/>
    <w:rsid w:val="00800A4D"/>
    <w:rsid w:val="008250DF"/>
    <w:rsid w:val="00826976"/>
    <w:rsid w:val="008278AF"/>
    <w:rsid w:val="008E7419"/>
    <w:rsid w:val="00903478"/>
    <w:rsid w:val="00935C3C"/>
    <w:rsid w:val="00961585"/>
    <w:rsid w:val="009744A1"/>
    <w:rsid w:val="00A27F0E"/>
    <w:rsid w:val="00B67C10"/>
    <w:rsid w:val="00B858A0"/>
    <w:rsid w:val="00C3010D"/>
    <w:rsid w:val="00C51568"/>
    <w:rsid w:val="00C6138D"/>
    <w:rsid w:val="00CE116F"/>
    <w:rsid w:val="00D60BB7"/>
    <w:rsid w:val="00E265C4"/>
    <w:rsid w:val="00EB7953"/>
    <w:rsid w:val="00EC2947"/>
    <w:rsid w:val="00F11A3F"/>
    <w:rsid w:val="00F4413B"/>
    <w:rsid w:val="00FF209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Times New Roman"/>
        <w:lang w:val="en-P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16F"/>
    <w:pPr>
      <w:spacing w:after="200" w:line="276" w:lineRule="auto"/>
    </w:pPr>
    <w:rPr>
      <w:rFonts w:ascii="Calibri" w:eastAsia="Calibri" w:hAnsi="Calibri"/>
      <w:sz w:val="22"/>
      <w:szCs w:val="22"/>
      <w:lang w:val="fil-PH"/>
    </w:rPr>
  </w:style>
  <w:style w:type="paragraph" w:styleId="Heading1">
    <w:name w:val="heading 1"/>
    <w:basedOn w:val="Normal"/>
    <w:next w:val="Normal"/>
    <w:link w:val="Heading1Char"/>
    <w:uiPriority w:val="9"/>
    <w:qFormat/>
    <w:rsid w:val="00CE116F"/>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CE116F"/>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CE116F"/>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CE116F"/>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CE116F"/>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CE116F"/>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CE116F"/>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CE116F"/>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CE116F"/>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116F"/>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CE116F"/>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CE116F"/>
    <w:rPr>
      <w:rFonts w:eastAsia="Times New Roman" w:cs="Times New Roman"/>
      <w:color w:val="0F4761"/>
      <w:sz w:val="28"/>
      <w:szCs w:val="28"/>
    </w:rPr>
  </w:style>
  <w:style w:type="character" w:customStyle="1" w:styleId="Heading4Char">
    <w:name w:val="Heading 4 Char"/>
    <w:link w:val="Heading4"/>
    <w:uiPriority w:val="9"/>
    <w:semiHidden/>
    <w:rsid w:val="00CE116F"/>
    <w:rPr>
      <w:rFonts w:eastAsia="Times New Roman" w:cs="Times New Roman"/>
      <w:i/>
      <w:iCs/>
      <w:color w:val="0F4761"/>
    </w:rPr>
  </w:style>
  <w:style w:type="character" w:customStyle="1" w:styleId="Heading5Char">
    <w:name w:val="Heading 5 Char"/>
    <w:link w:val="Heading5"/>
    <w:uiPriority w:val="9"/>
    <w:semiHidden/>
    <w:rsid w:val="00CE116F"/>
    <w:rPr>
      <w:rFonts w:eastAsia="Times New Roman" w:cs="Times New Roman"/>
      <w:color w:val="0F4761"/>
    </w:rPr>
  </w:style>
  <w:style w:type="character" w:customStyle="1" w:styleId="Heading6Char">
    <w:name w:val="Heading 6 Char"/>
    <w:link w:val="Heading6"/>
    <w:uiPriority w:val="9"/>
    <w:semiHidden/>
    <w:rsid w:val="00CE116F"/>
    <w:rPr>
      <w:rFonts w:eastAsia="Times New Roman" w:cs="Times New Roman"/>
      <w:i/>
      <w:iCs/>
      <w:color w:val="595959"/>
    </w:rPr>
  </w:style>
  <w:style w:type="character" w:customStyle="1" w:styleId="Heading7Char">
    <w:name w:val="Heading 7 Char"/>
    <w:link w:val="Heading7"/>
    <w:uiPriority w:val="9"/>
    <w:semiHidden/>
    <w:rsid w:val="00CE116F"/>
    <w:rPr>
      <w:rFonts w:eastAsia="Times New Roman" w:cs="Times New Roman"/>
      <w:color w:val="595959"/>
    </w:rPr>
  </w:style>
  <w:style w:type="character" w:customStyle="1" w:styleId="Heading8Char">
    <w:name w:val="Heading 8 Char"/>
    <w:link w:val="Heading8"/>
    <w:uiPriority w:val="9"/>
    <w:semiHidden/>
    <w:rsid w:val="00CE116F"/>
    <w:rPr>
      <w:rFonts w:eastAsia="Times New Roman" w:cs="Times New Roman"/>
      <w:i/>
      <w:iCs/>
      <w:color w:val="272727"/>
    </w:rPr>
  </w:style>
  <w:style w:type="character" w:customStyle="1" w:styleId="Heading9Char">
    <w:name w:val="Heading 9 Char"/>
    <w:link w:val="Heading9"/>
    <w:uiPriority w:val="9"/>
    <w:semiHidden/>
    <w:rsid w:val="00CE116F"/>
    <w:rPr>
      <w:rFonts w:eastAsia="Times New Roman" w:cs="Times New Roman"/>
      <w:color w:val="272727"/>
    </w:rPr>
  </w:style>
  <w:style w:type="paragraph" w:styleId="Title">
    <w:name w:val="Title"/>
    <w:basedOn w:val="Normal"/>
    <w:next w:val="Normal"/>
    <w:link w:val="TitleChar"/>
    <w:uiPriority w:val="10"/>
    <w:qFormat/>
    <w:rsid w:val="00CE116F"/>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CE116F"/>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CE116F"/>
    <w:pPr>
      <w:numPr>
        <w:ilvl w:val="1"/>
      </w:numPr>
    </w:pPr>
    <w:rPr>
      <w:rFonts w:eastAsia="Times New Roman"/>
      <w:color w:val="595959"/>
      <w:spacing w:val="15"/>
      <w:sz w:val="28"/>
      <w:szCs w:val="28"/>
    </w:rPr>
  </w:style>
  <w:style w:type="character" w:customStyle="1" w:styleId="SubtitleChar">
    <w:name w:val="Subtitle Char"/>
    <w:link w:val="Subtitle"/>
    <w:uiPriority w:val="11"/>
    <w:rsid w:val="00CE116F"/>
    <w:rPr>
      <w:rFonts w:eastAsia="Times New Roman" w:cs="Times New Roman"/>
      <w:color w:val="595959"/>
      <w:spacing w:val="15"/>
      <w:sz w:val="28"/>
      <w:szCs w:val="28"/>
    </w:rPr>
  </w:style>
  <w:style w:type="paragraph" w:styleId="Quote">
    <w:name w:val="Quote"/>
    <w:basedOn w:val="Normal"/>
    <w:next w:val="Normal"/>
    <w:link w:val="QuoteChar"/>
    <w:uiPriority w:val="29"/>
    <w:qFormat/>
    <w:rsid w:val="00CE116F"/>
    <w:pPr>
      <w:spacing w:before="160"/>
      <w:jc w:val="center"/>
    </w:pPr>
    <w:rPr>
      <w:i/>
      <w:iCs/>
      <w:color w:val="404040"/>
    </w:rPr>
  </w:style>
  <w:style w:type="character" w:customStyle="1" w:styleId="QuoteChar">
    <w:name w:val="Quote Char"/>
    <w:link w:val="Quote"/>
    <w:uiPriority w:val="29"/>
    <w:rsid w:val="00CE116F"/>
    <w:rPr>
      <w:i/>
      <w:iCs/>
      <w:color w:val="404040"/>
    </w:rPr>
  </w:style>
  <w:style w:type="paragraph" w:styleId="ListParagraph">
    <w:name w:val="List Paragraph"/>
    <w:basedOn w:val="Normal"/>
    <w:uiPriority w:val="34"/>
    <w:qFormat/>
    <w:rsid w:val="00CE116F"/>
    <w:pPr>
      <w:ind w:left="720"/>
      <w:contextualSpacing/>
    </w:pPr>
  </w:style>
  <w:style w:type="character" w:styleId="IntenseEmphasis">
    <w:name w:val="Intense Emphasis"/>
    <w:uiPriority w:val="21"/>
    <w:qFormat/>
    <w:rsid w:val="00CE116F"/>
    <w:rPr>
      <w:i/>
      <w:iCs/>
      <w:color w:val="0F4761"/>
    </w:rPr>
  </w:style>
  <w:style w:type="paragraph" w:styleId="IntenseQuote">
    <w:name w:val="Intense Quote"/>
    <w:basedOn w:val="Normal"/>
    <w:next w:val="Normal"/>
    <w:link w:val="IntenseQuoteChar"/>
    <w:uiPriority w:val="30"/>
    <w:qFormat/>
    <w:rsid w:val="00CE116F"/>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CE116F"/>
    <w:rPr>
      <w:i/>
      <w:iCs/>
      <w:color w:val="0F4761"/>
    </w:rPr>
  </w:style>
  <w:style w:type="character" w:styleId="IntenseReference">
    <w:name w:val="Intense Reference"/>
    <w:uiPriority w:val="32"/>
    <w:qFormat/>
    <w:rsid w:val="00CE116F"/>
    <w:rPr>
      <w:b/>
      <w:bCs/>
      <w:smallCaps/>
      <w:color w:val="0F4761"/>
      <w:spacing w:val="5"/>
    </w:rPr>
  </w:style>
  <w:style w:type="paragraph" w:styleId="NoSpacing">
    <w:name w:val="No Spacing"/>
    <w:uiPriority w:val="1"/>
    <w:qFormat/>
    <w:rsid w:val="00CE116F"/>
    <w:rPr>
      <w:sz w:val="22"/>
      <w:szCs w:val="22"/>
      <w:lang w:val="en-US"/>
    </w:rPr>
  </w:style>
  <w:style w:type="table" w:customStyle="1" w:styleId="Style12">
    <w:name w:val="_Style 12"/>
    <w:qFormat/>
    <w:rsid w:val="00480E17"/>
    <w:rPr>
      <w:rFonts w:ascii="Times New Roman" w:eastAsia="SimSun" w:hAnsi="Times New Roman"/>
      <w:color w:val="000000"/>
      <w:lang w:eastAsia="en-PH"/>
    </w:rPr>
    <w:tblPr>
      <w:tblCellMar>
        <w:top w:w="0" w:type="dxa"/>
        <w:left w:w="108" w:type="dxa"/>
        <w:bottom w:w="0" w:type="dxa"/>
        <w:right w:w="108" w:type="dxa"/>
      </w:tblCellMar>
    </w:tblPr>
    <w:tcPr>
      <w:shd w:val="clear" w:color="auto" w:fill="D9E2F3"/>
    </w:tcPr>
  </w:style>
  <w:style w:type="paragraph" w:styleId="Header">
    <w:name w:val="header"/>
    <w:basedOn w:val="Normal"/>
    <w:link w:val="HeaderChar"/>
    <w:uiPriority w:val="99"/>
    <w:unhideWhenUsed/>
    <w:rsid w:val="00175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CDA"/>
    <w:rPr>
      <w:rFonts w:ascii="Calibri" w:eastAsia="Calibri" w:hAnsi="Calibri"/>
      <w:sz w:val="22"/>
      <w:szCs w:val="22"/>
      <w:lang w:val="fil-PH"/>
    </w:rPr>
  </w:style>
  <w:style w:type="paragraph" w:styleId="Footer">
    <w:name w:val="footer"/>
    <w:basedOn w:val="Normal"/>
    <w:link w:val="FooterChar"/>
    <w:uiPriority w:val="99"/>
    <w:unhideWhenUsed/>
    <w:rsid w:val="00175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CDA"/>
    <w:rPr>
      <w:rFonts w:ascii="Calibri" w:eastAsia="Calibri" w:hAnsi="Calibri"/>
      <w:sz w:val="22"/>
      <w:szCs w:val="22"/>
      <w:lang w:val="fil-PH"/>
    </w:rPr>
  </w:style>
  <w:style w:type="character" w:styleId="Hyperlink">
    <w:name w:val="Hyperlink"/>
    <w:basedOn w:val="DefaultParagraphFont"/>
    <w:uiPriority w:val="99"/>
    <w:unhideWhenUsed/>
    <w:rsid w:val="009744A1"/>
    <w:rPr>
      <w:color w:val="467886" w:themeColor="hyperlink"/>
      <w:u w:val="single"/>
    </w:rPr>
  </w:style>
  <w:style w:type="character" w:customStyle="1" w:styleId="UnresolvedMention">
    <w:name w:val="Unresolved Mention"/>
    <w:basedOn w:val="DefaultParagraphFont"/>
    <w:uiPriority w:val="99"/>
    <w:semiHidden/>
    <w:unhideWhenUsed/>
    <w:rsid w:val="009744A1"/>
    <w:rPr>
      <w:color w:val="605E5C"/>
      <w:shd w:val="clear" w:color="auto" w:fill="E1DFDD"/>
    </w:rPr>
  </w:style>
  <w:style w:type="paragraph" w:styleId="NormalWeb">
    <w:name w:val="Normal (Web)"/>
    <w:basedOn w:val="Normal"/>
    <w:uiPriority w:val="99"/>
    <w:unhideWhenUsed/>
    <w:qFormat/>
    <w:rsid w:val="002573FA"/>
    <w:pPr>
      <w:spacing w:before="100" w:beforeAutospacing="1" w:after="100" w:afterAutospacing="1" w:line="240" w:lineRule="auto"/>
    </w:pPr>
    <w:rPr>
      <w:rFonts w:ascii="Times New Roman" w:eastAsia="Times New Roman" w:hAnsi="Times New Roman"/>
      <w:sz w:val="24"/>
      <w:szCs w:val="24"/>
      <w:lang w:val="en-PH" w:eastAsia="en-PH"/>
    </w:rPr>
  </w:style>
  <w:style w:type="table" w:styleId="TableGrid">
    <w:name w:val="Table Grid"/>
    <w:basedOn w:val="TableNormal"/>
    <w:uiPriority w:val="39"/>
    <w:qFormat/>
    <w:rsid w:val="002D359D"/>
    <w:rPr>
      <w:rFonts w:asciiTheme="minorHAnsi" w:eastAsiaTheme="minorHAnsi" w:hAnsiTheme="minorHAnsi" w:cstheme="minorBid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Times New Roman"/>
        <w:lang w:val="en-P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16F"/>
    <w:pPr>
      <w:spacing w:after="200" w:line="276" w:lineRule="auto"/>
    </w:pPr>
    <w:rPr>
      <w:rFonts w:ascii="Calibri" w:eastAsia="Calibri" w:hAnsi="Calibri"/>
      <w:sz w:val="22"/>
      <w:szCs w:val="22"/>
      <w:lang w:val="fil-PH"/>
    </w:rPr>
  </w:style>
  <w:style w:type="paragraph" w:styleId="Heading1">
    <w:name w:val="heading 1"/>
    <w:basedOn w:val="Normal"/>
    <w:next w:val="Normal"/>
    <w:link w:val="Heading1Char"/>
    <w:uiPriority w:val="9"/>
    <w:qFormat/>
    <w:rsid w:val="00CE116F"/>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CE116F"/>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CE116F"/>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CE116F"/>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CE116F"/>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CE116F"/>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CE116F"/>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CE116F"/>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CE116F"/>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116F"/>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CE116F"/>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CE116F"/>
    <w:rPr>
      <w:rFonts w:eastAsia="Times New Roman" w:cs="Times New Roman"/>
      <w:color w:val="0F4761"/>
      <w:sz w:val="28"/>
      <w:szCs w:val="28"/>
    </w:rPr>
  </w:style>
  <w:style w:type="character" w:customStyle="1" w:styleId="Heading4Char">
    <w:name w:val="Heading 4 Char"/>
    <w:link w:val="Heading4"/>
    <w:uiPriority w:val="9"/>
    <w:semiHidden/>
    <w:rsid w:val="00CE116F"/>
    <w:rPr>
      <w:rFonts w:eastAsia="Times New Roman" w:cs="Times New Roman"/>
      <w:i/>
      <w:iCs/>
      <w:color w:val="0F4761"/>
    </w:rPr>
  </w:style>
  <w:style w:type="character" w:customStyle="1" w:styleId="Heading5Char">
    <w:name w:val="Heading 5 Char"/>
    <w:link w:val="Heading5"/>
    <w:uiPriority w:val="9"/>
    <w:semiHidden/>
    <w:rsid w:val="00CE116F"/>
    <w:rPr>
      <w:rFonts w:eastAsia="Times New Roman" w:cs="Times New Roman"/>
      <w:color w:val="0F4761"/>
    </w:rPr>
  </w:style>
  <w:style w:type="character" w:customStyle="1" w:styleId="Heading6Char">
    <w:name w:val="Heading 6 Char"/>
    <w:link w:val="Heading6"/>
    <w:uiPriority w:val="9"/>
    <w:semiHidden/>
    <w:rsid w:val="00CE116F"/>
    <w:rPr>
      <w:rFonts w:eastAsia="Times New Roman" w:cs="Times New Roman"/>
      <w:i/>
      <w:iCs/>
      <w:color w:val="595959"/>
    </w:rPr>
  </w:style>
  <w:style w:type="character" w:customStyle="1" w:styleId="Heading7Char">
    <w:name w:val="Heading 7 Char"/>
    <w:link w:val="Heading7"/>
    <w:uiPriority w:val="9"/>
    <w:semiHidden/>
    <w:rsid w:val="00CE116F"/>
    <w:rPr>
      <w:rFonts w:eastAsia="Times New Roman" w:cs="Times New Roman"/>
      <w:color w:val="595959"/>
    </w:rPr>
  </w:style>
  <w:style w:type="character" w:customStyle="1" w:styleId="Heading8Char">
    <w:name w:val="Heading 8 Char"/>
    <w:link w:val="Heading8"/>
    <w:uiPriority w:val="9"/>
    <w:semiHidden/>
    <w:rsid w:val="00CE116F"/>
    <w:rPr>
      <w:rFonts w:eastAsia="Times New Roman" w:cs="Times New Roman"/>
      <w:i/>
      <w:iCs/>
      <w:color w:val="272727"/>
    </w:rPr>
  </w:style>
  <w:style w:type="character" w:customStyle="1" w:styleId="Heading9Char">
    <w:name w:val="Heading 9 Char"/>
    <w:link w:val="Heading9"/>
    <w:uiPriority w:val="9"/>
    <w:semiHidden/>
    <w:rsid w:val="00CE116F"/>
    <w:rPr>
      <w:rFonts w:eastAsia="Times New Roman" w:cs="Times New Roman"/>
      <w:color w:val="272727"/>
    </w:rPr>
  </w:style>
  <w:style w:type="paragraph" w:styleId="Title">
    <w:name w:val="Title"/>
    <w:basedOn w:val="Normal"/>
    <w:next w:val="Normal"/>
    <w:link w:val="TitleChar"/>
    <w:uiPriority w:val="10"/>
    <w:qFormat/>
    <w:rsid w:val="00CE116F"/>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CE116F"/>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CE116F"/>
    <w:pPr>
      <w:numPr>
        <w:ilvl w:val="1"/>
      </w:numPr>
    </w:pPr>
    <w:rPr>
      <w:rFonts w:eastAsia="Times New Roman"/>
      <w:color w:val="595959"/>
      <w:spacing w:val="15"/>
      <w:sz w:val="28"/>
      <w:szCs w:val="28"/>
    </w:rPr>
  </w:style>
  <w:style w:type="character" w:customStyle="1" w:styleId="SubtitleChar">
    <w:name w:val="Subtitle Char"/>
    <w:link w:val="Subtitle"/>
    <w:uiPriority w:val="11"/>
    <w:rsid w:val="00CE116F"/>
    <w:rPr>
      <w:rFonts w:eastAsia="Times New Roman" w:cs="Times New Roman"/>
      <w:color w:val="595959"/>
      <w:spacing w:val="15"/>
      <w:sz w:val="28"/>
      <w:szCs w:val="28"/>
    </w:rPr>
  </w:style>
  <w:style w:type="paragraph" w:styleId="Quote">
    <w:name w:val="Quote"/>
    <w:basedOn w:val="Normal"/>
    <w:next w:val="Normal"/>
    <w:link w:val="QuoteChar"/>
    <w:uiPriority w:val="29"/>
    <w:qFormat/>
    <w:rsid w:val="00CE116F"/>
    <w:pPr>
      <w:spacing w:before="160"/>
      <w:jc w:val="center"/>
    </w:pPr>
    <w:rPr>
      <w:i/>
      <w:iCs/>
      <w:color w:val="404040"/>
    </w:rPr>
  </w:style>
  <w:style w:type="character" w:customStyle="1" w:styleId="QuoteChar">
    <w:name w:val="Quote Char"/>
    <w:link w:val="Quote"/>
    <w:uiPriority w:val="29"/>
    <w:rsid w:val="00CE116F"/>
    <w:rPr>
      <w:i/>
      <w:iCs/>
      <w:color w:val="404040"/>
    </w:rPr>
  </w:style>
  <w:style w:type="paragraph" w:styleId="ListParagraph">
    <w:name w:val="List Paragraph"/>
    <w:basedOn w:val="Normal"/>
    <w:uiPriority w:val="34"/>
    <w:qFormat/>
    <w:rsid w:val="00CE116F"/>
    <w:pPr>
      <w:ind w:left="720"/>
      <w:contextualSpacing/>
    </w:pPr>
  </w:style>
  <w:style w:type="character" w:styleId="IntenseEmphasis">
    <w:name w:val="Intense Emphasis"/>
    <w:uiPriority w:val="21"/>
    <w:qFormat/>
    <w:rsid w:val="00CE116F"/>
    <w:rPr>
      <w:i/>
      <w:iCs/>
      <w:color w:val="0F4761"/>
    </w:rPr>
  </w:style>
  <w:style w:type="paragraph" w:styleId="IntenseQuote">
    <w:name w:val="Intense Quote"/>
    <w:basedOn w:val="Normal"/>
    <w:next w:val="Normal"/>
    <w:link w:val="IntenseQuoteChar"/>
    <w:uiPriority w:val="30"/>
    <w:qFormat/>
    <w:rsid w:val="00CE116F"/>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CE116F"/>
    <w:rPr>
      <w:i/>
      <w:iCs/>
      <w:color w:val="0F4761"/>
    </w:rPr>
  </w:style>
  <w:style w:type="character" w:styleId="IntenseReference">
    <w:name w:val="Intense Reference"/>
    <w:uiPriority w:val="32"/>
    <w:qFormat/>
    <w:rsid w:val="00CE116F"/>
    <w:rPr>
      <w:b/>
      <w:bCs/>
      <w:smallCaps/>
      <w:color w:val="0F4761"/>
      <w:spacing w:val="5"/>
    </w:rPr>
  </w:style>
  <w:style w:type="paragraph" w:styleId="NoSpacing">
    <w:name w:val="No Spacing"/>
    <w:uiPriority w:val="1"/>
    <w:qFormat/>
    <w:rsid w:val="00CE116F"/>
    <w:rPr>
      <w:sz w:val="22"/>
      <w:szCs w:val="22"/>
      <w:lang w:val="en-US"/>
    </w:rPr>
  </w:style>
  <w:style w:type="table" w:customStyle="1" w:styleId="Style12">
    <w:name w:val="_Style 12"/>
    <w:qFormat/>
    <w:rsid w:val="00480E17"/>
    <w:rPr>
      <w:rFonts w:ascii="Times New Roman" w:eastAsia="SimSun" w:hAnsi="Times New Roman"/>
      <w:color w:val="000000"/>
      <w:lang w:eastAsia="en-PH"/>
    </w:rPr>
    <w:tblPr>
      <w:tblCellMar>
        <w:top w:w="0" w:type="dxa"/>
        <w:left w:w="108" w:type="dxa"/>
        <w:bottom w:w="0" w:type="dxa"/>
        <w:right w:w="108" w:type="dxa"/>
      </w:tblCellMar>
    </w:tblPr>
    <w:tcPr>
      <w:shd w:val="clear" w:color="auto" w:fill="D9E2F3"/>
    </w:tcPr>
  </w:style>
  <w:style w:type="paragraph" w:styleId="Header">
    <w:name w:val="header"/>
    <w:basedOn w:val="Normal"/>
    <w:link w:val="HeaderChar"/>
    <w:uiPriority w:val="99"/>
    <w:unhideWhenUsed/>
    <w:rsid w:val="00175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CDA"/>
    <w:rPr>
      <w:rFonts w:ascii="Calibri" w:eastAsia="Calibri" w:hAnsi="Calibri"/>
      <w:sz w:val="22"/>
      <w:szCs w:val="22"/>
      <w:lang w:val="fil-PH"/>
    </w:rPr>
  </w:style>
  <w:style w:type="paragraph" w:styleId="Footer">
    <w:name w:val="footer"/>
    <w:basedOn w:val="Normal"/>
    <w:link w:val="FooterChar"/>
    <w:uiPriority w:val="99"/>
    <w:unhideWhenUsed/>
    <w:rsid w:val="00175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CDA"/>
    <w:rPr>
      <w:rFonts w:ascii="Calibri" w:eastAsia="Calibri" w:hAnsi="Calibri"/>
      <w:sz w:val="22"/>
      <w:szCs w:val="22"/>
      <w:lang w:val="fil-PH"/>
    </w:rPr>
  </w:style>
  <w:style w:type="character" w:styleId="Hyperlink">
    <w:name w:val="Hyperlink"/>
    <w:basedOn w:val="DefaultParagraphFont"/>
    <w:uiPriority w:val="99"/>
    <w:unhideWhenUsed/>
    <w:rsid w:val="009744A1"/>
    <w:rPr>
      <w:color w:val="467886" w:themeColor="hyperlink"/>
      <w:u w:val="single"/>
    </w:rPr>
  </w:style>
  <w:style w:type="character" w:customStyle="1" w:styleId="UnresolvedMention">
    <w:name w:val="Unresolved Mention"/>
    <w:basedOn w:val="DefaultParagraphFont"/>
    <w:uiPriority w:val="99"/>
    <w:semiHidden/>
    <w:unhideWhenUsed/>
    <w:rsid w:val="009744A1"/>
    <w:rPr>
      <w:color w:val="605E5C"/>
      <w:shd w:val="clear" w:color="auto" w:fill="E1DFDD"/>
    </w:rPr>
  </w:style>
  <w:style w:type="paragraph" w:styleId="NormalWeb">
    <w:name w:val="Normal (Web)"/>
    <w:basedOn w:val="Normal"/>
    <w:uiPriority w:val="99"/>
    <w:unhideWhenUsed/>
    <w:qFormat/>
    <w:rsid w:val="002573FA"/>
    <w:pPr>
      <w:spacing w:before="100" w:beforeAutospacing="1" w:after="100" w:afterAutospacing="1" w:line="240" w:lineRule="auto"/>
    </w:pPr>
    <w:rPr>
      <w:rFonts w:ascii="Times New Roman" w:eastAsia="Times New Roman" w:hAnsi="Times New Roman"/>
      <w:sz w:val="24"/>
      <w:szCs w:val="24"/>
      <w:lang w:val="en-PH" w:eastAsia="en-PH"/>
    </w:rPr>
  </w:style>
  <w:style w:type="table" w:styleId="TableGrid">
    <w:name w:val="Table Grid"/>
    <w:basedOn w:val="TableNormal"/>
    <w:uiPriority w:val="39"/>
    <w:qFormat/>
    <w:rsid w:val="002D359D"/>
    <w:rPr>
      <w:rFonts w:asciiTheme="minorHAnsi" w:eastAsiaTheme="minorHAnsi" w:hAnsiTheme="minorHAnsi" w:cstheme="minorBid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3169</Words>
  <Characters>18068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 Garcia</dc:creator>
  <cp:keywords/>
  <dc:description/>
  <cp:lastModifiedBy>qwert</cp:lastModifiedBy>
  <cp:revision>10</cp:revision>
  <dcterms:created xsi:type="dcterms:W3CDTF">2026-04-06T09:48:00Z</dcterms:created>
  <dcterms:modified xsi:type="dcterms:W3CDTF">2026-05-14T07:54:00Z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1006f141-433a-4e9a-a933-988fdbeb6363</vt:lpwstr>
  </property>
</Properties>
</file>