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12E6" w14:textId="77777777" w:rsidR="00343AF2" w:rsidRDefault="00343AF2" w:rsidP="00343AF2">
      <w:pPr>
        <w:jc w:val="center"/>
        <w:rPr>
          <w:rFonts w:ascii="Times New Roman" w:hAnsi="Times New Roman" w:cs="Times New Roman"/>
          <w:b/>
          <w:bCs/>
          <w:sz w:val="36"/>
          <w:szCs w:val="36"/>
        </w:rPr>
      </w:pPr>
      <w:r w:rsidRPr="00343AF2">
        <w:rPr>
          <w:rFonts w:ascii="Times New Roman" w:hAnsi="Times New Roman" w:cs="Times New Roman"/>
          <w:b/>
          <w:bCs/>
          <w:sz w:val="36"/>
          <w:szCs w:val="36"/>
        </w:rPr>
        <w:t>BYTE-SIZED LEARNING: USING SHORT-FORM EDUCATIONAL VIDEOS TO ENHANCE STUDENTS’ SPEAKING FLUENCY AND ORAL VOCABULARY</w:t>
      </w:r>
    </w:p>
    <w:p w14:paraId="3D651BCF" w14:textId="77777777" w:rsidR="00964F87" w:rsidRDefault="00964F87" w:rsidP="00201E3A">
      <w:pPr>
        <w:rPr>
          <w:rFonts w:ascii="Times New Roman" w:hAnsi="Times New Roman" w:cs="Times New Roman"/>
          <w:b/>
          <w:bCs/>
          <w:sz w:val="28"/>
          <w:szCs w:val="28"/>
        </w:rPr>
      </w:pPr>
      <w:bookmarkStart w:id="0" w:name="_GoBack"/>
      <w:bookmarkEnd w:id="0"/>
    </w:p>
    <w:p w14:paraId="222268CD" w14:textId="279FED73" w:rsidR="00343AF2" w:rsidRPr="00201E3A" w:rsidRDefault="00E96194" w:rsidP="00201E3A">
      <w:pPr>
        <w:rPr>
          <w:rFonts w:ascii="Times New Roman" w:eastAsia="Aptos" w:hAnsi="Times New Roman" w:cs="Times New Roman"/>
          <w:b/>
          <w:bCs/>
          <w:kern w:val="0"/>
          <w14:ligatures w14:val="none"/>
        </w:rPr>
      </w:pPr>
      <w:r w:rsidRPr="00635FD5">
        <w:rPr>
          <w:rFonts w:ascii="Times New Roman" w:hAnsi="Times New Roman" w:cs="Times New Roman"/>
          <w:b/>
          <w:bCs/>
          <w:sz w:val="28"/>
          <w:szCs w:val="28"/>
        </w:rPr>
        <w:t>ABSTRAC</w:t>
      </w:r>
      <w:r w:rsidR="00635FD5" w:rsidRPr="00635FD5">
        <w:rPr>
          <w:rFonts w:ascii="Times New Roman" w:hAnsi="Times New Roman" w:cs="Times New Roman"/>
          <w:b/>
          <w:bCs/>
          <w:sz w:val="28"/>
          <w:szCs w:val="28"/>
        </w:rPr>
        <w:t>T</w:t>
      </w:r>
    </w:p>
    <w:p w14:paraId="2A6274F0" w14:textId="44180068" w:rsidR="00635FD5" w:rsidRDefault="00635FD5" w:rsidP="00635FD5">
      <w:pPr>
        <w:jc w:val="both"/>
        <w:rPr>
          <w:rFonts w:ascii="Times New Roman" w:hAnsi="Times New Roman" w:cs="Times New Roman"/>
        </w:rPr>
      </w:pPr>
      <w:r w:rsidRPr="00635FD5">
        <w:rPr>
          <w:rFonts w:ascii="Times New Roman" w:hAnsi="Times New Roman" w:cs="Times New Roman"/>
        </w:rPr>
        <w:t>Today, many students spend a lot of time scrolling through social media watching Short Form Videos (SFVs). However, despite this, they often find it hard to speak up or share their ideas clearly in class. Even though these students are in senior high school, they still struggle to express themselves and often hesitate when speaking. This classroom-based action research investigated whether Short Form Videos (SFVs) can be utilized to help the 22 Grade 11 students at Malinao National High School improve their speaking abilities.  The researchers executed a 10-day intervention following the cyclical model of Kemmis and McTaggart, which use only four teacher-created SFVs to provide a functional “English Frame” while protecting the students from cognitive overload. The study collected quantitative data through pre-test and post-test assessment, which the researcher used to conduct a paired sample t-test analysis, and was further supported by a qualitative analysis of students’ audio transcripts. Findings revealed a significant improvement in oral performance where the class means increased from 2.55 to 3.22 (</w:t>
      </w:r>
      <w:r w:rsidRPr="00635FD5">
        <w:rPr>
          <w:rFonts w:ascii="Times New Roman" w:hAnsi="Times New Roman" w:cs="Times New Roman"/>
          <w:i/>
          <w:iCs/>
        </w:rPr>
        <w:t>t</w:t>
      </w:r>
      <w:r w:rsidRPr="00635FD5">
        <w:rPr>
          <w:rFonts w:ascii="Times New Roman" w:hAnsi="Times New Roman" w:cs="Times New Roman"/>
        </w:rPr>
        <w:t xml:space="preserve">=5.29, </w:t>
      </w:r>
      <w:r w:rsidRPr="00635FD5">
        <w:rPr>
          <w:rFonts w:ascii="Times New Roman" w:hAnsi="Times New Roman" w:cs="Times New Roman"/>
          <w:i/>
          <w:iCs/>
        </w:rPr>
        <w:t>p</w:t>
      </w:r>
      <w:r w:rsidRPr="00635FD5">
        <w:rPr>
          <w:rFonts w:ascii="Times New Roman" w:hAnsi="Times New Roman" w:cs="Times New Roman"/>
        </w:rPr>
        <w:t xml:space="preserve"> &lt; 0.001). The Linguistic analysis demonstrated that there was less “dead air” time while speakers used transitional words like “First” and “After that,” yet still showing code-switching from their mother tongue, but now it has better control over speech flow and organization of ideas. The research concludes that SFVs function as cognitive anchors that help students reduce anxiety while they are repurposing their digital habits. The study suggests that educators should utilize SFVs as purposeful educational resources that help students transition from their media consumption to academic communication.</w:t>
      </w:r>
    </w:p>
    <w:p w14:paraId="3403951D" w14:textId="77777777" w:rsidR="00635FD5" w:rsidRDefault="00635FD5" w:rsidP="00635FD5">
      <w:pPr>
        <w:spacing w:line="360" w:lineRule="auto"/>
        <w:jc w:val="both"/>
        <w:rPr>
          <w:rFonts w:ascii="Times New Roman" w:eastAsia="Aptos" w:hAnsi="Times New Roman" w:cs="Times New Roman"/>
        </w:rPr>
      </w:pPr>
      <w:r w:rsidRPr="00635FD5">
        <w:rPr>
          <w:rFonts w:ascii="Times New Roman" w:eastAsia="Aptos" w:hAnsi="Times New Roman" w:cs="Times New Roman"/>
          <w:b/>
          <w:bCs/>
        </w:rPr>
        <w:t>Keywords:</w:t>
      </w:r>
      <w:r w:rsidRPr="00635FD5">
        <w:rPr>
          <w:rFonts w:ascii="Times New Roman" w:eastAsia="Aptos" w:hAnsi="Times New Roman" w:cs="Times New Roman"/>
        </w:rPr>
        <w:t xml:space="preserve"> Short-form educational videos (SFVs), Speaking fluency, Oral vocabulary, Classroom-based action research (CBAR)</w:t>
      </w:r>
    </w:p>
    <w:p w14:paraId="4AC7E0EB" w14:textId="0690B770" w:rsidR="00635FD5" w:rsidRDefault="00635FD5" w:rsidP="00635FD5">
      <w:pPr>
        <w:spacing w:line="360" w:lineRule="auto"/>
        <w:jc w:val="both"/>
        <w:rPr>
          <w:rFonts w:ascii="Times New Roman" w:eastAsia="Aptos" w:hAnsi="Times New Roman" w:cs="Times New Roman"/>
          <w:b/>
          <w:bCs/>
          <w:sz w:val="28"/>
          <w:szCs w:val="28"/>
        </w:rPr>
      </w:pPr>
      <w:r>
        <w:rPr>
          <w:rFonts w:ascii="Times New Roman" w:eastAsia="Aptos" w:hAnsi="Times New Roman" w:cs="Times New Roman"/>
          <w:b/>
          <w:bCs/>
          <w:sz w:val="28"/>
          <w:szCs w:val="28"/>
        </w:rPr>
        <w:t>INTRODUCTION</w:t>
      </w:r>
    </w:p>
    <w:p w14:paraId="5329FCAC" w14:textId="25146AF2"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Digital transformation has redefined the contemporary learning experience, immersing students in fast-paced multimedia content through Short-Form Video (SFV) platforms such as TikTok, Facebook Reels, and YouTube Shorts. Despite high levels of digital engagement, a "silence gap" persists in the academic setting; students often possess receptive language understanding but struggle with productive fluency and spontaneous oral expression. This research explores the potential of SFVs not merely as entertainment, but as "structural anchors" designed to bridge the gap between passive media consumption and active academic discourse.</w:t>
      </w:r>
    </w:p>
    <w:p w14:paraId="0CCF24FC" w14:textId="32A70EC2"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 xml:space="preserve">The educational utility of SFVs is grounded in their ability to deliver highly visual, condensed information that mirrors authentic language use </w:t>
      </w:r>
      <w:r w:rsidR="008630CD">
        <w:rPr>
          <w:rFonts w:ascii="Times New Roman" w:eastAsia="Aptos" w:hAnsi="Times New Roman" w:cs="Times New Roman"/>
        </w:rPr>
        <w:t>[13]</w:t>
      </w:r>
      <w:r w:rsidRPr="00AA6412">
        <w:rPr>
          <w:rFonts w:ascii="Times New Roman" w:eastAsia="Aptos" w:hAnsi="Times New Roman" w:cs="Times New Roman"/>
        </w:rPr>
        <w:t xml:space="preserve">. Existing literature suggests that video segments under six minutes provide an optimal duration for information processing, enabling students to internalize vocabulary and grammar through natural exposure </w:t>
      </w:r>
      <w:r w:rsidR="008630CD">
        <w:rPr>
          <w:rFonts w:ascii="Times New Roman" w:eastAsia="Aptos" w:hAnsi="Times New Roman" w:cs="Times New Roman"/>
        </w:rPr>
        <w:t>[1][22]</w:t>
      </w:r>
      <w:r w:rsidRPr="00AA6412">
        <w:rPr>
          <w:rFonts w:ascii="Times New Roman" w:eastAsia="Aptos" w:hAnsi="Times New Roman" w:cs="Times New Roman"/>
        </w:rPr>
        <w:t xml:space="preserve">. Furthermore, platforms with interactive features have been shown to facilitate vocabulary acquisition through recursive exposure </w:t>
      </w:r>
      <w:r w:rsidR="008630CD">
        <w:rPr>
          <w:rFonts w:ascii="Times New Roman" w:eastAsia="Aptos" w:hAnsi="Times New Roman" w:cs="Times New Roman"/>
        </w:rPr>
        <w:t>[14]</w:t>
      </w:r>
      <w:r w:rsidRPr="00AA6412">
        <w:rPr>
          <w:rFonts w:ascii="Times New Roman" w:eastAsia="Aptos" w:hAnsi="Times New Roman" w:cs="Times New Roman"/>
        </w:rPr>
        <w:t>.</w:t>
      </w:r>
    </w:p>
    <w:p w14:paraId="01CA8A81" w14:textId="77777777" w:rsidR="00AA6412" w:rsidRPr="00AA6412" w:rsidRDefault="00AA6412" w:rsidP="00AA6412">
      <w:pPr>
        <w:spacing w:line="240" w:lineRule="auto"/>
        <w:jc w:val="both"/>
        <w:rPr>
          <w:rFonts w:ascii="Times New Roman" w:eastAsia="Aptos" w:hAnsi="Times New Roman" w:cs="Times New Roman"/>
        </w:rPr>
      </w:pPr>
    </w:p>
    <w:p w14:paraId="1A0C3D5B" w14:textId="5ED80AE1"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t xml:space="preserve">However, excessive consumption of short-form content presents risks, including fragmented learning and academic procrastination </w:t>
      </w:r>
      <w:r w:rsidR="008630CD">
        <w:rPr>
          <w:rFonts w:ascii="Times New Roman" w:eastAsia="Aptos" w:hAnsi="Times New Roman" w:cs="Times New Roman"/>
        </w:rPr>
        <w:t>[4][21]</w:t>
      </w:r>
      <w:r w:rsidRPr="00AA6412">
        <w:rPr>
          <w:rFonts w:ascii="Times New Roman" w:eastAsia="Aptos" w:hAnsi="Times New Roman" w:cs="Times New Roman"/>
        </w:rPr>
        <w:t xml:space="preserve">. Critics argue that SFVs often lack the structural depth required for advanced grammatical mastery, leading to a cycle of "passive consumption" where students view content without deep comprehension </w:t>
      </w:r>
      <w:r w:rsidR="008630CD">
        <w:rPr>
          <w:rFonts w:ascii="Times New Roman" w:eastAsia="Aptos" w:hAnsi="Times New Roman" w:cs="Times New Roman"/>
        </w:rPr>
        <w:t>[10][7]</w:t>
      </w:r>
      <w:r w:rsidRPr="00AA6412">
        <w:rPr>
          <w:rFonts w:ascii="Times New Roman" w:eastAsia="Aptos" w:hAnsi="Times New Roman" w:cs="Times New Roman"/>
        </w:rPr>
        <w:t>. Consequently, the challenge for educators is to move beyond general observation and determine how these tools can be repurposed as purposeful pedagogical bridges.</w:t>
      </w:r>
    </w:p>
    <w:p w14:paraId="5D6BCD4F" w14:textId="57029884" w:rsidR="00AA6412" w:rsidRPr="00AA6412" w:rsidRDefault="00AA6412" w:rsidP="00AA6412">
      <w:pPr>
        <w:spacing w:line="240" w:lineRule="auto"/>
        <w:jc w:val="both"/>
        <w:rPr>
          <w:rFonts w:ascii="Times New Roman" w:eastAsia="Aptos" w:hAnsi="Times New Roman" w:cs="Times New Roman"/>
        </w:rPr>
      </w:pPr>
      <w:r w:rsidRPr="00AA6412">
        <w:rPr>
          <w:rFonts w:ascii="Times New Roman" w:eastAsia="Aptos" w:hAnsi="Times New Roman" w:cs="Times New Roman"/>
        </w:rPr>
        <w:lastRenderedPageBreak/>
        <w:t xml:space="preserve">In the Philippines, which ranks among the highest in global social media usage </w:t>
      </w:r>
      <w:r w:rsidR="008630CD">
        <w:rPr>
          <w:rFonts w:ascii="Times New Roman" w:eastAsia="Aptos" w:hAnsi="Times New Roman" w:cs="Times New Roman"/>
        </w:rPr>
        <w:t>[15]</w:t>
      </w:r>
      <w:r w:rsidRPr="00AA6412">
        <w:rPr>
          <w:rFonts w:ascii="Times New Roman" w:eastAsia="Aptos" w:hAnsi="Times New Roman" w:cs="Times New Roman"/>
        </w:rPr>
        <w:t>, this digital-academic tension is particularly acute. Senior High School students frequently experience high speaking anxiety and a lack of "linguistic scaffolding" during classroom discussions. While global research on online education is extensive, there remains a significant lack of action research focusing on the use of teacher-created SFVs within actual classroom conditions to mitigate speaking anxiety.</w:t>
      </w:r>
    </w:p>
    <w:p w14:paraId="5E0B4AFF" w14:textId="0BB039A7" w:rsidR="00635FD5" w:rsidRPr="00AA6412" w:rsidRDefault="00AA6412" w:rsidP="00A32A58">
      <w:pPr>
        <w:spacing w:line="240" w:lineRule="auto"/>
        <w:jc w:val="both"/>
        <w:rPr>
          <w:rFonts w:ascii="Times New Roman" w:eastAsia="Aptos" w:hAnsi="Times New Roman" w:cs="Times New Roman"/>
        </w:rPr>
      </w:pPr>
      <w:r w:rsidRPr="00AA6412">
        <w:rPr>
          <w:rFonts w:ascii="Times New Roman" w:eastAsia="Aptos" w:hAnsi="Times New Roman" w:cs="Times New Roman"/>
        </w:rPr>
        <w:t>This study addresses this gap by investigating the effectiveness of SFVs as scheduled, scaffolded educational materials. By integrating "English Frames" with repeated instructional priming, the research provides a practical framework for transforming digital habits into academic competencies. The findings offer evidence-based insights for curriculum developers seeking to integrate traditional pedagogy with emerging digital tools, ensuring that pedagogical depth remains at the heart of the modern classroom.</w:t>
      </w:r>
    </w:p>
    <w:p w14:paraId="10875920" w14:textId="24AE232B" w:rsidR="00AA6412" w:rsidRPr="00AA6412" w:rsidRDefault="00AA6412" w:rsidP="00AA6412">
      <w:pPr>
        <w:spacing w:line="240" w:lineRule="auto"/>
        <w:jc w:val="both"/>
        <w:rPr>
          <w:rFonts w:ascii="Times New Roman" w:eastAsia="Aptos" w:hAnsi="Times New Roman" w:cs="Times New Roman"/>
          <w:b/>
          <w:bCs/>
        </w:rPr>
      </w:pPr>
      <w:r w:rsidRPr="00AA6412">
        <w:rPr>
          <w:rFonts w:ascii="Times New Roman" w:eastAsia="Aptos" w:hAnsi="Times New Roman" w:cs="Times New Roman"/>
          <w:b/>
          <w:bCs/>
        </w:rPr>
        <w:t>Research Questions</w:t>
      </w:r>
    </w:p>
    <w:p w14:paraId="233D0A7D" w14:textId="3372DAD8" w:rsidR="00635FD5" w:rsidRPr="00AA6412" w:rsidRDefault="00AA6412" w:rsidP="00A32A58">
      <w:pPr>
        <w:spacing w:line="240" w:lineRule="auto"/>
        <w:jc w:val="both"/>
        <w:rPr>
          <w:rFonts w:ascii="Times New Roman" w:eastAsia="Aptos" w:hAnsi="Times New Roman" w:cs="Times New Roman"/>
        </w:rPr>
      </w:pPr>
      <w:r w:rsidRPr="00AA6412">
        <w:rPr>
          <w:rFonts w:ascii="Times New Roman" w:eastAsia="Aptos" w:hAnsi="Times New Roman" w:cs="Times New Roman"/>
        </w:rPr>
        <w:t>This classroom-based action research investigated the efficacy of teacher-created Short-Form Videos (SFVs) as a supplementary instructional tool by addressing the following questions:</w:t>
      </w:r>
    </w:p>
    <w:p w14:paraId="3E70E54F" w14:textId="352D6B48" w:rsidR="00AA6412" w:rsidRPr="00AA6412"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What is the level of the students’ speaking fluency and oral vocabulary use before and after the integration of short-form educational videos?</w:t>
      </w:r>
    </w:p>
    <w:p w14:paraId="0C19CFDC" w14:textId="0135D9E1" w:rsidR="00AA6412" w:rsidRPr="00AA6412"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Is there an observable improvement in students’ speaking fluency and oral vocabulary use after the integration of short-form educational videos?</w:t>
      </w:r>
    </w:p>
    <w:p w14:paraId="59278DD4" w14:textId="3125B21C" w:rsidR="00635FD5" w:rsidRDefault="00AA6412" w:rsidP="00A32A58">
      <w:pPr>
        <w:pStyle w:val="ListParagraph"/>
        <w:numPr>
          <w:ilvl w:val="0"/>
          <w:numId w:val="1"/>
        </w:numPr>
        <w:spacing w:line="240" w:lineRule="auto"/>
        <w:jc w:val="both"/>
        <w:rPr>
          <w:rFonts w:ascii="Times New Roman" w:hAnsi="Times New Roman" w:cs="Times New Roman"/>
        </w:rPr>
      </w:pPr>
      <w:r w:rsidRPr="00AA6412">
        <w:rPr>
          <w:rFonts w:ascii="Times New Roman" w:hAnsi="Times New Roman" w:cs="Times New Roman"/>
        </w:rPr>
        <w:t>What are the changes in the students' linguistic performance following the integration of SFVs?</w:t>
      </w:r>
    </w:p>
    <w:p w14:paraId="78C9B4A1" w14:textId="2083928B" w:rsidR="00AA6412" w:rsidRPr="00AA6412" w:rsidRDefault="00AA6412" w:rsidP="00AA6412">
      <w:pPr>
        <w:rPr>
          <w:rFonts w:ascii="Times New Roman" w:hAnsi="Times New Roman" w:cs="Times New Roman"/>
          <w:b/>
          <w:bCs/>
        </w:rPr>
      </w:pPr>
      <w:r w:rsidRPr="00AA6412">
        <w:rPr>
          <w:rFonts w:ascii="Times New Roman" w:hAnsi="Times New Roman" w:cs="Times New Roman"/>
          <w:b/>
          <w:bCs/>
        </w:rPr>
        <w:t>Action Hypothesis</w:t>
      </w:r>
    </w:p>
    <w:p w14:paraId="14923099" w14:textId="2822ADEE" w:rsidR="00AA6412" w:rsidRDefault="00AA6412" w:rsidP="00A32A58">
      <w:pPr>
        <w:spacing w:line="240" w:lineRule="auto"/>
        <w:jc w:val="both"/>
        <w:rPr>
          <w:rFonts w:ascii="Times New Roman" w:hAnsi="Times New Roman" w:cs="Times New Roman"/>
        </w:rPr>
      </w:pPr>
      <w:r w:rsidRPr="00A32A58">
        <w:rPr>
          <w:rFonts w:ascii="Times New Roman" w:hAnsi="Times New Roman" w:cs="Times New Roman"/>
        </w:rPr>
        <w:t>Null Hypothesis: There is no significant difference in students’ speaking fluency and oral vocabulary use before and after the integration of short-form educational videos during classroom speaking activities</w:t>
      </w:r>
      <w:r w:rsidR="00A32A58">
        <w:rPr>
          <w:rFonts w:ascii="Times New Roman" w:hAnsi="Times New Roman" w:cs="Times New Roman"/>
        </w:rPr>
        <w:t>.</w:t>
      </w:r>
    </w:p>
    <w:p w14:paraId="4237C7AB" w14:textId="77777777"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Innovation, Intervention, and Strategy Used</w:t>
      </w:r>
    </w:p>
    <w:p w14:paraId="70F3C3C2"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"Watch and Do" SFV Strategy was implemented as a structured pedagogical intervention over a four-week period, specifically designed to bridge the gap between students' digital habits and academic speaking requirements. The process was executed in the following phases:</w:t>
      </w:r>
    </w:p>
    <w:p w14:paraId="52A9E51C"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Phase 1: Planning, Needs Analysis, and Media Curation </w:t>
      </w:r>
    </w:p>
    <w:p w14:paraId="26D300E7" w14:textId="59F6C5B0"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To ensure the intervention was targeted, the researchers conducted a preliminary observation and a Needs Analysis survey to identify Grade 11 students’ specific speaking difficulties and topic preferences. Following Mayer’s (2001) Multimedia Learning Principles, four (4) teacher-created SFVs were produced. These videos were capped at 180 seconds to prevent cognitive overload and featured synchronized high-contrast text overlays of "English Frames" (e.g., </w:t>
      </w:r>
      <w:r w:rsidRPr="00A32A58">
        <w:rPr>
          <w:rFonts w:ascii="Times New Roman" w:hAnsi="Times New Roman" w:cs="Times New Roman"/>
          <w:i/>
          <w:iCs/>
        </w:rPr>
        <w:t>"In my opinion," "Furthermore"</w:t>
      </w:r>
      <w:r w:rsidRPr="00A32A58">
        <w:rPr>
          <w:rFonts w:ascii="Times New Roman" w:hAnsi="Times New Roman" w:cs="Times New Roman"/>
        </w:rPr>
        <w:t>). All materials and speaking instruments were validated by experts prior to implementation.</w:t>
      </w:r>
    </w:p>
    <w:p w14:paraId="07D6736A"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2: The Recursive Implementation Cycle (Weeks 2–3)</w:t>
      </w:r>
    </w:p>
    <w:p w14:paraId="491666A6"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core intervention took place over a 10-day period (two school weeks). To ensure the transition from passive recognition to active production, the study utilized a recursive dosage schedule. The four validated SFVs were distributed in a 2-3-2-3 pattern (Video A for Days 1-2, Video B for Days 3-5, etc.). This repetition strategy, grounded in Spaced Repetition Theory, allowed students to internalize linguistic patterns through multiple exposures.</w:t>
      </w:r>
    </w:p>
    <w:p w14:paraId="7B6CD088"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3: The Daily "Watch and Do" Protocol</w:t>
      </w:r>
    </w:p>
    <w:p w14:paraId="1888F6A2"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Integrated into the Motivation Phase of the English lessons, each daily session followed a three-step "Watch and Do" cycle:</w:t>
      </w:r>
    </w:p>
    <w:p w14:paraId="596A56D4"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t>Step 1: Priming &amp; Observation: Students viewed the SFV to focus on pronunciation and visual cues.</w:t>
      </w:r>
    </w:p>
    <w:p w14:paraId="5F91E2C6"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t>Step 2: Active Articulation (Choral Mimicry): During a second viewing, the teacher paused at key frames for unison choral mimicry, allowing students to build oral muscle memory.</w:t>
      </w:r>
    </w:p>
    <w:p w14:paraId="7AB5A503" w14:textId="77777777" w:rsidR="00A32A58" w:rsidRPr="00A32A58" w:rsidRDefault="00A32A58" w:rsidP="00A32A58">
      <w:pPr>
        <w:numPr>
          <w:ilvl w:val="0"/>
          <w:numId w:val="2"/>
        </w:numPr>
        <w:spacing w:line="240" w:lineRule="auto"/>
        <w:jc w:val="both"/>
        <w:rPr>
          <w:rFonts w:ascii="Times New Roman" w:hAnsi="Times New Roman" w:cs="Times New Roman"/>
        </w:rPr>
      </w:pPr>
      <w:r w:rsidRPr="00A32A58">
        <w:rPr>
          <w:rFonts w:ascii="Times New Roman" w:hAnsi="Times New Roman" w:cs="Times New Roman"/>
        </w:rPr>
        <w:lastRenderedPageBreak/>
        <w:t>Step 3: Low-Pressure Production: Students immediately transitioned into timed speaking tasks, such as impromptu "speed-chatting," to apply the frames in a non-graded environment, effectively lowering the Affective Filter.</w:t>
      </w:r>
    </w:p>
    <w:p w14:paraId="25885130"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Phase 4: Functional Content Integration and Observation</w:t>
      </w:r>
    </w:p>
    <w:p w14:paraId="799F63E5"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The intervention was seamlessly woven into the main curriculum discussions (e.g., Philosophy or Literature). The teacher utilized the SFVs as a functional linguistic framework, actively prompting students to apply the day’s "English Frames" during academic discussions. During this phase, a co-researcher used a structured checklist to observe and record shifts in students' fluency, vocabulary use, and engagement levels.</w:t>
      </w:r>
    </w:p>
    <w:p w14:paraId="72C830A4"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 xml:space="preserve">Phase 5: Post-Test and Data Synthesis </w:t>
      </w:r>
    </w:p>
    <w:p w14:paraId="04FEE583" w14:textId="77777777" w:rsidR="00A32A58" w:rsidRPr="00A32A58" w:rsidRDefault="00A32A58" w:rsidP="00A32A58">
      <w:pPr>
        <w:spacing w:line="240" w:lineRule="auto"/>
        <w:jc w:val="both"/>
        <w:rPr>
          <w:rFonts w:ascii="Times New Roman" w:hAnsi="Times New Roman" w:cs="Times New Roman"/>
        </w:rPr>
      </w:pPr>
      <w:r w:rsidRPr="00A32A58">
        <w:rPr>
          <w:rFonts w:ascii="Times New Roman" w:hAnsi="Times New Roman" w:cs="Times New Roman"/>
        </w:rPr>
        <w:t>Following the 10-day implementation, a post-test parallel to the pre-test was administered. Performance was evaluated using the same validated speaking rubric to determine changes in mean scores. Furthermore, the researchers conducted a thematic analysis of oral transcripts to identify shifts in students' linguistic performance. This analysis focused on identifying patterns in discourse marker usage, fluency indicators (hesitation and pauses), and language switching behaviors.</w:t>
      </w:r>
    </w:p>
    <w:p w14:paraId="5B944F10" w14:textId="57D80C43" w:rsidR="00A32A58" w:rsidRDefault="00A32A58" w:rsidP="00AA6412">
      <w:pPr>
        <w:jc w:val="both"/>
        <w:rPr>
          <w:rFonts w:ascii="Times New Roman" w:hAnsi="Times New Roman" w:cs="Times New Roman"/>
          <w:b/>
          <w:bCs/>
          <w:sz w:val="28"/>
          <w:szCs w:val="28"/>
        </w:rPr>
      </w:pPr>
      <w:r w:rsidRPr="00A32A58">
        <w:rPr>
          <w:rFonts w:ascii="Times New Roman" w:hAnsi="Times New Roman" w:cs="Times New Roman"/>
          <w:b/>
          <w:bCs/>
          <w:sz w:val="28"/>
          <w:szCs w:val="28"/>
        </w:rPr>
        <w:t>RESEARCH METHODS</w:t>
      </w:r>
    </w:p>
    <w:p w14:paraId="3398CBFD" w14:textId="77777777" w:rsidR="00A32A58" w:rsidRPr="00A32A58" w:rsidRDefault="00A32A58" w:rsidP="00A32A58">
      <w:pPr>
        <w:jc w:val="both"/>
        <w:rPr>
          <w:rFonts w:ascii="Times New Roman" w:hAnsi="Times New Roman" w:cs="Times New Roman"/>
          <w:b/>
          <w:bCs/>
          <w:u w:val="single"/>
        </w:rPr>
      </w:pPr>
      <w:r w:rsidRPr="00A32A58">
        <w:rPr>
          <w:rFonts w:ascii="Times New Roman" w:hAnsi="Times New Roman" w:cs="Times New Roman"/>
          <w:b/>
          <w:bCs/>
        </w:rPr>
        <w:t>Research Design</w:t>
      </w:r>
    </w:p>
    <w:p w14:paraId="7C7CDCCC" w14:textId="4F0806E2" w:rsidR="00A32A58" w:rsidRPr="00A32A58" w:rsidRDefault="00A32A58" w:rsidP="00A32A58">
      <w:pPr>
        <w:jc w:val="both"/>
        <w:rPr>
          <w:rFonts w:ascii="Times New Roman" w:hAnsi="Times New Roman" w:cs="Times New Roman"/>
        </w:rPr>
      </w:pPr>
      <w:r w:rsidRPr="00A32A58">
        <w:rPr>
          <w:rFonts w:ascii="Times New Roman" w:hAnsi="Times New Roman" w:cs="Times New Roman"/>
        </w:rPr>
        <w:t>This study employed a Classroom-Based Action Research (CBAR) design, specifically following the cyclical model of Kemmis and McTaggart</w:t>
      </w:r>
      <w:r w:rsidR="00C7628C">
        <w:rPr>
          <w:rFonts w:ascii="Times New Roman" w:hAnsi="Times New Roman" w:cs="Times New Roman"/>
        </w:rPr>
        <w:t xml:space="preserve">, </w:t>
      </w:r>
      <w:r w:rsidRPr="00A32A58">
        <w:rPr>
          <w:rFonts w:ascii="Times New Roman" w:hAnsi="Times New Roman" w:cs="Times New Roman"/>
        </w:rPr>
        <w:t>which integrates four stages: planning, action, observation, and reflection</w:t>
      </w:r>
      <w:r w:rsidR="00C7628C">
        <w:rPr>
          <w:rFonts w:ascii="Times New Roman" w:hAnsi="Times New Roman" w:cs="Times New Roman"/>
        </w:rPr>
        <w:t xml:space="preserve"> {8]</w:t>
      </w:r>
      <w:r w:rsidRPr="00A32A58">
        <w:rPr>
          <w:rFonts w:ascii="Times New Roman" w:hAnsi="Times New Roman" w:cs="Times New Roman"/>
        </w:rPr>
        <w:t>. The research utilized a single-cycle, 10-day implementation period to evaluate the effectiveness of teacher-developed Short-Form Educational Videos (SFVs) as instructional scaffolds.</w:t>
      </w:r>
    </w:p>
    <w:p w14:paraId="4C5D04BC" w14:textId="5D2F819B" w:rsidR="00A32A58" w:rsidRPr="00A32A58" w:rsidRDefault="00A32A58" w:rsidP="00A32A58">
      <w:pPr>
        <w:jc w:val="both"/>
        <w:rPr>
          <w:rFonts w:ascii="Times New Roman" w:hAnsi="Times New Roman" w:cs="Times New Roman"/>
        </w:rPr>
      </w:pPr>
      <w:r w:rsidRPr="00A32A58">
        <w:rPr>
          <w:rFonts w:ascii="Times New Roman" w:hAnsi="Times New Roman" w:cs="Times New Roman"/>
        </w:rPr>
        <w:t>The study adopted a quantitative approach to measure statistically significant changes in speaking proficiency. Effectiveness was determined by comparing results from pre-test and post-test assessments, which consisted of timed, parallel speaking tasks of identical difficulty. During the intervention, SFVs served as the primary linguistic scaffold to support continuous oral production. By analyzing these performance metrics alongside tracked changes in speaking patterns, the design provided evidence-based data to assess the pedagogical utility of SFVs in an authentic classroom setting.</w:t>
      </w:r>
    </w:p>
    <w:p w14:paraId="278B8620" w14:textId="77777777"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Participants of the Study and Other Sources of Data Information</w:t>
      </w:r>
    </w:p>
    <w:p w14:paraId="1C5E786C" w14:textId="3504BE1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study involved twenty-two (22) Grade 11 students from an intact Humanities and Social Sciences (HUMSS) class at Malinao National High School during the 2025–2026 academic year. Purposive sampling was employed to select participants who were officially enrolled in the English curriculum and available for the duration of the 10-day intervention. Inclusion criteria required participants to complete both the pre-test and post-test assessments to ensure the statistical integrity of the quantitative analysis. Prior experience with short-form video platforms was not required, ensuring the intervention remained inclusive regardless of students' technological backgrounds.</w:t>
      </w:r>
    </w:p>
    <w:p w14:paraId="4DE4A809" w14:textId="124FF82D"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research team included the student-researcher, the cooperating teacher</w:t>
      </w:r>
      <w:r>
        <w:rPr>
          <w:rFonts w:ascii="Times New Roman" w:hAnsi="Times New Roman" w:cs="Times New Roman"/>
        </w:rPr>
        <w:t xml:space="preserve"> </w:t>
      </w:r>
      <w:r w:rsidRPr="00A32A58">
        <w:rPr>
          <w:rFonts w:ascii="Times New Roman" w:hAnsi="Times New Roman" w:cs="Times New Roman"/>
        </w:rPr>
        <w:t>who assisted in curriculum alignment and classroom management</w:t>
      </w:r>
      <w:r>
        <w:rPr>
          <w:rFonts w:ascii="Times New Roman" w:hAnsi="Times New Roman" w:cs="Times New Roman"/>
        </w:rPr>
        <w:t xml:space="preserve"> </w:t>
      </w:r>
      <w:r w:rsidRPr="00A32A58">
        <w:rPr>
          <w:rFonts w:ascii="Times New Roman" w:hAnsi="Times New Roman" w:cs="Times New Roman"/>
        </w:rPr>
        <w:t>and expert validators. These validators assessed the content validity, clarity, and suitability of the lesson plans, SFVs, and the fluency-focused speaking rubric.</w:t>
      </w:r>
    </w:p>
    <w:p w14:paraId="56555473" w14:textId="580F394F" w:rsid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Strict ethical protocols were observed throughout the study. Informed consent and assent were secured from all participants and their legal guardians prior to the intervention. Participants were briefed on the study’s objectives, the voluntary nature of their involvement, and their right to withdraw at any time without prejudice to their academic standing. To ensure data privacy, coded identifiers were used in place of names. Audio recordings used for linguistic transcription were stored in a secure, encrypted folder and were permanently deleted following the completion of the qualitative analysis.</w:t>
      </w:r>
    </w:p>
    <w:p w14:paraId="27A47CDE" w14:textId="7AD4F203" w:rsidR="00A32A58" w:rsidRPr="00A32A58" w:rsidRDefault="00A32A58" w:rsidP="00A32A58">
      <w:pPr>
        <w:jc w:val="both"/>
        <w:rPr>
          <w:rFonts w:ascii="Times New Roman" w:hAnsi="Times New Roman" w:cs="Times New Roman"/>
          <w:b/>
          <w:bCs/>
        </w:rPr>
      </w:pPr>
      <w:r w:rsidRPr="00A32A58">
        <w:rPr>
          <w:rFonts w:ascii="Times New Roman" w:hAnsi="Times New Roman" w:cs="Times New Roman"/>
          <w:b/>
          <w:bCs/>
        </w:rPr>
        <w:t>Data Collection Methods</w:t>
      </w:r>
    </w:p>
    <w:p w14:paraId="416C82BD" w14:textId="75685D2A" w:rsidR="00AC232E" w:rsidRP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lastRenderedPageBreak/>
        <w:t>The data collection process was carried out through a systematic, four-stage progression designed to ensure both pedagogical relevance and statistical rigor. Initially, a preliminary needs assessment survey was conducted among the twenty-two (22) participants to identify specific oral communication challenges and preferred digital content formats. The insights gained from this assessment informed the development of the teacher-created Short-Form Videos (SFVs), ensuring that the linguistic content was specifically tailored to the students' requirements.</w:t>
      </w:r>
    </w:p>
    <w:p w14:paraId="0F1C4A61" w14:textId="43BE5067" w:rsidR="00AC232E" w:rsidRP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t>Following the needs assessment, all instructional materials</w:t>
      </w:r>
      <w:r>
        <w:rPr>
          <w:rFonts w:ascii="Times New Roman" w:hAnsi="Times New Roman" w:cs="Times New Roman"/>
        </w:rPr>
        <w:t xml:space="preserve"> </w:t>
      </w:r>
      <w:r w:rsidRPr="00AC232E">
        <w:rPr>
          <w:rFonts w:ascii="Times New Roman" w:hAnsi="Times New Roman" w:cs="Times New Roman"/>
        </w:rPr>
        <w:t>including lesson plans, the SFV repository, and the fluency-focused speaking rubric</w:t>
      </w:r>
      <w:r>
        <w:rPr>
          <w:rFonts w:ascii="Times New Roman" w:hAnsi="Times New Roman" w:cs="Times New Roman"/>
        </w:rPr>
        <w:t xml:space="preserve"> </w:t>
      </w:r>
      <w:r w:rsidRPr="00AC232E">
        <w:rPr>
          <w:rFonts w:ascii="Times New Roman" w:hAnsi="Times New Roman" w:cs="Times New Roman"/>
        </w:rPr>
        <w:t>underwent expert validation to ensure content validity and suitability for Grade 11 learners. Once administrative clearance and informed consent were secured, a pre-test was administered to establish a baseline of the students' speaking abilities through contextualized, timed oral tasks.</w:t>
      </w:r>
    </w:p>
    <w:p w14:paraId="696B57A8" w14:textId="4B5E22C3" w:rsidR="00AC232E" w:rsidRDefault="00AC232E" w:rsidP="00AC232E">
      <w:pPr>
        <w:spacing w:line="240" w:lineRule="auto"/>
        <w:jc w:val="both"/>
        <w:rPr>
          <w:rFonts w:ascii="Times New Roman" w:hAnsi="Times New Roman" w:cs="Times New Roman"/>
        </w:rPr>
      </w:pPr>
      <w:r w:rsidRPr="00AC232E">
        <w:rPr>
          <w:rFonts w:ascii="Times New Roman" w:hAnsi="Times New Roman" w:cs="Times New Roman"/>
        </w:rPr>
        <w:t>The intervention phase was then implemented over a 10-day period. Each session began with the viewing of a 1-to-3-minute SFV that modeled specific "English Frames" and contextual vocabulary, followed by guided oral activities designed to promote continuous speech in a low-anxiety environment. Throughout this phase, observation notes were maintained to document student engagement. Finally, a post-test utilizing a parallel speaking task of identical difficulty was conducted. All oral responses were audio-recorded for linguistic transcription, and the numerical scores were compiled for comparative statistical analysis.</w:t>
      </w:r>
    </w:p>
    <w:p w14:paraId="06C31794" w14:textId="6495FF2D" w:rsidR="00A32A58" w:rsidRPr="003818C9" w:rsidRDefault="00A32A58" w:rsidP="00A32A58">
      <w:pPr>
        <w:jc w:val="both"/>
        <w:rPr>
          <w:rFonts w:ascii="Times New Roman" w:hAnsi="Times New Roman" w:cs="Times New Roman"/>
          <w:b/>
          <w:bCs/>
        </w:rPr>
      </w:pPr>
      <w:r w:rsidRPr="003818C9">
        <w:rPr>
          <w:rFonts w:ascii="Times New Roman" w:hAnsi="Times New Roman" w:cs="Times New Roman"/>
          <w:b/>
          <w:bCs/>
        </w:rPr>
        <w:t>Data Analysis Plan</w:t>
      </w:r>
    </w:p>
    <w:p w14:paraId="056C478F"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study analyzed the collected data to assess how teacher-created Short-Form Educational Videos (SFVs) impacted Grade 11 students' speaking fluency and oral vocabulary use. The analysis focused on measurable performance outcomes to provide a rigorous evaluation of the intervention's effectiveness.</w:t>
      </w:r>
    </w:p>
    <w:p w14:paraId="2601F4AB"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Quantitative statistical analysis was conducted on speaking scores obtained from pre-test and post-test assessments, which utilized a standardized rubric. The researchers employed descriptive statistics to calculate mean scores and standard deviations to measure fluency levels before and after the intervention. To test the null hypothesis, a paired-sample t-test was performed at an alpha significance level of 0.05. This statistical test provided objective proof regarding the significance of the performance disparity between pre-intervention and post-intervention results.</w:t>
      </w:r>
    </w:p>
    <w:p w14:paraId="3414150B"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To evaluate the linguistic impact of the SFV intervention, the study utilized objective linguistic analysis of audio transcripts collected during the pre-test and post-test periods. This analysis established changes in speaking skills by measuring specific language criteria, including the frequency of discourse markers and patterns of hesitation.</w:t>
      </w:r>
    </w:p>
    <w:p w14:paraId="0178276F"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Objective counts were used to compare students' speaking performance across the two assessment periods. While the Teacher's Observation Notes regarding student attendance, task completion, and engagement were not explicitly detailed in the results chapter, they served as supplementary evidence. These observations were used to establish the validity of the study and provided essential context regarding the classroom conditions that facilitated performance advancements.</w:t>
      </w:r>
    </w:p>
    <w:p w14:paraId="798D7808" w14:textId="77777777" w:rsidR="00A32A58" w:rsidRPr="00A32A58" w:rsidRDefault="00A32A58" w:rsidP="00AC232E">
      <w:pPr>
        <w:spacing w:line="240" w:lineRule="auto"/>
        <w:jc w:val="both"/>
        <w:rPr>
          <w:rFonts w:ascii="Times New Roman" w:hAnsi="Times New Roman" w:cs="Times New Roman"/>
        </w:rPr>
      </w:pPr>
      <w:r w:rsidRPr="00A32A58">
        <w:rPr>
          <w:rFonts w:ascii="Times New Roman" w:hAnsi="Times New Roman" w:cs="Times New Roman"/>
        </w:rPr>
        <w:t>The results were interpreted by connecting statistical evidence and linguistic patterns to Mayer's (2001) Cognitive Theory of Multimedia Learning. This approach allowed the researcher to present performance trends as measurable outcomes while demonstrating how SFVs functioned as intentional educational resources in the Senior High School English curriculum.</w:t>
      </w:r>
    </w:p>
    <w:p w14:paraId="20564292" w14:textId="77777777" w:rsidR="00A32A58" w:rsidRDefault="00A32A58" w:rsidP="00AA6412">
      <w:pPr>
        <w:jc w:val="both"/>
        <w:rPr>
          <w:rFonts w:ascii="Times New Roman" w:hAnsi="Times New Roman" w:cs="Times New Roman"/>
        </w:rPr>
      </w:pPr>
    </w:p>
    <w:p w14:paraId="1E3A7B25" w14:textId="77777777" w:rsidR="00516EEE" w:rsidRDefault="00516EEE" w:rsidP="00AA6412">
      <w:pPr>
        <w:jc w:val="both"/>
        <w:rPr>
          <w:rFonts w:ascii="Times New Roman" w:hAnsi="Times New Roman" w:cs="Times New Roman"/>
        </w:rPr>
      </w:pPr>
    </w:p>
    <w:p w14:paraId="5633A5B8" w14:textId="4A35E873" w:rsidR="00516EEE" w:rsidRPr="009029A4" w:rsidRDefault="009029A4" w:rsidP="00AA6412">
      <w:pPr>
        <w:jc w:val="both"/>
        <w:rPr>
          <w:rFonts w:ascii="Times New Roman" w:hAnsi="Times New Roman" w:cs="Times New Roman"/>
          <w:b/>
          <w:bCs/>
          <w:sz w:val="28"/>
          <w:szCs w:val="28"/>
        </w:rPr>
      </w:pPr>
      <w:r w:rsidRPr="009029A4">
        <w:rPr>
          <w:rFonts w:ascii="Times New Roman" w:hAnsi="Times New Roman" w:cs="Times New Roman"/>
          <w:b/>
          <w:bCs/>
          <w:sz w:val="28"/>
          <w:szCs w:val="28"/>
        </w:rPr>
        <w:t>RESULTS AND DISCUSSION</w:t>
      </w:r>
    </w:p>
    <w:p w14:paraId="097A70AD" w14:textId="321764B7" w:rsidR="00FB47C2" w:rsidRDefault="001D2C61" w:rsidP="00AA6412">
      <w:pPr>
        <w:jc w:val="both"/>
        <w:rPr>
          <w:rFonts w:ascii="Times New Roman" w:hAnsi="Times New Roman" w:cs="Times New Roman"/>
          <w:b/>
          <w:bCs/>
        </w:rPr>
      </w:pPr>
      <w:r>
        <w:rPr>
          <w:rFonts w:ascii="Times New Roman" w:hAnsi="Times New Roman" w:cs="Times New Roman"/>
          <w:b/>
          <w:bCs/>
        </w:rPr>
        <w:t xml:space="preserve">1. </w:t>
      </w:r>
      <w:r w:rsidR="00C8725E" w:rsidRPr="00C8725E">
        <w:rPr>
          <w:rFonts w:ascii="Times New Roman" w:hAnsi="Times New Roman" w:cs="Times New Roman"/>
          <w:b/>
          <w:bCs/>
        </w:rPr>
        <w:t>Analysis of Student Speaking Proficiency Levels</w:t>
      </w:r>
    </w:p>
    <w:p w14:paraId="5128C3AE" w14:textId="3C79FE25" w:rsidR="00C8725E" w:rsidRDefault="00C007A8" w:rsidP="00AA6412">
      <w:pPr>
        <w:jc w:val="both"/>
        <w:rPr>
          <w:rFonts w:ascii="Times New Roman" w:hAnsi="Times New Roman" w:cs="Times New Roman"/>
        </w:rPr>
      </w:pPr>
      <w:r w:rsidRPr="00C007A8">
        <w:rPr>
          <w:rFonts w:ascii="Times New Roman" w:hAnsi="Times New Roman" w:cs="Times New Roman"/>
        </w:rPr>
        <w:t>The comparative data between the pre-test and post-test assessments indicates a positive shift in student performance following the 10-day SFV intervention. Table 1 summarizes these changes across the defined performance levels.</w:t>
      </w:r>
    </w:p>
    <w:p w14:paraId="213BDFF5" w14:textId="619BDFE0" w:rsidR="000D0877" w:rsidRDefault="00C007A8" w:rsidP="00AA6412">
      <w:pPr>
        <w:jc w:val="both"/>
        <w:rPr>
          <w:rFonts w:ascii="Times New Roman" w:hAnsi="Times New Roman" w:cs="Times New Roman"/>
        </w:rPr>
      </w:pPr>
      <w:r w:rsidRPr="00C007A8">
        <w:rPr>
          <w:rFonts w:ascii="Times New Roman" w:hAnsi="Times New Roman" w:cs="Times New Roman"/>
        </w:rPr>
        <w:lastRenderedPageBreak/>
        <w:t>Table 1. Comparison of Pre-Test and Post-Test Performance Levels ($N=22$)</w:t>
      </w:r>
    </w:p>
    <w:tbl>
      <w:tblPr>
        <w:tblStyle w:val="TableGrid"/>
        <w:tblW w:w="0" w:type="auto"/>
        <w:tblLook w:val="04A0" w:firstRow="1" w:lastRow="0" w:firstColumn="1" w:lastColumn="0" w:noHBand="0" w:noVBand="1"/>
      </w:tblPr>
      <w:tblGrid>
        <w:gridCol w:w="2187"/>
        <w:gridCol w:w="1708"/>
        <w:gridCol w:w="1325"/>
        <w:gridCol w:w="1530"/>
        <w:gridCol w:w="1530"/>
        <w:gridCol w:w="1620"/>
      </w:tblGrid>
      <w:tr w:rsidR="000F729D" w:rsidRPr="002B4997" w14:paraId="6FF12CF8" w14:textId="2EE86462" w:rsidTr="00ED4B67">
        <w:trPr>
          <w:trHeight w:val="149"/>
        </w:trPr>
        <w:tc>
          <w:tcPr>
            <w:tcW w:w="2187" w:type="dxa"/>
            <w:tcBorders>
              <w:top w:val="single" w:sz="12" w:space="0" w:color="auto"/>
              <w:left w:val="nil"/>
              <w:bottom w:val="double" w:sz="4" w:space="0" w:color="auto"/>
              <w:right w:val="nil"/>
            </w:tcBorders>
            <w:vAlign w:val="center"/>
          </w:tcPr>
          <w:p w14:paraId="51A742C6" w14:textId="77777777"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Performance Level</w:t>
            </w:r>
          </w:p>
        </w:tc>
        <w:tc>
          <w:tcPr>
            <w:tcW w:w="1708" w:type="dxa"/>
            <w:tcBorders>
              <w:top w:val="single" w:sz="12" w:space="0" w:color="auto"/>
              <w:left w:val="nil"/>
              <w:bottom w:val="double" w:sz="4" w:space="0" w:color="auto"/>
              <w:right w:val="nil"/>
            </w:tcBorders>
            <w:vAlign w:val="center"/>
          </w:tcPr>
          <w:p w14:paraId="18B97DC0" w14:textId="77777777"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Score Range</w:t>
            </w:r>
          </w:p>
        </w:tc>
        <w:tc>
          <w:tcPr>
            <w:tcW w:w="1325" w:type="dxa"/>
            <w:tcBorders>
              <w:top w:val="single" w:sz="12" w:space="0" w:color="auto"/>
              <w:left w:val="nil"/>
              <w:bottom w:val="double" w:sz="4" w:space="0" w:color="auto"/>
              <w:right w:val="nil"/>
            </w:tcBorders>
            <w:vAlign w:val="center"/>
          </w:tcPr>
          <w:p w14:paraId="1F19DDBB" w14:textId="6CDE6D32"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Pre-test(f)</w:t>
            </w:r>
          </w:p>
        </w:tc>
        <w:tc>
          <w:tcPr>
            <w:tcW w:w="1530" w:type="dxa"/>
            <w:tcBorders>
              <w:top w:val="single" w:sz="12" w:space="0" w:color="auto"/>
              <w:left w:val="nil"/>
              <w:bottom w:val="double" w:sz="4" w:space="0" w:color="auto"/>
              <w:right w:val="nil"/>
            </w:tcBorders>
            <w:vAlign w:val="center"/>
          </w:tcPr>
          <w:p w14:paraId="3E5C2481" w14:textId="3CF46C26"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Pre-test (%)</w:t>
            </w:r>
          </w:p>
        </w:tc>
        <w:tc>
          <w:tcPr>
            <w:tcW w:w="1530" w:type="dxa"/>
            <w:tcBorders>
              <w:top w:val="single" w:sz="12" w:space="0" w:color="auto"/>
              <w:left w:val="nil"/>
              <w:bottom w:val="double" w:sz="4" w:space="0" w:color="auto"/>
              <w:right w:val="nil"/>
            </w:tcBorders>
          </w:tcPr>
          <w:p w14:paraId="3865A16B" w14:textId="62F0215C"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Post-test (f)</w:t>
            </w:r>
          </w:p>
        </w:tc>
        <w:tc>
          <w:tcPr>
            <w:tcW w:w="1620" w:type="dxa"/>
            <w:tcBorders>
              <w:top w:val="single" w:sz="12" w:space="0" w:color="auto"/>
              <w:left w:val="nil"/>
              <w:bottom w:val="double" w:sz="4" w:space="0" w:color="auto"/>
              <w:right w:val="nil"/>
            </w:tcBorders>
          </w:tcPr>
          <w:p w14:paraId="245FC611" w14:textId="5C78FE6F" w:rsidR="000F729D" w:rsidRPr="00ED4B67" w:rsidRDefault="000F729D" w:rsidP="007A5961">
            <w:pPr>
              <w:jc w:val="center"/>
              <w:rPr>
                <w:rFonts w:ascii="Times New Roman" w:hAnsi="Times New Roman" w:cs="Times New Roman"/>
                <w:b/>
                <w:bCs/>
                <w:sz w:val="22"/>
                <w:szCs w:val="22"/>
              </w:rPr>
            </w:pPr>
            <w:r w:rsidRPr="00ED4B67">
              <w:rPr>
                <w:rFonts w:ascii="Times New Roman" w:hAnsi="Times New Roman" w:cs="Times New Roman"/>
                <w:b/>
                <w:bCs/>
                <w:sz w:val="22"/>
                <w:szCs w:val="22"/>
              </w:rPr>
              <w:t>Post-test (%)</w:t>
            </w:r>
          </w:p>
        </w:tc>
      </w:tr>
      <w:tr w:rsidR="000F729D" w14:paraId="33331AC7" w14:textId="3C2E178B" w:rsidTr="00ED4B67">
        <w:trPr>
          <w:trHeight w:val="357"/>
        </w:trPr>
        <w:tc>
          <w:tcPr>
            <w:tcW w:w="2187" w:type="dxa"/>
            <w:tcBorders>
              <w:top w:val="double" w:sz="4" w:space="0" w:color="auto"/>
              <w:left w:val="nil"/>
              <w:bottom w:val="nil"/>
              <w:right w:val="nil"/>
            </w:tcBorders>
            <w:vAlign w:val="center"/>
          </w:tcPr>
          <w:p w14:paraId="12572A9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Excellent</w:t>
            </w:r>
          </w:p>
        </w:tc>
        <w:tc>
          <w:tcPr>
            <w:tcW w:w="1708" w:type="dxa"/>
            <w:tcBorders>
              <w:top w:val="double" w:sz="4" w:space="0" w:color="auto"/>
              <w:left w:val="nil"/>
              <w:bottom w:val="nil"/>
              <w:right w:val="nil"/>
            </w:tcBorders>
            <w:vAlign w:val="center"/>
          </w:tcPr>
          <w:p w14:paraId="3508DBE9"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7–8</w:t>
            </w:r>
          </w:p>
        </w:tc>
        <w:tc>
          <w:tcPr>
            <w:tcW w:w="1325" w:type="dxa"/>
            <w:tcBorders>
              <w:top w:val="double" w:sz="4" w:space="0" w:color="auto"/>
              <w:left w:val="nil"/>
              <w:bottom w:val="nil"/>
              <w:right w:val="nil"/>
            </w:tcBorders>
            <w:vAlign w:val="center"/>
          </w:tcPr>
          <w:p w14:paraId="2FE94E51"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530" w:type="dxa"/>
            <w:tcBorders>
              <w:top w:val="double" w:sz="4" w:space="0" w:color="auto"/>
              <w:left w:val="nil"/>
              <w:bottom w:val="nil"/>
              <w:right w:val="nil"/>
            </w:tcBorders>
            <w:vAlign w:val="center"/>
          </w:tcPr>
          <w:p w14:paraId="246E36A5"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530" w:type="dxa"/>
            <w:tcBorders>
              <w:top w:val="double" w:sz="4" w:space="0" w:color="auto"/>
              <w:left w:val="nil"/>
              <w:bottom w:val="nil"/>
              <w:right w:val="nil"/>
            </w:tcBorders>
          </w:tcPr>
          <w:p w14:paraId="1C5AB5E6" w14:textId="28C5CBAE"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c>
          <w:tcPr>
            <w:tcW w:w="1620" w:type="dxa"/>
            <w:tcBorders>
              <w:top w:val="double" w:sz="4" w:space="0" w:color="auto"/>
              <w:left w:val="nil"/>
              <w:bottom w:val="nil"/>
              <w:right w:val="nil"/>
            </w:tcBorders>
          </w:tcPr>
          <w:p w14:paraId="4F4A13D3" w14:textId="023FD97C" w:rsidR="000F729D" w:rsidRPr="00ED4B67" w:rsidRDefault="008B3356"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0%</w:t>
            </w:r>
          </w:p>
        </w:tc>
      </w:tr>
      <w:tr w:rsidR="000F729D" w14:paraId="279DAEE3" w14:textId="418876AB" w:rsidTr="00ED4B67">
        <w:tc>
          <w:tcPr>
            <w:tcW w:w="2187" w:type="dxa"/>
            <w:tcBorders>
              <w:top w:val="nil"/>
              <w:left w:val="nil"/>
              <w:bottom w:val="nil"/>
              <w:right w:val="nil"/>
            </w:tcBorders>
            <w:vAlign w:val="center"/>
          </w:tcPr>
          <w:p w14:paraId="4A971F08"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Proficient</w:t>
            </w:r>
          </w:p>
        </w:tc>
        <w:tc>
          <w:tcPr>
            <w:tcW w:w="1708" w:type="dxa"/>
            <w:tcBorders>
              <w:top w:val="nil"/>
              <w:left w:val="nil"/>
              <w:bottom w:val="nil"/>
              <w:right w:val="nil"/>
            </w:tcBorders>
            <w:vAlign w:val="center"/>
          </w:tcPr>
          <w:p w14:paraId="228E4E79"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5–6</w:t>
            </w:r>
          </w:p>
        </w:tc>
        <w:tc>
          <w:tcPr>
            <w:tcW w:w="1325" w:type="dxa"/>
            <w:tcBorders>
              <w:top w:val="nil"/>
              <w:left w:val="nil"/>
              <w:bottom w:val="nil"/>
              <w:right w:val="nil"/>
            </w:tcBorders>
            <w:vAlign w:val="center"/>
          </w:tcPr>
          <w:p w14:paraId="4865464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w:t>
            </w:r>
          </w:p>
        </w:tc>
        <w:tc>
          <w:tcPr>
            <w:tcW w:w="1530" w:type="dxa"/>
            <w:tcBorders>
              <w:top w:val="nil"/>
              <w:left w:val="nil"/>
              <w:bottom w:val="nil"/>
              <w:right w:val="nil"/>
            </w:tcBorders>
            <w:vAlign w:val="center"/>
          </w:tcPr>
          <w:p w14:paraId="704524B2"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4.55%</w:t>
            </w:r>
          </w:p>
        </w:tc>
        <w:tc>
          <w:tcPr>
            <w:tcW w:w="1530" w:type="dxa"/>
            <w:tcBorders>
              <w:top w:val="nil"/>
              <w:left w:val="nil"/>
              <w:bottom w:val="nil"/>
              <w:right w:val="nil"/>
            </w:tcBorders>
          </w:tcPr>
          <w:p w14:paraId="06BE01F4" w14:textId="60275203" w:rsidR="000F729D" w:rsidRPr="00ED4B67" w:rsidRDefault="00391E58"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w:t>
            </w:r>
          </w:p>
        </w:tc>
        <w:tc>
          <w:tcPr>
            <w:tcW w:w="1620" w:type="dxa"/>
            <w:tcBorders>
              <w:top w:val="nil"/>
              <w:left w:val="nil"/>
              <w:bottom w:val="nil"/>
              <w:right w:val="nil"/>
            </w:tcBorders>
          </w:tcPr>
          <w:p w14:paraId="2B3D4F92" w14:textId="1C2C66EA" w:rsidR="000F729D" w:rsidRPr="00ED4B67" w:rsidRDefault="00604865"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4.55%</w:t>
            </w:r>
          </w:p>
        </w:tc>
      </w:tr>
      <w:tr w:rsidR="000F729D" w14:paraId="7FB0A859" w14:textId="31770CB2" w:rsidTr="00ED4B67">
        <w:trPr>
          <w:trHeight w:val="315"/>
        </w:trPr>
        <w:tc>
          <w:tcPr>
            <w:tcW w:w="2187" w:type="dxa"/>
            <w:tcBorders>
              <w:top w:val="nil"/>
              <w:left w:val="nil"/>
              <w:bottom w:val="nil"/>
              <w:right w:val="nil"/>
            </w:tcBorders>
            <w:vAlign w:val="center"/>
          </w:tcPr>
          <w:p w14:paraId="674AF56E"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Developing</w:t>
            </w:r>
          </w:p>
        </w:tc>
        <w:tc>
          <w:tcPr>
            <w:tcW w:w="1708" w:type="dxa"/>
            <w:tcBorders>
              <w:top w:val="nil"/>
              <w:left w:val="nil"/>
              <w:bottom w:val="nil"/>
              <w:right w:val="nil"/>
            </w:tcBorders>
            <w:vAlign w:val="center"/>
          </w:tcPr>
          <w:p w14:paraId="41B67B4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3–4</w:t>
            </w:r>
          </w:p>
        </w:tc>
        <w:tc>
          <w:tcPr>
            <w:tcW w:w="1325" w:type="dxa"/>
            <w:tcBorders>
              <w:top w:val="nil"/>
              <w:left w:val="nil"/>
              <w:bottom w:val="nil"/>
              <w:right w:val="nil"/>
            </w:tcBorders>
            <w:vAlign w:val="center"/>
          </w:tcPr>
          <w:p w14:paraId="10A4A92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w:t>
            </w:r>
          </w:p>
        </w:tc>
        <w:tc>
          <w:tcPr>
            <w:tcW w:w="1530" w:type="dxa"/>
            <w:tcBorders>
              <w:top w:val="nil"/>
              <w:left w:val="nil"/>
              <w:bottom w:val="nil"/>
              <w:right w:val="nil"/>
            </w:tcBorders>
            <w:vAlign w:val="center"/>
          </w:tcPr>
          <w:p w14:paraId="17FA7D96"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31.82%</w:t>
            </w:r>
          </w:p>
        </w:tc>
        <w:tc>
          <w:tcPr>
            <w:tcW w:w="1530" w:type="dxa"/>
            <w:tcBorders>
              <w:top w:val="nil"/>
              <w:left w:val="nil"/>
              <w:bottom w:val="nil"/>
              <w:right w:val="nil"/>
            </w:tcBorders>
          </w:tcPr>
          <w:p w14:paraId="63B92F32" w14:textId="2087CE2A" w:rsidR="000F729D" w:rsidRPr="00ED4B67" w:rsidRDefault="00391E58"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16</w:t>
            </w:r>
          </w:p>
        </w:tc>
        <w:tc>
          <w:tcPr>
            <w:tcW w:w="1620" w:type="dxa"/>
            <w:tcBorders>
              <w:top w:val="nil"/>
              <w:left w:val="nil"/>
              <w:bottom w:val="nil"/>
              <w:right w:val="nil"/>
            </w:tcBorders>
          </w:tcPr>
          <w:p w14:paraId="3F2EDF35" w14:textId="1547F0C2" w:rsidR="000F729D" w:rsidRPr="00ED4B67" w:rsidRDefault="00604865"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72.73%</w:t>
            </w:r>
          </w:p>
        </w:tc>
      </w:tr>
      <w:tr w:rsidR="000F729D" w14:paraId="7A8B1B4B" w14:textId="5E41A732" w:rsidTr="00ED4B67">
        <w:tc>
          <w:tcPr>
            <w:tcW w:w="2187" w:type="dxa"/>
            <w:tcBorders>
              <w:top w:val="nil"/>
              <w:left w:val="nil"/>
              <w:bottom w:val="nil"/>
              <w:right w:val="nil"/>
            </w:tcBorders>
            <w:vAlign w:val="center"/>
          </w:tcPr>
          <w:p w14:paraId="37375BC3"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Needs Improvement</w:t>
            </w:r>
          </w:p>
        </w:tc>
        <w:tc>
          <w:tcPr>
            <w:tcW w:w="1708" w:type="dxa"/>
            <w:tcBorders>
              <w:top w:val="nil"/>
              <w:left w:val="nil"/>
              <w:bottom w:val="nil"/>
              <w:right w:val="nil"/>
            </w:tcBorders>
            <w:vAlign w:val="center"/>
          </w:tcPr>
          <w:p w14:paraId="61C82460"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1–2</w:t>
            </w:r>
          </w:p>
        </w:tc>
        <w:tc>
          <w:tcPr>
            <w:tcW w:w="1325" w:type="dxa"/>
            <w:tcBorders>
              <w:top w:val="nil"/>
              <w:left w:val="nil"/>
              <w:bottom w:val="nil"/>
              <w:right w:val="nil"/>
            </w:tcBorders>
            <w:vAlign w:val="center"/>
          </w:tcPr>
          <w:p w14:paraId="56285D3A"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14</w:t>
            </w:r>
          </w:p>
        </w:tc>
        <w:tc>
          <w:tcPr>
            <w:tcW w:w="1530" w:type="dxa"/>
            <w:tcBorders>
              <w:top w:val="nil"/>
              <w:left w:val="nil"/>
              <w:bottom w:val="nil"/>
              <w:right w:val="nil"/>
            </w:tcBorders>
            <w:vAlign w:val="center"/>
          </w:tcPr>
          <w:p w14:paraId="658D588E"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63.64%</w:t>
            </w:r>
          </w:p>
        </w:tc>
        <w:tc>
          <w:tcPr>
            <w:tcW w:w="1530" w:type="dxa"/>
            <w:tcBorders>
              <w:top w:val="nil"/>
              <w:left w:val="nil"/>
              <w:bottom w:val="nil"/>
              <w:right w:val="nil"/>
            </w:tcBorders>
            <w:vAlign w:val="center"/>
          </w:tcPr>
          <w:p w14:paraId="72669F7C" w14:textId="4617CB09" w:rsidR="000F729D" w:rsidRPr="00ED4B67" w:rsidRDefault="008B3356" w:rsidP="008B3356">
            <w:pPr>
              <w:spacing w:before="240"/>
              <w:jc w:val="center"/>
              <w:rPr>
                <w:rFonts w:ascii="Times New Roman" w:hAnsi="Times New Roman" w:cs="Times New Roman"/>
                <w:sz w:val="22"/>
                <w:szCs w:val="22"/>
              </w:rPr>
            </w:pPr>
            <w:r w:rsidRPr="00ED4B67">
              <w:rPr>
                <w:rFonts w:ascii="Times New Roman" w:hAnsi="Times New Roman" w:cs="Times New Roman"/>
                <w:sz w:val="22"/>
                <w:szCs w:val="22"/>
              </w:rPr>
              <w:t>5</w:t>
            </w:r>
          </w:p>
        </w:tc>
        <w:tc>
          <w:tcPr>
            <w:tcW w:w="1620" w:type="dxa"/>
            <w:tcBorders>
              <w:top w:val="nil"/>
              <w:left w:val="nil"/>
              <w:bottom w:val="nil"/>
              <w:right w:val="nil"/>
            </w:tcBorders>
            <w:vAlign w:val="center"/>
          </w:tcPr>
          <w:p w14:paraId="17B81CC8" w14:textId="13830E46" w:rsidR="000F729D" w:rsidRPr="00ED4B67" w:rsidRDefault="0067088D" w:rsidP="0067088D">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22.72%</w:t>
            </w:r>
          </w:p>
        </w:tc>
      </w:tr>
      <w:tr w:rsidR="000F729D" w14:paraId="012D63C8" w14:textId="037CD860" w:rsidTr="00ED4B67">
        <w:tc>
          <w:tcPr>
            <w:tcW w:w="2187" w:type="dxa"/>
            <w:tcBorders>
              <w:top w:val="nil"/>
              <w:left w:val="nil"/>
              <w:bottom w:val="single" w:sz="8" w:space="0" w:color="auto"/>
              <w:right w:val="nil"/>
            </w:tcBorders>
            <w:vAlign w:val="center"/>
          </w:tcPr>
          <w:p w14:paraId="45A31909" w14:textId="77777777" w:rsidR="000F729D" w:rsidRPr="00ED4B67" w:rsidRDefault="000F729D" w:rsidP="007A5961">
            <w:pPr>
              <w:spacing w:before="240"/>
              <w:jc w:val="center"/>
              <w:rPr>
                <w:rFonts w:ascii="Times New Roman" w:hAnsi="Times New Roman" w:cs="Times New Roman"/>
                <w:b/>
                <w:bCs/>
                <w:sz w:val="22"/>
                <w:szCs w:val="22"/>
              </w:rPr>
            </w:pPr>
            <w:r w:rsidRPr="00ED4B67">
              <w:rPr>
                <w:rFonts w:ascii="Times New Roman" w:hAnsi="Times New Roman" w:cs="Times New Roman"/>
                <w:b/>
                <w:bCs/>
                <w:sz w:val="22"/>
                <w:szCs w:val="22"/>
              </w:rPr>
              <w:t>Total</w:t>
            </w:r>
          </w:p>
        </w:tc>
        <w:tc>
          <w:tcPr>
            <w:tcW w:w="1708" w:type="dxa"/>
            <w:tcBorders>
              <w:top w:val="nil"/>
              <w:left w:val="nil"/>
              <w:bottom w:val="single" w:sz="8" w:space="0" w:color="auto"/>
              <w:right w:val="nil"/>
            </w:tcBorders>
            <w:vAlign w:val="center"/>
          </w:tcPr>
          <w:p w14:paraId="1D0453CD" w14:textId="77777777" w:rsidR="000F729D" w:rsidRPr="00ED4B67" w:rsidRDefault="000F729D" w:rsidP="007A5961">
            <w:pPr>
              <w:spacing w:before="240"/>
              <w:jc w:val="center"/>
              <w:rPr>
                <w:rFonts w:ascii="Times New Roman" w:hAnsi="Times New Roman" w:cs="Times New Roman"/>
                <w:sz w:val="22"/>
                <w:szCs w:val="22"/>
              </w:rPr>
            </w:pPr>
          </w:p>
        </w:tc>
        <w:tc>
          <w:tcPr>
            <w:tcW w:w="1325" w:type="dxa"/>
            <w:tcBorders>
              <w:top w:val="nil"/>
              <w:left w:val="nil"/>
              <w:bottom w:val="single" w:sz="8" w:space="0" w:color="auto"/>
              <w:right w:val="nil"/>
            </w:tcBorders>
            <w:vAlign w:val="center"/>
          </w:tcPr>
          <w:p w14:paraId="4A0F97AB"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w:t>
            </w:r>
          </w:p>
        </w:tc>
        <w:tc>
          <w:tcPr>
            <w:tcW w:w="1530" w:type="dxa"/>
            <w:tcBorders>
              <w:top w:val="nil"/>
              <w:left w:val="nil"/>
              <w:bottom w:val="single" w:sz="8" w:space="0" w:color="auto"/>
              <w:right w:val="nil"/>
            </w:tcBorders>
            <w:vAlign w:val="center"/>
          </w:tcPr>
          <w:p w14:paraId="533A5DCD" w14:textId="77777777" w:rsidR="000F729D" w:rsidRPr="00ED4B67" w:rsidRDefault="000F729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100%</w:t>
            </w:r>
          </w:p>
        </w:tc>
        <w:tc>
          <w:tcPr>
            <w:tcW w:w="1530" w:type="dxa"/>
            <w:tcBorders>
              <w:top w:val="nil"/>
              <w:left w:val="nil"/>
              <w:bottom w:val="single" w:sz="8" w:space="0" w:color="auto"/>
              <w:right w:val="nil"/>
            </w:tcBorders>
          </w:tcPr>
          <w:p w14:paraId="4920E388" w14:textId="27EF05E4" w:rsidR="000F729D" w:rsidRPr="00ED4B67" w:rsidRDefault="008B3356"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22</w:t>
            </w:r>
          </w:p>
        </w:tc>
        <w:tc>
          <w:tcPr>
            <w:tcW w:w="1620" w:type="dxa"/>
            <w:tcBorders>
              <w:top w:val="nil"/>
              <w:left w:val="nil"/>
              <w:bottom w:val="single" w:sz="8" w:space="0" w:color="auto"/>
              <w:right w:val="nil"/>
            </w:tcBorders>
          </w:tcPr>
          <w:p w14:paraId="67859072" w14:textId="363B1435" w:rsidR="000F729D" w:rsidRPr="00ED4B67" w:rsidRDefault="0067088D" w:rsidP="007A5961">
            <w:pPr>
              <w:spacing w:before="240"/>
              <w:jc w:val="center"/>
              <w:rPr>
                <w:rFonts w:ascii="Times New Roman" w:hAnsi="Times New Roman" w:cs="Times New Roman"/>
                <w:sz w:val="22"/>
                <w:szCs w:val="22"/>
              </w:rPr>
            </w:pPr>
            <w:r w:rsidRPr="00ED4B67">
              <w:rPr>
                <w:rFonts w:ascii="Times New Roman" w:hAnsi="Times New Roman" w:cs="Times New Roman"/>
                <w:sz w:val="22"/>
                <w:szCs w:val="22"/>
              </w:rPr>
              <w:t>100%</w:t>
            </w:r>
          </w:p>
        </w:tc>
      </w:tr>
    </w:tbl>
    <w:p w14:paraId="77BEFB4E" w14:textId="77777777" w:rsidR="00C007A8" w:rsidRDefault="00C007A8" w:rsidP="00AA6412">
      <w:pPr>
        <w:jc w:val="both"/>
        <w:rPr>
          <w:rFonts w:ascii="Times New Roman" w:hAnsi="Times New Roman" w:cs="Times New Roman"/>
        </w:rPr>
      </w:pPr>
    </w:p>
    <w:p w14:paraId="0B6F0A66" w14:textId="2580B5C6" w:rsidR="00A867F5" w:rsidRPr="00A867F5" w:rsidRDefault="00A867F5" w:rsidP="00A867F5">
      <w:pPr>
        <w:jc w:val="both"/>
        <w:rPr>
          <w:rFonts w:ascii="Times New Roman" w:hAnsi="Times New Roman" w:cs="Times New Roman"/>
        </w:rPr>
      </w:pPr>
      <w:r w:rsidRPr="00A867F5">
        <w:rPr>
          <w:rFonts w:ascii="Times New Roman" w:hAnsi="Times New Roman" w:cs="Times New Roman"/>
        </w:rPr>
        <w:t xml:space="preserve">The baseline data initially revealed that 95.46% of the class performed below standard, with 63.64% (n=14) requiring significant improvement. </w:t>
      </w:r>
      <w:r w:rsidR="007A3058">
        <w:rPr>
          <w:rFonts w:ascii="Times New Roman" w:hAnsi="Times New Roman" w:cs="Times New Roman"/>
        </w:rPr>
        <w:t>The</w:t>
      </w:r>
      <w:r w:rsidR="00D747A3">
        <w:rPr>
          <w:rFonts w:ascii="Times New Roman" w:hAnsi="Times New Roman" w:cs="Times New Roman"/>
        </w:rPr>
        <w:t xml:space="preserve"> </w:t>
      </w:r>
      <w:r w:rsidRPr="00A867F5">
        <w:rPr>
          <w:rFonts w:ascii="Times New Roman" w:hAnsi="Times New Roman" w:cs="Times New Roman"/>
        </w:rPr>
        <w:t>psychological barriers, such as anxiety and "social evaluation fear," create a "silence gap" in the classroom. From the perspective of Vygotsky’s Sociocultural Theory, the initial low performance suggests a lack of meaningful social interaction in the learning environment</w:t>
      </w:r>
      <w:r w:rsidR="00D747A3">
        <w:rPr>
          <w:rFonts w:ascii="Times New Roman" w:hAnsi="Times New Roman" w:cs="Times New Roman"/>
        </w:rPr>
        <w:t xml:space="preserve"> [12][14]</w:t>
      </w:r>
      <w:r w:rsidRPr="00A867F5">
        <w:rPr>
          <w:rFonts w:ascii="Times New Roman" w:hAnsi="Times New Roman" w:cs="Times New Roman"/>
        </w:rPr>
        <w:t>.</w:t>
      </w:r>
    </w:p>
    <w:p w14:paraId="3DEEB250" w14:textId="0F13C11E" w:rsidR="00A867F5" w:rsidRPr="00A867F5" w:rsidRDefault="00A867F5" w:rsidP="00A867F5">
      <w:pPr>
        <w:jc w:val="both"/>
        <w:rPr>
          <w:rFonts w:ascii="Times New Roman" w:hAnsi="Times New Roman" w:cs="Times New Roman"/>
        </w:rPr>
      </w:pPr>
      <w:r w:rsidRPr="00A867F5">
        <w:rPr>
          <w:rFonts w:ascii="Times New Roman" w:hAnsi="Times New Roman" w:cs="Times New Roman"/>
        </w:rPr>
        <w:t>Following the 10-day intervention, post-test results demonstrated a marked migration: the "Needs Improvement" group decreased to 22.72% (n=5), while the "Developing" category surged to 72.73% (n=16). This progress indicates that the SFVs functioned as an effective "linguistic bridge." By providing "comprehensible input" through authentic visual resources, the intervention allowed students to expand their vocabulary and reduce communicative apprehension</w:t>
      </w:r>
      <w:r w:rsidR="008E7FB8">
        <w:rPr>
          <w:rFonts w:ascii="Times New Roman" w:hAnsi="Times New Roman" w:cs="Times New Roman"/>
        </w:rPr>
        <w:t xml:space="preserve"> [9]</w:t>
      </w:r>
      <w:r w:rsidRPr="00A867F5">
        <w:rPr>
          <w:rFonts w:ascii="Times New Roman" w:hAnsi="Times New Roman" w:cs="Times New Roman"/>
        </w:rPr>
        <w:t>.</w:t>
      </w:r>
    </w:p>
    <w:p w14:paraId="717ABC49" w14:textId="5147D25E" w:rsidR="00054EEA" w:rsidRDefault="00A867F5" w:rsidP="00AA6412">
      <w:pPr>
        <w:jc w:val="both"/>
        <w:rPr>
          <w:rFonts w:ascii="Times New Roman" w:hAnsi="Times New Roman" w:cs="Times New Roman"/>
        </w:rPr>
      </w:pPr>
      <w:r w:rsidRPr="00A867F5">
        <w:rPr>
          <w:rFonts w:ascii="Times New Roman" w:hAnsi="Times New Roman" w:cs="Times New Roman"/>
        </w:rPr>
        <w:t xml:space="preserve">While most students reached the Developing stage, the results suggest that language mastery is an iterative process. The students remaining in the "Needs Improvement" tier likely face persistent vocabulary deficits </w:t>
      </w:r>
      <w:r w:rsidR="008E7FB8">
        <w:rPr>
          <w:rFonts w:ascii="Times New Roman" w:hAnsi="Times New Roman" w:cs="Times New Roman"/>
        </w:rPr>
        <w:t>[19]</w:t>
      </w:r>
      <w:r w:rsidRPr="00A867F5">
        <w:rPr>
          <w:rFonts w:ascii="Times New Roman" w:hAnsi="Times New Roman" w:cs="Times New Roman"/>
        </w:rPr>
        <w:t xml:space="preserve">. However, the overall shift confirms that integrating digital multimedia as a "structural anchor" allows students to transition from passive consumption to active, low-stress oral production </w:t>
      </w:r>
      <w:r w:rsidR="008E7FB8">
        <w:rPr>
          <w:rFonts w:ascii="Times New Roman" w:hAnsi="Times New Roman" w:cs="Times New Roman"/>
        </w:rPr>
        <w:t>[16]</w:t>
      </w:r>
      <w:r w:rsidRPr="00A867F5">
        <w:rPr>
          <w:rFonts w:ascii="Times New Roman" w:hAnsi="Times New Roman" w:cs="Times New Roman"/>
        </w:rPr>
        <w:t xml:space="preserve">. </w:t>
      </w:r>
      <w:r w:rsidR="00636646">
        <w:rPr>
          <w:rFonts w:ascii="Times New Roman" w:hAnsi="Times New Roman" w:cs="Times New Roman"/>
        </w:rPr>
        <w:t>O</w:t>
      </w:r>
      <w:r w:rsidRPr="00A867F5">
        <w:rPr>
          <w:rFonts w:ascii="Times New Roman" w:hAnsi="Times New Roman" w:cs="Times New Roman"/>
        </w:rPr>
        <w:t>ral proficiency is best achieved when digital content is paired with active engagement, reinforcing the role of SFVs as a catalyst for academic growth</w:t>
      </w:r>
      <w:r w:rsidR="00636646">
        <w:rPr>
          <w:rFonts w:ascii="Times New Roman" w:hAnsi="Times New Roman" w:cs="Times New Roman"/>
        </w:rPr>
        <w:t xml:space="preserve"> [3]</w:t>
      </w:r>
      <w:r w:rsidRPr="00A867F5">
        <w:rPr>
          <w:rFonts w:ascii="Times New Roman" w:hAnsi="Times New Roman" w:cs="Times New Roman"/>
        </w:rPr>
        <w:t>.</w:t>
      </w:r>
    </w:p>
    <w:p w14:paraId="0A4E983E" w14:textId="152CC47D" w:rsidR="00B8606F" w:rsidRPr="00054EEA" w:rsidRDefault="001D2C61" w:rsidP="00AA6412">
      <w:pPr>
        <w:jc w:val="both"/>
        <w:rPr>
          <w:rFonts w:ascii="Times New Roman" w:hAnsi="Times New Roman" w:cs="Times New Roman"/>
        </w:rPr>
      </w:pPr>
      <w:r>
        <w:rPr>
          <w:rFonts w:ascii="Times New Roman" w:hAnsi="Times New Roman" w:cs="Times New Roman"/>
          <w:b/>
          <w:bCs/>
        </w:rPr>
        <w:t xml:space="preserve">2. </w:t>
      </w:r>
      <w:r w:rsidR="00B8606F" w:rsidRPr="00B8606F">
        <w:rPr>
          <w:rFonts w:ascii="Times New Roman" w:hAnsi="Times New Roman" w:cs="Times New Roman"/>
          <w:b/>
          <w:bCs/>
        </w:rPr>
        <w:t xml:space="preserve">Comparative Analysis of Pre-Test </w:t>
      </w:r>
      <w:r w:rsidR="00B8606F">
        <w:rPr>
          <w:rFonts w:ascii="Times New Roman" w:hAnsi="Times New Roman" w:cs="Times New Roman"/>
          <w:b/>
          <w:bCs/>
        </w:rPr>
        <w:t>a</w:t>
      </w:r>
      <w:r w:rsidR="00B8606F" w:rsidRPr="00B8606F">
        <w:rPr>
          <w:rFonts w:ascii="Times New Roman" w:hAnsi="Times New Roman" w:cs="Times New Roman"/>
          <w:b/>
          <w:bCs/>
        </w:rPr>
        <w:t>nd Post-Test Scores</w:t>
      </w:r>
    </w:p>
    <w:p w14:paraId="24B084B4" w14:textId="77777777" w:rsidR="00B8606F" w:rsidRDefault="00B8606F" w:rsidP="00AA6412">
      <w:pPr>
        <w:jc w:val="both"/>
        <w:rPr>
          <w:rFonts w:ascii="Times New Roman" w:hAnsi="Times New Roman" w:cs="Times New Roman"/>
        </w:rPr>
      </w:pPr>
      <w:r w:rsidRPr="00B8606F">
        <w:rPr>
          <w:rFonts w:ascii="Times New Roman" w:hAnsi="Times New Roman" w:cs="Times New Roman"/>
        </w:rPr>
        <w:t xml:space="preserve">To determine the statistical significance of the intervention, a paired-sample t-test was conducted. Table 2 presents the comparison of the mean scores, standard deviations, and the resulting significance levels. </w:t>
      </w:r>
    </w:p>
    <w:p w14:paraId="118BFC8E" w14:textId="1A17BEAF" w:rsidR="005054C4" w:rsidRPr="001F0E7F" w:rsidRDefault="00B8606F" w:rsidP="001F0E7F">
      <w:pPr>
        <w:jc w:val="both"/>
        <w:rPr>
          <w:rFonts w:ascii="Times New Roman" w:hAnsi="Times New Roman" w:cs="Times New Roman"/>
        </w:rPr>
      </w:pPr>
      <w:r w:rsidRPr="00B8606F">
        <w:rPr>
          <w:rFonts w:ascii="Times New Roman" w:hAnsi="Times New Roman" w:cs="Times New Roman"/>
        </w:rPr>
        <w:t>Table 2. Paired-Sample T-test Results for Speaking Performance (N=22)</w:t>
      </w:r>
    </w:p>
    <w:tbl>
      <w:tblPr>
        <w:tblStyle w:val="TableGrid"/>
        <w:tblW w:w="0" w:type="auto"/>
        <w:tblInd w:w="-108" w:type="dxa"/>
        <w:tblLook w:val="04A0" w:firstRow="1" w:lastRow="0" w:firstColumn="1" w:lastColumn="0" w:noHBand="0" w:noVBand="1"/>
      </w:tblPr>
      <w:tblGrid>
        <w:gridCol w:w="1473"/>
        <w:gridCol w:w="1088"/>
        <w:gridCol w:w="950"/>
        <w:gridCol w:w="1215"/>
        <w:gridCol w:w="1212"/>
        <w:gridCol w:w="2317"/>
      </w:tblGrid>
      <w:tr w:rsidR="001F0E7F" w:rsidRPr="00392106" w14:paraId="749A0B5D" w14:textId="77777777" w:rsidTr="001F0E7F">
        <w:trPr>
          <w:trHeight w:val="689"/>
        </w:trPr>
        <w:tc>
          <w:tcPr>
            <w:tcW w:w="1473" w:type="dxa"/>
            <w:tcBorders>
              <w:top w:val="single" w:sz="4" w:space="0" w:color="auto"/>
              <w:left w:val="nil"/>
              <w:bottom w:val="single" w:sz="4" w:space="0" w:color="auto"/>
              <w:right w:val="nil"/>
            </w:tcBorders>
            <w:vAlign w:val="center"/>
          </w:tcPr>
          <w:p w14:paraId="61BB254F"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Test Group</w:t>
            </w:r>
          </w:p>
        </w:tc>
        <w:tc>
          <w:tcPr>
            <w:tcW w:w="1088" w:type="dxa"/>
            <w:tcBorders>
              <w:top w:val="single" w:sz="4" w:space="0" w:color="auto"/>
              <w:left w:val="nil"/>
              <w:bottom w:val="single" w:sz="4" w:space="0" w:color="auto"/>
              <w:right w:val="nil"/>
            </w:tcBorders>
            <w:vAlign w:val="center"/>
          </w:tcPr>
          <w:p w14:paraId="63932C8E"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 xml:space="preserve">Mean </w:t>
            </w:r>
          </w:p>
        </w:tc>
        <w:tc>
          <w:tcPr>
            <w:tcW w:w="950" w:type="dxa"/>
            <w:tcBorders>
              <w:top w:val="single" w:sz="4" w:space="0" w:color="auto"/>
              <w:left w:val="nil"/>
              <w:bottom w:val="single" w:sz="4" w:space="0" w:color="auto"/>
              <w:right w:val="nil"/>
            </w:tcBorders>
            <w:vAlign w:val="center"/>
          </w:tcPr>
          <w:p w14:paraId="202120CD"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SD</w:t>
            </w:r>
          </w:p>
        </w:tc>
        <w:tc>
          <w:tcPr>
            <w:tcW w:w="1215" w:type="dxa"/>
            <w:tcBorders>
              <w:top w:val="single" w:sz="4" w:space="0" w:color="auto"/>
              <w:left w:val="nil"/>
              <w:bottom w:val="single" w:sz="4" w:space="0" w:color="auto"/>
              <w:right w:val="nil"/>
            </w:tcBorders>
            <w:vAlign w:val="center"/>
          </w:tcPr>
          <w:p w14:paraId="31F40A73"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i/>
                <w:iCs/>
                <w:sz w:val="22"/>
                <w:szCs w:val="22"/>
              </w:rPr>
              <w:t>t-value</w:t>
            </w:r>
          </w:p>
        </w:tc>
        <w:tc>
          <w:tcPr>
            <w:tcW w:w="1212" w:type="dxa"/>
            <w:tcBorders>
              <w:top w:val="single" w:sz="4" w:space="0" w:color="auto"/>
              <w:left w:val="nil"/>
              <w:bottom w:val="single" w:sz="4" w:space="0" w:color="auto"/>
              <w:right w:val="nil"/>
            </w:tcBorders>
            <w:vAlign w:val="center"/>
          </w:tcPr>
          <w:p w14:paraId="7A41BD88"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sz w:val="22"/>
                <w:szCs w:val="22"/>
              </w:rPr>
              <w:t>p-value</w:t>
            </w:r>
          </w:p>
        </w:tc>
        <w:tc>
          <w:tcPr>
            <w:tcW w:w="2317" w:type="dxa"/>
            <w:tcBorders>
              <w:top w:val="single" w:sz="4" w:space="0" w:color="auto"/>
              <w:left w:val="nil"/>
              <w:bottom w:val="single" w:sz="4" w:space="0" w:color="auto"/>
              <w:right w:val="nil"/>
            </w:tcBorders>
            <w:vAlign w:val="center"/>
          </w:tcPr>
          <w:p w14:paraId="47110FDA" w14:textId="77777777" w:rsidR="001F0E7F" w:rsidRPr="001F0E7F" w:rsidRDefault="001F0E7F" w:rsidP="005054C4">
            <w:pPr>
              <w:jc w:val="both"/>
              <w:rPr>
                <w:rFonts w:ascii="Times New Roman" w:hAnsi="Times New Roman" w:cs="Times New Roman"/>
                <w:b/>
                <w:bCs/>
                <w:i/>
                <w:iCs/>
                <w:sz w:val="22"/>
                <w:szCs w:val="22"/>
              </w:rPr>
            </w:pPr>
            <w:r w:rsidRPr="001F0E7F">
              <w:rPr>
                <w:rFonts w:ascii="Times New Roman" w:hAnsi="Times New Roman" w:cs="Times New Roman"/>
                <w:b/>
                <w:bCs/>
                <w:sz w:val="22"/>
                <w:szCs w:val="22"/>
              </w:rPr>
              <w:t>Interpretation</w:t>
            </w:r>
          </w:p>
        </w:tc>
      </w:tr>
      <w:tr w:rsidR="001F0E7F" w:rsidRPr="00392106" w14:paraId="027BC56D" w14:textId="77777777" w:rsidTr="001F0E7F">
        <w:trPr>
          <w:trHeight w:val="239"/>
        </w:trPr>
        <w:tc>
          <w:tcPr>
            <w:tcW w:w="1473" w:type="dxa"/>
            <w:tcBorders>
              <w:top w:val="single" w:sz="4" w:space="0" w:color="auto"/>
              <w:left w:val="nil"/>
              <w:bottom w:val="nil"/>
              <w:right w:val="nil"/>
            </w:tcBorders>
            <w:vAlign w:val="center"/>
          </w:tcPr>
          <w:p w14:paraId="54B2E193" w14:textId="77777777" w:rsidR="001F0E7F" w:rsidRPr="003C7C1E" w:rsidRDefault="001F0E7F" w:rsidP="005054C4">
            <w:pPr>
              <w:jc w:val="both"/>
              <w:rPr>
                <w:rFonts w:ascii="Times New Roman" w:hAnsi="Times New Roman" w:cs="Times New Roman"/>
                <w:sz w:val="22"/>
                <w:szCs w:val="22"/>
              </w:rPr>
            </w:pPr>
            <w:r w:rsidRPr="003C7C1E">
              <w:rPr>
                <w:rFonts w:ascii="Times New Roman" w:hAnsi="Times New Roman" w:cs="Times New Roman"/>
                <w:sz w:val="22"/>
                <w:szCs w:val="22"/>
              </w:rPr>
              <w:t>Pre-Test</w:t>
            </w:r>
          </w:p>
        </w:tc>
        <w:tc>
          <w:tcPr>
            <w:tcW w:w="1088" w:type="dxa"/>
            <w:tcBorders>
              <w:top w:val="single" w:sz="4" w:space="0" w:color="auto"/>
              <w:left w:val="nil"/>
              <w:bottom w:val="nil"/>
              <w:right w:val="nil"/>
            </w:tcBorders>
            <w:vAlign w:val="center"/>
          </w:tcPr>
          <w:p w14:paraId="6D84A8BB"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2.55</w:t>
            </w:r>
          </w:p>
        </w:tc>
        <w:tc>
          <w:tcPr>
            <w:tcW w:w="950" w:type="dxa"/>
            <w:tcBorders>
              <w:top w:val="single" w:sz="4" w:space="0" w:color="auto"/>
              <w:left w:val="nil"/>
              <w:bottom w:val="nil"/>
              <w:right w:val="nil"/>
            </w:tcBorders>
            <w:vAlign w:val="center"/>
          </w:tcPr>
          <w:p w14:paraId="1549F018"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0.86</w:t>
            </w:r>
          </w:p>
        </w:tc>
        <w:tc>
          <w:tcPr>
            <w:tcW w:w="1215" w:type="dxa"/>
            <w:vMerge w:val="restart"/>
            <w:tcBorders>
              <w:top w:val="single" w:sz="4" w:space="0" w:color="auto"/>
              <w:left w:val="nil"/>
              <w:right w:val="nil"/>
            </w:tcBorders>
            <w:vAlign w:val="center"/>
          </w:tcPr>
          <w:p w14:paraId="508C7A65"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5.29</w:t>
            </w:r>
          </w:p>
        </w:tc>
        <w:tc>
          <w:tcPr>
            <w:tcW w:w="1212" w:type="dxa"/>
            <w:vMerge w:val="restart"/>
            <w:tcBorders>
              <w:top w:val="single" w:sz="4" w:space="0" w:color="auto"/>
              <w:left w:val="nil"/>
              <w:right w:val="nil"/>
            </w:tcBorders>
            <w:vAlign w:val="center"/>
          </w:tcPr>
          <w:p w14:paraId="38405EF1" w14:textId="77777777" w:rsidR="001F0E7F" w:rsidRPr="001F0E7F" w:rsidRDefault="001F0E7F" w:rsidP="005054C4">
            <w:pPr>
              <w:jc w:val="both"/>
              <w:rPr>
                <w:rFonts w:ascii="Times New Roman" w:hAnsi="Times New Roman" w:cs="Times New Roman"/>
                <w:i/>
                <w:iCs/>
                <w:sz w:val="22"/>
                <w:szCs w:val="22"/>
              </w:rPr>
            </w:pPr>
          </w:p>
          <w:p w14:paraId="18870CC2" w14:textId="77777777" w:rsidR="001F0E7F" w:rsidRPr="001F0E7F" w:rsidRDefault="001F0E7F" w:rsidP="005054C4">
            <w:pPr>
              <w:jc w:val="both"/>
              <w:rPr>
                <w:rFonts w:ascii="Times New Roman" w:hAnsi="Times New Roman" w:cs="Times New Roman"/>
                <w:i/>
                <w:iCs/>
                <w:sz w:val="22"/>
                <w:szCs w:val="22"/>
              </w:rPr>
            </w:pPr>
            <w:r w:rsidRPr="001F0E7F">
              <w:rPr>
                <w:rFonts w:ascii="Times New Roman" w:hAnsi="Times New Roman" w:cs="Times New Roman"/>
                <w:i/>
                <w:iCs/>
                <w:sz w:val="22"/>
                <w:szCs w:val="22"/>
              </w:rPr>
              <w:t>&lt; 0.001</w:t>
            </w:r>
          </w:p>
          <w:p w14:paraId="100133B7" w14:textId="77777777" w:rsidR="001F0E7F" w:rsidRPr="001F0E7F" w:rsidRDefault="001F0E7F" w:rsidP="005054C4">
            <w:pPr>
              <w:jc w:val="both"/>
              <w:rPr>
                <w:rFonts w:ascii="Times New Roman" w:hAnsi="Times New Roman" w:cs="Times New Roman"/>
                <w:i/>
                <w:iCs/>
                <w:sz w:val="22"/>
                <w:szCs w:val="22"/>
              </w:rPr>
            </w:pPr>
          </w:p>
        </w:tc>
        <w:tc>
          <w:tcPr>
            <w:tcW w:w="2317" w:type="dxa"/>
            <w:vMerge w:val="restart"/>
            <w:tcBorders>
              <w:top w:val="single" w:sz="4" w:space="0" w:color="auto"/>
              <w:left w:val="nil"/>
              <w:right w:val="nil"/>
            </w:tcBorders>
          </w:tcPr>
          <w:p w14:paraId="1929A0AA" w14:textId="77777777" w:rsidR="001F0E7F" w:rsidRPr="001F0E7F" w:rsidRDefault="001F0E7F" w:rsidP="005054C4">
            <w:pPr>
              <w:jc w:val="both"/>
              <w:rPr>
                <w:rFonts w:ascii="Times New Roman" w:hAnsi="Times New Roman" w:cs="Times New Roman"/>
                <w:i/>
                <w:iCs/>
                <w:sz w:val="22"/>
                <w:szCs w:val="22"/>
              </w:rPr>
            </w:pPr>
          </w:p>
          <w:p w14:paraId="6D056189" w14:textId="7A263250" w:rsidR="001F0E7F" w:rsidRPr="001F0E7F" w:rsidRDefault="001F0E7F" w:rsidP="005054C4">
            <w:pPr>
              <w:jc w:val="both"/>
              <w:rPr>
                <w:rFonts w:ascii="Times New Roman" w:hAnsi="Times New Roman" w:cs="Times New Roman"/>
                <w:i/>
                <w:iCs/>
                <w:sz w:val="22"/>
                <w:szCs w:val="22"/>
              </w:rPr>
            </w:pPr>
            <w:r>
              <w:rPr>
                <w:rFonts w:ascii="Times New Roman" w:hAnsi="Times New Roman" w:cs="Times New Roman"/>
                <w:i/>
                <w:iCs/>
                <w:sz w:val="22"/>
                <w:szCs w:val="22"/>
              </w:rPr>
              <w:t xml:space="preserve">Highly </w:t>
            </w:r>
            <w:r w:rsidRPr="001F0E7F">
              <w:rPr>
                <w:rFonts w:ascii="Times New Roman" w:hAnsi="Times New Roman" w:cs="Times New Roman"/>
                <w:i/>
                <w:iCs/>
                <w:sz w:val="22"/>
                <w:szCs w:val="22"/>
              </w:rPr>
              <w:t>Significant</w:t>
            </w:r>
          </w:p>
        </w:tc>
      </w:tr>
      <w:tr w:rsidR="001F0E7F" w:rsidRPr="00392106" w14:paraId="4DB540CE" w14:textId="77777777" w:rsidTr="001F0E7F">
        <w:tc>
          <w:tcPr>
            <w:tcW w:w="1473" w:type="dxa"/>
            <w:tcBorders>
              <w:top w:val="nil"/>
              <w:left w:val="nil"/>
              <w:bottom w:val="single" w:sz="4" w:space="0" w:color="auto"/>
              <w:right w:val="nil"/>
            </w:tcBorders>
            <w:vAlign w:val="center"/>
          </w:tcPr>
          <w:p w14:paraId="6151956D" w14:textId="77777777" w:rsidR="001F0E7F" w:rsidRPr="003C7C1E" w:rsidRDefault="001F0E7F" w:rsidP="007A5961">
            <w:pPr>
              <w:spacing w:line="360" w:lineRule="auto"/>
              <w:jc w:val="both"/>
              <w:rPr>
                <w:rFonts w:ascii="Times New Roman" w:hAnsi="Times New Roman" w:cs="Times New Roman"/>
                <w:sz w:val="22"/>
                <w:szCs w:val="22"/>
              </w:rPr>
            </w:pPr>
            <w:r w:rsidRPr="003C7C1E">
              <w:rPr>
                <w:rFonts w:ascii="Times New Roman" w:hAnsi="Times New Roman" w:cs="Times New Roman"/>
                <w:sz w:val="22"/>
                <w:szCs w:val="22"/>
              </w:rPr>
              <w:t>Post-Test</w:t>
            </w:r>
          </w:p>
        </w:tc>
        <w:tc>
          <w:tcPr>
            <w:tcW w:w="1088" w:type="dxa"/>
            <w:tcBorders>
              <w:top w:val="nil"/>
              <w:left w:val="nil"/>
              <w:bottom w:val="single" w:sz="4" w:space="0" w:color="auto"/>
              <w:right w:val="nil"/>
            </w:tcBorders>
            <w:vAlign w:val="center"/>
          </w:tcPr>
          <w:p w14:paraId="11DE6499" w14:textId="77777777" w:rsidR="001F0E7F" w:rsidRPr="001F0E7F" w:rsidRDefault="001F0E7F" w:rsidP="007A5961">
            <w:pPr>
              <w:spacing w:line="360" w:lineRule="auto"/>
              <w:jc w:val="both"/>
              <w:rPr>
                <w:rFonts w:ascii="Times New Roman" w:hAnsi="Times New Roman" w:cs="Times New Roman"/>
                <w:i/>
                <w:iCs/>
                <w:sz w:val="22"/>
                <w:szCs w:val="22"/>
              </w:rPr>
            </w:pPr>
            <w:r w:rsidRPr="001F0E7F">
              <w:rPr>
                <w:rFonts w:ascii="Times New Roman" w:hAnsi="Times New Roman" w:cs="Times New Roman"/>
                <w:i/>
                <w:iCs/>
                <w:sz w:val="22"/>
                <w:szCs w:val="22"/>
              </w:rPr>
              <w:t>3.32</w:t>
            </w:r>
          </w:p>
        </w:tc>
        <w:tc>
          <w:tcPr>
            <w:tcW w:w="950" w:type="dxa"/>
            <w:tcBorders>
              <w:top w:val="nil"/>
              <w:left w:val="nil"/>
              <w:bottom w:val="single" w:sz="4" w:space="0" w:color="auto"/>
              <w:right w:val="nil"/>
            </w:tcBorders>
            <w:vAlign w:val="center"/>
          </w:tcPr>
          <w:p w14:paraId="1BC5FE94" w14:textId="77777777" w:rsidR="001F0E7F" w:rsidRPr="001F0E7F" w:rsidRDefault="001F0E7F" w:rsidP="007A5961">
            <w:pPr>
              <w:spacing w:line="360" w:lineRule="auto"/>
              <w:jc w:val="both"/>
              <w:rPr>
                <w:rFonts w:ascii="Times New Roman" w:hAnsi="Times New Roman" w:cs="Times New Roman"/>
                <w:i/>
                <w:iCs/>
                <w:sz w:val="22"/>
                <w:szCs w:val="22"/>
              </w:rPr>
            </w:pPr>
            <w:r w:rsidRPr="001F0E7F">
              <w:rPr>
                <w:rFonts w:ascii="Times New Roman" w:hAnsi="Times New Roman" w:cs="Times New Roman"/>
                <w:i/>
                <w:iCs/>
                <w:sz w:val="22"/>
                <w:szCs w:val="22"/>
              </w:rPr>
              <w:t>1.04</w:t>
            </w:r>
          </w:p>
        </w:tc>
        <w:tc>
          <w:tcPr>
            <w:tcW w:w="1215" w:type="dxa"/>
            <w:vMerge/>
            <w:tcBorders>
              <w:left w:val="nil"/>
              <w:bottom w:val="single" w:sz="4" w:space="0" w:color="auto"/>
              <w:right w:val="nil"/>
            </w:tcBorders>
            <w:vAlign w:val="center"/>
          </w:tcPr>
          <w:p w14:paraId="15C421B3" w14:textId="77777777" w:rsidR="001F0E7F" w:rsidRPr="00392106" w:rsidRDefault="001F0E7F" w:rsidP="007A5961">
            <w:pPr>
              <w:spacing w:line="360" w:lineRule="auto"/>
              <w:jc w:val="both"/>
              <w:rPr>
                <w:rFonts w:ascii="Arial" w:hAnsi="Arial" w:cs="Arial"/>
                <w:i/>
                <w:iCs/>
                <w:sz w:val="22"/>
                <w:szCs w:val="22"/>
              </w:rPr>
            </w:pPr>
          </w:p>
        </w:tc>
        <w:tc>
          <w:tcPr>
            <w:tcW w:w="1212" w:type="dxa"/>
            <w:vMerge/>
            <w:tcBorders>
              <w:left w:val="nil"/>
              <w:bottom w:val="single" w:sz="4" w:space="0" w:color="auto"/>
              <w:right w:val="nil"/>
            </w:tcBorders>
          </w:tcPr>
          <w:p w14:paraId="204D90C5" w14:textId="77777777" w:rsidR="001F0E7F" w:rsidRPr="00392106" w:rsidRDefault="001F0E7F" w:rsidP="007A5961">
            <w:pPr>
              <w:spacing w:line="360" w:lineRule="auto"/>
              <w:jc w:val="both"/>
              <w:rPr>
                <w:rFonts w:ascii="Arial" w:hAnsi="Arial" w:cs="Arial"/>
                <w:i/>
                <w:iCs/>
                <w:sz w:val="22"/>
                <w:szCs w:val="22"/>
              </w:rPr>
            </w:pPr>
          </w:p>
        </w:tc>
        <w:tc>
          <w:tcPr>
            <w:tcW w:w="2317" w:type="dxa"/>
            <w:vMerge/>
            <w:tcBorders>
              <w:left w:val="nil"/>
              <w:bottom w:val="single" w:sz="4" w:space="0" w:color="auto"/>
              <w:right w:val="nil"/>
            </w:tcBorders>
          </w:tcPr>
          <w:p w14:paraId="5AB786A5" w14:textId="77777777" w:rsidR="001F0E7F" w:rsidRPr="00392106" w:rsidRDefault="001F0E7F" w:rsidP="007A5961">
            <w:pPr>
              <w:spacing w:line="360" w:lineRule="auto"/>
              <w:jc w:val="both"/>
              <w:rPr>
                <w:rFonts w:ascii="Arial" w:hAnsi="Arial" w:cs="Arial"/>
                <w:i/>
                <w:iCs/>
                <w:sz w:val="22"/>
                <w:szCs w:val="22"/>
              </w:rPr>
            </w:pPr>
          </w:p>
        </w:tc>
      </w:tr>
    </w:tbl>
    <w:p w14:paraId="6DDBB7EE" w14:textId="50E263C2" w:rsidR="00101E3B" w:rsidRDefault="00101E3B" w:rsidP="00101E3B">
      <w:pPr>
        <w:pStyle w:val="NormalWeb"/>
        <w:spacing w:before="240" w:beforeAutospacing="0"/>
        <w:jc w:val="both"/>
      </w:pPr>
      <w:r w:rsidRPr="00101E3B">
        <w:t>The statistical analysis reveals a significant improvement in the students' speaking performance following the SFV intervention. The class mean increased from a baseline of 2.55 (</w:t>
      </w:r>
      <w:r w:rsidRPr="00101E3B">
        <w:rPr>
          <w:rStyle w:val="math-inline"/>
        </w:rPr>
        <w:t>SD=0.86</w:t>
      </w:r>
      <w:r w:rsidRPr="00101E3B">
        <w:t>) to a post-intervention mean of 3.32 (</w:t>
      </w:r>
      <w:r w:rsidRPr="00101E3B">
        <w:rPr>
          <w:rStyle w:val="math-inline"/>
        </w:rPr>
        <w:t>SD=1.04</w:t>
      </w:r>
      <w:r w:rsidRPr="00101E3B">
        <w:t>). The resulting t-value of 5.29 and a p-value of less than 0.001 (</w:t>
      </w:r>
      <w:r w:rsidRPr="00101E3B">
        <w:rPr>
          <w:rStyle w:val="math-inline"/>
        </w:rPr>
        <w:t>p &lt; 0.05</w:t>
      </w:r>
      <w:r w:rsidRPr="00101E3B">
        <w:t>) necessitate the rejection of the null hypothesis. This indicates that the 0.77-point increase in oral proficiency is statistically significant and not attributable to random chance.</w:t>
      </w:r>
      <w:r>
        <w:t xml:space="preserve"> </w:t>
      </w:r>
    </w:p>
    <w:p w14:paraId="7BDE8A22" w14:textId="77777777" w:rsidR="00101E3B" w:rsidRDefault="00101E3B" w:rsidP="00101E3B">
      <w:pPr>
        <w:pStyle w:val="NormalWeb"/>
        <w:spacing w:before="240" w:beforeAutospacing="0"/>
        <w:jc w:val="both"/>
      </w:pPr>
      <w:r w:rsidRPr="00101E3B">
        <w:t xml:space="preserve">While the mean increase confirms a general upward trend in class performance, the slight rise in standard deviation from 0.86 to 1.04 suggests varied rates of progress among individual learners, a common phenomenon in language acquisition where some students respond more rapidly to multimedia stimuli. The </w:t>
      </w:r>
      <w:r w:rsidRPr="00101E3B">
        <w:lastRenderedPageBreak/>
        <w:t>data proves that the 10-day intervention was sufficient to move the class from a state of high communicative uncertainty toward more organized and confident oral production</w:t>
      </w:r>
      <w:r>
        <w:t xml:space="preserve">. </w:t>
      </w:r>
    </w:p>
    <w:p w14:paraId="38E1230F" w14:textId="5967FE7F" w:rsidR="00101E3B" w:rsidRPr="00101E3B" w:rsidRDefault="00101E3B" w:rsidP="002E35A9">
      <w:pPr>
        <w:pStyle w:val="NormalWeb"/>
        <w:spacing w:before="240" w:beforeAutospacing="0"/>
        <w:jc w:val="both"/>
      </w:pPr>
      <w:r w:rsidRPr="00101E3B">
        <w:t>These findings strongly align with Mayer’s Cognitive Theory of Multimedia Learning, which posits that the dual-channel processing of visual and auditory inputs reduces cognitive load, thereby facilitating smoother language retrieval</w:t>
      </w:r>
      <w:r w:rsidR="00D747A3">
        <w:t xml:space="preserve"> [11]</w:t>
      </w:r>
      <w:r w:rsidRPr="00101E3B">
        <w:t>. Furthermore,</w:t>
      </w:r>
      <w:r w:rsidR="00FE025B">
        <w:t xml:space="preserve"> </w:t>
      </w:r>
      <w:r w:rsidRPr="00101E3B">
        <w:t>the brief</w:t>
      </w:r>
      <w:r w:rsidR="00A13443">
        <w:t xml:space="preserve"> </w:t>
      </w:r>
      <w:r w:rsidRPr="00101E3B">
        <w:t>highly contextualized nature of SFVs serves to capture learner attention and provide accessible "linguistic blueprints." By utilizing these videos as cognitive anchors, the students were able to bypass initial performance anxiety, proving that SFVs are a potent tool for rapid development in Senior High School English classrooms</w:t>
      </w:r>
      <w:r w:rsidR="00A13443">
        <w:t xml:space="preserve"> [2]</w:t>
      </w:r>
      <w:r w:rsidRPr="00101E3B">
        <w:t>.</w:t>
      </w:r>
    </w:p>
    <w:p w14:paraId="3D840903" w14:textId="53AB5D52" w:rsidR="001F0E7F" w:rsidRPr="00642124" w:rsidRDefault="00642124" w:rsidP="001F0E7F">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642124">
        <w:rPr>
          <w:rFonts w:ascii="Times New Roman" w:hAnsi="Times New Roman" w:cs="Times New Roman"/>
          <w:b/>
          <w:bCs/>
        </w:rPr>
        <w:t xml:space="preserve">Analysis </w:t>
      </w:r>
      <w:r>
        <w:rPr>
          <w:rFonts w:ascii="Times New Roman" w:hAnsi="Times New Roman" w:cs="Times New Roman"/>
          <w:b/>
          <w:bCs/>
        </w:rPr>
        <w:t>o</w:t>
      </w:r>
      <w:r w:rsidRPr="00642124">
        <w:rPr>
          <w:rFonts w:ascii="Times New Roman" w:hAnsi="Times New Roman" w:cs="Times New Roman"/>
          <w:b/>
          <w:bCs/>
        </w:rPr>
        <w:t>f Linguistic Performance</w:t>
      </w:r>
    </w:p>
    <w:p w14:paraId="4EFAAF76" w14:textId="4232C539" w:rsidR="002E35A9" w:rsidRDefault="002E35A9" w:rsidP="002E35A9">
      <w:pPr>
        <w:spacing w:after="0" w:line="240" w:lineRule="auto"/>
        <w:jc w:val="both"/>
        <w:rPr>
          <w:rFonts w:ascii="Times New Roman" w:hAnsi="Times New Roman" w:cs="Times New Roman"/>
        </w:rPr>
      </w:pPr>
      <w:r w:rsidRPr="002E35A9">
        <w:rPr>
          <w:rFonts w:ascii="Times New Roman" w:hAnsi="Times New Roman" w:cs="Times New Roman"/>
        </w:rPr>
        <w:t>To supplement the quantitative findings, an objective linguistic analysis of audio transcripts was conducted. This analysis focused on identifying "linguistic markers" measurable changes in speech flow, the use of transition words, and the reduction of disfluencies. Table 3 illustrates the structural shift in student oral responses following the 10-day SFV intervention.</w:t>
      </w:r>
    </w:p>
    <w:p w14:paraId="1145F3EE" w14:textId="77777777" w:rsidR="001C1E0F" w:rsidRDefault="001C1E0F" w:rsidP="002E35A9">
      <w:pPr>
        <w:spacing w:after="0" w:line="240" w:lineRule="auto"/>
        <w:jc w:val="both"/>
        <w:rPr>
          <w:rFonts w:ascii="Times New Roman" w:hAnsi="Times New Roman" w:cs="Times New Roman"/>
        </w:rPr>
      </w:pPr>
    </w:p>
    <w:p w14:paraId="2583F445" w14:textId="35AEEF65" w:rsidR="002E35A9" w:rsidRDefault="00861F7D" w:rsidP="002E35A9">
      <w:pPr>
        <w:spacing w:after="0" w:line="240" w:lineRule="auto"/>
        <w:jc w:val="both"/>
        <w:rPr>
          <w:rFonts w:ascii="Times New Roman" w:hAnsi="Times New Roman" w:cs="Times New Roman"/>
        </w:rPr>
      </w:pPr>
      <w:r w:rsidRPr="00861F7D">
        <w:rPr>
          <w:rFonts w:ascii="Times New Roman" w:hAnsi="Times New Roman" w:cs="Times New Roman"/>
        </w:rPr>
        <w:t xml:space="preserve">Table </w:t>
      </w:r>
      <w:r>
        <w:rPr>
          <w:rFonts w:ascii="Times New Roman" w:hAnsi="Times New Roman" w:cs="Times New Roman"/>
        </w:rPr>
        <w:t>3</w:t>
      </w:r>
      <w:r w:rsidRPr="00861F7D">
        <w:rPr>
          <w:rFonts w:ascii="Times New Roman" w:hAnsi="Times New Roman" w:cs="Times New Roman"/>
        </w:rPr>
        <w:t>: Emergence of Transitional Markers in Student Oral Responses</w:t>
      </w:r>
    </w:p>
    <w:p w14:paraId="3A385DCD" w14:textId="77777777" w:rsidR="00861F7D" w:rsidRDefault="00861F7D" w:rsidP="002E35A9">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715"/>
        <w:gridCol w:w="3871"/>
      </w:tblGrid>
      <w:tr w:rsidR="00CF389D" w:rsidRPr="00CF389D" w14:paraId="5983F316" w14:textId="77777777" w:rsidTr="007A5961">
        <w:trPr>
          <w:trHeight w:val="313"/>
        </w:trPr>
        <w:tc>
          <w:tcPr>
            <w:tcW w:w="1440" w:type="dxa"/>
            <w:tcBorders>
              <w:top w:val="single" w:sz="12" w:space="0" w:color="auto"/>
              <w:bottom w:val="double" w:sz="4" w:space="0" w:color="auto"/>
            </w:tcBorders>
            <w:vAlign w:val="center"/>
          </w:tcPr>
          <w:p w14:paraId="0EC42A6E"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Student</w:t>
            </w:r>
          </w:p>
        </w:tc>
        <w:tc>
          <w:tcPr>
            <w:tcW w:w="3715" w:type="dxa"/>
            <w:tcBorders>
              <w:top w:val="single" w:sz="12" w:space="0" w:color="auto"/>
              <w:bottom w:val="double" w:sz="4" w:space="0" w:color="auto"/>
            </w:tcBorders>
            <w:vAlign w:val="center"/>
          </w:tcPr>
          <w:p w14:paraId="169C659A"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Pre-test Response (Baseline)</w:t>
            </w:r>
          </w:p>
        </w:tc>
        <w:tc>
          <w:tcPr>
            <w:tcW w:w="3871" w:type="dxa"/>
            <w:tcBorders>
              <w:top w:val="single" w:sz="12" w:space="0" w:color="auto"/>
              <w:bottom w:val="double" w:sz="4" w:space="0" w:color="auto"/>
            </w:tcBorders>
            <w:vAlign w:val="center"/>
          </w:tcPr>
          <w:p w14:paraId="08F27BCC" w14:textId="77777777" w:rsidR="00CF389D" w:rsidRPr="00CF389D" w:rsidRDefault="00CF389D" w:rsidP="001C1E0F">
            <w:pPr>
              <w:spacing w:after="160"/>
              <w:jc w:val="both"/>
              <w:rPr>
                <w:rFonts w:ascii="Times New Roman" w:hAnsi="Times New Roman" w:cs="Times New Roman"/>
                <w:b/>
                <w:bCs/>
              </w:rPr>
            </w:pPr>
            <w:r w:rsidRPr="00CF389D">
              <w:rPr>
                <w:rFonts w:ascii="Times New Roman" w:hAnsi="Times New Roman" w:cs="Times New Roman"/>
                <w:b/>
                <w:bCs/>
              </w:rPr>
              <w:t>Post-test Response (After SFV)</w:t>
            </w:r>
          </w:p>
        </w:tc>
      </w:tr>
      <w:tr w:rsidR="00CF389D" w:rsidRPr="00CF389D" w14:paraId="35A683C8" w14:textId="77777777" w:rsidTr="007A5961">
        <w:trPr>
          <w:trHeight w:val="700"/>
        </w:trPr>
        <w:tc>
          <w:tcPr>
            <w:tcW w:w="1440" w:type="dxa"/>
            <w:tcBorders>
              <w:top w:val="double" w:sz="4" w:space="0" w:color="auto"/>
            </w:tcBorders>
            <w:vAlign w:val="center"/>
          </w:tcPr>
          <w:p w14:paraId="361172C0"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3</w:t>
            </w:r>
          </w:p>
        </w:tc>
        <w:tc>
          <w:tcPr>
            <w:tcW w:w="3715" w:type="dxa"/>
            <w:tcBorders>
              <w:top w:val="double" w:sz="4" w:space="0" w:color="auto"/>
            </w:tcBorders>
            <w:vAlign w:val="center"/>
          </w:tcPr>
          <w:p w14:paraId="566C0ED5"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"Uh… my usual day… I wake up sir... </w:t>
            </w:r>
            <w:proofErr w:type="spellStart"/>
            <w:r w:rsidRPr="00CF389D">
              <w:rPr>
                <w:rFonts w:ascii="Times New Roman" w:hAnsi="Times New Roman" w:cs="Times New Roman"/>
                <w:i/>
                <w:iCs/>
              </w:rPr>
              <w:t>tapos</w:t>
            </w:r>
            <w:proofErr w:type="spellEnd"/>
            <w:r w:rsidRPr="00CF389D">
              <w:rPr>
                <w:rFonts w:ascii="Times New Roman" w:hAnsi="Times New Roman" w:cs="Times New Roman"/>
                <w:i/>
                <w:iCs/>
              </w:rPr>
              <w:t xml:space="preserve"> I go to school..."</w:t>
            </w:r>
          </w:p>
        </w:tc>
        <w:tc>
          <w:tcPr>
            <w:tcW w:w="3871" w:type="dxa"/>
            <w:tcBorders>
              <w:top w:val="double" w:sz="4" w:space="0" w:color="auto"/>
            </w:tcBorders>
            <w:vAlign w:val="center"/>
          </w:tcPr>
          <w:p w14:paraId="0A81EE7A"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First is</w:t>
            </w:r>
            <w:r w:rsidRPr="00CF389D">
              <w:rPr>
                <w:rFonts w:ascii="Times New Roman" w:hAnsi="Times New Roman" w:cs="Times New Roman"/>
                <w:i/>
                <w:iCs/>
              </w:rPr>
              <w:t xml:space="preserve"> I wake up early... </w:t>
            </w:r>
            <w:r w:rsidRPr="00CF389D">
              <w:rPr>
                <w:rFonts w:ascii="Times New Roman" w:hAnsi="Times New Roman" w:cs="Times New Roman"/>
                <w:b/>
                <w:bCs/>
                <w:i/>
                <w:iCs/>
              </w:rPr>
              <w:t>After that</w:t>
            </w:r>
            <w:r w:rsidRPr="00CF389D">
              <w:rPr>
                <w:rFonts w:ascii="Times New Roman" w:hAnsi="Times New Roman" w:cs="Times New Roman"/>
                <w:i/>
                <w:iCs/>
              </w:rPr>
              <w:t>, I go home... then I arrive in class."</w:t>
            </w:r>
          </w:p>
        </w:tc>
      </w:tr>
      <w:tr w:rsidR="00CF389D" w:rsidRPr="00CF389D" w14:paraId="5B4A32CD" w14:textId="77777777" w:rsidTr="007A5961">
        <w:trPr>
          <w:trHeight w:val="1121"/>
        </w:trPr>
        <w:tc>
          <w:tcPr>
            <w:tcW w:w="1440" w:type="dxa"/>
            <w:vAlign w:val="center"/>
          </w:tcPr>
          <w:p w14:paraId="501A51BE"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2</w:t>
            </w:r>
          </w:p>
        </w:tc>
        <w:tc>
          <w:tcPr>
            <w:tcW w:w="3715" w:type="dxa"/>
            <w:vAlign w:val="center"/>
          </w:tcPr>
          <w:p w14:paraId="1CBEC7CF"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"Every day... </w:t>
            </w:r>
            <w:proofErr w:type="spellStart"/>
            <w:r w:rsidRPr="00CF389D">
              <w:rPr>
                <w:rFonts w:ascii="Times New Roman" w:hAnsi="Times New Roman" w:cs="Times New Roman"/>
                <w:i/>
                <w:iCs/>
              </w:rPr>
              <w:t>una</w:t>
            </w:r>
            <w:proofErr w:type="spellEnd"/>
            <w:r w:rsidRPr="00CF389D">
              <w:rPr>
                <w:rFonts w:ascii="Times New Roman" w:hAnsi="Times New Roman" w:cs="Times New Roman"/>
                <w:i/>
                <w:iCs/>
              </w:rPr>
              <w:t xml:space="preserve"> sir </w:t>
            </w:r>
            <w:proofErr w:type="spellStart"/>
            <w:r w:rsidRPr="00CF389D">
              <w:rPr>
                <w:rFonts w:ascii="Times New Roman" w:hAnsi="Times New Roman" w:cs="Times New Roman"/>
                <w:i/>
                <w:iCs/>
              </w:rPr>
              <w:t>kay</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manigway</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sa</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kog</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baka</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tapos</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muadto</w:t>
            </w:r>
            <w:proofErr w:type="spellEnd"/>
            <w:r w:rsidRPr="00CF389D">
              <w:rPr>
                <w:rFonts w:ascii="Times New Roman" w:hAnsi="Times New Roman" w:cs="Times New Roman"/>
                <w:i/>
                <w:iCs/>
              </w:rPr>
              <w:t>..."</w:t>
            </w:r>
          </w:p>
        </w:tc>
        <w:tc>
          <w:tcPr>
            <w:tcW w:w="3871" w:type="dxa"/>
            <w:vAlign w:val="center"/>
          </w:tcPr>
          <w:p w14:paraId="5E04053F"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 xml:space="preserve">First </w:t>
            </w:r>
            <w:proofErr w:type="spellStart"/>
            <w:r w:rsidRPr="00CF389D">
              <w:rPr>
                <w:rFonts w:ascii="Times New Roman" w:hAnsi="Times New Roman" w:cs="Times New Roman"/>
                <w:b/>
                <w:bCs/>
                <w:i/>
                <w:iCs/>
              </w:rPr>
              <w:t>kay</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manigway</w:t>
            </w:r>
            <w:proofErr w:type="spellEnd"/>
            <w:r w:rsidRPr="00CF389D">
              <w:rPr>
                <w:rFonts w:ascii="Times New Roman" w:hAnsi="Times New Roman" w:cs="Times New Roman"/>
                <w:i/>
                <w:iCs/>
              </w:rPr>
              <w:t xml:space="preserve">... </w:t>
            </w:r>
            <w:r w:rsidRPr="00CF389D">
              <w:rPr>
                <w:rFonts w:ascii="Times New Roman" w:hAnsi="Times New Roman" w:cs="Times New Roman"/>
                <w:b/>
                <w:bCs/>
                <w:i/>
                <w:iCs/>
              </w:rPr>
              <w:t>and then</w:t>
            </w:r>
            <w:r w:rsidRPr="00CF389D">
              <w:rPr>
                <w:rFonts w:ascii="Times New Roman" w:hAnsi="Times New Roman" w:cs="Times New Roman"/>
                <w:i/>
                <w:iCs/>
              </w:rPr>
              <w:t xml:space="preserve"> </w:t>
            </w:r>
            <w:proofErr w:type="spellStart"/>
            <w:r w:rsidRPr="00CF389D">
              <w:rPr>
                <w:rFonts w:ascii="Times New Roman" w:hAnsi="Times New Roman" w:cs="Times New Roman"/>
                <w:i/>
                <w:iCs/>
              </w:rPr>
              <w:t>muadto</w:t>
            </w:r>
            <w:proofErr w:type="spellEnd"/>
            <w:r w:rsidRPr="00CF389D">
              <w:rPr>
                <w:rFonts w:ascii="Times New Roman" w:hAnsi="Times New Roman" w:cs="Times New Roman"/>
                <w:i/>
                <w:iCs/>
              </w:rPr>
              <w:t xml:space="preserve">... and </w:t>
            </w:r>
            <w:r w:rsidRPr="00CF389D">
              <w:rPr>
                <w:rFonts w:ascii="Times New Roman" w:hAnsi="Times New Roman" w:cs="Times New Roman"/>
                <w:b/>
                <w:bCs/>
                <w:i/>
                <w:iCs/>
              </w:rPr>
              <w:t>after that</w:t>
            </w:r>
            <w:r w:rsidRPr="00CF389D">
              <w:rPr>
                <w:rFonts w:ascii="Times New Roman" w:hAnsi="Times New Roman" w:cs="Times New Roman"/>
                <w:i/>
                <w:iCs/>
              </w:rPr>
              <w:t xml:space="preserve"> sir </w:t>
            </w:r>
            <w:proofErr w:type="spellStart"/>
            <w:r w:rsidRPr="00CF389D">
              <w:rPr>
                <w:rFonts w:ascii="Times New Roman" w:hAnsi="Times New Roman" w:cs="Times New Roman"/>
                <w:i/>
                <w:iCs/>
              </w:rPr>
              <w:t>kay</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muuli</w:t>
            </w:r>
            <w:proofErr w:type="spellEnd"/>
            <w:r w:rsidRPr="00CF389D">
              <w:rPr>
                <w:rFonts w:ascii="Times New Roman" w:hAnsi="Times New Roman" w:cs="Times New Roman"/>
                <w:i/>
                <w:iCs/>
              </w:rPr>
              <w:t>..."</w:t>
            </w:r>
          </w:p>
        </w:tc>
      </w:tr>
      <w:tr w:rsidR="00CF389D" w:rsidRPr="00CF389D" w14:paraId="36BFE533" w14:textId="77777777" w:rsidTr="007A5961">
        <w:trPr>
          <w:trHeight w:val="995"/>
        </w:trPr>
        <w:tc>
          <w:tcPr>
            <w:tcW w:w="1440" w:type="dxa"/>
            <w:vAlign w:val="center"/>
          </w:tcPr>
          <w:p w14:paraId="488BD869"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1</w:t>
            </w:r>
          </w:p>
        </w:tc>
        <w:tc>
          <w:tcPr>
            <w:tcW w:w="3715" w:type="dxa"/>
            <w:vAlign w:val="center"/>
          </w:tcPr>
          <w:p w14:paraId="37FA0A3D"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"Uh… face-to-face classes... </w:t>
            </w:r>
            <w:proofErr w:type="spellStart"/>
            <w:r w:rsidRPr="00CF389D">
              <w:rPr>
                <w:rFonts w:ascii="Times New Roman" w:hAnsi="Times New Roman" w:cs="Times New Roman"/>
                <w:i/>
                <w:iCs/>
              </w:rPr>
              <w:t>kaysa</w:t>
            </w:r>
            <w:proofErr w:type="spellEnd"/>
            <w:r w:rsidRPr="00CF389D">
              <w:rPr>
                <w:rFonts w:ascii="Times New Roman" w:hAnsi="Times New Roman" w:cs="Times New Roman"/>
                <w:i/>
                <w:iCs/>
              </w:rPr>
              <w:t xml:space="preserve"> online classes… </w:t>
            </w:r>
            <w:proofErr w:type="spellStart"/>
            <w:r w:rsidRPr="00CF389D">
              <w:rPr>
                <w:rFonts w:ascii="Times New Roman" w:hAnsi="Times New Roman" w:cs="Times New Roman"/>
                <w:i/>
                <w:iCs/>
              </w:rPr>
              <w:t>pero</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kapoy</w:t>
            </w:r>
            <w:proofErr w:type="spellEnd"/>
            <w:r w:rsidRPr="00CF389D">
              <w:rPr>
                <w:rFonts w:ascii="Times New Roman" w:hAnsi="Times New Roman" w:cs="Times New Roman"/>
                <w:i/>
                <w:iCs/>
              </w:rPr>
              <w:t>..."</w:t>
            </w:r>
          </w:p>
        </w:tc>
        <w:tc>
          <w:tcPr>
            <w:tcW w:w="3871" w:type="dxa"/>
            <w:vAlign w:val="center"/>
          </w:tcPr>
          <w:p w14:paraId="0E6794B0"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For me</w:t>
            </w:r>
            <w:r w:rsidRPr="00CF389D">
              <w:rPr>
                <w:rFonts w:ascii="Times New Roman" w:hAnsi="Times New Roman" w:cs="Times New Roman"/>
                <w:i/>
                <w:iCs/>
              </w:rPr>
              <w:t xml:space="preserve"> sir... Face to face is more important... </w:t>
            </w:r>
            <w:r w:rsidRPr="00CF389D">
              <w:rPr>
                <w:rFonts w:ascii="Times New Roman" w:hAnsi="Times New Roman" w:cs="Times New Roman"/>
                <w:b/>
                <w:bCs/>
                <w:i/>
                <w:iCs/>
              </w:rPr>
              <w:t>one reason</w:t>
            </w:r>
            <w:r w:rsidRPr="00CF389D">
              <w:rPr>
                <w:rFonts w:ascii="Times New Roman" w:hAnsi="Times New Roman" w:cs="Times New Roman"/>
                <w:i/>
                <w:iCs/>
              </w:rPr>
              <w:t xml:space="preserve"> kay... because..."</w:t>
            </w:r>
          </w:p>
        </w:tc>
      </w:tr>
      <w:tr w:rsidR="00CF389D" w:rsidRPr="00CF389D" w14:paraId="587C7E01" w14:textId="77777777" w:rsidTr="007A5961">
        <w:trPr>
          <w:trHeight w:val="840"/>
        </w:trPr>
        <w:tc>
          <w:tcPr>
            <w:tcW w:w="1440" w:type="dxa"/>
            <w:tcBorders>
              <w:bottom w:val="single" w:sz="4" w:space="0" w:color="auto"/>
            </w:tcBorders>
            <w:vAlign w:val="center"/>
          </w:tcPr>
          <w:p w14:paraId="7AC8B761" w14:textId="77777777" w:rsidR="00CF389D" w:rsidRPr="00CF389D" w:rsidRDefault="00CF389D" w:rsidP="001C1E0F">
            <w:pPr>
              <w:spacing w:after="160"/>
              <w:jc w:val="both"/>
              <w:rPr>
                <w:rFonts w:ascii="Times New Roman" w:hAnsi="Times New Roman" w:cs="Times New Roman"/>
              </w:rPr>
            </w:pPr>
            <w:r w:rsidRPr="00CF389D">
              <w:rPr>
                <w:rFonts w:ascii="Times New Roman" w:hAnsi="Times New Roman" w:cs="Times New Roman"/>
              </w:rPr>
              <w:t>4</w:t>
            </w:r>
          </w:p>
        </w:tc>
        <w:tc>
          <w:tcPr>
            <w:tcW w:w="3715" w:type="dxa"/>
            <w:tcBorders>
              <w:bottom w:val="single" w:sz="4" w:space="0" w:color="auto"/>
            </w:tcBorders>
            <w:vAlign w:val="center"/>
          </w:tcPr>
          <w:p w14:paraId="01300CFD"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 xml:space="preserve">"English is important... because kay… we can use </w:t>
            </w:r>
            <w:proofErr w:type="spellStart"/>
            <w:r w:rsidRPr="00CF389D">
              <w:rPr>
                <w:rFonts w:ascii="Times New Roman" w:hAnsi="Times New Roman" w:cs="Times New Roman"/>
                <w:i/>
                <w:iCs/>
              </w:rPr>
              <w:t>sa</w:t>
            </w:r>
            <w:proofErr w:type="spellEnd"/>
            <w:r w:rsidRPr="00CF389D">
              <w:rPr>
                <w:rFonts w:ascii="Times New Roman" w:hAnsi="Times New Roman" w:cs="Times New Roman"/>
                <w:i/>
                <w:iCs/>
              </w:rPr>
              <w:t xml:space="preserve"> </w:t>
            </w:r>
            <w:proofErr w:type="spellStart"/>
            <w:r w:rsidRPr="00CF389D">
              <w:rPr>
                <w:rFonts w:ascii="Times New Roman" w:hAnsi="Times New Roman" w:cs="Times New Roman"/>
                <w:i/>
                <w:iCs/>
              </w:rPr>
              <w:t>trabaho</w:t>
            </w:r>
            <w:proofErr w:type="spellEnd"/>
            <w:r w:rsidRPr="00CF389D">
              <w:rPr>
                <w:rFonts w:ascii="Times New Roman" w:hAnsi="Times New Roman" w:cs="Times New Roman"/>
                <w:i/>
                <w:iCs/>
              </w:rPr>
              <w:t>.</w:t>
            </w:r>
          </w:p>
        </w:tc>
        <w:tc>
          <w:tcPr>
            <w:tcW w:w="3871" w:type="dxa"/>
            <w:tcBorders>
              <w:bottom w:val="single" w:sz="4" w:space="0" w:color="auto"/>
            </w:tcBorders>
            <w:vAlign w:val="center"/>
          </w:tcPr>
          <w:p w14:paraId="2B6EE60E" w14:textId="77777777" w:rsidR="00CF389D" w:rsidRPr="00CF389D" w:rsidRDefault="00CF389D" w:rsidP="001C1E0F">
            <w:pPr>
              <w:spacing w:after="160"/>
              <w:jc w:val="both"/>
              <w:rPr>
                <w:rFonts w:ascii="Times New Roman" w:hAnsi="Times New Roman" w:cs="Times New Roman"/>
                <w:i/>
                <w:iCs/>
              </w:rPr>
            </w:pPr>
            <w:r w:rsidRPr="00CF389D">
              <w:rPr>
                <w:rFonts w:ascii="Times New Roman" w:hAnsi="Times New Roman" w:cs="Times New Roman"/>
                <w:i/>
                <w:iCs/>
              </w:rPr>
              <w:t>"</w:t>
            </w:r>
            <w:r w:rsidRPr="00CF389D">
              <w:rPr>
                <w:rFonts w:ascii="Times New Roman" w:hAnsi="Times New Roman" w:cs="Times New Roman"/>
                <w:b/>
                <w:bCs/>
                <w:i/>
                <w:iCs/>
              </w:rPr>
              <w:t>In my opinion</w:t>
            </w:r>
            <w:r w:rsidRPr="00CF389D">
              <w:rPr>
                <w:rFonts w:ascii="Times New Roman" w:hAnsi="Times New Roman" w:cs="Times New Roman"/>
                <w:i/>
                <w:iCs/>
              </w:rPr>
              <w:t>... English is important because it give better opportunity..."</w:t>
            </w:r>
          </w:p>
        </w:tc>
      </w:tr>
    </w:tbl>
    <w:p w14:paraId="791A7E40" w14:textId="7D4F5449" w:rsidR="00684CFC" w:rsidRDefault="00684CFC" w:rsidP="00684CFC">
      <w:pPr>
        <w:spacing w:before="240"/>
        <w:jc w:val="both"/>
        <w:rPr>
          <w:rFonts w:ascii="Times New Roman" w:hAnsi="Times New Roman" w:cs="Times New Roman"/>
        </w:rPr>
      </w:pPr>
      <w:r w:rsidRPr="00684CFC">
        <w:rPr>
          <w:rFonts w:ascii="Times New Roman" w:hAnsi="Times New Roman" w:cs="Times New Roman"/>
        </w:rPr>
        <w:t xml:space="preserve">The results show a clear "unlearning" of repetitive L1 fillers (e.g., </w:t>
      </w:r>
      <w:proofErr w:type="spellStart"/>
      <w:r w:rsidRPr="00684CFC">
        <w:rPr>
          <w:rFonts w:ascii="Times New Roman" w:hAnsi="Times New Roman" w:cs="Times New Roman"/>
        </w:rPr>
        <w:t>tapos</w:t>
      </w:r>
      <w:proofErr w:type="spellEnd"/>
      <w:r w:rsidRPr="00684CFC">
        <w:rPr>
          <w:rFonts w:ascii="Times New Roman" w:hAnsi="Times New Roman" w:cs="Times New Roman"/>
        </w:rPr>
        <w:t xml:space="preserve">, </w:t>
      </w:r>
      <w:proofErr w:type="spellStart"/>
      <w:r w:rsidRPr="00684CFC">
        <w:rPr>
          <w:rFonts w:ascii="Times New Roman" w:hAnsi="Times New Roman" w:cs="Times New Roman"/>
        </w:rPr>
        <w:t>kay</w:t>
      </w:r>
      <w:proofErr w:type="spellEnd"/>
      <w:r w:rsidRPr="00684CFC">
        <w:rPr>
          <w:rFonts w:ascii="Times New Roman" w:hAnsi="Times New Roman" w:cs="Times New Roman"/>
        </w:rPr>
        <w:t xml:space="preserve">, </w:t>
      </w:r>
      <w:proofErr w:type="spellStart"/>
      <w:r w:rsidRPr="00684CFC">
        <w:rPr>
          <w:rFonts w:ascii="Times New Roman" w:hAnsi="Times New Roman" w:cs="Times New Roman"/>
        </w:rPr>
        <w:t>una</w:t>
      </w:r>
      <w:proofErr w:type="spellEnd"/>
      <w:r w:rsidRPr="00684CFC">
        <w:rPr>
          <w:rFonts w:ascii="Times New Roman" w:hAnsi="Times New Roman" w:cs="Times New Roman"/>
        </w:rPr>
        <w:t>). In the post-test, students utilized "English Frames" modeled in the SFVs, such as "First is" and "In my opinion." This structural improvement suggests that the SFVs functioned as a "mental template," reducing cognitive load and allowing for more organized speech production. This qualitative shift confirms the high statistical significance (t=5.29) found in the quantitative data and aligns with Vygotsky’s Scaffolding Theory, where the videos provided the "structural hooks" necessary for students to sustain academic oral output</w:t>
      </w:r>
      <w:r w:rsidR="00DC33A0">
        <w:rPr>
          <w:rFonts w:ascii="Times New Roman" w:hAnsi="Times New Roman" w:cs="Times New Roman"/>
        </w:rPr>
        <w:t xml:space="preserve"> [20]</w:t>
      </w:r>
      <w:r w:rsidRPr="00684CFC">
        <w:rPr>
          <w:rFonts w:ascii="Times New Roman" w:hAnsi="Times New Roman" w:cs="Times New Roman"/>
        </w:rPr>
        <w:t>.</w:t>
      </w:r>
    </w:p>
    <w:p w14:paraId="343985B2" w14:textId="77777777" w:rsidR="001C1E0F" w:rsidRDefault="001C1E0F" w:rsidP="00AA6412">
      <w:pPr>
        <w:jc w:val="both"/>
        <w:rPr>
          <w:rFonts w:ascii="Times New Roman" w:hAnsi="Times New Roman" w:cs="Times New Roman"/>
        </w:rPr>
      </w:pPr>
    </w:p>
    <w:p w14:paraId="349E287A" w14:textId="77777777" w:rsidR="00684CFC" w:rsidRDefault="00684CFC" w:rsidP="00AA6412">
      <w:pPr>
        <w:jc w:val="both"/>
        <w:rPr>
          <w:rFonts w:ascii="Times New Roman" w:hAnsi="Times New Roman" w:cs="Times New Roman"/>
        </w:rPr>
      </w:pPr>
    </w:p>
    <w:p w14:paraId="6CEC67CC" w14:textId="57B3D33F" w:rsidR="006E5A9B" w:rsidRDefault="006E5A9B" w:rsidP="00AA6412">
      <w:pPr>
        <w:jc w:val="both"/>
        <w:rPr>
          <w:rFonts w:ascii="Times New Roman" w:hAnsi="Times New Roman" w:cs="Times New Roman"/>
        </w:rPr>
      </w:pPr>
      <w:r w:rsidRPr="006E5A9B">
        <w:rPr>
          <w:rFonts w:ascii="Times New Roman" w:hAnsi="Times New Roman" w:cs="Times New Roman"/>
        </w:rPr>
        <w:t>Beyond structural organization, the analysis focused on "speech latency" or "dead air"</w:t>
      </w:r>
      <w:r w:rsidR="001F3948">
        <w:rPr>
          <w:rFonts w:ascii="Times New Roman" w:hAnsi="Times New Roman" w:cs="Times New Roman"/>
        </w:rPr>
        <w:t xml:space="preserve"> </w:t>
      </w:r>
      <w:r w:rsidRPr="006E5A9B">
        <w:rPr>
          <w:rFonts w:ascii="Times New Roman" w:hAnsi="Times New Roman" w:cs="Times New Roman"/>
        </w:rPr>
        <w:t xml:space="preserve">defined as pauses exceeding three seconds. </w:t>
      </w:r>
    </w:p>
    <w:p w14:paraId="7F82BFCE" w14:textId="0AA8EF8C" w:rsidR="00684CFC" w:rsidRDefault="005E7886" w:rsidP="00AA6412">
      <w:pPr>
        <w:jc w:val="both"/>
        <w:rPr>
          <w:rFonts w:ascii="Times New Roman" w:hAnsi="Times New Roman" w:cs="Times New Roman"/>
        </w:rPr>
      </w:pPr>
      <w:r w:rsidRPr="005E7886">
        <w:rPr>
          <w:rFonts w:ascii="Times New Roman" w:hAnsi="Times New Roman" w:cs="Times New Roman"/>
        </w:rPr>
        <w:t xml:space="preserve">Table </w:t>
      </w:r>
      <w:r>
        <w:rPr>
          <w:rFonts w:ascii="Times New Roman" w:hAnsi="Times New Roman" w:cs="Times New Roman"/>
        </w:rPr>
        <w:t>4</w:t>
      </w:r>
      <w:r w:rsidRPr="005E7886">
        <w:rPr>
          <w:rFonts w:ascii="Times New Roman" w:hAnsi="Times New Roman" w:cs="Times New Roman"/>
        </w:rPr>
        <w:t>: Reduction of "Dead Air" and Hesitation in Student Oral Responses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870"/>
        <w:gridCol w:w="3960"/>
      </w:tblGrid>
      <w:tr w:rsidR="002129B0" w:rsidRPr="002129B0" w14:paraId="467E231E" w14:textId="77777777" w:rsidTr="002129B0">
        <w:tc>
          <w:tcPr>
            <w:tcW w:w="1080" w:type="dxa"/>
            <w:tcBorders>
              <w:top w:val="single" w:sz="12" w:space="0" w:color="auto"/>
              <w:bottom w:val="double" w:sz="4" w:space="0" w:color="auto"/>
            </w:tcBorders>
            <w:vAlign w:val="center"/>
          </w:tcPr>
          <w:p w14:paraId="7B8841FF"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Student</w:t>
            </w:r>
          </w:p>
        </w:tc>
        <w:tc>
          <w:tcPr>
            <w:tcW w:w="3870" w:type="dxa"/>
            <w:tcBorders>
              <w:top w:val="single" w:sz="12" w:space="0" w:color="auto"/>
              <w:bottom w:val="double" w:sz="4" w:space="0" w:color="auto"/>
            </w:tcBorders>
            <w:vAlign w:val="center"/>
          </w:tcPr>
          <w:p w14:paraId="3558D424"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Pre-test Response (Baseline)</w:t>
            </w:r>
          </w:p>
        </w:tc>
        <w:tc>
          <w:tcPr>
            <w:tcW w:w="3960" w:type="dxa"/>
            <w:tcBorders>
              <w:top w:val="single" w:sz="12" w:space="0" w:color="auto"/>
              <w:bottom w:val="double" w:sz="4" w:space="0" w:color="auto"/>
            </w:tcBorders>
            <w:vAlign w:val="center"/>
          </w:tcPr>
          <w:p w14:paraId="2BCF3056" w14:textId="77777777" w:rsidR="002129B0" w:rsidRPr="002129B0" w:rsidRDefault="002129B0" w:rsidP="002129B0">
            <w:pPr>
              <w:spacing w:after="160"/>
              <w:jc w:val="both"/>
              <w:rPr>
                <w:rFonts w:ascii="Times New Roman" w:hAnsi="Times New Roman" w:cs="Times New Roman"/>
                <w:b/>
                <w:bCs/>
              </w:rPr>
            </w:pPr>
            <w:r w:rsidRPr="002129B0">
              <w:rPr>
                <w:rFonts w:ascii="Times New Roman" w:hAnsi="Times New Roman" w:cs="Times New Roman"/>
                <w:b/>
                <w:bCs/>
              </w:rPr>
              <w:t>Post-test Response (After SFV)</w:t>
            </w:r>
          </w:p>
        </w:tc>
      </w:tr>
      <w:tr w:rsidR="002129B0" w:rsidRPr="002129B0" w14:paraId="250AABC5" w14:textId="77777777" w:rsidTr="002129B0">
        <w:trPr>
          <w:trHeight w:val="976"/>
        </w:trPr>
        <w:tc>
          <w:tcPr>
            <w:tcW w:w="1080" w:type="dxa"/>
            <w:tcBorders>
              <w:top w:val="double" w:sz="4" w:space="0" w:color="auto"/>
            </w:tcBorders>
            <w:vAlign w:val="center"/>
          </w:tcPr>
          <w:p w14:paraId="70160180"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lastRenderedPageBreak/>
              <w:t>5</w:t>
            </w:r>
          </w:p>
        </w:tc>
        <w:tc>
          <w:tcPr>
            <w:tcW w:w="3870" w:type="dxa"/>
            <w:tcBorders>
              <w:top w:val="double" w:sz="4" w:space="0" w:color="auto"/>
            </w:tcBorders>
            <w:vAlign w:val="center"/>
          </w:tcPr>
          <w:p w14:paraId="17446FE8"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"Akong usual day sir kay …………. </w:t>
            </w:r>
            <w:proofErr w:type="spellStart"/>
            <w:r w:rsidRPr="002129B0">
              <w:rPr>
                <w:rFonts w:ascii="Times New Roman" w:hAnsi="Times New Roman" w:cs="Times New Roman"/>
                <w:i/>
                <w:iCs/>
              </w:rPr>
              <w:t>Uhmmmm</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Mumata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tapos</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mangandam</w:t>
            </w:r>
            <w:proofErr w:type="spellEnd"/>
            <w:r w:rsidRPr="002129B0">
              <w:rPr>
                <w:rFonts w:ascii="Times New Roman" w:hAnsi="Times New Roman" w:cs="Times New Roman"/>
                <w:i/>
                <w:iCs/>
              </w:rPr>
              <w:t>..."</w:t>
            </w:r>
          </w:p>
        </w:tc>
        <w:tc>
          <w:tcPr>
            <w:tcW w:w="3960" w:type="dxa"/>
            <w:tcBorders>
              <w:top w:val="double" w:sz="4" w:space="0" w:color="auto"/>
            </w:tcBorders>
            <w:vAlign w:val="center"/>
          </w:tcPr>
          <w:p w14:paraId="3785DA0B"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"My usual day sir…. Kay </w:t>
            </w:r>
            <w:proofErr w:type="gramStart"/>
            <w:r w:rsidRPr="002129B0">
              <w:rPr>
                <w:rFonts w:ascii="Times New Roman" w:hAnsi="Times New Roman" w:cs="Times New Roman"/>
                <w:i/>
                <w:iCs/>
              </w:rPr>
              <w:t>wake</w:t>
            </w:r>
            <w:proofErr w:type="gramEnd"/>
            <w:r w:rsidRPr="002129B0">
              <w:rPr>
                <w:rFonts w:ascii="Times New Roman" w:hAnsi="Times New Roman" w:cs="Times New Roman"/>
                <w:i/>
                <w:iCs/>
              </w:rPr>
              <w:t xml:space="preserve"> up… </w:t>
            </w:r>
            <w:proofErr w:type="spellStart"/>
            <w:r w:rsidRPr="002129B0">
              <w:rPr>
                <w:rFonts w:ascii="Times New Roman" w:hAnsi="Times New Roman" w:cs="Times New Roman"/>
                <w:i/>
                <w:iCs/>
              </w:rPr>
              <w:t>uhmmm</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mukaon</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sa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buntag</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adto</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na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dayun</w:t>
            </w:r>
            <w:proofErr w:type="spellEnd"/>
            <w:r w:rsidRPr="002129B0">
              <w:rPr>
                <w:rFonts w:ascii="Times New Roman" w:hAnsi="Times New Roman" w:cs="Times New Roman"/>
                <w:i/>
                <w:iCs/>
              </w:rPr>
              <w:t>..."</w:t>
            </w:r>
          </w:p>
        </w:tc>
      </w:tr>
      <w:tr w:rsidR="002129B0" w:rsidRPr="002129B0" w14:paraId="48787385" w14:textId="77777777" w:rsidTr="002129B0">
        <w:trPr>
          <w:trHeight w:val="990"/>
        </w:trPr>
        <w:tc>
          <w:tcPr>
            <w:tcW w:w="1080" w:type="dxa"/>
            <w:vAlign w:val="center"/>
          </w:tcPr>
          <w:p w14:paraId="256C5AE4"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7</w:t>
            </w:r>
          </w:p>
        </w:tc>
        <w:tc>
          <w:tcPr>
            <w:tcW w:w="3870" w:type="dxa"/>
            <w:vAlign w:val="center"/>
          </w:tcPr>
          <w:p w14:paraId="48E7AAC1"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w:t>
            </w:r>
            <w:proofErr w:type="spellStart"/>
            <w:r w:rsidRPr="002129B0">
              <w:rPr>
                <w:rFonts w:ascii="Times New Roman" w:hAnsi="Times New Roman" w:cs="Times New Roman"/>
                <w:i/>
                <w:iCs/>
              </w:rPr>
              <w:t>kay</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muadto</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pakog</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bukid</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kay</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mutigway</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og</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baka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uhhmmm</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tapos</w:t>
            </w:r>
            <w:proofErr w:type="spellEnd"/>
            <w:r w:rsidRPr="002129B0">
              <w:rPr>
                <w:rFonts w:ascii="Times New Roman" w:hAnsi="Times New Roman" w:cs="Times New Roman"/>
                <w:i/>
                <w:iCs/>
              </w:rPr>
              <w:t xml:space="preserve"> I go..."</w:t>
            </w:r>
          </w:p>
        </w:tc>
        <w:tc>
          <w:tcPr>
            <w:tcW w:w="3960" w:type="dxa"/>
            <w:vAlign w:val="center"/>
          </w:tcPr>
          <w:p w14:paraId="7A8E845A"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"...because I go to </w:t>
            </w:r>
            <w:proofErr w:type="spellStart"/>
            <w:r w:rsidRPr="002129B0">
              <w:rPr>
                <w:rFonts w:ascii="Times New Roman" w:hAnsi="Times New Roman" w:cs="Times New Roman"/>
                <w:i/>
                <w:iCs/>
              </w:rPr>
              <w:t>bukid</w:t>
            </w:r>
            <w:proofErr w:type="spellEnd"/>
            <w:r w:rsidRPr="002129B0">
              <w:rPr>
                <w:rFonts w:ascii="Times New Roman" w:hAnsi="Times New Roman" w:cs="Times New Roman"/>
                <w:i/>
                <w:iCs/>
              </w:rPr>
              <w:t xml:space="preserve"> to </w:t>
            </w:r>
            <w:proofErr w:type="spellStart"/>
            <w:r w:rsidRPr="002129B0">
              <w:rPr>
                <w:rFonts w:ascii="Times New Roman" w:hAnsi="Times New Roman" w:cs="Times New Roman"/>
                <w:i/>
                <w:iCs/>
              </w:rPr>
              <w:t>tigway</w:t>
            </w:r>
            <w:proofErr w:type="spellEnd"/>
            <w:r w:rsidRPr="002129B0">
              <w:rPr>
                <w:rFonts w:ascii="Times New Roman" w:hAnsi="Times New Roman" w:cs="Times New Roman"/>
                <w:i/>
                <w:iCs/>
              </w:rPr>
              <w:t xml:space="preserve"> among baka... After that, I go home..."</w:t>
            </w:r>
          </w:p>
        </w:tc>
      </w:tr>
      <w:tr w:rsidR="002129B0" w:rsidRPr="002129B0" w14:paraId="4E6B16DE" w14:textId="77777777" w:rsidTr="002129B0">
        <w:trPr>
          <w:trHeight w:val="989"/>
        </w:trPr>
        <w:tc>
          <w:tcPr>
            <w:tcW w:w="1080" w:type="dxa"/>
            <w:vAlign w:val="center"/>
          </w:tcPr>
          <w:p w14:paraId="4FF494D9"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12</w:t>
            </w:r>
          </w:p>
        </w:tc>
        <w:tc>
          <w:tcPr>
            <w:tcW w:w="3870" w:type="dxa"/>
            <w:vAlign w:val="center"/>
          </w:tcPr>
          <w:p w14:paraId="74FF395F"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"...and </w:t>
            </w:r>
            <w:proofErr w:type="spellStart"/>
            <w:r w:rsidRPr="002129B0">
              <w:rPr>
                <w:rFonts w:ascii="Times New Roman" w:hAnsi="Times New Roman" w:cs="Times New Roman"/>
                <w:i/>
                <w:iCs/>
              </w:rPr>
              <w:t>kuan</w:t>
            </w:r>
            <w:proofErr w:type="spellEnd"/>
            <w:r w:rsidRPr="002129B0">
              <w:rPr>
                <w:rFonts w:ascii="Times New Roman" w:hAnsi="Times New Roman" w:cs="Times New Roman"/>
                <w:i/>
                <w:iCs/>
              </w:rPr>
              <w:t xml:space="preserve">... there is a teacher teaching us </w:t>
            </w:r>
            <w:proofErr w:type="spellStart"/>
            <w:r w:rsidRPr="002129B0">
              <w:rPr>
                <w:rFonts w:ascii="Times New Roman" w:hAnsi="Times New Roman" w:cs="Times New Roman"/>
                <w:i/>
                <w:iCs/>
              </w:rPr>
              <w:t>na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naa</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jud</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sa</w:t>
            </w:r>
            <w:proofErr w:type="spellEnd"/>
            <w:r w:rsidRPr="002129B0">
              <w:rPr>
                <w:rFonts w:ascii="Times New Roman" w:hAnsi="Times New Roman" w:cs="Times New Roman"/>
                <w:i/>
                <w:iCs/>
              </w:rPr>
              <w:t xml:space="preserve"> classroom."</w:t>
            </w:r>
          </w:p>
        </w:tc>
        <w:tc>
          <w:tcPr>
            <w:tcW w:w="3960" w:type="dxa"/>
            <w:vAlign w:val="center"/>
          </w:tcPr>
          <w:p w14:paraId="7E48EAF8"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"...one reason is I can interact physically... And also... I don't have money..."</w:t>
            </w:r>
          </w:p>
        </w:tc>
      </w:tr>
      <w:tr w:rsidR="002129B0" w:rsidRPr="002129B0" w14:paraId="2FC1C16A" w14:textId="77777777" w:rsidTr="002129B0">
        <w:tc>
          <w:tcPr>
            <w:tcW w:w="1080" w:type="dxa"/>
            <w:tcBorders>
              <w:bottom w:val="single" w:sz="4" w:space="0" w:color="auto"/>
            </w:tcBorders>
            <w:vAlign w:val="center"/>
          </w:tcPr>
          <w:p w14:paraId="7D591657" w14:textId="77777777" w:rsidR="002129B0" w:rsidRPr="002129B0" w:rsidRDefault="002129B0" w:rsidP="002129B0">
            <w:pPr>
              <w:spacing w:after="160"/>
              <w:jc w:val="both"/>
              <w:rPr>
                <w:rFonts w:ascii="Times New Roman" w:hAnsi="Times New Roman" w:cs="Times New Roman"/>
              </w:rPr>
            </w:pPr>
            <w:r w:rsidRPr="002129B0">
              <w:rPr>
                <w:rFonts w:ascii="Times New Roman" w:hAnsi="Times New Roman" w:cs="Times New Roman"/>
              </w:rPr>
              <w:t>9</w:t>
            </w:r>
          </w:p>
        </w:tc>
        <w:tc>
          <w:tcPr>
            <w:tcW w:w="3870" w:type="dxa"/>
            <w:tcBorders>
              <w:bottom w:val="single" w:sz="4" w:space="0" w:color="auto"/>
            </w:tcBorders>
            <w:vAlign w:val="center"/>
          </w:tcPr>
          <w:p w14:paraId="5DBB03AF"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"...I see my classmates every day... like……. we talk a lot."</w:t>
            </w:r>
          </w:p>
        </w:tc>
        <w:tc>
          <w:tcPr>
            <w:tcW w:w="3960" w:type="dxa"/>
            <w:tcBorders>
              <w:bottom w:val="single" w:sz="4" w:space="0" w:color="auto"/>
            </w:tcBorders>
            <w:vAlign w:val="center"/>
          </w:tcPr>
          <w:p w14:paraId="6A8948FB" w14:textId="77777777" w:rsidR="002129B0" w:rsidRPr="002129B0" w:rsidRDefault="002129B0" w:rsidP="002129B0">
            <w:pPr>
              <w:spacing w:after="160"/>
              <w:jc w:val="both"/>
              <w:rPr>
                <w:rFonts w:ascii="Times New Roman" w:hAnsi="Times New Roman" w:cs="Times New Roman"/>
                <w:i/>
                <w:iCs/>
              </w:rPr>
            </w:pPr>
            <w:r w:rsidRPr="002129B0">
              <w:rPr>
                <w:rFonts w:ascii="Times New Roman" w:hAnsi="Times New Roman" w:cs="Times New Roman"/>
                <w:i/>
                <w:iCs/>
              </w:rPr>
              <w:t xml:space="preserve">"...in my opinion…. Kay </w:t>
            </w:r>
            <w:proofErr w:type="spellStart"/>
            <w:r w:rsidRPr="002129B0">
              <w:rPr>
                <w:rFonts w:ascii="Times New Roman" w:hAnsi="Times New Roman" w:cs="Times New Roman"/>
                <w:i/>
                <w:iCs/>
              </w:rPr>
              <w:t>makatuon</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jud</w:t>
            </w:r>
            <w:proofErr w:type="spellEnd"/>
            <w:r w:rsidRPr="002129B0">
              <w:rPr>
                <w:rFonts w:ascii="Times New Roman" w:hAnsi="Times New Roman" w:cs="Times New Roman"/>
                <w:i/>
                <w:iCs/>
              </w:rPr>
              <w:t xml:space="preserve"> </w:t>
            </w:r>
            <w:proofErr w:type="spellStart"/>
            <w:r w:rsidRPr="002129B0">
              <w:rPr>
                <w:rFonts w:ascii="Times New Roman" w:hAnsi="Times New Roman" w:cs="Times New Roman"/>
                <w:i/>
                <w:iCs/>
              </w:rPr>
              <w:t>ko</w:t>
            </w:r>
            <w:proofErr w:type="spellEnd"/>
            <w:r w:rsidRPr="002129B0">
              <w:rPr>
                <w:rFonts w:ascii="Times New Roman" w:hAnsi="Times New Roman" w:cs="Times New Roman"/>
                <w:i/>
                <w:iCs/>
              </w:rPr>
              <w:t xml:space="preserve">... also </w:t>
            </w:r>
            <w:proofErr w:type="spellStart"/>
            <w:r w:rsidRPr="002129B0">
              <w:rPr>
                <w:rFonts w:ascii="Times New Roman" w:hAnsi="Times New Roman" w:cs="Times New Roman"/>
                <w:i/>
                <w:iCs/>
              </w:rPr>
              <w:t>maka</w:t>
            </w:r>
            <w:proofErr w:type="spellEnd"/>
            <w:r w:rsidRPr="002129B0">
              <w:rPr>
                <w:rFonts w:ascii="Times New Roman" w:hAnsi="Times New Roman" w:cs="Times New Roman"/>
                <w:i/>
                <w:iCs/>
              </w:rPr>
              <w:t xml:space="preserve"> bonding </w:t>
            </w:r>
            <w:proofErr w:type="spellStart"/>
            <w:r w:rsidRPr="002129B0">
              <w:rPr>
                <w:rFonts w:ascii="Times New Roman" w:hAnsi="Times New Roman" w:cs="Times New Roman"/>
                <w:i/>
                <w:iCs/>
              </w:rPr>
              <w:t>ko</w:t>
            </w:r>
            <w:proofErr w:type="spellEnd"/>
            <w:r w:rsidRPr="002129B0">
              <w:rPr>
                <w:rFonts w:ascii="Times New Roman" w:hAnsi="Times New Roman" w:cs="Times New Roman"/>
                <w:i/>
                <w:iCs/>
              </w:rPr>
              <w:t>..."</w:t>
            </w:r>
          </w:p>
        </w:tc>
      </w:tr>
    </w:tbl>
    <w:p w14:paraId="3B926DBA" w14:textId="4C46A8FA" w:rsidR="002129B0" w:rsidRDefault="000B2959" w:rsidP="000B2959">
      <w:pPr>
        <w:spacing w:before="240"/>
        <w:jc w:val="both"/>
        <w:rPr>
          <w:rFonts w:ascii="Times New Roman" w:hAnsi="Times New Roman" w:cs="Times New Roman"/>
        </w:rPr>
      </w:pPr>
      <w:r w:rsidRPr="000B2959">
        <w:rPr>
          <w:rFonts w:ascii="Times New Roman" w:hAnsi="Times New Roman" w:cs="Times New Roman"/>
        </w:rPr>
        <w:t>Beyond structural organization, the analysis focused on "speech latency" or "dead air"</w:t>
      </w:r>
      <w:r w:rsidR="001F3948">
        <w:rPr>
          <w:rFonts w:ascii="Times New Roman" w:hAnsi="Times New Roman" w:cs="Times New Roman"/>
        </w:rPr>
        <w:t xml:space="preserve"> </w:t>
      </w:r>
      <w:r w:rsidRPr="000B2959">
        <w:rPr>
          <w:rFonts w:ascii="Times New Roman" w:hAnsi="Times New Roman" w:cs="Times New Roman"/>
        </w:rPr>
        <w:t>defined as pauses exceeding three seconds. Table 3 illustrates the shift from fragmented speech to more continuous oral production.</w:t>
      </w:r>
    </w:p>
    <w:p w14:paraId="6330B726" w14:textId="5F3AAFCF" w:rsidR="00F566C5" w:rsidRPr="00F566C5" w:rsidRDefault="00F566C5" w:rsidP="00F566C5">
      <w:pPr>
        <w:jc w:val="both"/>
        <w:rPr>
          <w:rFonts w:ascii="Times New Roman" w:hAnsi="Times New Roman" w:cs="Times New Roman"/>
        </w:rPr>
      </w:pPr>
      <w:r w:rsidRPr="00F566C5">
        <w:rPr>
          <w:rFonts w:ascii="Times New Roman" w:hAnsi="Times New Roman" w:cs="Times New Roman"/>
        </w:rPr>
        <w:t>The post-intervention transcripts indicate a shift from fragmented speech to more linear oral production. In the pre-test, students frequently exhibited silences of 3 to 7 seconds while searching for vocabulary. In the post-test, these "dead air" periods were largely replaced by shorter fillers or the "formulaic sequences" modeled in the SFVs. For instance, Student 7 replaced a 7-second silence with the logical connector "After that," suggesting an improvement in cognitive processing speed.</w:t>
      </w:r>
    </w:p>
    <w:p w14:paraId="5DA558E5" w14:textId="37A3FC1C" w:rsidR="005E7886" w:rsidRDefault="00F566C5" w:rsidP="00F566C5">
      <w:pPr>
        <w:jc w:val="both"/>
        <w:rPr>
          <w:rFonts w:ascii="Times New Roman" w:hAnsi="Times New Roman" w:cs="Times New Roman"/>
        </w:rPr>
      </w:pPr>
      <w:r w:rsidRPr="00F566C5">
        <w:rPr>
          <w:rFonts w:ascii="Times New Roman" w:hAnsi="Times New Roman" w:cs="Times New Roman"/>
        </w:rPr>
        <w:t>The reduction in hesitation suggests that the SFVs provided students with "ready-to-use" phrases, reducing the mental effort required for sentence construction. This aligns with the Fluency Development Lesson (FDL) model, where oral modeling facilitates the transition from "decoding" to "automaticity."</w:t>
      </w:r>
      <w:r w:rsidR="00030ACB">
        <w:rPr>
          <w:rFonts w:ascii="Times New Roman" w:hAnsi="Times New Roman" w:cs="Times New Roman"/>
        </w:rPr>
        <w:t>. T</w:t>
      </w:r>
      <w:r w:rsidRPr="00F566C5">
        <w:rPr>
          <w:rFonts w:ascii="Times New Roman" w:hAnsi="Times New Roman" w:cs="Times New Roman"/>
        </w:rPr>
        <w:t>he acquisition of pre-packaged linguistic phrases decreases hesitation phenomena because learners are no longer constructing every sentence from scratch</w:t>
      </w:r>
      <w:r w:rsidR="00030ACB">
        <w:rPr>
          <w:rFonts w:ascii="Times New Roman" w:hAnsi="Times New Roman" w:cs="Times New Roman"/>
        </w:rPr>
        <w:t xml:space="preserve"> [17]</w:t>
      </w:r>
      <w:r w:rsidRPr="00F566C5">
        <w:rPr>
          <w:rFonts w:ascii="Times New Roman" w:hAnsi="Times New Roman" w:cs="Times New Roman"/>
        </w:rPr>
        <w:t>. This increased "automaticity" explains the measurable shift from the "Needs Improvement" tier to the "Developing" level.</w:t>
      </w:r>
    </w:p>
    <w:p w14:paraId="27974F3F" w14:textId="77777777" w:rsidR="00363336" w:rsidRPr="00363336" w:rsidRDefault="00363336" w:rsidP="00363336">
      <w:pPr>
        <w:jc w:val="both"/>
        <w:rPr>
          <w:rFonts w:ascii="Times New Roman" w:hAnsi="Times New Roman" w:cs="Times New Roman"/>
        </w:rPr>
      </w:pPr>
      <w:r w:rsidRPr="00363336">
        <w:rPr>
          <w:rFonts w:ascii="Times New Roman" w:hAnsi="Times New Roman" w:cs="Times New Roman"/>
        </w:rPr>
        <w:t>Table 6: Persistent Code-Switching as a Strategic "Communication Bridge"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3734"/>
        <w:gridCol w:w="3865"/>
      </w:tblGrid>
      <w:tr w:rsidR="00363336" w:rsidRPr="00363336" w14:paraId="46706A26" w14:textId="77777777" w:rsidTr="007A5961">
        <w:trPr>
          <w:trHeight w:val="334"/>
        </w:trPr>
        <w:tc>
          <w:tcPr>
            <w:tcW w:w="1427" w:type="dxa"/>
            <w:tcBorders>
              <w:top w:val="single" w:sz="12" w:space="0" w:color="auto"/>
              <w:bottom w:val="double" w:sz="4" w:space="0" w:color="auto"/>
            </w:tcBorders>
            <w:vAlign w:val="center"/>
          </w:tcPr>
          <w:p w14:paraId="72C7F5A1"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Student</w:t>
            </w:r>
          </w:p>
        </w:tc>
        <w:tc>
          <w:tcPr>
            <w:tcW w:w="3734" w:type="dxa"/>
            <w:tcBorders>
              <w:top w:val="single" w:sz="12" w:space="0" w:color="auto"/>
              <w:bottom w:val="double" w:sz="4" w:space="0" w:color="auto"/>
            </w:tcBorders>
            <w:vAlign w:val="center"/>
          </w:tcPr>
          <w:p w14:paraId="7C272835"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Pre-test Response (Baseline)</w:t>
            </w:r>
          </w:p>
        </w:tc>
        <w:tc>
          <w:tcPr>
            <w:tcW w:w="3865" w:type="dxa"/>
            <w:tcBorders>
              <w:top w:val="single" w:sz="12" w:space="0" w:color="auto"/>
              <w:bottom w:val="double" w:sz="4" w:space="0" w:color="auto"/>
            </w:tcBorders>
            <w:vAlign w:val="center"/>
          </w:tcPr>
          <w:p w14:paraId="053E69E0" w14:textId="77777777" w:rsidR="00363336" w:rsidRPr="00363336" w:rsidRDefault="00363336" w:rsidP="00363336">
            <w:pPr>
              <w:spacing w:after="160"/>
              <w:jc w:val="both"/>
              <w:rPr>
                <w:rFonts w:ascii="Times New Roman" w:hAnsi="Times New Roman" w:cs="Times New Roman"/>
                <w:b/>
                <w:bCs/>
              </w:rPr>
            </w:pPr>
            <w:r w:rsidRPr="00363336">
              <w:rPr>
                <w:rFonts w:ascii="Times New Roman" w:hAnsi="Times New Roman" w:cs="Times New Roman"/>
                <w:b/>
                <w:bCs/>
              </w:rPr>
              <w:t>Post-test Response (After SFV)</w:t>
            </w:r>
          </w:p>
        </w:tc>
      </w:tr>
      <w:tr w:rsidR="00363336" w:rsidRPr="00363336" w14:paraId="0F74CD27" w14:textId="77777777" w:rsidTr="007A5961">
        <w:trPr>
          <w:trHeight w:val="975"/>
        </w:trPr>
        <w:tc>
          <w:tcPr>
            <w:tcW w:w="1427" w:type="dxa"/>
            <w:tcBorders>
              <w:top w:val="double" w:sz="4" w:space="0" w:color="auto"/>
            </w:tcBorders>
            <w:vAlign w:val="center"/>
          </w:tcPr>
          <w:p w14:paraId="61A52159"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3</w:t>
            </w:r>
          </w:p>
        </w:tc>
        <w:tc>
          <w:tcPr>
            <w:tcW w:w="3734" w:type="dxa"/>
            <w:tcBorders>
              <w:top w:val="double" w:sz="4" w:space="0" w:color="auto"/>
            </w:tcBorders>
            <w:vAlign w:val="center"/>
          </w:tcPr>
          <w:p w14:paraId="16FD429A"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Importante</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akoa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ang</w:t>
            </w:r>
            <w:proofErr w:type="spellEnd"/>
            <w:r w:rsidRPr="00363336">
              <w:rPr>
                <w:rFonts w:ascii="Times New Roman" w:hAnsi="Times New Roman" w:cs="Times New Roman"/>
                <w:i/>
                <w:iCs/>
              </w:rPr>
              <w:t xml:space="preserve"> English sir... kay I want to go abroad."</w:t>
            </w:r>
          </w:p>
        </w:tc>
        <w:tc>
          <w:tcPr>
            <w:tcW w:w="3865" w:type="dxa"/>
            <w:tcBorders>
              <w:top w:val="double" w:sz="4" w:space="0" w:color="auto"/>
            </w:tcBorders>
            <w:vAlign w:val="center"/>
          </w:tcPr>
          <w:p w14:paraId="0CF0DDAC"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"For me, English is important... because </w:t>
            </w:r>
            <w:proofErr w:type="spellStart"/>
            <w:r w:rsidRPr="00363336">
              <w:rPr>
                <w:rFonts w:ascii="Times New Roman" w:hAnsi="Times New Roman" w:cs="Times New Roman"/>
                <w:i/>
                <w:iCs/>
              </w:rPr>
              <w:t>maka</w:t>
            </w:r>
            <w:proofErr w:type="spellEnd"/>
            <w:r w:rsidRPr="00363336">
              <w:rPr>
                <w:rFonts w:ascii="Times New Roman" w:hAnsi="Times New Roman" w:cs="Times New Roman"/>
                <w:i/>
                <w:iCs/>
              </w:rPr>
              <w:t xml:space="preserve">-learn </w:t>
            </w:r>
            <w:proofErr w:type="spellStart"/>
            <w:r w:rsidRPr="00363336">
              <w:rPr>
                <w:rFonts w:ascii="Times New Roman" w:hAnsi="Times New Roman" w:cs="Times New Roman"/>
                <w:i/>
                <w:iCs/>
              </w:rPr>
              <w:t>kog</w:t>
            </w:r>
            <w:proofErr w:type="spellEnd"/>
            <w:r w:rsidRPr="00363336">
              <w:rPr>
                <w:rFonts w:ascii="Times New Roman" w:hAnsi="Times New Roman" w:cs="Times New Roman"/>
                <w:i/>
                <w:iCs/>
              </w:rPr>
              <w:t xml:space="preserve"> new words... also </w:t>
            </w:r>
            <w:proofErr w:type="spellStart"/>
            <w:r w:rsidRPr="00363336">
              <w:rPr>
                <w:rFonts w:ascii="Times New Roman" w:hAnsi="Times New Roman" w:cs="Times New Roman"/>
                <w:i/>
                <w:iCs/>
              </w:rPr>
              <w:t>maka-tabang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akoa</w:t>
            </w:r>
            <w:proofErr w:type="spellEnd"/>
            <w:r w:rsidRPr="00363336">
              <w:rPr>
                <w:rFonts w:ascii="Times New Roman" w:hAnsi="Times New Roman" w:cs="Times New Roman"/>
                <w:i/>
                <w:iCs/>
              </w:rPr>
              <w:t>..."</w:t>
            </w:r>
          </w:p>
        </w:tc>
      </w:tr>
      <w:tr w:rsidR="00363336" w:rsidRPr="00363336" w14:paraId="284ADDB8" w14:textId="77777777" w:rsidTr="007A5961">
        <w:trPr>
          <w:trHeight w:val="1006"/>
        </w:trPr>
        <w:tc>
          <w:tcPr>
            <w:tcW w:w="1427" w:type="dxa"/>
            <w:vAlign w:val="center"/>
          </w:tcPr>
          <w:p w14:paraId="0EEF1774"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6</w:t>
            </w:r>
          </w:p>
        </w:tc>
        <w:tc>
          <w:tcPr>
            <w:tcW w:w="3734" w:type="dxa"/>
            <w:vAlign w:val="center"/>
          </w:tcPr>
          <w:p w14:paraId="05637F28"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"Uh… my usual day… </w:t>
            </w:r>
            <w:proofErr w:type="spellStart"/>
            <w:r w:rsidRPr="00363336">
              <w:rPr>
                <w:rFonts w:ascii="Times New Roman" w:hAnsi="Times New Roman" w:cs="Times New Roman"/>
                <w:i/>
                <w:iCs/>
              </w:rPr>
              <w:t>kay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muadto</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pakog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bukid</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mutigway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og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baka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uhhmmm</w:t>
            </w:r>
            <w:proofErr w:type="spellEnd"/>
            <w:r w:rsidRPr="00363336">
              <w:rPr>
                <w:rFonts w:ascii="Times New Roman" w:hAnsi="Times New Roman" w:cs="Times New Roman"/>
                <w:i/>
                <w:iCs/>
              </w:rPr>
              <w:t>..."</w:t>
            </w:r>
          </w:p>
        </w:tc>
        <w:tc>
          <w:tcPr>
            <w:tcW w:w="3865" w:type="dxa"/>
            <w:vAlign w:val="center"/>
          </w:tcPr>
          <w:p w14:paraId="5511D5FB"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"First is I wake up early because I go to </w:t>
            </w:r>
            <w:proofErr w:type="spellStart"/>
            <w:r w:rsidRPr="00363336">
              <w:rPr>
                <w:rFonts w:ascii="Times New Roman" w:hAnsi="Times New Roman" w:cs="Times New Roman"/>
                <w:i/>
                <w:iCs/>
              </w:rPr>
              <w:t>bukid</w:t>
            </w:r>
            <w:proofErr w:type="spellEnd"/>
            <w:r w:rsidRPr="00363336">
              <w:rPr>
                <w:rFonts w:ascii="Times New Roman" w:hAnsi="Times New Roman" w:cs="Times New Roman"/>
                <w:i/>
                <w:iCs/>
              </w:rPr>
              <w:t xml:space="preserve"> to </w:t>
            </w:r>
            <w:proofErr w:type="spellStart"/>
            <w:r w:rsidRPr="00363336">
              <w:rPr>
                <w:rFonts w:ascii="Times New Roman" w:hAnsi="Times New Roman" w:cs="Times New Roman"/>
                <w:i/>
                <w:iCs/>
              </w:rPr>
              <w:t>tigway</w:t>
            </w:r>
            <w:proofErr w:type="spellEnd"/>
            <w:r w:rsidRPr="00363336">
              <w:rPr>
                <w:rFonts w:ascii="Times New Roman" w:hAnsi="Times New Roman" w:cs="Times New Roman"/>
                <w:i/>
                <w:iCs/>
              </w:rPr>
              <w:t xml:space="preserve"> among baka... After that, I go home..."</w:t>
            </w:r>
          </w:p>
        </w:tc>
      </w:tr>
      <w:tr w:rsidR="00363336" w:rsidRPr="00363336" w14:paraId="2DD905A4" w14:textId="77777777" w:rsidTr="007A5961">
        <w:trPr>
          <w:trHeight w:val="992"/>
        </w:trPr>
        <w:tc>
          <w:tcPr>
            <w:tcW w:w="1427" w:type="dxa"/>
            <w:vAlign w:val="center"/>
          </w:tcPr>
          <w:p w14:paraId="5B28A605"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25</w:t>
            </w:r>
          </w:p>
        </w:tc>
        <w:tc>
          <w:tcPr>
            <w:tcW w:w="3734" w:type="dxa"/>
            <w:vAlign w:val="center"/>
          </w:tcPr>
          <w:p w14:paraId="41760747"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kulbaa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kaayu</w:t>
            </w:r>
            <w:proofErr w:type="spellEnd"/>
            <w:r w:rsidRPr="00363336">
              <w:rPr>
                <w:rFonts w:ascii="Times New Roman" w:hAnsi="Times New Roman" w:cs="Times New Roman"/>
                <w:i/>
                <w:iCs/>
              </w:rPr>
              <w:t xml:space="preserve">… and our group... uh… </w:t>
            </w:r>
            <w:proofErr w:type="spellStart"/>
            <w:r w:rsidRPr="00363336">
              <w:rPr>
                <w:rFonts w:ascii="Times New Roman" w:hAnsi="Times New Roman" w:cs="Times New Roman"/>
                <w:i/>
                <w:iCs/>
              </w:rPr>
              <w:t>ulaw</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kaayo</w:t>
            </w:r>
            <w:proofErr w:type="spellEnd"/>
            <w:r w:rsidRPr="00363336">
              <w:rPr>
                <w:rFonts w:ascii="Times New Roman" w:hAnsi="Times New Roman" w:cs="Times New Roman"/>
                <w:i/>
                <w:iCs/>
              </w:rPr>
              <w:t>."</w:t>
            </w:r>
          </w:p>
        </w:tc>
        <w:tc>
          <w:tcPr>
            <w:tcW w:w="3865" w:type="dxa"/>
            <w:vAlign w:val="center"/>
          </w:tcPr>
          <w:p w14:paraId="6801F320"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w:t>
            </w:r>
            <w:proofErr w:type="spellStart"/>
            <w:r w:rsidRPr="00363336">
              <w:rPr>
                <w:rFonts w:ascii="Times New Roman" w:hAnsi="Times New Roman" w:cs="Times New Roman"/>
                <w:i/>
                <w:iCs/>
              </w:rPr>
              <w:t>natumba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ko</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sa</w:t>
            </w:r>
            <w:proofErr w:type="spellEnd"/>
            <w:r w:rsidRPr="00363336">
              <w:rPr>
                <w:rFonts w:ascii="Times New Roman" w:hAnsi="Times New Roman" w:cs="Times New Roman"/>
                <w:i/>
                <w:iCs/>
              </w:rPr>
              <w:t xml:space="preserve"> motor... </w:t>
            </w:r>
            <w:proofErr w:type="spellStart"/>
            <w:r w:rsidRPr="00363336">
              <w:rPr>
                <w:rFonts w:ascii="Times New Roman" w:hAnsi="Times New Roman" w:cs="Times New Roman"/>
                <w:i/>
                <w:iCs/>
              </w:rPr>
              <w:t>kanang</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nakonsensya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ko</w:t>
            </w:r>
            <w:proofErr w:type="spellEnd"/>
            <w:r w:rsidRPr="00363336">
              <w:rPr>
                <w:rFonts w:ascii="Times New Roman" w:hAnsi="Times New Roman" w:cs="Times New Roman"/>
                <w:i/>
                <w:iCs/>
              </w:rPr>
              <w:t>... so I ask sorry to God."</w:t>
            </w:r>
          </w:p>
        </w:tc>
      </w:tr>
      <w:tr w:rsidR="00363336" w:rsidRPr="00363336" w14:paraId="7B0EC8C6" w14:textId="77777777" w:rsidTr="007A5961">
        <w:tc>
          <w:tcPr>
            <w:tcW w:w="1427" w:type="dxa"/>
            <w:tcBorders>
              <w:bottom w:val="single" w:sz="4" w:space="0" w:color="auto"/>
            </w:tcBorders>
            <w:vAlign w:val="center"/>
          </w:tcPr>
          <w:p w14:paraId="79BA3772" w14:textId="77777777" w:rsidR="00363336" w:rsidRPr="00363336" w:rsidRDefault="00363336" w:rsidP="00363336">
            <w:pPr>
              <w:spacing w:after="160"/>
              <w:jc w:val="both"/>
              <w:rPr>
                <w:rFonts w:ascii="Times New Roman" w:hAnsi="Times New Roman" w:cs="Times New Roman"/>
              </w:rPr>
            </w:pPr>
            <w:r w:rsidRPr="00363336">
              <w:rPr>
                <w:rFonts w:ascii="Times New Roman" w:hAnsi="Times New Roman" w:cs="Times New Roman"/>
              </w:rPr>
              <w:t>13</w:t>
            </w:r>
          </w:p>
        </w:tc>
        <w:tc>
          <w:tcPr>
            <w:tcW w:w="3734" w:type="dxa"/>
            <w:tcBorders>
              <w:bottom w:val="single" w:sz="4" w:space="0" w:color="auto"/>
            </w:tcBorders>
            <w:vAlign w:val="center"/>
          </w:tcPr>
          <w:p w14:paraId="77EE0C91"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"English sir... </w:t>
            </w:r>
            <w:proofErr w:type="spellStart"/>
            <w:r w:rsidRPr="00363336">
              <w:rPr>
                <w:rFonts w:ascii="Times New Roman" w:hAnsi="Times New Roman" w:cs="Times New Roman"/>
                <w:i/>
                <w:iCs/>
              </w:rPr>
              <w:t>kay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importante</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siya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kay</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makat</w:t>
            </w:r>
            <w:proofErr w:type="spellEnd"/>
            <w:r w:rsidRPr="00363336">
              <w:rPr>
                <w:rFonts w:ascii="Times New Roman" w:hAnsi="Times New Roman" w:cs="Times New Roman"/>
                <w:i/>
                <w:iCs/>
              </w:rPr>
              <w:t xml:space="preserve"> on kos new words..."</w:t>
            </w:r>
          </w:p>
        </w:tc>
        <w:tc>
          <w:tcPr>
            <w:tcW w:w="3865" w:type="dxa"/>
            <w:tcBorders>
              <w:bottom w:val="single" w:sz="4" w:space="0" w:color="auto"/>
            </w:tcBorders>
            <w:vAlign w:val="center"/>
          </w:tcPr>
          <w:p w14:paraId="02651622" w14:textId="77777777" w:rsidR="00363336" w:rsidRPr="00363336" w:rsidRDefault="00363336" w:rsidP="00363336">
            <w:pPr>
              <w:spacing w:after="160"/>
              <w:jc w:val="both"/>
              <w:rPr>
                <w:rFonts w:ascii="Times New Roman" w:hAnsi="Times New Roman" w:cs="Times New Roman"/>
                <w:i/>
                <w:iCs/>
              </w:rPr>
            </w:pPr>
            <w:r w:rsidRPr="00363336">
              <w:rPr>
                <w:rFonts w:ascii="Times New Roman" w:hAnsi="Times New Roman" w:cs="Times New Roman"/>
                <w:i/>
                <w:iCs/>
              </w:rPr>
              <w:t xml:space="preserve">"English is important because ……… </w:t>
            </w:r>
            <w:proofErr w:type="spellStart"/>
            <w:r w:rsidRPr="00363336">
              <w:rPr>
                <w:rFonts w:ascii="Times New Roman" w:hAnsi="Times New Roman" w:cs="Times New Roman"/>
                <w:i/>
                <w:iCs/>
              </w:rPr>
              <w:t>maka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istorya</w:t>
            </w:r>
            <w:proofErr w:type="spellEnd"/>
            <w:r w:rsidRPr="00363336">
              <w:rPr>
                <w:rFonts w:ascii="Times New Roman" w:hAnsi="Times New Roman" w:cs="Times New Roman"/>
                <w:i/>
                <w:iCs/>
              </w:rPr>
              <w:t xml:space="preserve"> </w:t>
            </w:r>
            <w:proofErr w:type="spellStart"/>
            <w:r w:rsidRPr="00363336">
              <w:rPr>
                <w:rFonts w:ascii="Times New Roman" w:hAnsi="Times New Roman" w:cs="Times New Roman"/>
                <w:i/>
                <w:iCs/>
              </w:rPr>
              <w:t>kog</w:t>
            </w:r>
            <w:proofErr w:type="spellEnd"/>
            <w:r w:rsidRPr="00363336">
              <w:rPr>
                <w:rFonts w:ascii="Times New Roman" w:hAnsi="Times New Roman" w:cs="Times New Roman"/>
                <w:i/>
                <w:iCs/>
              </w:rPr>
              <w:t xml:space="preserve"> new words sir."</w:t>
            </w:r>
          </w:p>
        </w:tc>
      </w:tr>
    </w:tbl>
    <w:p w14:paraId="5AB2D6BE" w14:textId="16747A0E" w:rsidR="00177633" w:rsidRDefault="009D068E" w:rsidP="00F566C5">
      <w:pPr>
        <w:jc w:val="both"/>
        <w:rPr>
          <w:rFonts w:ascii="Times New Roman" w:hAnsi="Times New Roman" w:cs="Times New Roman"/>
        </w:rPr>
      </w:pPr>
      <w:r w:rsidRPr="009D068E">
        <w:rPr>
          <w:rFonts w:ascii="Times New Roman" w:hAnsi="Times New Roman" w:cs="Times New Roman"/>
        </w:rPr>
        <w:t>The final qualitative theme identified was the strategic use of code-switching (Bisaya-English) as a tool for "Communicative Persistence." Table 5 demonstrates how students utilized their native language to bridge gaps between the English structures modeled in the SFVs.</w:t>
      </w:r>
    </w:p>
    <w:p w14:paraId="01AB8F4D" w14:textId="77777777" w:rsidR="00B754B9" w:rsidRPr="00B754B9" w:rsidRDefault="00B754B9" w:rsidP="00B754B9">
      <w:pPr>
        <w:jc w:val="both"/>
        <w:rPr>
          <w:rFonts w:ascii="Times New Roman" w:hAnsi="Times New Roman" w:cs="Times New Roman"/>
        </w:rPr>
      </w:pPr>
      <w:r w:rsidRPr="00B754B9">
        <w:rPr>
          <w:rFonts w:ascii="Times New Roman" w:hAnsi="Times New Roman" w:cs="Times New Roman"/>
        </w:rPr>
        <w:lastRenderedPageBreak/>
        <w:t>The post-test data indicates that while code-switching remained a dominant strategy, its function shifted from a "stumbling block" to a "strategic bridge." During the pre-test, students often terminated their speech upon encountering a lexical gap. Conversely, in the post-test, students demonstrated increased "communicative stamina." By using Bisaya for specific content (e.g., "</w:t>
      </w:r>
      <w:r w:rsidRPr="00B754B9">
        <w:rPr>
          <w:rFonts w:ascii="Times New Roman" w:hAnsi="Times New Roman" w:cs="Times New Roman"/>
          <w:i/>
          <w:iCs/>
        </w:rPr>
        <w:t xml:space="preserve">to </w:t>
      </w:r>
      <w:proofErr w:type="spellStart"/>
      <w:r w:rsidRPr="00B754B9">
        <w:rPr>
          <w:rFonts w:ascii="Times New Roman" w:hAnsi="Times New Roman" w:cs="Times New Roman"/>
          <w:i/>
          <w:iCs/>
        </w:rPr>
        <w:t>tigway</w:t>
      </w:r>
      <w:proofErr w:type="spellEnd"/>
      <w:r w:rsidRPr="00B754B9">
        <w:rPr>
          <w:rFonts w:ascii="Times New Roman" w:hAnsi="Times New Roman" w:cs="Times New Roman"/>
          <w:i/>
          <w:iCs/>
        </w:rPr>
        <w:t xml:space="preserve"> among </w:t>
      </w:r>
      <w:proofErr w:type="spellStart"/>
      <w:r w:rsidRPr="00B754B9">
        <w:rPr>
          <w:rFonts w:ascii="Times New Roman" w:hAnsi="Times New Roman" w:cs="Times New Roman"/>
          <w:i/>
          <w:iCs/>
        </w:rPr>
        <w:t>baka</w:t>
      </w:r>
      <w:proofErr w:type="spellEnd"/>
      <w:r w:rsidRPr="00B754B9">
        <w:rPr>
          <w:rFonts w:ascii="Times New Roman" w:hAnsi="Times New Roman" w:cs="Times New Roman"/>
        </w:rPr>
        <w:t>"), they were able to maintain momentum until they reached the next English anchor phrase (e.g., "After that").</w:t>
      </w:r>
    </w:p>
    <w:p w14:paraId="2DA535D8" w14:textId="5F64E090" w:rsidR="00B754B9" w:rsidRPr="00B754B9" w:rsidRDefault="00B754B9" w:rsidP="00B754B9">
      <w:pPr>
        <w:jc w:val="both"/>
        <w:rPr>
          <w:rFonts w:ascii="Times New Roman" w:hAnsi="Times New Roman" w:cs="Times New Roman"/>
        </w:rPr>
      </w:pPr>
      <w:r w:rsidRPr="00B754B9">
        <w:rPr>
          <w:rFonts w:ascii="Times New Roman" w:hAnsi="Times New Roman" w:cs="Times New Roman"/>
        </w:rPr>
        <w:t>This transition suggests that the SFV intervention enhanced the students' Strategic Competence. Even in the absence of a full English lexicon, the "English Frames" provided by the videos gave students the structural confidence to attempt longer, more complex narratives. This finding aligns with the theory of Translanguaging</w:t>
      </w:r>
      <w:r w:rsidR="004C01C6">
        <w:rPr>
          <w:rFonts w:ascii="Times New Roman" w:hAnsi="Times New Roman" w:cs="Times New Roman"/>
        </w:rPr>
        <w:t xml:space="preserve">, </w:t>
      </w:r>
      <w:r w:rsidRPr="00B754B9">
        <w:rPr>
          <w:rFonts w:ascii="Times New Roman" w:hAnsi="Times New Roman" w:cs="Times New Roman"/>
        </w:rPr>
        <w:t>which posits that multilingual learners strategically deploy all available linguistic resources to facilitate meaning-making</w:t>
      </w:r>
      <w:r w:rsidR="004C01C6">
        <w:rPr>
          <w:rFonts w:ascii="Times New Roman" w:hAnsi="Times New Roman" w:cs="Times New Roman"/>
        </w:rPr>
        <w:t xml:space="preserve"> [6]</w:t>
      </w:r>
      <w:r w:rsidRPr="00B754B9">
        <w:rPr>
          <w:rFonts w:ascii="Times New Roman" w:hAnsi="Times New Roman" w:cs="Times New Roman"/>
        </w:rPr>
        <w:t>. Furthermore,</w:t>
      </w:r>
      <w:r w:rsidR="004C01C6">
        <w:rPr>
          <w:rFonts w:ascii="Times New Roman" w:hAnsi="Times New Roman" w:cs="Times New Roman"/>
        </w:rPr>
        <w:t xml:space="preserve"> </w:t>
      </w:r>
      <w:r w:rsidRPr="00B754B9">
        <w:rPr>
          <w:rFonts w:ascii="Times New Roman" w:hAnsi="Times New Roman" w:cs="Times New Roman"/>
        </w:rPr>
        <w:t>the use of compensatory strategies like code-switching is a hallmark of developing fluency</w:t>
      </w:r>
      <w:r w:rsidR="004C01C6">
        <w:rPr>
          <w:rFonts w:ascii="Times New Roman" w:hAnsi="Times New Roman" w:cs="Times New Roman"/>
        </w:rPr>
        <w:t xml:space="preserve"> [5]</w:t>
      </w:r>
      <w:r w:rsidRPr="00B754B9">
        <w:rPr>
          <w:rFonts w:ascii="Times New Roman" w:hAnsi="Times New Roman" w:cs="Times New Roman"/>
        </w:rPr>
        <w:t>. The SFVs provided the "linguistic scaffolding," while the students' native tongue provided the "conceptual content," creating a functional middle ground for academic expression.</w:t>
      </w:r>
    </w:p>
    <w:p w14:paraId="74097838" w14:textId="000FC2FA" w:rsidR="00BC38E5" w:rsidRPr="00BC38E5" w:rsidRDefault="00BC38E5" w:rsidP="00BC38E5">
      <w:pPr>
        <w:jc w:val="both"/>
        <w:rPr>
          <w:rFonts w:ascii="Times New Roman" w:hAnsi="Times New Roman" w:cs="Times New Roman"/>
          <w:b/>
          <w:bCs/>
          <w:sz w:val="28"/>
          <w:szCs w:val="28"/>
        </w:rPr>
      </w:pPr>
      <w:r w:rsidRPr="00BC38E5">
        <w:rPr>
          <w:rFonts w:ascii="Times New Roman" w:hAnsi="Times New Roman" w:cs="Times New Roman"/>
          <w:b/>
          <w:bCs/>
          <w:sz w:val="28"/>
          <w:szCs w:val="28"/>
        </w:rPr>
        <w:t>CONCLUSION</w:t>
      </w:r>
    </w:p>
    <w:p w14:paraId="10F346C6" w14:textId="4A3E1F3E" w:rsidR="00BC38E5" w:rsidRPr="00BC38E5" w:rsidRDefault="007C6BFD" w:rsidP="006B35DB">
      <w:pPr>
        <w:spacing w:line="240" w:lineRule="auto"/>
        <w:jc w:val="both"/>
        <w:rPr>
          <w:rFonts w:ascii="Times New Roman" w:hAnsi="Times New Roman" w:cs="Times New Roman"/>
        </w:rPr>
      </w:pPr>
      <w:r w:rsidRPr="007C6BFD">
        <w:rPr>
          <w:rFonts w:ascii="Times New Roman" w:hAnsi="Times New Roman" w:cs="Times New Roman"/>
        </w:rPr>
        <w:t>This classroom-based action research confirms that teacher-created Short-Form Videos (SFVs) are a potent instructional tool for enhancing the speaking fluency and vocabulary of Grade 11 students. Quantitative analysis revealed a statistically significant improvement (p &lt; 0.001) in oral proficiency over a 10-day period, indicating that bite-sized, visually engaging media aligns effectively with the learning preferences of digital-native learners.</w:t>
      </w:r>
      <w:r>
        <w:rPr>
          <w:rFonts w:ascii="Times New Roman" w:hAnsi="Times New Roman" w:cs="Times New Roman"/>
        </w:rPr>
        <w:t xml:space="preserve"> </w:t>
      </w:r>
      <w:r w:rsidRPr="007C6BFD">
        <w:rPr>
          <w:rFonts w:ascii="Times New Roman" w:hAnsi="Times New Roman" w:cs="Times New Roman"/>
        </w:rPr>
        <w:t>Qualitatively, the study demonstrated that SFVs provide essential "linguistic anchors"</w:t>
      </w:r>
      <w:r>
        <w:rPr>
          <w:rFonts w:ascii="Times New Roman" w:hAnsi="Times New Roman" w:cs="Times New Roman"/>
        </w:rPr>
        <w:t xml:space="preserve"> </w:t>
      </w:r>
      <w:r w:rsidRPr="007C6BFD">
        <w:rPr>
          <w:rFonts w:ascii="Times New Roman" w:hAnsi="Times New Roman" w:cs="Times New Roman"/>
        </w:rPr>
        <w:t>specifically transitional markers and opinion frames</w:t>
      </w:r>
      <w:r>
        <w:rPr>
          <w:rFonts w:ascii="Times New Roman" w:hAnsi="Times New Roman" w:cs="Times New Roman"/>
        </w:rPr>
        <w:t xml:space="preserve"> </w:t>
      </w:r>
      <w:r w:rsidRPr="007C6BFD">
        <w:rPr>
          <w:rFonts w:ascii="Times New Roman" w:hAnsi="Times New Roman" w:cs="Times New Roman"/>
        </w:rPr>
        <w:t>that allow students to transition from silence to continuous speech. While a 10-day intervention is insufficient for achieving full academic fluency, it successfully disrupted the "cycle of silence," reduced communicative anxiety, and replaced long hesitations with strategic code-switching. Ultimately, this research suggests that by repurposing students’ everyday digital habits into intentional pedagogical scaffolds, educators can effectively bridge the gap between casual media consumption and formal academic performance.</w:t>
      </w:r>
    </w:p>
    <w:p w14:paraId="31065506" w14:textId="4B0B6ADF" w:rsidR="006B35DB" w:rsidRPr="006B35DB" w:rsidRDefault="006B35DB" w:rsidP="006B35DB">
      <w:pPr>
        <w:jc w:val="both"/>
        <w:rPr>
          <w:rFonts w:ascii="Times New Roman" w:hAnsi="Times New Roman" w:cs="Times New Roman"/>
          <w:b/>
          <w:bCs/>
          <w:sz w:val="28"/>
          <w:szCs w:val="28"/>
        </w:rPr>
      </w:pPr>
      <w:r w:rsidRPr="006B35DB">
        <w:rPr>
          <w:rFonts w:ascii="Times New Roman" w:hAnsi="Times New Roman" w:cs="Times New Roman"/>
          <w:b/>
          <w:bCs/>
          <w:sz w:val="28"/>
          <w:szCs w:val="28"/>
        </w:rPr>
        <w:t>RECOMMENDATIONS</w:t>
      </w:r>
    </w:p>
    <w:p w14:paraId="5AF8975A" w14:textId="77777777"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Based on the findings of this study, the following recommendations are proposed to enhance oral communication instruction:</w:t>
      </w:r>
    </w:p>
    <w:p w14:paraId="0DD33F2D" w14:textId="7BCB3184"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Language Teachers</w:t>
      </w:r>
      <w:r>
        <w:rPr>
          <w:rFonts w:ascii="Times New Roman" w:hAnsi="Times New Roman" w:cs="Times New Roman"/>
        </w:rPr>
        <w:t xml:space="preserve">. </w:t>
      </w:r>
      <w:r w:rsidRPr="006B35DB">
        <w:rPr>
          <w:rFonts w:ascii="Times New Roman" w:hAnsi="Times New Roman" w:cs="Times New Roman"/>
        </w:rPr>
        <w:t>Instructors should integrate SFVs as a standard supplementary resource to model "English Frames" (e.g., "</w:t>
      </w:r>
      <w:r w:rsidRPr="006B35DB">
        <w:rPr>
          <w:rFonts w:ascii="Times New Roman" w:hAnsi="Times New Roman" w:cs="Times New Roman"/>
          <w:i/>
          <w:iCs/>
        </w:rPr>
        <w:t>In my opinion</w:t>
      </w:r>
      <w:r w:rsidRPr="006B35DB">
        <w:rPr>
          <w:rFonts w:ascii="Times New Roman" w:hAnsi="Times New Roman" w:cs="Times New Roman"/>
        </w:rPr>
        <w:t>," "</w:t>
      </w:r>
      <w:r w:rsidRPr="006B35DB">
        <w:rPr>
          <w:rFonts w:ascii="Times New Roman" w:hAnsi="Times New Roman" w:cs="Times New Roman"/>
          <w:i/>
          <w:iCs/>
        </w:rPr>
        <w:t>After that</w:t>
      </w:r>
      <w:r w:rsidRPr="006B35DB">
        <w:rPr>
          <w:rFonts w:ascii="Times New Roman" w:hAnsi="Times New Roman" w:cs="Times New Roman"/>
        </w:rPr>
        <w:t>"). Teachers are encouraged to create or curate localized video content that provides a "low-stakes" environment for language experimentation. By focusing on formulaic sequences within these videos, teachers can help students reduce cognitive load and decrease their reliance on native-language fillers.</w:t>
      </w:r>
    </w:p>
    <w:p w14:paraId="7C2B4EE7" w14:textId="223C9386"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School Administrators</w:t>
      </w:r>
      <w:r>
        <w:rPr>
          <w:rFonts w:ascii="Times New Roman" w:hAnsi="Times New Roman" w:cs="Times New Roman"/>
        </w:rPr>
        <w:t xml:space="preserve">. </w:t>
      </w:r>
      <w:r w:rsidRPr="006B35DB">
        <w:rPr>
          <w:rFonts w:ascii="Times New Roman" w:hAnsi="Times New Roman" w:cs="Times New Roman"/>
        </w:rPr>
        <w:t>Administrators should facilitate professional development programs that equip teachers with the digital literacy skills needed to produce and curate high-quality educational media. Schools should support a culture of "Digital Pedagogy" by providing the necessary technological infrastructure and time for teachers to develop multimedia resources that resonate with 21st-century learners.</w:t>
      </w:r>
    </w:p>
    <w:p w14:paraId="247EDE8B" w14:textId="51A89F23" w:rsidR="006B35DB" w:rsidRPr="006B35DB" w:rsidRDefault="006B35DB" w:rsidP="006B35DB">
      <w:pPr>
        <w:spacing w:line="240" w:lineRule="auto"/>
        <w:jc w:val="both"/>
        <w:rPr>
          <w:rFonts w:ascii="Times New Roman" w:hAnsi="Times New Roman" w:cs="Times New Roman"/>
        </w:rPr>
      </w:pPr>
      <w:r w:rsidRPr="006B35DB">
        <w:rPr>
          <w:rFonts w:ascii="Times New Roman" w:hAnsi="Times New Roman" w:cs="Times New Roman"/>
        </w:rPr>
        <w:t>For Future Researchers</w:t>
      </w:r>
      <w:r>
        <w:rPr>
          <w:rFonts w:ascii="Times New Roman" w:hAnsi="Times New Roman" w:cs="Times New Roman"/>
        </w:rPr>
        <w:t xml:space="preserve">. </w:t>
      </w:r>
      <w:r w:rsidRPr="006B35DB">
        <w:rPr>
          <w:rFonts w:ascii="Times New Roman" w:hAnsi="Times New Roman" w:cs="Times New Roman"/>
        </w:rPr>
        <w:t>Future studies should extend the intervention period to an entire semester to evaluate the long-term sustainability of these linguistic gains. Research is also needed to investigate the "root causes" of speaking barriers</w:t>
      </w:r>
      <w:r>
        <w:rPr>
          <w:rFonts w:ascii="Times New Roman" w:hAnsi="Times New Roman" w:cs="Times New Roman"/>
        </w:rPr>
        <w:t xml:space="preserve"> </w:t>
      </w:r>
      <w:r w:rsidRPr="006B35DB">
        <w:rPr>
          <w:rFonts w:ascii="Times New Roman" w:hAnsi="Times New Roman" w:cs="Times New Roman"/>
        </w:rPr>
        <w:t>such as specific psychological or environmental factors</w:t>
      </w:r>
      <w:r>
        <w:rPr>
          <w:rFonts w:ascii="Times New Roman" w:hAnsi="Times New Roman" w:cs="Times New Roman"/>
        </w:rPr>
        <w:t xml:space="preserve"> </w:t>
      </w:r>
      <w:r w:rsidRPr="006B35DB">
        <w:rPr>
          <w:rFonts w:ascii="Times New Roman" w:hAnsi="Times New Roman" w:cs="Times New Roman"/>
        </w:rPr>
        <w:t>and to test whether the confidence gained through SFVs translates into success in more rigorous academic tasks, such as formal debates or standardized oral examinations.</w:t>
      </w:r>
    </w:p>
    <w:p w14:paraId="5FEEC23D" w14:textId="77777777" w:rsidR="00BC38E5" w:rsidRDefault="00BC38E5" w:rsidP="00BC38E5">
      <w:pPr>
        <w:jc w:val="both"/>
        <w:rPr>
          <w:rFonts w:ascii="Times New Roman" w:hAnsi="Times New Roman" w:cs="Times New Roman"/>
        </w:rPr>
      </w:pPr>
    </w:p>
    <w:p w14:paraId="1F7D34D5" w14:textId="77777777" w:rsidR="00DC33A0" w:rsidRPr="006B35DB" w:rsidRDefault="00DC33A0" w:rsidP="00BC38E5">
      <w:pPr>
        <w:jc w:val="both"/>
        <w:rPr>
          <w:rFonts w:ascii="Times New Roman" w:hAnsi="Times New Roman" w:cs="Times New Roman"/>
        </w:rPr>
      </w:pPr>
    </w:p>
    <w:p w14:paraId="4B6C5CA7" w14:textId="28D164BC" w:rsidR="009D068E" w:rsidRPr="000033EE" w:rsidRDefault="000033EE" w:rsidP="00F566C5">
      <w:pPr>
        <w:jc w:val="both"/>
        <w:rPr>
          <w:rFonts w:ascii="Times New Roman" w:hAnsi="Times New Roman" w:cs="Times New Roman"/>
          <w:b/>
          <w:bCs/>
          <w:sz w:val="28"/>
          <w:szCs w:val="28"/>
        </w:rPr>
      </w:pPr>
      <w:r w:rsidRPr="000033EE">
        <w:rPr>
          <w:rFonts w:ascii="Times New Roman" w:hAnsi="Times New Roman" w:cs="Times New Roman"/>
          <w:b/>
          <w:bCs/>
          <w:sz w:val="28"/>
          <w:szCs w:val="28"/>
        </w:rPr>
        <w:t>REFERENCES</w:t>
      </w:r>
    </w:p>
    <w:p w14:paraId="3F21964A"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lastRenderedPageBreak/>
        <w:t xml:space="preserve">Afify, M. K. (2020). Effect of interactive video length within e-learning environments on cognitive load, cognitive achievement, and retention of learning. *Turkish Online Journal of Distance Education, 21*(4), 68–89. </w:t>
      </w:r>
      <w:hyperlink r:id="rId9" w:history="1">
        <w:r w:rsidRPr="00BC5B2C">
          <w:rPr>
            <w:rStyle w:val="Hyperlink"/>
            <w:rFonts w:ascii="Times New Roman" w:hAnsi="Times New Roman" w:cs="Times New Roman"/>
            <w:color w:val="000000" w:themeColor="text1"/>
          </w:rPr>
          <w:t>https://doi.org/10.17718/tojde.803360</w:t>
        </w:r>
      </w:hyperlink>
    </w:p>
    <w:p w14:paraId="068F5AF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Assakhi</w:t>
      </w:r>
      <w:proofErr w:type="spellEnd"/>
      <w:r w:rsidRPr="00BC5B2C">
        <w:rPr>
          <w:rFonts w:ascii="Times New Roman" w:hAnsi="Times New Roman" w:cs="Times New Roman"/>
          <w:color w:val="000000" w:themeColor="text1"/>
        </w:rPr>
        <w:t xml:space="preserve">, S. M., &amp; </w:t>
      </w:r>
      <w:proofErr w:type="spellStart"/>
      <w:r w:rsidRPr="00BC5B2C">
        <w:rPr>
          <w:rFonts w:ascii="Times New Roman" w:hAnsi="Times New Roman" w:cs="Times New Roman"/>
          <w:color w:val="000000" w:themeColor="text1"/>
        </w:rPr>
        <w:t>Fakhrurriana</w:t>
      </w:r>
      <w:proofErr w:type="spellEnd"/>
      <w:r w:rsidRPr="00BC5B2C">
        <w:rPr>
          <w:rFonts w:ascii="Times New Roman" w:hAnsi="Times New Roman" w:cs="Times New Roman"/>
          <w:color w:val="000000" w:themeColor="text1"/>
        </w:rPr>
        <w:t xml:space="preserve">, R. (2024). Short videos on social media as catalysts for English language learning beyond the classroom. English Language Journal, 2(3), 116-129. </w:t>
      </w:r>
      <w:hyperlink r:id="rId10" w:history="1">
        <w:r w:rsidRPr="00BC5B2C">
          <w:rPr>
            <w:rStyle w:val="Hyperlink"/>
            <w:rFonts w:ascii="Times New Roman" w:hAnsi="Times New Roman" w:cs="Times New Roman"/>
            <w:color w:val="000000" w:themeColor="text1"/>
          </w:rPr>
          <w:t>https://doi.org/10.56209/badi.v2i3.116</w:t>
        </w:r>
      </w:hyperlink>
    </w:p>
    <w:p w14:paraId="44A0A30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Ayana, M., Tegegne, F., &amp; Bekele, T. (2024). Fostering communicative competence through interactive classroom practices: A longitudinal perspective. Journal of Language and Linguistic Studies, 20(1), 112–129.</w:t>
      </w:r>
    </w:p>
    <w:p w14:paraId="619ADDFE"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Bhushan, K. (2021). The impact of shorts and reels on attention span &amp; strategies to enhance focus. *Medium*. </w:t>
      </w:r>
      <w:hyperlink r:id="rId11" w:history="1">
        <w:r w:rsidRPr="00BC5B2C">
          <w:rPr>
            <w:rStyle w:val="Hyperlink"/>
            <w:rFonts w:ascii="Times New Roman" w:hAnsi="Times New Roman" w:cs="Times New Roman"/>
            <w:color w:val="000000" w:themeColor="text1"/>
          </w:rPr>
          <w:t>https://medium.com/@kbhushan19/the-impact-of-shorts-and-reels-on-attention-span-strategies-to-enhance-focus-81dcb9461a3</w:t>
        </w:r>
      </w:hyperlink>
    </w:p>
    <w:p w14:paraId="0D4337B0"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Canale, M., &amp; Swain, M. (1980). Theoretical bases of communicative approaches to second language teaching and testing. Applied Linguistics, 1(1), 1–47.</w:t>
      </w:r>
    </w:p>
    <w:p w14:paraId="66BC0951"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García, O., &amp; Wei, L. (2014). Translanguaging: Language, bilingualism and education. Palgrave Macmillan.</w:t>
      </w:r>
    </w:p>
    <w:p w14:paraId="56BE52F9"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Gowenlock</w:t>
      </w:r>
      <w:proofErr w:type="spellEnd"/>
      <w:r w:rsidRPr="00BC5B2C">
        <w:rPr>
          <w:rFonts w:ascii="Times New Roman" w:hAnsi="Times New Roman" w:cs="Times New Roman"/>
          <w:color w:val="000000" w:themeColor="text1"/>
        </w:rPr>
        <w:t xml:space="preserve">, A. E., Norbury, C., &amp; Rodd, J. M. (2024). Exposure to language in video and its impact on linguistic development in children aged 3–11: A scoping review. *Journal of Cognition, 7*(1). https://doi.org/10.5334/joc.385   </w:t>
      </w:r>
    </w:p>
    <w:p w14:paraId="5E81FF89"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Kemmis, S., McTaggart, R., &amp; Nixon, R. (2014). The action research planner: Doing critical participatory action research. Springer.</w:t>
      </w:r>
    </w:p>
    <w:p w14:paraId="3C3505E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Krashen, S. D. (1985). The input hypothesis: Issues and implications. Longman.</w:t>
      </w:r>
    </w:p>
    <w:p w14:paraId="592F842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Malik, I. (2024). TikTok’s impact on cognitive habits: How short-form videos rewire our brains. *Our Mental Health*. https://www.ourmental.health/screen-time-sanity/how-tiktoks-bite-sized-videos-are-rewiring-our-brains   </w:t>
      </w:r>
    </w:p>
    <w:p w14:paraId="0EED5F81"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Mayer, R. E. (2001). Multimedia learning. Cambridge University Press.</w:t>
      </w:r>
    </w:p>
    <w:p w14:paraId="43758618"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Nakhalah</w:t>
      </w:r>
      <w:proofErr w:type="spellEnd"/>
      <w:proofErr w:type="gramStart"/>
      <w:r w:rsidRPr="00BC5B2C">
        <w:rPr>
          <w:rFonts w:ascii="Times New Roman" w:hAnsi="Times New Roman" w:cs="Times New Roman"/>
          <w:color w:val="000000" w:themeColor="text1"/>
        </w:rPr>
        <w:t>,  A</w:t>
      </w:r>
      <w:proofErr w:type="gramEnd"/>
      <w:r w:rsidRPr="00BC5B2C">
        <w:rPr>
          <w:rFonts w:ascii="Times New Roman" w:hAnsi="Times New Roman" w:cs="Times New Roman"/>
          <w:color w:val="000000" w:themeColor="text1"/>
        </w:rPr>
        <w:t xml:space="preserve">.  M.  M.  A.  (2016).  </w:t>
      </w:r>
      <w:proofErr w:type="gramStart"/>
      <w:r w:rsidRPr="00BC5B2C">
        <w:rPr>
          <w:rFonts w:ascii="Times New Roman" w:hAnsi="Times New Roman" w:cs="Times New Roman"/>
          <w:color w:val="000000" w:themeColor="text1"/>
        </w:rPr>
        <w:t>Problems  and</w:t>
      </w:r>
      <w:proofErr w:type="gramEnd"/>
      <w:r w:rsidRPr="00BC5B2C">
        <w:rPr>
          <w:rFonts w:ascii="Times New Roman" w:hAnsi="Times New Roman" w:cs="Times New Roman"/>
          <w:color w:val="000000" w:themeColor="text1"/>
        </w:rPr>
        <w:t xml:space="preserve">  difficulties  of  speaking  that  encounter  English language   students   at   Al   Quds   Open   University.   International   Journal   of   Humanities   and   Social   Science Invention, 5(12), 96–101</w:t>
      </w:r>
    </w:p>
    <w:p w14:paraId="0EA6235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Olivier, J. (2019). Short instructional videos as multimodal open educational resources for a language classroom. Journal of Educational Multimedia and Hypermedia, 28(4), 381–409.</w:t>
      </w:r>
    </w:p>
    <w:p w14:paraId="16A63AD7"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Rahmawati, Y., &amp; Anwar, K. (2022). The use of TikTok application: The impact on students’ vocabulary and attitude. *PROJECT (Professional Journal of English Education), 5*(3), 610–621. </w:t>
      </w:r>
      <w:hyperlink r:id="rId12" w:history="1">
        <w:r w:rsidRPr="00BC5B2C">
          <w:rPr>
            <w:rStyle w:val="Hyperlink"/>
            <w:rFonts w:ascii="Times New Roman" w:hAnsi="Times New Roman" w:cs="Times New Roman"/>
            <w:color w:val="000000" w:themeColor="text1"/>
          </w:rPr>
          <w:t>https://doi.org/10.22460/project.v5i3.p610-621</w:t>
        </w:r>
      </w:hyperlink>
    </w:p>
    <w:p w14:paraId="022BFE1C"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Reyes, M. E. S., </w:t>
      </w:r>
      <w:proofErr w:type="spellStart"/>
      <w:r w:rsidRPr="00BC5B2C">
        <w:rPr>
          <w:rFonts w:ascii="Times New Roman" w:hAnsi="Times New Roman" w:cs="Times New Roman"/>
          <w:color w:val="000000" w:themeColor="text1"/>
        </w:rPr>
        <w:t>Buluran</w:t>
      </w:r>
      <w:proofErr w:type="spellEnd"/>
      <w:r w:rsidRPr="00BC5B2C">
        <w:rPr>
          <w:rFonts w:ascii="Times New Roman" w:hAnsi="Times New Roman" w:cs="Times New Roman"/>
          <w:color w:val="000000" w:themeColor="text1"/>
        </w:rPr>
        <w:t xml:space="preserve">, C. A. D., </w:t>
      </w:r>
      <w:proofErr w:type="spellStart"/>
      <w:r w:rsidRPr="00BC5B2C">
        <w:rPr>
          <w:rFonts w:ascii="Times New Roman" w:hAnsi="Times New Roman" w:cs="Times New Roman"/>
          <w:color w:val="000000" w:themeColor="text1"/>
        </w:rPr>
        <w:t>Celicious</w:t>
      </w:r>
      <w:proofErr w:type="spellEnd"/>
      <w:r w:rsidRPr="00BC5B2C">
        <w:rPr>
          <w:rFonts w:ascii="Times New Roman" w:hAnsi="Times New Roman" w:cs="Times New Roman"/>
          <w:color w:val="000000" w:themeColor="text1"/>
        </w:rPr>
        <w:t xml:space="preserve">, A. M. B., </w:t>
      </w:r>
      <w:proofErr w:type="spellStart"/>
      <w:r w:rsidRPr="00BC5B2C">
        <w:rPr>
          <w:rFonts w:ascii="Times New Roman" w:hAnsi="Times New Roman" w:cs="Times New Roman"/>
          <w:color w:val="000000" w:themeColor="text1"/>
        </w:rPr>
        <w:t>Dauigoy</w:t>
      </w:r>
      <w:proofErr w:type="spellEnd"/>
      <w:r w:rsidRPr="00BC5B2C">
        <w:rPr>
          <w:rFonts w:ascii="Times New Roman" w:hAnsi="Times New Roman" w:cs="Times New Roman"/>
          <w:color w:val="000000" w:themeColor="text1"/>
        </w:rPr>
        <w:t xml:space="preserve">, R. H. G., Mallare, K. C. A., &amp; </w:t>
      </w:r>
      <w:proofErr w:type="spellStart"/>
      <w:r w:rsidRPr="00BC5B2C">
        <w:rPr>
          <w:rFonts w:ascii="Times New Roman" w:hAnsi="Times New Roman" w:cs="Times New Roman"/>
          <w:color w:val="000000" w:themeColor="text1"/>
        </w:rPr>
        <w:t>Zsila</w:t>
      </w:r>
      <w:proofErr w:type="spellEnd"/>
      <w:r w:rsidRPr="00BC5B2C">
        <w:rPr>
          <w:rFonts w:ascii="Times New Roman" w:hAnsi="Times New Roman" w:cs="Times New Roman"/>
          <w:color w:val="000000" w:themeColor="text1"/>
        </w:rPr>
        <w:t>, Á. (2023). Social networking sites use and self-esteem among Filipino young adults: Does social comparison mediate or moderate this association? North American Journal of Psychology, 25(4), 697–716.</w:t>
      </w:r>
    </w:p>
    <w:p w14:paraId="6CC02DE5"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Safitri</w:t>
      </w:r>
      <w:proofErr w:type="spellEnd"/>
      <w:r w:rsidRPr="00BC5B2C">
        <w:rPr>
          <w:rFonts w:ascii="Times New Roman" w:hAnsi="Times New Roman" w:cs="Times New Roman"/>
          <w:color w:val="000000" w:themeColor="text1"/>
        </w:rPr>
        <w:t xml:space="preserve">, D., </w:t>
      </w:r>
      <w:proofErr w:type="spellStart"/>
      <w:r w:rsidRPr="00BC5B2C">
        <w:rPr>
          <w:rFonts w:ascii="Times New Roman" w:hAnsi="Times New Roman" w:cs="Times New Roman"/>
          <w:color w:val="000000" w:themeColor="text1"/>
        </w:rPr>
        <w:t>Rafli</w:t>
      </w:r>
      <w:proofErr w:type="spellEnd"/>
      <w:r w:rsidRPr="00BC5B2C">
        <w:rPr>
          <w:rFonts w:ascii="Times New Roman" w:hAnsi="Times New Roman" w:cs="Times New Roman"/>
          <w:color w:val="000000" w:themeColor="text1"/>
        </w:rPr>
        <w:t>, Z., &amp; Dewanti, R. (2020). The effect of task-based learning on students’ speaking ability. Journal of English Language Teaching and Learning, 1(2), 45–52.</w:t>
      </w:r>
    </w:p>
    <w:p w14:paraId="23AD8D1A"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Segalowitz</w:t>
      </w:r>
      <w:proofErr w:type="spellEnd"/>
      <w:r w:rsidRPr="00BC5B2C">
        <w:rPr>
          <w:rFonts w:ascii="Times New Roman" w:hAnsi="Times New Roman" w:cs="Times New Roman"/>
          <w:color w:val="000000" w:themeColor="text1"/>
        </w:rPr>
        <w:t>, N. (2010). Cognitive bases of second language fluency. Routledge.</w:t>
      </w:r>
    </w:p>
    <w:p w14:paraId="540AE002"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proofErr w:type="spellStart"/>
      <w:r w:rsidRPr="00BC5B2C">
        <w:rPr>
          <w:rFonts w:ascii="Times New Roman" w:hAnsi="Times New Roman" w:cs="Times New Roman"/>
          <w:color w:val="000000" w:themeColor="text1"/>
        </w:rPr>
        <w:t>Selimović-Korjenić</w:t>
      </w:r>
      <w:proofErr w:type="spellEnd"/>
      <w:r w:rsidRPr="00BC5B2C">
        <w:rPr>
          <w:rFonts w:ascii="Times New Roman" w:hAnsi="Times New Roman" w:cs="Times New Roman"/>
          <w:color w:val="000000" w:themeColor="text1"/>
        </w:rPr>
        <w:t xml:space="preserve"> S. (2025). Challenges Faced by High School, University, and Adult Language Learners While Speaking English. MAP Education and Humanities, 6, 14-23. </w:t>
      </w:r>
      <w:proofErr w:type="spellStart"/>
      <w:r w:rsidRPr="00BC5B2C">
        <w:rPr>
          <w:rFonts w:ascii="Times New Roman" w:hAnsi="Times New Roman" w:cs="Times New Roman"/>
          <w:color w:val="000000" w:themeColor="text1"/>
        </w:rPr>
        <w:t>doi</w:t>
      </w:r>
      <w:proofErr w:type="spellEnd"/>
      <w:r w:rsidRPr="00BC5B2C">
        <w:rPr>
          <w:rFonts w:ascii="Times New Roman" w:hAnsi="Times New Roman" w:cs="Times New Roman"/>
          <w:color w:val="000000" w:themeColor="text1"/>
        </w:rPr>
        <w:t xml:space="preserve">: </w:t>
      </w:r>
      <w:hyperlink r:id="rId13" w:history="1">
        <w:r w:rsidRPr="00BC5B2C">
          <w:rPr>
            <w:rStyle w:val="Hyperlink"/>
            <w:rFonts w:ascii="Times New Roman" w:hAnsi="Times New Roman" w:cs="Times New Roman"/>
            <w:color w:val="000000" w:themeColor="text1"/>
          </w:rPr>
          <w:t>https://doi.org/10.53880/2744-2373.2025.6.14</w:t>
        </w:r>
      </w:hyperlink>
    </w:p>
    <w:p w14:paraId="40408418"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Uchihara, T., &amp; Clenton, J. (2022). Lexical knowledge and oral communication: Unpacking the relationship between vocabulary size and speaking proficiency. Applied Linguistics, 43(3), 488–509.</w:t>
      </w:r>
    </w:p>
    <w:p w14:paraId="06185E9F"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lastRenderedPageBreak/>
        <w:t>Vygotsky, L. S. (1978). Mind in society: The development of higher psychological processes. Harvard University Press.</w:t>
      </w:r>
    </w:p>
    <w:p w14:paraId="6FF29B54"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Xie, J., Xu, X., Zhang, Y., Tan, Y., Wu, D., Shi, M., &amp; Huang, H. (2023). The effect of short-form video addiction on undergraduates’ academic procrastination: A moderated mediation model. Frontiers in Psychology, 14. </w:t>
      </w:r>
      <w:hyperlink r:id="rId14" w:history="1">
        <w:r w:rsidRPr="00BC5B2C">
          <w:rPr>
            <w:rStyle w:val="Hyperlink"/>
            <w:rFonts w:ascii="Times New Roman" w:hAnsi="Times New Roman" w:cs="Times New Roman"/>
            <w:color w:val="000000" w:themeColor="text1"/>
          </w:rPr>
          <w:t>https://doi.org/10.3389/fpsyg.2023.1298361</w:t>
        </w:r>
      </w:hyperlink>
    </w:p>
    <w:p w14:paraId="493DCDBE" w14:textId="77777777" w:rsidR="00D87A58" w:rsidRPr="00BC5B2C" w:rsidRDefault="00D87A58" w:rsidP="00D87A58">
      <w:pPr>
        <w:pStyle w:val="ListParagraph"/>
        <w:numPr>
          <w:ilvl w:val="0"/>
          <w:numId w:val="3"/>
        </w:numPr>
        <w:jc w:val="both"/>
        <w:rPr>
          <w:rFonts w:ascii="Times New Roman" w:hAnsi="Times New Roman" w:cs="Times New Roman"/>
          <w:color w:val="000000" w:themeColor="text1"/>
        </w:rPr>
      </w:pPr>
      <w:r w:rsidRPr="00BC5B2C">
        <w:rPr>
          <w:rFonts w:ascii="Times New Roman" w:hAnsi="Times New Roman" w:cs="Times New Roman"/>
          <w:color w:val="000000" w:themeColor="text1"/>
        </w:rPr>
        <w:t xml:space="preserve">Zhang, Y., Lucas, M., &amp; Pedro, L. (2022). A Decade of Short Videos for Foreign Language Teaching and Learning: A review. Education Sciences, 12(11), 786. </w:t>
      </w:r>
      <w:hyperlink r:id="rId15" w:history="1">
        <w:r w:rsidRPr="00BC5B2C">
          <w:rPr>
            <w:rStyle w:val="Hyperlink"/>
            <w:rFonts w:ascii="Times New Roman" w:hAnsi="Times New Roman" w:cs="Times New Roman"/>
            <w:color w:val="000000" w:themeColor="text1"/>
          </w:rPr>
          <w:t>https://doi.org/10.3390/educsci12110786</w:t>
        </w:r>
      </w:hyperlink>
    </w:p>
    <w:p w14:paraId="47EEDC92" w14:textId="77777777" w:rsidR="009B021F" w:rsidRPr="006B35DB" w:rsidRDefault="009B021F" w:rsidP="00F566C5">
      <w:pPr>
        <w:jc w:val="both"/>
        <w:rPr>
          <w:rFonts w:ascii="Times New Roman" w:hAnsi="Times New Roman" w:cs="Times New Roman"/>
        </w:rPr>
      </w:pPr>
    </w:p>
    <w:sectPr w:rsidR="009B021F" w:rsidRPr="006B35DB" w:rsidSect="00343AF2">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A45D" w14:textId="77777777" w:rsidR="00292AAD" w:rsidRDefault="00292AAD" w:rsidP="00343AF2">
      <w:pPr>
        <w:spacing w:after="0" w:line="240" w:lineRule="auto"/>
      </w:pPr>
      <w:r>
        <w:separator/>
      </w:r>
    </w:p>
  </w:endnote>
  <w:endnote w:type="continuationSeparator" w:id="0">
    <w:p w14:paraId="27E73DC7" w14:textId="77777777" w:rsidR="00292AAD" w:rsidRDefault="00292AAD" w:rsidP="0034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79702" w14:textId="77777777" w:rsidR="00292AAD" w:rsidRDefault="00292AAD" w:rsidP="00343AF2">
      <w:pPr>
        <w:spacing w:after="0" w:line="240" w:lineRule="auto"/>
      </w:pPr>
      <w:r>
        <w:separator/>
      </w:r>
    </w:p>
  </w:footnote>
  <w:footnote w:type="continuationSeparator" w:id="0">
    <w:p w14:paraId="5058CB6B" w14:textId="77777777" w:rsidR="00292AAD" w:rsidRDefault="00292AAD" w:rsidP="00343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E24"/>
    <w:multiLevelType w:val="multilevel"/>
    <w:tmpl w:val="D31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13B0B"/>
    <w:multiLevelType w:val="hybridMultilevel"/>
    <w:tmpl w:val="CCDEEC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528160FB"/>
    <w:multiLevelType w:val="hybridMultilevel"/>
    <w:tmpl w:val="79AAD7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F2"/>
    <w:rsid w:val="000033EE"/>
    <w:rsid w:val="00021E83"/>
    <w:rsid w:val="00030ACB"/>
    <w:rsid w:val="00054EEA"/>
    <w:rsid w:val="00073F5E"/>
    <w:rsid w:val="000B2959"/>
    <w:rsid w:val="000D0877"/>
    <w:rsid w:val="000F729D"/>
    <w:rsid w:val="00101E3B"/>
    <w:rsid w:val="0012110B"/>
    <w:rsid w:val="00140A8C"/>
    <w:rsid w:val="00177633"/>
    <w:rsid w:val="001B143D"/>
    <w:rsid w:val="001C1E0F"/>
    <w:rsid w:val="001D2C61"/>
    <w:rsid w:val="001F0E7F"/>
    <w:rsid w:val="001F3948"/>
    <w:rsid w:val="00201E3A"/>
    <w:rsid w:val="002129B0"/>
    <w:rsid w:val="0026712E"/>
    <w:rsid w:val="002755B8"/>
    <w:rsid w:val="00292AAD"/>
    <w:rsid w:val="002B786A"/>
    <w:rsid w:val="002D38C1"/>
    <w:rsid w:val="002E35A9"/>
    <w:rsid w:val="002F4F32"/>
    <w:rsid w:val="00327F93"/>
    <w:rsid w:val="00343AF2"/>
    <w:rsid w:val="00363336"/>
    <w:rsid w:val="003818C9"/>
    <w:rsid w:val="00391E58"/>
    <w:rsid w:val="003C7C1E"/>
    <w:rsid w:val="00433FBA"/>
    <w:rsid w:val="00471E8E"/>
    <w:rsid w:val="004A1636"/>
    <w:rsid w:val="004C01C6"/>
    <w:rsid w:val="004D4062"/>
    <w:rsid w:val="005054C4"/>
    <w:rsid w:val="005156FC"/>
    <w:rsid w:val="00516EEE"/>
    <w:rsid w:val="00526162"/>
    <w:rsid w:val="00540C9F"/>
    <w:rsid w:val="005E7886"/>
    <w:rsid w:val="005F7171"/>
    <w:rsid w:val="00604865"/>
    <w:rsid w:val="0063371E"/>
    <w:rsid w:val="00635FD5"/>
    <w:rsid w:val="00636646"/>
    <w:rsid w:val="00642124"/>
    <w:rsid w:val="00644737"/>
    <w:rsid w:val="00652B8D"/>
    <w:rsid w:val="0067088D"/>
    <w:rsid w:val="00684CFC"/>
    <w:rsid w:val="00687B9B"/>
    <w:rsid w:val="006B35DB"/>
    <w:rsid w:val="006E5A9B"/>
    <w:rsid w:val="007126C1"/>
    <w:rsid w:val="00730768"/>
    <w:rsid w:val="007A3058"/>
    <w:rsid w:val="007C6BFD"/>
    <w:rsid w:val="007D0A5C"/>
    <w:rsid w:val="0081241E"/>
    <w:rsid w:val="00861F7D"/>
    <w:rsid w:val="008630CD"/>
    <w:rsid w:val="008B3356"/>
    <w:rsid w:val="008E7FB8"/>
    <w:rsid w:val="0090028C"/>
    <w:rsid w:val="009029A4"/>
    <w:rsid w:val="009449FE"/>
    <w:rsid w:val="00964F87"/>
    <w:rsid w:val="00970ACA"/>
    <w:rsid w:val="0097481C"/>
    <w:rsid w:val="0098325B"/>
    <w:rsid w:val="009A01D1"/>
    <w:rsid w:val="009B021F"/>
    <w:rsid w:val="009D068E"/>
    <w:rsid w:val="00A13443"/>
    <w:rsid w:val="00A321C2"/>
    <w:rsid w:val="00A32A58"/>
    <w:rsid w:val="00A423E7"/>
    <w:rsid w:val="00A431E5"/>
    <w:rsid w:val="00A578C1"/>
    <w:rsid w:val="00A867F5"/>
    <w:rsid w:val="00A94938"/>
    <w:rsid w:val="00AA6412"/>
    <w:rsid w:val="00AC232E"/>
    <w:rsid w:val="00AF0FC8"/>
    <w:rsid w:val="00B02482"/>
    <w:rsid w:val="00B23B98"/>
    <w:rsid w:val="00B754B9"/>
    <w:rsid w:val="00B8606F"/>
    <w:rsid w:val="00B909D8"/>
    <w:rsid w:val="00BC38E5"/>
    <w:rsid w:val="00BC5B2C"/>
    <w:rsid w:val="00BC7F7A"/>
    <w:rsid w:val="00BD5EEE"/>
    <w:rsid w:val="00BE3F21"/>
    <w:rsid w:val="00C007A8"/>
    <w:rsid w:val="00C501D7"/>
    <w:rsid w:val="00C61D50"/>
    <w:rsid w:val="00C7628C"/>
    <w:rsid w:val="00C869BD"/>
    <w:rsid w:val="00C8725E"/>
    <w:rsid w:val="00CA5D48"/>
    <w:rsid w:val="00CD2033"/>
    <w:rsid w:val="00CF389D"/>
    <w:rsid w:val="00D66F9A"/>
    <w:rsid w:val="00D747A3"/>
    <w:rsid w:val="00D87A58"/>
    <w:rsid w:val="00D9467B"/>
    <w:rsid w:val="00DC33A0"/>
    <w:rsid w:val="00DC4100"/>
    <w:rsid w:val="00E477C7"/>
    <w:rsid w:val="00E96194"/>
    <w:rsid w:val="00EB340E"/>
    <w:rsid w:val="00ED4B67"/>
    <w:rsid w:val="00F02B9F"/>
    <w:rsid w:val="00F46F2A"/>
    <w:rsid w:val="00F566C5"/>
    <w:rsid w:val="00FA1822"/>
    <w:rsid w:val="00FB47C2"/>
    <w:rsid w:val="00FE02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D5"/>
  </w:style>
  <w:style w:type="paragraph" w:styleId="Heading1">
    <w:name w:val="heading 1"/>
    <w:basedOn w:val="Normal"/>
    <w:next w:val="Normal"/>
    <w:link w:val="Heading1Char"/>
    <w:uiPriority w:val="9"/>
    <w:qFormat/>
    <w:rsid w:val="00343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F2"/>
    <w:rPr>
      <w:rFonts w:eastAsiaTheme="majorEastAsia" w:cstheme="majorBidi"/>
      <w:color w:val="272727" w:themeColor="text1" w:themeTint="D8"/>
    </w:rPr>
  </w:style>
  <w:style w:type="paragraph" w:styleId="Title">
    <w:name w:val="Title"/>
    <w:basedOn w:val="Normal"/>
    <w:next w:val="Normal"/>
    <w:link w:val="TitleChar"/>
    <w:uiPriority w:val="10"/>
    <w:qFormat/>
    <w:rsid w:val="00343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F2"/>
    <w:pPr>
      <w:spacing w:before="160"/>
      <w:jc w:val="center"/>
    </w:pPr>
    <w:rPr>
      <w:i/>
      <w:iCs/>
      <w:color w:val="404040" w:themeColor="text1" w:themeTint="BF"/>
    </w:rPr>
  </w:style>
  <w:style w:type="character" w:customStyle="1" w:styleId="QuoteChar">
    <w:name w:val="Quote Char"/>
    <w:basedOn w:val="DefaultParagraphFont"/>
    <w:link w:val="Quote"/>
    <w:uiPriority w:val="29"/>
    <w:rsid w:val="00343AF2"/>
    <w:rPr>
      <w:i/>
      <w:iCs/>
      <w:color w:val="404040" w:themeColor="text1" w:themeTint="BF"/>
    </w:rPr>
  </w:style>
  <w:style w:type="paragraph" w:styleId="ListParagraph">
    <w:name w:val="List Paragraph"/>
    <w:basedOn w:val="Normal"/>
    <w:uiPriority w:val="34"/>
    <w:qFormat/>
    <w:rsid w:val="00343AF2"/>
    <w:pPr>
      <w:ind w:left="720"/>
      <w:contextualSpacing/>
    </w:pPr>
  </w:style>
  <w:style w:type="character" w:styleId="IntenseEmphasis">
    <w:name w:val="Intense Emphasis"/>
    <w:basedOn w:val="DefaultParagraphFont"/>
    <w:uiPriority w:val="21"/>
    <w:qFormat/>
    <w:rsid w:val="00343AF2"/>
    <w:rPr>
      <w:i/>
      <w:iCs/>
      <w:color w:val="0F4761" w:themeColor="accent1" w:themeShade="BF"/>
    </w:rPr>
  </w:style>
  <w:style w:type="paragraph" w:styleId="IntenseQuote">
    <w:name w:val="Intense Quote"/>
    <w:basedOn w:val="Normal"/>
    <w:next w:val="Normal"/>
    <w:link w:val="IntenseQuoteChar"/>
    <w:uiPriority w:val="30"/>
    <w:qFormat/>
    <w:rsid w:val="0034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AF2"/>
    <w:rPr>
      <w:i/>
      <w:iCs/>
      <w:color w:val="0F4761" w:themeColor="accent1" w:themeShade="BF"/>
    </w:rPr>
  </w:style>
  <w:style w:type="character" w:styleId="IntenseReference">
    <w:name w:val="Intense Reference"/>
    <w:basedOn w:val="DefaultParagraphFont"/>
    <w:uiPriority w:val="32"/>
    <w:qFormat/>
    <w:rsid w:val="00343AF2"/>
    <w:rPr>
      <w:b/>
      <w:bCs/>
      <w:smallCaps/>
      <w:color w:val="0F4761" w:themeColor="accent1" w:themeShade="BF"/>
      <w:spacing w:val="5"/>
    </w:rPr>
  </w:style>
  <w:style w:type="paragraph" w:styleId="Header">
    <w:name w:val="header"/>
    <w:basedOn w:val="Normal"/>
    <w:link w:val="HeaderChar"/>
    <w:uiPriority w:val="99"/>
    <w:unhideWhenUsed/>
    <w:rsid w:val="0034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F2"/>
  </w:style>
  <w:style w:type="paragraph" w:styleId="Footer">
    <w:name w:val="footer"/>
    <w:basedOn w:val="Normal"/>
    <w:link w:val="FooterChar"/>
    <w:uiPriority w:val="99"/>
    <w:unhideWhenUsed/>
    <w:rsid w:val="0034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F2"/>
  </w:style>
  <w:style w:type="table" w:styleId="TableGrid">
    <w:name w:val="Table Grid"/>
    <w:basedOn w:val="TableNormal"/>
    <w:uiPriority w:val="39"/>
    <w:rsid w:val="00515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1E3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math-inline">
    <w:name w:val="math-inline"/>
    <w:basedOn w:val="DefaultParagraphFont"/>
    <w:rsid w:val="00101E3B"/>
  </w:style>
  <w:style w:type="character" w:styleId="Hyperlink">
    <w:name w:val="Hyperlink"/>
    <w:basedOn w:val="DefaultParagraphFont"/>
    <w:uiPriority w:val="99"/>
    <w:unhideWhenUsed/>
    <w:rsid w:val="00C501D7"/>
    <w:rPr>
      <w:color w:val="467886" w:themeColor="hyperlink"/>
      <w:u w:val="single"/>
    </w:rPr>
  </w:style>
  <w:style w:type="character" w:customStyle="1" w:styleId="UnresolvedMention">
    <w:name w:val="Unresolved Mention"/>
    <w:basedOn w:val="DefaultParagraphFont"/>
    <w:uiPriority w:val="99"/>
    <w:semiHidden/>
    <w:unhideWhenUsed/>
    <w:rsid w:val="00C501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D5"/>
  </w:style>
  <w:style w:type="paragraph" w:styleId="Heading1">
    <w:name w:val="heading 1"/>
    <w:basedOn w:val="Normal"/>
    <w:next w:val="Normal"/>
    <w:link w:val="Heading1Char"/>
    <w:uiPriority w:val="9"/>
    <w:qFormat/>
    <w:rsid w:val="00343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AF2"/>
    <w:rPr>
      <w:rFonts w:eastAsiaTheme="majorEastAsia" w:cstheme="majorBidi"/>
      <w:color w:val="272727" w:themeColor="text1" w:themeTint="D8"/>
    </w:rPr>
  </w:style>
  <w:style w:type="paragraph" w:styleId="Title">
    <w:name w:val="Title"/>
    <w:basedOn w:val="Normal"/>
    <w:next w:val="Normal"/>
    <w:link w:val="TitleChar"/>
    <w:uiPriority w:val="10"/>
    <w:qFormat/>
    <w:rsid w:val="00343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AF2"/>
    <w:pPr>
      <w:spacing w:before="160"/>
      <w:jc w:val="center"/>
    </w:pPr>
    <w:rPr>
      <w:i/>
      <w:iCs/>
      <w:color w:val="404040" w:themeColor="text1" w:themeTint="BF"/>
    </w:rPr>
  </w:style>
  <w:style w:type="character" w:customStyle="1" w:styleId="QuoteChar">
    <w:name w:val="Quote Char"/>
    <w:basedOn w:val="DefaultParagraphFont"/>
    <w:link w:val="Quote"/>
    <w:uiPriority w:val="29"/>
    <w:rsid w:val="00343AF2"/>
    <w:rPr>
      <w:i/>
      <w:iCs/>
      <w:color w:val="404040" w:themeColor="text1" w:themeTint="BF"/>
    </w:rPr>
  </w:style>
  <w:style w:type="paragraph" w:styleId="ListParagraph">
    <w:name w:val="List Paragraph"/>
    <w:basedOn w:val="Normal"/>
    <w:uiPriority w:val="34"/>
    <w:qFormat/>
    <w:rsid w:val="00343AF2"/>
    <w:pPr>
      <w:ind w:left="720"/>
      <w:contextualSpacing/>
    </w:pPr>
  </w:style>
  <w:style w:type="character" w:styleId="IntenseEmphasis">
    <w:name w:val="Intense Emphasis"/>
    <w:basedOn w:val="DefaultParagraphFont"/>
    <w:uiPriority w:val="21"/>
    <w:qFormat/>
    <w:rsid w:val="00343AF2"/>
    <w:rPr>
      <w:i/>
      <w:iCs/>
      <w:color w:val="0F4761" w:themeColor="accent1" w:themeShade="BF"/>
    </w:rPr>
  </w:style>
  <w:style w:type="paragraph" w:styleId="IntenseQuote">
    <w:name w:val="Intense Quote"/>
    <w:basedOn w:val="Normal"/>
    <w:next w:val="Normal"/>
    <w:link w:val="IntenseQuoteChar"/>
    <w:uiPriority w:val="30"/>
    <w:qFormat/>
    <w:rsid w:val="0034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AF2"/>
    <w:rPr>
      <w:i/>
      <w:iCs/>
      <w:color w:val="0F4761" w:themeColor="accent1" w:themeShade="BF"/>
    </w:rPr>
  </w:style>
  <w:style w:type="character" w:styleId="IntenseReference">
    <w:name w:val="Intense Reference"/>
    <w:basedOn w:val="DefaultParagraphFont"/>
    <w:uiPriority w:val="32"/>
    <w:qFormat/>
    <w:rsid w:val="00343AF2"/>
    <w:rPr>
      <w:b/>
      <w:bCs/>
      <w:smallCaps/>
      <w:color w:val="0F4761" w:themeColor="accent1" w:themeShade="BF"/>
      <w:spacing w:val="5"/>
    </w:rPr>
  </w:style>
  <w:style w:type="paragraph" w:styleId="Header">
    <w:name w:val="header"/>
    <w:basedOn w:val="Normal"/>
    <w:link w:val="HeaderChar"/>
    <w:uiPriority w:val="99"/>
    <w:unhideWhenUsed/>
    <w:rsid w:val="0034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F2"/>
  </w:style>
  <w:style w:type="paragraph" w:styleId="Footer">
    <w:name w:val="footer"/>
    <w:basedOn w:val="Normal"/>
    <w:link w:val="FooterChar"/>
    <w:uiPriority w:val="99"/>
    <w:unhideWhenUsed/>
    <w:rsid w:val="0034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F2"/>
  </w:style>
  <w:style w:type="table" w:styleId="TableGrid">
    <w:name w:val="Table Grid"/>
    <w:basedOn w:val="TableNormal"/>
    <w:uiPriority w:val="39"/>
    <w:rsid w:val="00515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01E3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math-inline">
    <w:name w:val="math-inline"/>
    <w:basedOn w:val="DefaultParagraphFont"/>
    <w:rsid w:val="00101E3B"/>
  </w:style>
  <w:style w:type="character" w:styleId="Hyperlink">
    <w:name w:val="Hyperlink"/>
    <w:basedOn w:val="DefaultParagraphFont"/>
    <w:uiPriority w:val="99"/>
    <w:unhideWhenUsed/>
    <w:rsid w:val="00C501D7"/>
    <w:rPr>
      <w:color w:val="467886" w:themeColor="hyperlink"/>
      <w:u w:val="single"/>
    </w:rPr>
  </w:style>
  <w:style w:type="character" w:customStyle="1" w:styleId="UnresolvedMention">
    <w:name w:val="Unresolved Mention"/>
    <w:basedOn w:val="DefaultParagraphFont"/>
    <w:uiPriority w:val="99"/>
    <w:semiHidden/>
    <w:unhideWhenUsed/>
    <w:rsid w:val="00C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3880/2744-2373.2025.6.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2460/project.v5i3.p610-6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um.com/@kbhushan19/the-impact-of-shorts-and-reels-on-attention-span-strategies-to-enhance-focus-81dcb9461a3" TargetMode="External"/><Relationship Id="rId5" Type="http://schemas.openxmlformats.org/officeDocument/2006/relationships/settings" Target="settings.xml"/><Relationship Id="rId15" Type="http://schemas.openxmlformats.org/officeDocument/2006/relationships/hyperlink" Target="https://doi.org/10.3390/educsci12110786" TargetMode="External"/><Relationship Id="rId10" Type="http://schemas.openxmlformats.org/officeDocument/2006/relationships/hyperlink" Target="https://doi.org/10.56209/badi.v2i3.116" TargetMode="External"/><Relationship Id="rId4" Type="http://schemas.microsoft.com/office/2007/relationships/stylesWithEffects" Target="stylesWithEffects.xml"/><Relationship Id="rId9" Type="http://schemas.openxmlformats.org/officeDocument/2006/relationships/hyperlink" Target="https://doi.org/10.17718/tojde.803360" TargetMode="External"/><Relationship Id="rId14" Type="http://schemas.openxmlformats.org/officeDocument/2006/relationships/hyperlink" Target="https://doi.org/10.3389/fpsyg.2023.1298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3DD2-6A2C-40E1-830F-E8FE19B4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Marjohn Esguerra</dc:creator>
  <cp:keywords/>
  <dc:description/>
  <cp:lastModifiedBy>qwert</cp:lastModifiedBy>
  <cp:revision>89</cp:revision>
  <dcterms:created xsi:type="dcterms:W3CDTF">2026-05-11T13:00:00Z</dcterms:created>
  <dcterms:modified xsi:type="dcterms:W3CDTF">2026-05-14T09:15:00Z</dcterms:modified>
</cp:coreProperties>
</file>