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93FEB" w14:textId="43A19BC4" w:rsidR="008E778C" w:rsidRPr="006E2F01" w:rsidRDefault="008E778C" w:rsidP="005E30CC">
      <w:pPr>
        <w:shd w:val="clear" w:color="auto" w:fill="FFFFFF"/>
        <w:spacing w:after="0" w:line="240" w:lineRule="auto"/>
        <w:jc w:val="center"/>
        <w:outlineLvl w:val="0"/>
        <w:rPr>
          <w:rFonts w:ascii="Times New Roman" w:eastAsia="Times New Roman" w:hAnsi="Times New Roman" w:cs="Times New Roman"/>
          <w:b/>
          <w:bCs/>
          <w:color w:val="0F1115"/>
          <w:kern w:val="36"/>
          <w:sz w:val="36"/>
          <w:szCs w:val="36"/>
          <w:lang w:eastAsia="en-MY"/>
          <w14:ligatures w14:val="none"/>
        </w:rPr>
      </w:pPr>
      <w:r w:rsidRPr="006E2F01">
        <w:rPr>
          <w:rFonts w:ascii="Times New Roman" w:eastAsia="Times New Roman" w:hAnsi="Times New Roman" w:cs="Times New Roman"/>
          <w:b/>
          <w:bCs/>
          <w:color w:val="0F1115"/>
          <w:kern w:val="36"/>
          <w:sz w:val="36"/>
          <w:szCs w:val="36"/>
          <w:lang w:eastAsia="en-MY"/>
          <w14:ligatures w14:val="none"/>
        </w:rPr>
        <w:t>Theorizing Artificial Intelligence as an Organizational Actor:</w:t>
      </w:r>
      <w:r w:rsidR="005E30CC" w:rsidRPr="006E2F01">
        <w:rPr>
          <w:rFonts w:ascii="Times New Roman" w:eastAsia="Times New Roman" w:hAnsi="Times New Roman" w:cs="Times New Roman"/>
          <w:b/>
          <w:bCs/>
          <w:color w:val="0F1115"/>
          <w:kern w:val="36"/>
          <w:sz w:val="36"/>
          <w:szCs w:val="36"/>
          <w:lang w:eastAsia="en-MY"/>
          <w14:ligatures w14:val="none"/>
        </w:rPr>
        <w:t xml:space="preserve"> </w:t>
      </w:r>
      <w:r w:rsidRPr="006E2F01">
        <w:rPr>
          <w:rFonts w:ascii="Times New Roman" w:eastAsia="Times New Roman" w:hAnsi="Times New Roman" w:cs="Times New Roman"/>
          <w:b/>
          <w:bCs/>
          <w:color w:val="0F1115"/>
          <w:kern w:val="36"/>
          <w:sz w:val="36"/>
          <w:szCs w:val="36"/>
          <w:lang w:eastAsia="en-MY"/>
          <w14:ligatures w14:val="none"/>
        </w:rPr>
        <w:t>Insights from a Narrative Review</w:t>
      </w:r>
    </w:p>
    <w:p w14:paraId="626F1A28" w14:textId="77777777" w:rsidR="00582353" w:rsidRPr="006E2F01" w:rsidRDefault="00582353" w:rsidP="005E30CC">
      <w:pPr>
        <w:shd w:val="clear" w:color="auto" w:fill="FFFFFF"/>
        <w:spacing w:after="0" w:line="240" w:lineRule="auto"/>
        <w:jc w:val="center"/>
        <w:outlineLvl w:val="0"/>
        <w:rPr>
          <w:rFonts w:ascii="Times New Roman" w:eastAsia="Times New Roman" w:hAnsi="Times New Roman" w:cs="Times New Roman"/>
          <w:b/>
          <w:bCs/>
          <w:color w:val="0F1115"/>
          <w:kern w:val="36"/>
          <w:lang w:eastAsia="en-MY"/>
          <w14:ligatures w14:val="none"/>
        </w:rPr>
      </w:pPr>
    </w:p>
    <w:p w14:paraId="5646207E" w14:textId="6A3CEFA9"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bookmarkStart w:id="0" w:name="_GoBack"/>
      <w:bookmarkEnd w:id="0"/>
      <w:r w:rsidRPr="006E2F01">
        <w:rPr>
          <w:rFonts w:ascii="Times New Roman" w:eastAsia="Times New Roman" w:hAnsi="Times New Roman" w:cs="Times New Roman"/>
          <w:b/>
          <w:bCs/>
          <w:color w:val="0F1115"/>
          <w:kern w:val="0"/>
          <w:sz w:val="28"/>
          <w:szCs w:val="28"/>
          <w:lang w:eastAsia="en-MY"/>
          <w14:ligatures w14:val="none"/>
        </w:rPr>
        <w:t>A</w:t>
      </w:r>
      <w:r w:rsidR="00C85BDB">
        <w:rPr>
          <w:rFonts w:ascii="Times New Roman" w:eastAsia="Times New Roman" w:hAnsi="Times New Roman" w:cs="Times New Roman"/>
          <w:b/>
          <w:bCs/>
          <w:color w:val="0F1115"/>
          <w:kern w:val="0"/>
          <w:sz w:val="28"/>
          <w:szCs w:val="28"/>
          <w:lang w:eastAsia="en-MY"/>
          <w14:ligatures w14:val="none"/>
        </w:rPr>
        <w:t>BSTRACT</w:t>
      </w:r>
    </w:p>
    <w:p w14:paraId="0CD5E29F" w14:textId="04E28EB8" w:rsidR="008E778C" w:rsidRPr="006E2F01" w:rsidRDefault="008E778C" w:rsidP="005E30CC">
      <w:pPr>
        <w:shd w:val="clear" w:color="auto" w:fill="FFFFFF"/>
        <w:spacing w:before="240" w:after="240" w:line="240" w:lineRule="auto"/>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 xml:space="preserve">This narrative review examines how artificial intelligence </w:t>
      </w:r>
      <w:r w:rsidR="006E2F01" w:rsidRPr="006E2F01">
        <w:rPr>
          <w:rFonts w:ascii="Times New Roman" w:eastAsia="Times New Roman" w:hAnsi="Times New Roman" w:cs="Times New Roman"/>
          <w:color w:val="0F1115"/>
          <w:kern w:val="0"/>
          <w:lang w:eastAsia="en-MY"/>
          <w14:ligatures w14:val="none"/>
        </w:rPr>
        <w:t xml:space="preserve">(AI) </w:t>
      </w:r>
      <w:r w:rsidRPr="006E2F01">
        <w:rPr>
          <w:rFonts w:ascii="Times New Roman" w:eastAsia="Times New Roman" w:hAnsi="Times New Roman" w:cs="Times New Roman"/>
          <w:color w:val="0F1115"/>
          <w:kern w:val="0"/>
          <w:lang w:eastAsia="en-MY"/>
          <w14:ligatures w14:val="none"/>
        </w:rPr>
        <w:t xml:space="preserve">is being theorized as an organizational actor within management and organization studies. The paper synthesizes fragmented theoretical perspectives to develop an integrated conceptual framework that identifies the antecedents, mechanisms, and contextual conditions shaping AI organizational actorhood. A systematic search of Web of Science was conducted, yielding 47 peer-reviewed articles published between 2020 and 2026. The selected literature spans management, business, and accounting disciplines. Through thematic analysis guided by institutional theory, agency theory, and sociomateriality, the review critically synthesizes </w:t>
      </w:r>
      <w:r w:rsidR="00582353" w:rsidRPr="006E2F01">
        <w:rPr>
          <w:rFonts w:ascii="Times New Roman" w:eastAsia="Times New Roman" w:hAnsi="Times New Roman" w:cs="Times New Roman"/>
          <w:color w:val="0F1115"/>
          <w:kern w:val="0"/>
          <w:lang w:eastAsia="en-MY"/>
          <w14:ligatures w14:val="none"/>
        </w:rPr>
        <w:t>scholars' conceptualizations of</w:t>
      </w:r>
      <w:r w:rsidRPr="006E2F01">
        <w:rPr>
          <w:rFonts w:ascii="Times New Roman" w:eastAsia="Times New Roman" w:hAnsi="Times New Roman" w:cs="Times New Roman"/>
          <w:color w:val="0F1115"/>
          <w:kern w:val="0"/>
          <w:lang w:eastAsia="en-MY"/>
          <w14:ligatures w14:val="none"/>
        </w:rPr>
        <w:t xml:space="preserve"> AI's organizational actorhood and proposes a testable conceptual framework. Four key themes emerge: (1) AI as an institutional actor subject to and generative of institutional pressures; (2) AI as an economic agent with principal-agent dynamics; (3) AI as a socio-material ensemble co-constituting organizational realities; and (4) AI's evolving autonomy from tool to quasi-autonomous actor. The review reveals that</w:t>
      </w:r>
      <w:r w:rsidR="006E2F01" w:rsidRPr="006E2F01">
        <w:rPr>
          <w:rFonts w:ascii="Times New Roman" w:eastAsia="Times New Roman" w:hAnsi="Times New Roman" w:cs="Times New Roman"/>
          <w:color w:val="0F1115"/>
          <w:kern w:val="0"/>
          <w:lang w:eastAsia="en-MY"/>
          <w14:ligatures w14:val="none"/>
        </w:rPr>
        <w:t>, while AI is increasingly theorized to possess</w:t>
      </w:r>
      <w:r w:rsidRPr="006E2F01">
        <w:rPr>
          <w:rFonts w:ascii="Times New Roman" w:eastAsia="Times New Roman" w:hAnsi="Times New Roman" w:cs="Times New Roman"/>
          <w:color w:val="0F1115"/>
          <w:kern w:val="0"/>
          <w:lang w:eastAsia="en-MY"/>
          <w14:ligatures w14:val="none"/>
        </w:rPr>
        <w:t xml:space="preserve"> agentic qualities, conceptualizations remain fragmented across theoretical silos. This review contributes a multi-dimensional framework for theorizing AI organizational actorhood that integrates institutional, economic, and socio-material perspectives. It identifies five antecedents, three moderators, three mediators, and four control variables that collectively shape </w:t>
      </w:r>
      <w:r w:rsidR="00C85BDB">
        <w:rPr>
          <w:rFonts w:ascii="Times New Roman" w:eastAsia="Times New Roman" w:hAnsi="Times New Roman" w:cs="Times New Roman"/>
          <w:color w:val="0F1115"/>
          <w:kern w:val="0"/>
          <w:lang w:eastAsia="en-MY"/>
          <w14:ligatures w14:val="none"/>
        </w:rPr>
        <w:t xml:space="preserve">the emergence of AI </w:t>
      </w:r>
      <w:r w:rsidRPr="006E2F01">
        <w:rPr>
          <w:rFonts w:ascii="Times New Roman" w:eastAsia="Times New Roman" w:hAnsi="Times New Roman" w:cs="Times New Roman"/>
          <w:color w:val="0F1115"/>
          <w:kern w:val="0"/>
          <w:lang w:eastAsia="en-MY"/>
          <w14:ligatures w14:val="none"/>
        </w:rPr>
        <w:t>as an organizational actor. For managers and policymakers, recognizing AI as an organizational actor with emergent agency necessitates rethinking governance mechanisms, accountability structures, and legitimacy strategies. This is the first narrative review to propose a comprehensive, testable conceptual framework for AI organizational actorhood, synthesizing diverse theoretical traditions to advance a coherent research agenda.</w:t>
      </w:r>
    </w:p>
    <w:p w14:paraId="046395DA" w14:textId="08AE52C3" w:rsidR="008E778C" w:rsidRPr="006E2F01" w:rsidRDefault="008E778C" w:rsidP="005E30CC">
      <w:pPr>
        <w:shd w:val="clear" w:color="auto" w:fill="FFFFFF"/>
        <w:spacing w:before="240" w:after="240" w:line="240" w:lineRule="auto"/>
        <w:jc w:val="both"/>
        <w:rPr>
          <w:rFonts w:ascii="Times New Roman" w:eastAsia="Times New Roman" w:hAnsi="Times New Roman" w:cs="Times New Roman"/>
          <w:color w:val="0F1115"/>
          <w:kern w:val="0"/>
          <w:lang w:eastAsia="en-MY"/>
          <w14:ligatures w14:val="none"/>
        </w:rPr>
      </w:pPr>
      <w:r w:rsidRPr="00874285">
        <w:rPr>
          <w:rFonts w:ascii="Times New Roman" w:eastAsia="Times New Roman" w:hAnsi="Times New Roman" w:cs="Times New Roman"/>
          <w:b/>
          <w:bCs/>
          <w:color w:val="0F1115"/>
          <w:kern w:val="0"/>
          <w:lang w:eastAsia="en-MY"/>
          <w14:ligatures w14:val="none"/>
        </w:rPr>
        <w:t>Keywords</w:t>
      </w:r>
      <w:r w:rsidRPr="006E2F01">
        <w:rPr>
          <w:rFonts w:ascii="Times New Roman" w:eastAsia="Times New Roman" w:hAnsi="Times New Roman" w:cs="Times New Roman"/>
          <w:color w:val="0F1115"/>
          <w:kern w:val="0"/>
          <w:lang w:eastAsia="en-MY"/>
          <w14:ligatures w14:val="none"/>
        </w:rPr>
        <w:t>: Artificial intelligence, organizational actor</w:t>
      </w:r>
      <w:r w:rsidR="006E2F01" w:rsidRPr="006E2F01">
        <w:rPr>
          <w:rFonts w:ascii="Times New Roman" w:eastAsia="Times New Roman" w:hAnsi="Times New Roman" w:cs="Times New Roman"/>
          <w:color w:val="0F1115"/>
          <w:kern w:val="0"/>
          <w:lang w:eastAsia="en-MY"/>
          <w14:ligatures w14:val="none"/>
        </w:rPr>
        <w:t>hood</w:t>
      </w:r>
      <w:r w:rsidRPr="006E2F01">
        <w:rPr>
          <w:rFonts w:ascii="Times New Roman" w:eastAsia="Times New Roman" w:hAnsi="Times New Roman" w:cs="Times New Roman"/>
          <w:color w:val="0F1115"/>
          <w:kern w:val="0"/>
          <w:lang w:eastAsia="en-MY"/>
          <w14:ligatures w14:val="none"/>
        </w:rPr>
        <w:t>, agency</w:t>
      </w:r>
      <w:r w:rsidR="006E2F01" w:rsidRPr="006E2F01">
        <w:rPr>
          <w:rFonts w:ascii="Times New Roman" w:eastAsia="Times New Roman" w:hAnsi="Times New Roman" w:cs="Times New Roman"/>
          <w:color w:val="0F1115"/>
          <w:kern w:val="0"/>
          <w:lang w:eastAsia="en-MY"/>
          <w14:ligatures w14:val="none"/>
        </w:rPr>
        <w:t xml:space="preserve"> theory</w:t>
      </w:r>
      <w:r w:rsidRPr="006E2F01">
        <w:rPr>
          <w:rFonts w:ascii="Times New Roman" w:eastAsia="Times New Roman" w:hAnsi="Times New Roman" w:cs="Times New Roman"/>
          <w:color w:val="0F1115"/>
          <w:kern w:val="0"/>
          <w:lang w:eastAsia="en-MY"/>
          <w14:ligatures w14:val="none"/>
        </w:rPr>
        <w:t>, institutional theory, narrative review</w:t>
      </w:r>
    </w:p>
    <w:p w14:paraId="59CC4F63" w14:textId="49DF082F"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 xml:space="preserve">1. </w:t>
      </w:r>
      <w:r w:rsidR="00C85BDB">
        <w:rPr>
          <w:rFonts w:ascii="Times New Roman" w:eastAsia="Times New Roman" w:hAnsi="Times New Roman" w:cs="Times New Roman"/>
          <w:b/>
          <w:bCs/>
          <w:color w:val="0F1115"/>
          <w:kern w:val="0"/>
          <w:sz w:val="28"/>
          <w:szCs w:val="28"/>
          <w:lang w:eastAsia="en-MY"/>
          <w14:ligatures w14:val="none"/>
        </w:rPr>
        <w:t>INTRODUCTION</w:t>
      </w:r>
    </w:p>
    <w:p w14:paraId="0E0E6B0D"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1.1 Background</w:t>
      </w:r>
    </w:p>
    <w:p w14:paraId="5A2D7C48" w14:textId="3FA31D88"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A</w:t>
      </w:r>
      <w:r w:rsidR="006E2F01" w:rsidRPr="00500D1E">
        <w:rPr>
          <w:rFonts w:ascii="Times New Roman" w:eastAsia="Times New Roman" w:hAnsi="Times New Roman" w:cs="Times New Roman"/>
          <w:kern w:val="0"/>
          <w:lang w:eastAsia="en-MY"/>
          <w14:ligatures w14:val="none"/>
        </w:rPr>
        <w:t>I</w:t>
      </w:r>
      <w:r w:rsidRPr="00500D1E">
        <w:rPr>
          <w:rFonts w:ascii="Times New Roman" w:eastAsia="Times New Roman" w:hAnsi="Times New Roman" w:cs="Times New Roman"/>
          <w:kern w:val="0"/>
          <w:lang w:eastAsia="en-MY"/>
          <w14:ligatures w14:val="none"/>
        </w:rPr>
        <w:t xml:space="preserve"> has transitioned from a back-office automation tool to a visible, consequential presence in organizational life. Contemporary organizations deploy AI not merely as passive technology but as systems that make decisions, learn from outcomes, interact with humans, and increasingly shape organizational strategies and structures (</w:t>
      </w:r>
      <w:r w:rsidR="006E2F01" w:rsidRPr="00500D1E">
        <w:rPr>
          <w:rFonts w:ascii="Times New Roman" w:eastAsia="Times New Roman" w:hAnsi="Times New Roman" w:cs="Times New Roman"/>
          <w:kern w:val="0"/>
          <w:lang w:eastAsia="en-MY"/>
          <w14:ligatures w14:val="none"/>
        </w:rPr>
        <w:t>V</w:t>
      </w:r>
      <w:r w:rsidRPr="00500D1E">
        <w:rPr>
          <w:rFonts w:ascii="Times New Roman" w:eastAsia="Times New Roman" w:hAnsi="Times New Roman" w:cs="Times New Roman"/>
          <w:kern w:val="0"/>
          <w:lang w:eastAsia="en-MY"/>
          <w14:ligatures w14:val="none"/>
        </w:rPr>
        <w:t>an Rijmenam &amp; Logue, 2021). The proliferation of generative AI, algorithmic management systems, and autonomous agents has rendered obsolete the traditional view of technology as exogenous to organizations (Phillips, 2026).</w:t>
      </w:r>
    </w:p>
    <w:p w14:paraId="1E05B697" w14:textId="47B49CE9"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This technological transformation coincides with growing scholarly recognition that existing organizational theories</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developed in an era of human-centric organizing</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may be ill-equipped </w:t>
      </w:r>
      <w:r w:rsidRPr="00500D1E">
        <w:rPr>
          <w:rFonts w:ascii="Times New Roman" w:eastAsia="Times New Roman" w:hAnsi="Times New Roman" w:cs="Times New Roman"/>
          <w:kern w:val="0"/>
          <w:lang w:eastAsia="en-MY"/>
          <w14:ligatures w14:val="none"/>
        </w:rPr>
        <w:lastRenderedPageBreak/>
        <w:t xml:space="preserve">to conceptualize AI's role. As Leavitt et al. (2021) observe, "rapid advancements in machine learning" present "epistemological opportunities... for promoting organizational theory." Yet the theoretical integration of AI into </w:t>
      </w:r>
      <w:r w:rsidR="006E2F01" w:rsidRPr="00500D1E">
        <w:rPr>
          <w:rFonts w:ascii="Times New Roman" w:eastAsia="Times New Roman" w:hAnsi="Times New Roman" w:cs="Times New Roman"/>
          <w:kern w:val="0"/>
          <w:lang w:eastAsia="en-MY"/>
          <w14:ligatures w14:val="none"/>
        </w:rPr>
        <w:t>organizational</w:t>
      </w:r>
      <w:r w:rsidRPr="00500D1E">
        <w:rPr>
          <w:rFonts w:ascii="Times New Roman" w:eastAsia="Times New Roman" w:hAnsi="Times New Roman" w:cs="Times New Roman"/>
          <w:kern w:val="0"/>
          <w:lang w:eastAsia="en-MY"/>
          <w14:ligatures w14:val="none"/>
        </w:rPr>
        <w:t xml:space="preserve"> studies remains incipient and fragmented.</w:t>
      </w:r>
    </w:p>
    <w:p w14:paraId="5C3A8FED"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1.2 Statement of the Problem</w:t>
      </w:r>
    </w:p>
    <w:p w14:paraId="4DB06577" w14:textId="7E17476A"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Despite accelerating AI adoption across industries, </w:t>
      </w:r>
      <w:r w:rsidR="006E2F01" w:rsidRPr="00500D1E">
        <w:rPr>
          <w:rFonts w:ascii="Times New Roman" w:eastAsia="Times New Roman" w:hAnsi="Times New Roman" w:cs="Times New Roman"/>
          <w:kern w:val="0"/>
          <w:lang w:eastAsia="en-MY"/>
          <w14:ligatures w14:val="none"/>
        </w:rPr>
        <w:t>organizational</w:t>
      </w:r>
      <w:r w:rsidRPr="00500D1E">
        <w:rPr>
          <w:rFonts w:ascii="Times New Roman" w:eastAsia="Times New Roman" w:hAnsi="Times New Roman" w:cs="Times New Roman"/>
          <w:kern w:val="0"/>
          <w:lang w:eastAsia="en-MY"/>
          <w14:ligatures w14:val="none"/>
        </w:rPr>
        <w:t xml:space="preserve"> theory lacks a coherent framework for understanding AI as an organizational actor. Three interrelated problems motivate this review. First, theoretical treatments of AI are scattered across disparate traditions</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institutional theory, agency theory, sociomateriality, </w:t>
      </w:r>
      <w:r w:rsidR="006E2F01" w:rsidRPr="00500D1E">
        <w:rPr>
          <w:rFonts w:ascii="Times New Roman" w:eastAsia="Times New Roman" w:hAnsi="Times New Roman" w:cs="Times New Roman"/>
          <w:kern w:val="0"/>
          <w:lang w:eastAsia="en-MY"/>
          <w14:ligatures w14:val="none"/>
        </w:rPr>
        <w:t xml:space="preserve">and </w:t>
      </w:r>
      <w:r w:rsidRPr="00500D1E">
        <w:rPr>
          <w:rFonts w:ascii="Times New Roman" w:eastAsia="Times New Roman" w:hAnsi="Times New Roman" w:cs="Times New Roman"/>
          <w:kern w:val="0"/>
          <w:lang w:eastAsia="en-MY"/>
          <w14:ligatures w14:val="none"/>
        </w:rPr>
        <w:t>practice theory</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with limited cross-fertilization (Dubey et al., 2024). Second, much research treats AI as an external variable or tool rather than </w:t>
      </w:r>
      <w:r w:rsidR="006E2F01" w:rsidRPr="00500D1E">
        <w:rPr>
          <w:rFonts w:ascii="Times New Roman" w:eastAsia="Times New Roman" w:hAnsi="Times New Roman" w:cs="Times New Roman"/>
          <w:kern w:val="0"/>
          <w:lang w:eastAsia="en-MY"/>
          <w14:ligatures w14:val="none"/>
        </w:rPr>
        <w:t>as an agentic entity, potentially overlooking</w:t>
      </w:r>
      <w:r w:rsidRPr="00500D1E">
        <w:rPr>
          <w:rFonts w:ascii="Times New Roman" w:eastAsia="Times New Roman" w:hAnsi="Times New Roman" w:cs="Times New Roman"/>
          <w:kern w:val="0"/>
          <w:lang w:eastAsia="en-MY"/>
          <w14:ligatures w14:val="none"/>
        </w:rPr>
        <w:t xml:space="preserve"> </w:t>
      </w:r>
      <w:r w:rsidR="00DF0DB9" w:rsidRPr="00500D1E">
        <w:rPr>
          <w:rFonts w:ascii="Times New Roman" w:eastAsia="Times New Roman" w:hAnsi="Times New Roman" w:cs="Times New Roman"/>
          <w:kern w:val="0"/>
          <w:lang w:eastAsia="en-MY"/>
          <w14:ligatures w14:val="none"/>
        </w:rPr>
        <w:t>the ways in which</w:t>
      </w:r>
      <w:r w:rsidRPr="00500D1E">
        <w:rPr>
          <w:rFonts w:ascii="Times New Roman" w:eastAsia="Times New Roman" w:hAnsi="Times New Roman" w:cs="Times New Roman"/>
          <w:kern w:val="0"/>
          <w:lang w:eastAsia="en-MY"/>
          <w14:ligatures w14:val="none"/>
        </w:rPr>
        <w:t xml:space="preserve"> AI actively constitutes organizational processes (Humberd &amp; Latham, 2026). Third, the rapid evolution of AI capabilities</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from rule-based systems to generative and agentic AI</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outpaces theoretical development, creating a widening gap between organizational practice and scholarly understanding (Phillips, 2026).</w:t>
      </w:r>
    </w:p>
    <w:p w14:paraId="0331756E"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central question guiding this review is: How is artificial intelligence theorized as an organizational actor within contemporary management and organization studies, and what antecedent, mediating, and moderating conditions shape its emergence as such?</w:t>
      </w:r>
    </w:p>
    <w:p w14:paraId="1B729F5B"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1.3 Objectives</w:t>
      </w:r>
    </w:p>
    <w:p w14:paraId="175827DA" w14:textId="77777777" w:rsidR="008E778C" w:rsidRPr="006E2F01" w:rsidRDefault="008E778C" w:rsidP="005E30CC">
      <w:pPr>
        <w:shd w:val="clear" w:color="auto" w:fill="FFFFFF"/>
        <w:spacing w:before="240" w:after="240" w:line="240" w:lineRule="auto"/>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This narrative review aims to:</w:t>
      </w:r>
    </w:p>
    <w:p w14:paraId="2BFD8CBF" w14:textId="77777777" w:rsidR="008E778C" w:rsidRPr="006E2F01" w:rsidRDefault="008E778C" w:rsidP="007E6A9E">
      <w:pPr>
        <w:numPr>
          <w:ilvl w:val="0"/>
          <w:numId w:val="1"/>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Synthesize extant theoretical perspectives on AI's role, agency, and actorhood in organizations</w:t>
      </w:r>
    </w:p>
    <w:p w14:paraId="390D37DB" w14:textId="77777777" w:rsidR="008E778C" w:rsidRPr="006E2F01" w:rsidRDefault="008E778C" w:rsidP="007E6A9E">
      <w:pPr>
        <w:numPr>
          <w:ilvl w:val="0"/>
          <w:numId w:val="1"/>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Identify the key antecedents that drive AI's emergence as an organizational actor</w:t>
      </w:r>
    </w:p>
    <w:p w14:paraId="4B249670" w14:textId="77777777" w:rsidR="008E778C" w:rsidRPr="006E2F01" w:rsidRDefault="008E778C" w:rsidP="007E6A9E">
      <w:pPr>
        <w:numPr>
          <w:ilvl w:val="0"/>
          <w:numId w:val="1"/>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Uncover the mediating mechanisms through which these antecedents exert their effects</w:t>
      </w:r>
    </w:p>
    <w:p w14:paraId="55AC2446" w14:textId="77777777" w:rsidR="008E778C" w:rsidRPr="006E2F01" w:rsidRDefault="008E778C" w:rsidP="007E6A9E">
      <w:pPr>
        <w:numPr>
          <w:ilvl w:val="0"/>
          <w:numId w:val="1"/>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Examine the contextual conditions that moderate these relationships</w:t>
      </w:r>
    </w:p>
    <w:p w14:paraId="47F86640" w14:textId="77777777" w:rsidR="008E778C" w:rsidRPr="006E2F01" w:rsidRDefault="008E778C" w:rsidP="007E6A9E">
      <w:pPr>
        <w:numPr>
          <w:ilvl w:val="0"/>
          <w:numId w:val="1"/>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Develop an integrated, testable conceptual framework for future empirical research</w:t>
      </w:r>
    </w:p>
    <w:p w14:paraId="1F777068"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1.4 Scope and Delimitation</w:t>
      </w:r>
    </w:p>
    <w:p w14:paraId="44200060" w14:textId="77777777" w:rsidR="008E778C" w:rsidRPr="006E2F01" w:rsidRDefault="008E778C" w:rsidP="005E30CC">
      <w:pPr>
        <w:shd w:val="clear" w:color="auto" w:fill="FFFFFF"/>
        <w:spacing w:before="240" w:after="240" w:line="240" w:lineRule="auto"/>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The review focuses on peer-reviewed journal articles in management, business, and accounting disciplines published between 2020 and 2026. This timeframe captures scholarship responding to recent advances in generative and agentic AI while building on foundational work. The review is confined to theoretical and conceptual articles, as well as empirical studies with significant theoretical contributions, that explicitly or implicitly address AI's organizational role.</w:t>
      </w:r>
    </w:p>
    <w:p w14:paraId="1C54474F" w14:textId="1C1A6A1A"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2. R</w:t>
      </w:r>
      <w:r w:rsidR="00C85BDB">
        <w:rPr>
          <w:rFonts w:ascii="Times New Roman" w:eastAsia="Times New Roman" w:hAnsi="Times New Roman" w:cs="Times New Roman"/>
          <w:b/>
          <w:bCs/>
          <w:color w:val="0F1115"/>
          <w:kern w:val="0"/>
          <w:sz w:val="28"/>
          <w:szCs w:val="28"/>
          <w:lang w:eastAsia="en-MY"/>
          <w14:ligatures w14:val="none"/>
        </w:rPr>
        <w:t>EVIEW</w:t>
      </w:r>
      <w:r w:rsidRPr="006E2F01">
        <w:rPr>
          <w:rFonts w:ascii="Times New Roman" w:eastAsia="Times New Roman" w:hAnsi="Times New Roman" w:cs="Times New Roman"/>
          <w:b/>
          <w:bCs/>
          <w:color w:val="0F1115"/>
          <w:kern w:val="0"/>
          <w:sz w:val="28"/>
          <w:szCs w:val="28"/>
          <w:lang w:eastAsia="en-MY"/>
          <w14:ligatures w14:val="none"/>
        </w:rPr>
        <w:t xml:space="preserve"> </w:t>
      </w:r>
      <w:r w:rsidR="00C85BDB">
        <w:rPr>
          <w:rFonts w:ascii="Times New Roman" w:eastAsia="Times New Roman" w:hAnsi="Times New Roman" w:cs="Times New Roman"/>
          <w:b/>
          <w:bCs/>
          <w:color w:val="0F1115"/>
          <w:kern w:val="0"/>
          <w:sz w:val="28"/>
          <w:szCs w:val="28"/>
          <w:lang w:eastAsia="en-MY"/>
          <w14:ligatures w14:val="none"/>
        </w:rPr>
        <w:t>OF</w:t>
      </w:r>
      <w:r w:rsidRPr="006E2F01">
        <w:rPr>
          <w:rFonts w:ascii="Times New Roman" w:eastAsia="Times New Roman" w:hAnsi="Times New Roman" w:cs="Times New Roman"/>
          <w:b/>
          <w:bCs/>
          <w:color w:val="0F1115"/>
          <w:kern w:val="0"/>
          <w:sz w:val="28"/>
          <w:szCs w:val="28"/>
          <w:lang w:eastAsia="en-MY"/>
          <w14:ligatures w14:val="none"/>
        </w:rPr>
        <w:t xml:space="preserve"> R</w:t>
      </w:r>
      <w:r w:rsidR="00C85BDB">
        <w:rPr>
          <w:rFonts w:ascii="Times New Roman" w:eastAsia="Times New Roman" w:hAnsi="Times New Roman" w:cs="Times New Roman"/>
          <w:b/>
          <w:bCs/>
          <w:color w:val="0F1115"/>
          <w:kern w:val="0"/>
          <w:sz w:val="28"/>
          <w:szCs w:val="28"/>
          <w:lang w:eastAsia="en-MY"/>
          <w14:ligatures w14:val="none"/>
        </w:rPr>
        <w:t>ELATED</w:t>
      </w:r>
      <w:r w:rsidRPr="006E2F01">
        <w:rPr>
          <w:rFonts w:ascii="Times New Roman" w:eastAsia="Times New Roman" w:hAnsi="Times New Roman" w:cs="Times New Roman"/>
          <w:b/>
          <w:bCs/>
          <w:color w:val="0F1115"/>
          <w:kern w:val="0"/>
          <w:sz w:val="28"/>
          <w:szCs w:val="28"/>
          <w:lang w:eastAsia="en-MY"/>
          <w14:ligatures w14:val="none"/>
        </w:rPr>
        <w:t xml:space="preserve"> L</w:t>
      </w:r>
      <w:r w:rsidR="00C85BDB">
        <w:rPr>
          <w:rFonts w:ascii="Times New Roman" w:eastAsia="Times New Roman" w:hAnsi="Times New Roman" w:cs="Times New Roman"/>
          <w:b/>
          <w:bCs/>
          <w:color w:val="0F1115"/>
          <w:kern w:val="0"/>
          <w:sz w:val="28"/>
          <w:szCs w:val="28"/>
          <w:lang w:eastAsia="en-MY"/>
          <w14:ligatures w14:val="none"/>
        </w:rPr>
        <w:t>ITERATURE</w:t>
      </w:r>
    </w:p>
    <w:p w14:paraId="68406D26"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2.1 Theoretical Foundations of Organizational Actorhood</w:t>
      </w:r>
    </w:p>
    <w:p w14:paraId="0AA847A4"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The concept of organizational actorhood has deep roots in organization theory. Traditional perspectives conceptualize actors as human individuals or legally constituted entities (firms, </w:t>
      </w:r>
      <w:r w:rsidRPr="00500D1E">
        <w:rPr>
          <w:rFonts w:ascii="Times New Roman" w:eastAsia="Times New Roman" w:hAnsi="Times New Roman" w:cs="Times New Roman"/>
          <w:kern w:val="0"/>
          <w:lang w:eastAsia="en-MY"/>
          <w14:ligatures w14:val="none"/>
        </w:rPr>
        <w:lastRenderedPageBreak/>
        <w:t>governments) capable of intentional action, bearing rights and responsibilities. Institutional theory, particularly its sociological variant, extends actorhood to collective entities that possess legitimacy, exhibit agency, and respond to institutional pressures (DiMaggio &amp; Powell, 1983). However, this tradition has remained largely anthropocentric, assuming actors possess consciousness, intentionality, and reflexivity.</w:t>
      </w:r>
    </w:p>
    <w:p w14:paraId="74D10337" w14:textId="3B6FD73D"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Agency theory offers another foundational perspective, conceptualizing the principal-agent relationship as fundamental to organizational governance (Jensen &amp; Meckling, 1976). The agent</w:t>
      </w:r>
      <w:r w:rsidR="00921D0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typically a human manager</w:t>
      </w:r>
      <w:r w:rsidR="00921D0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acts on behalf of the principal, creating dynamics of information asymmetry, moral hazard, and incentive alignment. This framework presupposes an agent capable of exercising discretion and responding to incentives.</w:t>
      </w:r>
    </w:p>
    <w:p w14:paraId="11754E5E"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Sociomateriality challenges the separation of social and material realms, arguing that organizing emerges through the constitutive entanglement of humans and technologies (Orlikowski, 2007). From this perspective, agency is not a property of discrete entities but an effect of socio-material assemblages. This tradition provides conceptual resources for theorizing non-human agency while avoiding technological determinism.</w:t>
      </w:r>
    </w:p>
    <w:p w14:paraId="5C4C2983"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2.2 Artificial Intelligence and Organization Theory</w:t>
      </w:r>
    </w:p>
    <w:p w14:paraId="70E17DB9"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intersection of AI and organization theory has generated growing scholarly attention. Rudko et al. (2025) introduce new institutionalism as a framework for understanding AI's organizational significance, arguing that AI is simultaneously "the product of institutional forces and... an institutional force in its own right." This dual character positions AI as both constituted by and constitutive of organizational fields.</w:t>
      </w:r>
    </w:p>
    <w:p w14:paraId="15A11B12" w14:textId="6168F677" w:rsidR="008E778C" w:rsidRPr="00500D1E" w:rsidRDefault="006E2F01"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V</w:t>
      </w:r>
      <w:r w:rsidR="008E778C" w:rsidRPr="00500D1E">
        <w:rPr>
          <w:rFonts w:ascii="Times New Roman" w:eastAsia="Times New Roman" w:hAnsi="Times New Roman" w:cs="Times New Roman"/>
          <w:kern w:val="0"/>
          <w:lang w:eastAsia="en-MY"/>
          <w14:ligatures w14:val="none"/>
        </w:rPr>
        <w:t>an Rijmenam and Logue (2021) directly confront questions of AI agency and actorhood, arguing that "AI agency and the rise of the artificially intelligent agent are both fundamentally different and yet increasingly similar to human agency in terms of intentionality and reflexivity." They contend that as "Child AI"</w:t>
      </w:r>
      <w:r w:rsidR="00921D09" w:rsidRPr="00500D1E">
        <w:rPr>
          <w:rFonts w:ascii="Times New Roman" w:eastAsia="Times New Roman" w:hAnsi="Times New Roman" w:cs="Times New Roman"/>
          <w:kern w:val="0"/>
          <w:lang w:eastAsia="en-MY"/>
          <w14:ligatures w14:val="none"/>
        </w:rPr>
        <w:t xml:space="preserve"> </w:t>
      </w:r>
      <w:r w:rsidR="008E778C" w:rsidRPr="00500D1E">
        <w:rPr>
          <w:rFonts w:ascii="Times New Roman" w:eastAsia="Times New Roman" w:hAnsi="Times New Roman" w:cs="Times New Roman"/>
          <w:kern w:val="0"/>
          <w:lang w:eastAsia="en-MY"/>
          <w14:ligatures w14:val="none"/>
        </w:rPr>
        <w:t>AI created by other AI</w:t>
      </w:r>
      <w:r w:rsidR="00921D09" w:rsidRPr="00500D1E">
        <w:rPr>
          <w:rFonts w:ascii="Times New Roman" w:eastAsia="Times New Roman" w:hAnsi="Times New Roman" w:cs="Times New Roman"/>
          <w:kern w:val="0"/>
          <w:lang w:eastAsia="en-MY"/>
          <w14:ligatures w14:val="none"/>
        </w:rPr>
        <w:t xml:space="preserve">, </w:t>
      </w:r>
      <w:r w:rsidR="008E778C" w:rsidRPr="00500D1E">
        <w:rPr>
          <w:rFonts w:ascii="Times New Roman" w:eastAsia="Times New Roman" w:hAnsi="Times New Roman" w:cs="Times New Roman"/>
          <w:kern w:val="0"/>
          <w:lang w:eastAsia="en-MY"/>
          <w14:ligatures w14:val="none"/>
        </w:rPr>
        <w:t>emerges, human design becomes increasingly distant, amplifying AI's autonomous qualities.</w:t>
      </w:r>
    </w:p>
    <w:p w14:paraId="60983490" w14:textId="06EB5511"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Humberd and Latham (2026) draw parallels between AI's integration into </w:t>
      </w:r>
      <w:r w:rsidR="00921D09" w:rsidRPr="00500D1E">
        <w:rPr>
          <w:rFonts w:ascii="Times New Roman" w:eastAsia="Times New Roman" w:hAnsi="Times New Roman" w:cs="Times New Roman"/>
          <w:kern w:val="0"/>
          <w:lang w:eastAsia="en-MY"/>
          <w14:ligatures w14:val="none"/>
        </w:rPr>
        <w:t>firms' decision-making and the emergence of the professional manager that prompted the birth of agency theory</w:t>
      </w:r>
      <w:r w:rsidRPr="00500D1E">
        <w:rPr>
          <w:rFonts w:ascii="Times New Roman" w:eastAsia="Times New Roman" w:hAnsi="Times New Roman" w:cs="Times New Roman"/>
          <w:kern w:val="0"/>
          <w:lang w:eastAsia="en-MY"/>
          <w14:ligatures w14:val="none"/>
        </w:rPr>
        <w:t>. They theorize "a point at which the AI system will achieve a level of autonomy and self-determination to be considered an agent of the firm," necessitating reconsideration of agency mechanisms for human-AI alignment.</w:t>
      </w:r>
    </w:p>
    <w:p w14:paraId="4A256CE7"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2.3 Theoretical Fragmentation and Integration Challenges</w:t>
      </w:r>
    </w:p>
    <w:p w14:paraId="18CFA5AC"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Despite these contributions, the literature exhibits significant fragmentation. Different theoretical traditions emphasize different aspects of AI's organizational role:</w:t>
      </w:r>
    </w:p>
    <w:p w14:paraId="71138376" w14:textId="77777777" w:rsidR="008E778C" w:rsidRPr="00500D1E" w:rsidRDefault="008E778C" w:rsidP="002C2632">
      <w:pPr>
        <w:numPr>
          <w:ilvl w:val="0"/>
          <w:numId w:val="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Institutional theory focuses on legitimacy, isomorphism, and institutional pressures shaping AI adoption (Rudko et al., 2025; Reis &amp; Pinheiro, 2025)</w:t>
      </w:r>
    </w:p>
    <w:p w14:paraId="14A726C1" w14:textId="77777777" w:rsidR="008E778C" w:rsidRPr="00500D1E" w:rsidRDefault="008E778C" w:rsidP="002C2632">
      <w:pPr>
        <w:numPr>
          <w:ilvl w:val="0"/>
          <w:numId w:val="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Agency theory addresses principal-agent dynamics, control, and alignment between AI agents and principals (Humberd &amp; Latham, 2026)</w:t>
      </w:r>
    </w:p>
    <w:p w14:paraId="6B866857" w14:textId="1A89DA7D" w:rsidR="008E778C" w:rsidRPr="00500D1E" w:rsidRDefault="008E778C" w:rsidP="002C2632">
      <w:pPr>
        <w:numPr>
          <w:ilvl w:val="0"/>
          <w:numId w:val="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Resource-based view examines AI as a capability and source of competitive advantage (</w:t>
      </w:r>
      <w:r w:rsidR="00921D09" w:rsidRPr="00500D1E">
        <w:rPr>
          <w:rFonts w:ascii="Times New Roman" w:eastAsia="Times New Roman" w:hAnsi="Times New Roman" w:cs="Times New Roman"/>
          <w:kern w:val="0"/>
          <w:lang w:eastAsia="en-MY"/>
          <w14:ligatures w14:val="none"/>
        </w:rPr>
        <w:t xml:space="preserve">Sposato &amp; Dittmar, 2026; </w:t>
      </w:r>
      <w:r w:rsidRPr="00500D1E">
        <w:rPr>
          <w:rFonts w:ascii="Times New Roman" w:eastAsia="Times New Roman" w:hAnsi="Times New Roman" w:cs="Times New Roman"/>
          <w:kern w:val="0"/>
          <w:lang w:eastAsia="en-MY"/>
          <w14:ligatures w14:val="none"/>
        </w:rPr>
        <w:t>Chatterjee et al., 2021)</w:t>
      </w:r>
    </w:p>
    <w:p w14:paraId="1E5DD495" w14:textId="664C25E5" w:rsidR="008E778C" w:rsidRPr="00500D1E" w:rsidRDefault="008E778C" w:rsidP="002C2632">
      <w:pPr>
        <w:numPr>
          <w:ilvl w:val="0"/>
          <w:numId w:val="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Sociomateriality explores the entanglement of humans and AI in practice (</w:t>
      </w:r>
      <w:r w:rsidR="00921D09" w:rsidRPr="00500D1E">
        <w:rPr>
          <w:rFonts w:ascii="Times New Roman" w:eastAsia="Times New Roman" w:hAnsi="Times New Roman" w:cs="Times New Roman"/>
          <w:kern w:val="0"/>
          <w:lang w:eastAsia="en-MY"/>
          <w14:ligatures w14:val="none"/>
        </w:rPr>
        <w:t>V</w:t>
      </w:r>
      <w:r w:rsidRPr="00500D1E">
        <w:rPr>
          <w:rFonts w:ascii="Times New Roman" w:eastAsia="Times New Roman" w:hAnsi="Times New Roman" w:cs="Times New Roman"/>
          <w:kern w:val="0"/>
          <w:lang w:eastAsia="en-MY"/>
          <w14:ligatures w14:val="none"/>
        </w:rPr>
        <w:t>an Rijmenam &amp; Logue, 2021)</w:t>
      </w:r>
    </w:p>
    <w:p w14:paraId="10B11F17"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This fragmentation, while reflecting theoretical pluralism, impedes cumulative theoretical development. As Phillips (2026) argues, mainstream organization theory scholars have "failed to include intelligent technologies in their theorizing," rendering the field's core "increasingly irrelevant" to contemporary organizing.</w:t>
      </w:r>
    </w:p>
    <w:p w14:paraId="5590A425" w14:textId="12072C5B"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3. T</w:t>
      </w:r>
      <w:r w:rsidR="00C85BDB">
        <w:rPr>
          <w:rFonts w:ascii="Times New Roman" w:eastAsia="Times New Roman" w:hAnsi="Times New Roman" w:cs="Times New Roman"/>
          <w:b/>
          <w:bCs/>
          <w:color w:val="0F1115"/>
          <w:kern w:val="0"/>
          <w:sz w:val="28"/>
          <w:szCs w:val="28"/>
          <w:lang w:eastAsia="en-MY"/>
          <w14:ligatures w14:val="none"/>
        </w:rPr>
        <w:t xml:space="preserve">HEORITICAL </w:t>
      </w:r>
      <w:r w:rsidRPr="006E2F01">
        <w:rPr>
          <w:rFonts w:ascii="Times New Roman" w:eastAsia="Times New Roman" w:hAnsi="Times New Roman" w:cs="Times New Roman"/>
          <w:b/>
          <w:bCs/>
          <w:color w:val="0F1115"/>
          <w:kern w:val="0"/>
          <w:sz w:val="28"/>
          <w:szCs w:val="28"/>
          <w:lang w:eastAsia="en-MY"/>
          <w14:ligatures w14:val="none"/>
        </w:rPr>
        <w:t>F</w:t>
      </w:r>
      <w:r w:rsidR="00C85BDB">
        <w:rPr>
          <w:rFonts w:ascii="Times New Roman" w:eastAsia="Times New Roman" w:hAnsi="Times New Roman" w:cs="Times New Roman"/>
          <w:b/>
          <w:bCs/>
          <w:color w:val="0F1115"/>
          <w:kern w:val="0"/>
          <w:sz w:val="28"/>
          <w:szCs w:val="28"/>
          <w:lang w:eastAsia="en-MY"/>
          <w14:ligatures w14:val="none"/>
        </w:rPr>
        <w:t>RAMEWORK</w:t>
      </w:r>
    </w:p>
    <w:p w14:paraId="28F6026C"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This review adopts a multi-paradigm theoretical framework that integrates three complementary perspectives on AI organizational actorhood:</w:t>
      </w:r>
    </w:p>
    <w:p w14:paraId="00C7C10E"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Institutional Theory provides tools for understanding how AI is shaped by and shapes institutional environments. Key concepts include institutional pressures (coercive, normative, mimetic) that drive AI adoption (Rana et al., 2024), legitimacy as both constraint and resource for AI systems (Schilke &amp; Reimann, 2025), and institutional logics that guide sensemaking about AI (Fang et al., 2023).</w:t>
      </w:r>
    </w:p>
    <w:p w14:paraId="0A45E512"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Agency Theory illuminates the governance challenges posed by AI agents. Building on Humberd and Latham's (2026) extension of agency theory to AI, this perspective addresses monitoring, incentive alignment, and the fundamental challenge of aligning AI agents' actions with principals' interests.</w:t>
      </w:r>
    </w:p>
    <w:p w14:paraId="367192BF" w14:textId="24F693AB"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Sociomateriality offers ontological resources for conceptualizing AI agency as emergent from human-technology assemblages. This perspective rejects both technological determinism and social constructivism, instead theorizing agency as distributed across networks of humans and technologies (</w:t>
      </w:r>
      <w:r w:rsidR="00921D09" w:rsidRPr="00500D1E">
        <w:rPr>
          <w:rFonts w:ascii="Times New Roman" w:eastAsia="Times New Roman" w:hAnsi="Times New Roman" w:cs="Times New Roman"/>
          <w:kern w:val="0"/>
          <w:lang w:eastAsia="en-MY"/>
          <w14:ligatures w14:val="none"/>
        </w:rPr>
        <w:t>V</w:t>
      </w:r>
      <w:r w:rsidRPr="00500D1E">
        <w:rPr>
          <w:rFonts w:ascii="Times New Roman" w:eastAsia="Times New Roman" w:hAnsi="Times New Roman" w:cs="Times New Roman"/>
          <w:kern w:val="0"/>
          <w:lang w:eastAsia="en-MY"/>
          <w14:ligatures w14:val="none"/>
        </w:rPr>
        <w:t>an Rijmenam &amp; Logue, 2021).</w:t>
      </w:r>
    </w:p>
    <w:p w14:paraId="2589BB6F" w14:textId="2D413690"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4. P</w:t>
      </w:r>
      <w:r w:rsidR="00C85BDB">
        <w:rPr>
          <w:rFonts w:ascii="Times New Roman" w:eastAsia="Times New Roman" w:hAnsi="Times New Roman" w:cs="Times New Roman"/>
          <w:b/>
          <w:bCs/>
          <w:color w:val="0F1115"/>
          <w:kern w:val="0"/>
          <w:sz w:val="28"/>
          <w:szCs w:val="28"/>
          <w:lang w:eastAsia="en-MY"/>
          <w14:ligatures w14:val="none"/>
        </w:rPr>
        <w:t>ROPOSED</w:t>
      </w:r>
      <w:r w:rsidRPr="006E2F01">
        <w:rPr>
          <w:rFonts w:ascii="Times New Roman" w:eastAsia="Times New Roman" w:hAnsi="Times New Roman" w:cs="Times New Roman"/>
          <w:b/>
          <w:bCs/>
          <w:color w:val="0F1115"/>
          <w:kern w:val="0"/>
          <w:sz w:val="28"/>
          <w:szCs w:val="28"/>
          <w:lang w:eastAsia="en-MY"/>
          <w14:ligatures w14:val="none"/>
        </w:rPr>
        <w:t xml:space="preserve"> C</w:t>
      </w:r>
      <w:r w:rsidR="00C85BDB">
        <w:rPr>
          <w:rFonts w:ascii="Times New Roman" w:eastAsia="Times New Roman" w:hAnsi="Times New Roman" w:cs="Times New Roman"/>
          <w:b/>
          <w:bCs/>
          <w:color w:val="0F1115"/>
          <w:kern w:val="0"/>
          <w:sz w:val="28"/>
          <w:szCs w:val="28"/>
          <w:lang w:eastAsia="en-MY"/>
          <w14:ligatures w14:val="none"/>
        </w:rPr>
        <w:t>ONCEPTUAL</w:t>
      </w:r>
      <w:r w:rsidRPr="006E2F01">
        <w:rPr>
          <w:rFonts w:ascii="Times New Roman" w:eastAsia="Times New Roman" w:hAnsi="Times New Roman" w:cs="Times New Roman"/>
          <w:b/>
          <w:bCs/>
          <w:color w:val="0F1115"/>
          <w:kern w:val="0"/>
          <w:sz w:val="28"/>
          <w:szCs w:val="28"/>
          <w:lang w:eastAsia="en-MY"/>
          <w14:ligatures w14:val="none"/>
        </w:rPr>
        <w:t xml:space="preserve"> F</w:t>
      </w:r>
      <w:r w:rsidR="00C85BDB">
        <w:rPr>
          <w:rFonts w:ascii="Times New Roman" w:eastAsia="Times New Roman" w:hAnsi="Times New Roman" w:cs="Times New Roman"/>
          <w:b/>
          <w:bCs/>
          <w:color w:val="0F1115"/>
          <w:kern w:val="0"/>
          <w:sz w:val="28"/>
          <w:szCs w:val="28"/>
          <w:lang w:eastAsia="en-MY"/>
          <w14:ligatures w14:val="none"/>
        </w:rPr>
        <w:t>RAMEWORK</w:t>
      </w:r>
    </w:p>
    <w:p w14:paraId="2FE86146" w14:textId="77777777" w:rsidR="008E778C" w:rsidRPr="006E2F01" w:rsidRDefault="008E778C" w:rsidP="00DD3ADE">
      <w:pPr>
        <w:shd w:val="clear" w:color="auto" w:fill="FFFFFF"/>
        <w:spacing w:after="240" w:line="240" w:lineRule="auto"/>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Synthesizing the reviewed literature, we propose a comprehensive conceptual framework that identifies the antecedents, mediators, moderators, and outcomes shaping AI organizational actorhood.</w:t>
      </w:r>
    </w:p>
    <w:p w14:paraId="00E88D01" w14:textId="53E332C7" w:rsidR="008E778C" w:rsidRPr="006E2F01" w:rsidRDefault="008E778C" w:rsidP="00DD3ADE">
      <w:pPr>
        <w:shd w:val="clear" w:color="auto" w:fill="FFFFFF"/>
        <w:spacing w:after="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4.1 Conceptual Framework Diagram</w:t>
      </w:r>
    </w:p>
    <w:p w14:paraId="2B03DEC1" w14:textId="77777777" w:rsidR="00DD3ADE" w:rsidRPr="006E2F01" w:rsidRDefault="00DD3ADE" w:rsidP="00DD3ADE">
      <w:pPr>
        <w:shd w:val="clear" w:color="auto" w:fill="FFFFFF"/>
        <w:spacing w:after="0" w:line="240" w:lineRule="auto"/>
        <w:jc w:val="both"/>
        <w:outlineLvl w:val="2"/>
        <w:rPr>
          <w:rFonts w:ascii="Times New Roman" w:eastAsia="Times New Roman" w:hAnsi="Times New Roman" w:cs="Times New Roman"/>
          <w:b/>
          <w:bCs/>
          <w:color w:val="0F1115"/>
          <w:kern w:val="0"/>
          <w:lang w:eastAsia="en-MY"/>
          <w14:ligatures w14:val="none"/>
        </w:rPr>
      </w:pPr>
    </w:p>
    <w:p w14:paraId="339ACCF2" w14:textId="228BC9A9" w:rsidR="00DD3ADE" w:rsidRPr="00874285" w:rsidRDefault="00DD3ADE" w:rsidP="00DD3ADE">
      <w:pPr>
        <w:shd w:val="clear" w:color="auto" w:fill="FFFFFF"/>
        <w:spacing w:after="0" w:line="240" w:lineRule="auto"/>
        <w:jc w:val="both"/>
        <w:outlineLvl w:val="2"/>
        <w:rPr>
          <w:rFonts w:ascii="Times New Roman" w:eastAsia="Times New Roman" w:hAnsi="Times New Roman" w:cs="Times New Roman"/>
          <w:color w:val="0F1115"/>
          <w:kern w:val="0"/>
          <w:lang w:eastAsia="en-MY"/>
          <w14:ligatures w14:val="none"/>
        </w:rPr>
      </w:pPr>
      <w:r w:rsidRPr="00874285">
        <w:rPr>
          <w:rFonts w:ascii="Times New Roman" w:eastAsia="Times New Roman" w:hAnsi="Times New Roman" w:cs="Times New Roman"/>
          <w:color w:val="0F1115"/>
          <w:kern w:val="0"/>
          <w:lang w:eastAsia="en-MY"/>
          <w14:ligatures w14:val="none"/>
        </w:rPr>
        <w:t xml:space="preserve">Figure 1: Conceptual framework of </w:t>
      </w:r>
      <w:r w:rsidR="00921D09" w:rsidRPr="00874285">
        <w:rPr>
          <w:rFonts w:ascii="Times New Roman" w:eastAsia="Times New Roman" w:hAnsi="Times New Roman" w:cs="Times New Roman"/>
          <w:color w:val="0F1115"/>
          <w:kern w:val="0"/>
          <w:lang w:eastAsia="en-MY"/>
          <w14:ligatures w14:val="none"/>
        </w:rPr>
        <w:t xml:space="preserve">the </w:t>
      </w:r>
      <w:r w:rsidRPr="00874285">
        <w:rPr>
          <w:rFonts w:ascii="Times New Roman" w:eastAsia="Times New Roman" w:hAnsi="Times New Roman" w:cs="Times New Roman"/>
          <w:color w:val="0F1115"/>
          <w:kern w:val="0"/>
          <w:lang w:eastAsia="en-MY"/>
          <w14:ligatures w14:val="none"/>
        </w:rPr>
        <w:t>AI organizational framework.</w:t>
      </w:r>
    </w:p>
    <w:p w14:paraId="5B900285" w14:textId="734F8C35" w:rsidR="005E30CC" w:rsidRPr="006E2F01" w:rsidRDefault="00DD3ADE" w:rsidP="00DD3ADE">
      <w:pPr>
        <w:shd w:val="clear" w:color="auto" w:fill="FFFFFF"/>
        <w:spacing w:before="480" w:after="240" w:line="240" w:lineRule="auto"/>
        <w:jc w:val="center"/>
        <w:outlineLvl w:val="2"/>
        <w:rPr>
          <w:rFonts w:ascii="Times New Roman" w:eastAsia="Times New Roman" w:hAnsi="Times New Roman" w:cs="Times New Roman"/>
          <w:color w:val="0F1115"/>
          <w:kern w:val="0"/>
          <w:lang w:eastAsia="en-MY"/>
          <w14:ligatures w14:val="none"/>
        </w:rPr>
      </w:pPr>
      <w:r w:rsidRPr="006E2F01">
        <w:rPr>
          <w:lang w:val="en-IN" w:eastAsia="en-IN"/>
        </w:rPr>
        <w:lastRenderedPageBreak/>
        <w:drawing>
          <wp:inline distT="0" distB="0" distL="0" distR="0" wp14:anchorId="4DC2B8B3" wp14:editId="42349726">
            <wp:extent cx="4904762" cy="4123809"/>
            <wp:effectExtent l="0" t="0" r="0" b="0"/>
            <wp:docPr id="767882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82487" name=""/>
                    <pic:cNvPicPr/>
                  </pic:nvPicPr>
                  <pic:blipFill>
                    <a:blip r:embed="rId6"/>
                    <a:stretch>
                      <a:fillRect/>
                    </a:stretch>
                  </pic:blipFill>
                  <pic:spPr>
                    <a:xfrm>
                      <a:off x="0" y="0"/>
                      <a:ext cx="4904762" cy="4123809"/>
                    </a:xfrm>
                    <a:prstGeom prst="rect">
                      <a:avLst/>
                    </a:prstGeom>
                  </pic:spPr>
                </pic:pic>
              </a:graphicData>
            </a:graphic>
          </wp:inline>
        </w:drawing>
      </w:r>
    </w:p>
    <w:p w14:paraId="397C4D76" w14:textId="2EC52101"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4.2 Summary of Variables</w:t>
      </w:r>
    </w:p>
    <w:p w14:paraId="70B48141" w14:textId="77777777" w:rsidR="008E778C" w:rsidRPr="006E2F01" w:rsidRDefault="008E778C" w:rsidP="005E30CC">
      <w:pPr>
        <w:shd w:val="clear" w:color="auto" w:fill="FFFFFF"/>
        <w:spacing w:before="240" w:after="240" w:line="240" w:lineRule="auto"/>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Table 1: Summary of Variables in the Proposed Conceptual Framework</w:t>
      </w:r>
    </w:p>
    <w:tbl>
      <w:tblPr>
        <w:tblW w:w="5000" w:type="pct"/>
        <w:tblCellMar>
          <w:top w:w="15" w:type="dxa"/>
          <w:left w:w="15" w:type="dxa"/>
          <w:bottom w:w="15" w:type="dxa"/>
          <w:right w:w="15" w:type="dxa"/>
        </w:tblCellMar>
        <w:tblLook w:val="04A0" w:firstRow="1" w:lastRow="0" w:firstColumn="1" w:lastColumn="0" w:noHBand="0" w:noVBand="1"/>
      </w:tblPr>
      <w:tblGrid>
        <w:gridCol w:w="1602"/>
        <w:gridCol w:w="2003"/>
        <w:gridCol w:w="3771"/>
        <w:gridCol w:w="1890"/>
      </w:tblGrid>
      <w:tr w:rsidR="008E778C" w:rsidRPr="006E2F01" w14:paraId="2F596422" w14:textId="77777777" w:rsidTr="006C7C02">
        <w:trPr>
          <w:tblHeader/>
        </w:trPr>
        <w:tc>
          <w:tcPr>
            <w:tcW w:w="864" w:type="pct"/>
            <w:tcBorders>
              <w:top w:val="single" w:sz="4" w:space="0" w:color="auto"/>
              <w:bottom w:val="single" w:sz="4" w:space="0" w:color="auto"/>
            </w:tcBorders>
            <w:tcMar>
              <w:top w:w="150" w:type="dxa"/>
              <w:left w:w="0" w:type="dxa"/>
              <w:bottom w:w="150" w:type="dxa"/>
              <w:right w:w="240" w:type="dxa"/>
            </w:tcMar>
            <w:hideMark/>
          </w:tcPr>
          <w:p w14:paraId="57CF8F33" w14:textId="77777777" w:rsidR="008E778C" w:rsidRPr="006E2F01" w:rsidRDefault="008E778C" w:rsidP="006C7C02">
            <w:pPr>
              <w:spacing w:after="0" w:line="240" w:lineRule="auto"/>
              <w:jc w:val="center"/>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Variable Type</w:t>
            </w:r>
          </w:p>
        </w:tc>
        <w:tc>
          <w:tcPr>
            <w:tcW w:w="1081" w:type="pct"/>
            <w:tcBorders>
              <w:top w:val="single" w:sz="4" w:space="0" w:color="auto"/>
              <w:bottom w:val="single" w:sz="4" w:space="0" w:color="auto"/>
            </w:tcBorders>
            <w:tcMar>
              <w:top w:w="150" w:type="dxa"/>
              <w:left w:w="240" w:type="dxa"/>
              <w:bottom w:w="150" w:type="dxa"/>
              <w:right w:w="240" w:type="dxa"/>
            </w:tcMar>
            <w:hideMark/>
          </w:tcPr>
          <w:p w14:paraId="50B589A4" w14:textId="77777777" w:rsidR="008E778C" w:rsidRPr="006E2F01" w:rsidRDefault="008E778C" w:rsidP="006C7C02">
            <w:pPr>
              <w:spacing w:after="0" w:line="240" w:lineRule="auto"/>
              <w:jc w:val="center"/>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Variable Name</w:t>
            </w:r>
          </w:p>
        </w:tc>
        <w:tc>
          <w:tcPr>
            <w:tcW w:w="2035" w:type="pct"/>
            <w:tcBorders>
              <w:top w:val="single" w:sz="4" w:space="0" w:color="auto"/>
              <w:bottom w:val="single" w:sz="4" w:space="0" w:color="auto"/>
            </w:tcBorders>
            <w:tcMar>
              <w:top w:w="150" w:type="dxa"/>
              <w:left w:w="240" w:type="dxa"/>
              <w:bottom w:w="150" w:type="dxa"/>
              <w:right w:w="240" w:type="dxa"/>
            </w:tcMar>
            <w:hideMark/>
          </w:tcPr>
          <w:p w14:paraId="5F6E4AEB" w14:textId="77777777" w:rsidR="008E778C" w:rsidRPr="006E2F01" w:rsidRDefault="008E778C" w:rsidP="006C7C02">
            <w:pPr>
              <w:spacing w:after="0" w:line="240" w:lineRule="auto"/>
              <w:jc w:val="center"/>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Definition/Measurement</w:t>
            </w:r>
          </w:p>
        </w:tc>
        <w:tc>
          <w:tcPr>
            <w:tcW w:w="1020" w:type="pct"/>
            <w:tcBorders>
              <w:top w:val="single" w:sz="4" w:space="0" w:color="auto"/>
              <w:bottom w:val="single" w:sz="4" w:space="0" w:color="auto"/>
            </w:tcBorders>
            <w:tcMar>
              <w:top w:w="150" w:type="dxa"/>
              <w:left w:w="240" w:type="dxa"/>
              <w:bottom w:w="150" w:type="dxa"/>
              <w:right w:w="240" w:type="dxa"/>
            </w:tcMar>
            <w:hideMark/>
          </w:tcPr>
          <w:p w14:paraId="253CFA41" w14:textId="77777777" w:rsidR="008E778C" w:rsidRPr="006E2F01" w:rsidRDefault="008E778C" w:rsidP="006C7C02">
            <w:pPr>
              <w:spacing w:after="0" w:line="240" w:lineRule="auto"/>
              <w:jc w:val="center"/>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Supporting Literature</w:t>
            </w:r>
          </w:p>
        </w:tc>
      </w:tr>
      <w:tr w:rsidR="008E778C" w:rsidRPr="006E2F01" w14:paraId="690F3709" w14:textId="77777777" w:rsidTr="00BE2EAB">
        <w:tc>
          <w:tcPr>
            <w:tcW w:w="864" w:type="pct"/>
            <w:tcBorders>
              <w:top w:val="single" w:sz="4" w:space="0" w:color="auto"/>
            </w:tcBorders>
            <w:tcMar>
              <w:top w:w="150" w:type="dxa"/>
              <w:left w:w="0" w:type="dxa"/>
              <w:bottom w:w="150" w:type="dxa"/>
              <w:right w:w="240" w:type="dxa"/>
            </w:tcMar>
            <w:hideMark/>
          </w:tcPr>
          <w:p w14:paraId="136341FF"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Dependent Variable</w:t>
            </w:r>
          </w:p>
        </w:tc>
        <w:tc>
          <w:tcPr>
            <w:tcW w:w="1081" w:type="pct"/>
            <w:tcBorders>
              <w:top w:val="single" w:sz="4" w:space="0" w:color="auto"/>
            </w:tcBorders>
            <w:tcMar>
              <w:top w:w="150" w:type="dxa"/>
              <w:left w:w="240" w:type="dxa"/>
              <w:bottom w:w="150" w:type="dxa"/>
              <w:right w:w="240" w:type="dxa"/>
            </w:tcMar>
            <w:hideMark/>
          </w:tcPr>
          <w:p w14:paraId="61E79EB7"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AI Organizational Actorhood</w:t>
            </w:r>
          </w:p>
        </w:tc>
        <w:tc>
          <w:tcPr>
            <w:tcW w:w="2035" w:type="pct"/>
            <w:tcBorders>
              <w:top w:val="single" w:sz="4" w:space="0" w:color="auto"/>
            </w:tcBorders>
            <w:tcMar>
              <w:top w:w="150" w:type="dxa"/>
              <w:left w:w="240" w:type="dxa"/>
              <w:bottom w:w="150" w:type="dxa"/>
              <w:right w:w="240" w:type="dxa"/>
            </w:tcMar>
            <w:hideMark/>
          </w:tcPr>
          <w:p w14:paraId="0DC0AC79" w14:textId="67C41742"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 xml:space="preserve">The extent to which AI is recognized as possessing agentic qualities within organizational contexts, measured through: (a) decision authority delegated to AI; (b) discretionary scope of AI actions; (c) perceived legitimacy of AI as </w:t>
            </w:r>
            <w:r w:rsidR="00921D09">
              <w:rPr>
                <w:rFonts w:ascii="Times New Roman" w:eastAsia="Times New Roman" w:hAnsi="Times New Roman" w:cs="Times New Roman"/>
                <w:kern w:val="0"/>
                <w:lang w:eastAsia="en-MY"/>
                <w14:ligatures w14:val="none"/>
              </w:rPr>
              <w:t xml:space="preserve">an </w:t>
            </w:r>
            <w:r w:rsidRPr="006E2F01">
              <w:rPr>
                <w:rFonts w:ascii="Times New Roman" w:eastAsia="Times New Roman" w:hAnsi="Times New Roman" w:cs="Times New Roman"/>
                <w:kern w:val="0"/>
                <w:lang w:eastAsia="en-MY"/>
                <w14:ligatures w14:val="none"/>
              </w:rPr>
              <w:t>organizational participant; (d) organizational embeddedness of AI systems; (e) autonomy level achieved</w:t>
            </w:r>
          </w:p>
        </w:tc>
        <w:tc>
          <w:tcPr>
            <w:tcW w:w="1020" w:type="pct"/>
            <w:tcBorders>
              <w:top w:val="single" w:sz="4" w:space="0" w:color="auto"/>
            </w:tcBorders>
            <w:tcMar>
              <w:top w:w="150" w:type="dxa"/>
              <w:left w:w="240" w:type="dxa"/>
              <w:bottom w:w="150" w:type="dxa"/>
              <w:right w:w="0" w:type="dxa"/>
            </w:tcMar>
            <w:hideMark/>
          </w:tcPr>
          <w:p w14:paraId="33A55734" w14:textId="43807FA3" w:rsidR="008E778C" w:rsidRPr="00500D1E" w:rsidRDefault="00921D09"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Humberd &amp; Latham (2026); Phillips (2026); V</w:t>
            </w:r>
            <w:r w:rsidR="008E778C" w:rsidRPr="00500D1E">
              <w:rPr>
                <w:rFonts w:ascii="Times New Roman" w:eastAsia="Times New Roman" w:hAnsi="Times New Roman" w:cs="Times New Roman"/>
                <w:kern w:val="0"/>
                <w:lang w:eastAsia="en-MY"/>
                <w14:ligatures w14:val="none"/>
              </w:rPr>
              <w:t xml:space="preserve">an Rijmenam &amp; Logue </w:t>
            </w:r>
            <w:r w:rsidRPr="00500D1E">
              <w:rPr>
                <w:rFonts w:ascii="Times New Roman" w:eastAsia="Times New Roman" w:hAnsi="Times New Roman" w:cs="Times New Roman"/>
                <w:kern w:val="0"/>
                <w:lang w:eastAsia="en-MY"/>
                <w14:ligatures w14:val="none"/>
              </w:rPr>
              <w:t>(</w:t>
            </w:r>
            <w:r w:rsidR="008E778C" w:rsidRPr="00500D1E">
              <w:rPr>
                <w:rFonts w:ascii="Times New Roman" w:eastAsia="Times New Roman" w:hAnsi="Times New Roman" w:cs="Times New Roman"/>
                <w:kern w:val="0"/>
                <w:lang w:eastAsia="en-MY"/>
                <w14:ligatures w14:val="none"/>
              </w:rPr>
              <w:t>2021); Leavitt et al. (2021)</w:t>
            </w:r>
          </w:p>
        </w:tc>
      </w:tr>
      <w:tr w:rsidR="008E778C" w:rsidRPr="006E2F01" w14:paraId="510AF7FA" w14:textId="77777777" w:rsidTr="00BE2EAB">
        <w:tc>
          <w:tcPr>
            <w:tcW w:w="864" w:type="pct"/>
            <w:tcMar>
              <w:top w:w="150" w:type="dxa"/>
              <w:left w:w="0" w:type="dxa"/>
              <w:bottom w:w="150" w:type="dxa"/>
              <w:right w:w="240" w:type="dxa"/>
            </w:tcMar>
            <w:hideMark/>
          </w:tcPr>
          <w:p w14:paraId="07BF499C"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Independent Variables</w:t>
            </w:r>
          </w:p>
        </w:tc>
        <w:tc>
          <w:tcPr>
            <w:tcW w:w="1081" w:type="pct"/>
            <w:tcMar>
              <w:top w:w="150" w:type="dxa"/>
              <w:left w:w="240" w:type="dxa"/>
              <w:bottom w:w="150" w:type="dxa"/>
              <w:right w:w="240" w:type="dxa"/>
            </w:tcMar>
            <w:hideMark/>
          </w:tcPr>
          <w:p w14:paraId="5077AA61"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IV1: Institutional Pressures</w:t>
            </w:r>
          </w:p>
        </w:tc>
        <w:tc>
          <w:tcPr>
            <w:tcW w:w="2035" w:type="pct"/>
            <w:tcMar>
              <w:top w:w="150" w:type="dxa"/>
              <w:left w:w="240" w:type="dxa"/>
              <w:bottom w:w="150" w:type="dxa"/>
              <w:right w:w="240" w:type="dxa"/>
            </w:tcMar>
            <w:hideMark/>
          </w:tcPr>
          <w:p w14:paraId="19D03ABC"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 xml:space="preserve">External forces driving AI adoption and shaping its organizational role: Coercive (regulatory requirements, compliance mandates); </w:t>
            </w:r>
            <w:r w:rsidRPr="006E2F01">
              <w:rPr>
                <w:rFonts w:ascii="Times New Roman" w:eastAsia="Times New Roman" w:hAnsi="Times New Roman" w:cs="Times New Roman"/>
                <w:kern w:val="0"/>
                <w:lang w:eastAsia="en-MY"/>
                <w14:ligatures w14:val="none"/>
              </w:rPr>
              <w:lastRenderedPageBreak/>
              <w:t>Normative (professional standards, industry norms); Mimetic (competitive imitation, peer adoption)</w:t>
            </w:r>
          </w:p>
        </w:tc>
        <w:tc>
          <w:tcPr>
            <w:tcW w:w="1020" w:type="pct"/>
            <w:tcMar>
              <w:top w:w="150" w:type="dxa"/>
              <w:left w:w="240" w:type="dxa"/>
              <w:bottom w:w="150" w:type="dxa"/>
              <w:right w:w="0" w:type="dxa"/>
            </w:tcMar>
            <w:hideMark/>
          </w:tcPr>
          <w:p w14:paraId="6469FC8F" w14:textId="3F921B81"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lastRenderedPageBreak/>
              <w:t xml:space="preserve">Rudko et al. </w:t>
            </w:r>
            <w:r w:rsidRPr="00500D1E">
              <w:rPr>
                <w:rFonts w:ascii="Times New Roman" w:eastAsia="Times New Roman" w:hAnsi="Times New Roman" w:cs="Times New Roman"/>
                <w:kern w:val="0"/>
                <w:lang w:val="pt-BR" w:eastAsia="en-MY"/>
                <w14:ligatures w14:val="none"/>
              </w:rPr>
              <w:t xml:space="preserve">(2025); Reis &amp; Pinheiro (2025); </w:t>
            </w:r>
            <w:r w:rsidR="00921D09" w:rsidRPr="00500D1E">
              <w:rPr>
                <w:rFonts w:ascii="Times New Roman" w:eastAsia="Times New Roman" w:hAnsi="Times New Roman" w:cs="Times New Roman"/>
                <w:kern w:val="0"/>
                <w:lang w:val="pt-BR" w:eastAsia="en-MY"/>
                <w14:ligatures w14:val="none"/>
              </w:rPr>
              <w:t xml:space="preserve">Zhang et al. </w:t>
            </w:r>
            <w:r w:rsidR="00921D09" w:rsidRPr="00500D1E">
              <w:rPr>
                <w:rFonts w:ascii="Times New Roman" w:eastAsia="Times New Roman" w:hAnsi="Times New Roman" w:cs="Times New Roman"/>
                <w:kern w:val="0"/>
                <w:lang w:eastAsia="en-MY"/>
                <w14:ligatures w14:val="none"/>
              </w:rPr>
              <w:t xml:space="preserve">(2025); </w:t>
            </w:r>
            <w:r w:rsidRPr="00500D1E">
              <w:rPr>
                <w:rFonts w:ascii="Times New Roman" w:eastAsia="Times New Roman" w:hAnsi="Times New Roman" w:cs="Times New Roman"/>
                <w:kern w:val="0"/>
                <w:lang w:eastAsia="en-MY"/>
                <w14:ligatures w14:val="none"/>
              </w:rPr>
              <w:t xml:space="preserve">Rana et </w:t>
            </w:r>
            <w:r w:rsidRPr="00500D1E">
              <w:rPr>
                <w:rFonts w:ascii="Times New Roman" w:eastAsia="Times New Roman" w:hAnsi="Times New Roman" w:cs="Times New Roman"/>
                <w:kern w:val="0"/>
                <w:lang w:eastAsia="en-MY"/>
                <w14:ligatures w14:val="none"/>
              </w:rPr>
              <w:lastRenderedPageBreak/>
              <w:t>al. (2024); Bag et al. (2021)</w:t>
            </w:r>
          </w:p>
        </w:tc>
      </w:tr>
      <w:tr w:rsidR="008E778C" w:rsidRPr="006E2F01" w14:paraId="2E297AB2" w14:textId="77777777" w:rsidTr="00BE2EAB">
        <w:tc>
          <w:tcPr>
            <w:tcW w:w="864" w:type="pct"/>
            <w:tcMar>
              <w:top w:w="150" w:type="dxa"/>
              <w:left w:w="0" w:type="dxa"/>
              <w:bottom w:w="150" w:type="dxa"/>
              <w:right w:w="240" w:type="dxa"/>
            </w:tcMar>
            <w:hideMark/>
          </w:tcPr>
          <w:p w14:paraId="2CD81F97"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7A40C1AA"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IV2: Technological Capabilities</w:t>
            </w:r>
          </w:p>
        </w:tc>
        <w:tc>
          <w:tcPr>
            <w:tcW w:w="2035" w:type="pct"/>
            <w:tcMar>
              <w:top w:w="150" w:type="dxa"/>
              <w:left w:w="240" w:type="dxa"/>
              <w:bottom w:w="150" w:type="dxa"/>
              <w:right w:w="240" w:type="dxa"/>
            </w:tcMar>
            <w:hideMark/>
          </w:tcPr>
          <w:p w14:paraId="2152807C"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Organizational resources enabling AI deployment: AI infrastructure (hardware, software platforms); Data resources (volume, quality, accessibility); Technical skills (AI expertise, data science capabilities)</w:t>
            </w:r>
          </w:p>
        </w:tc>
        <w:tc>
          <w:tcPr>
            <w:tcW w:w="1020" w:type="pct"/>
            <w:tcMar>
              <w:top w:w="150" w:type="dxa"/>
              <w:left w:w="240" w:type="dxa"/>
              <w:bottom w:w="150" w:type="dxa"/>
              <w:right w:w="0" w:type="dxa"/>
            </w:tcMar>
            <w:hideMark/>
          </w:tcPr>
          <w:p w14:paraId="7517D3E9" w14:textId="58335B7A"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val="pt-BR" w:eastAsia="en-MY"/>
                <w14:ligatures w14:val="none"/>
              </w:rPr>
              <w:t xml:space="preserve">Sposato &amp; Dittmar (2026); Omrani et al. </w:t>
            </w:r>
            <w:r w:rsidRPr="00500D1E">
              <w:rPr>
                <w:rFonts w:ascii="Times New Roman" w:eastAsia="Times New Roman" w:hAnsi="Times New Roman" w:cs="Times New Roman"/>
                <w:kern w:val="0"/>
                <w:lang w:eastAsia="en-MY"/>
                <w14:ligatures w14:val="none"/>
              </w:rPr>
              <w:t>(2024); Islam et al. (2026)</w:t>
            </w:r>
            <w:r w:rsidR="00921D09" w:rsidRPr="00500D1E">
              <w:rPr>
                <w:rFonts w:ascii="Times New Roman" w:eastAsia="Times New Roman" w:hAnsi="Times New Roman" w:cs="Times New Roman"/>
                <w:kern w:val="0"/>
                <w:lang w:eastAsia="en-MY"/>
                <w14:ligatures w14:val="none"/>
              </w:rPr>
              <w:t xml:space="preserve">; Bag et al. (2021) </w:t>
            </w:r>
          </w:p>
        </w:tc>
      </w:tr>
      <w:tr w:rsidR="008E778C" w:rsidRPr="006E2F01" w14:paraId="0544438D" w14:textId="77777777" w:rsidTr="00BE2EAB">
        <w:tc>
          <w:tcPr>
            <w:tcW w:w="864" w:type="pct"/>
            <w:tcMar>
              <w:top w:w="150" w:type="dxa"/>
              <w:left w:w="0" w:type="dxa"/>
              <w:bottom w:w="150" w:type="dxa"/>
              <w:right w:w="240" w:type="dxa"/>
            </w:tcMar>
            <w:hideMark/>
          </w:tcPr>
          <w:p w14:paraId="0854CB9F"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381434C8"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IV3: Strategic Orientation</w:t>
            </w:r>
          </w:p>
        </w:tc>
        <w:tc>
          <w:tcPr>
            <w:tcW w:w="2035" w:type="pct"/>
            <w:tcMar>
              <w:top w:w="150" w:type="dxa"/>
              <w:left w:w="240" w:type="dxa"/>
              <w:bottom w:w="150" w:type="dxa"/>
              <w:right w:w="240" w:type="dxa"/>
            </w:tcMar>
            <w:hideMark/>
          </w:tcPr>
          <w:p w14:paraId="7A39A1F6"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Organizational commitment to AI as strategic priority: Innovation focus (R&amp;D intensity, technology adoption); Digital strategy (formal AI roadmap); AI vision (leadership commitment, resource allocation)</w:t>
            </w:r>
          </w:p>
        </w:tc>
        <w:tc>
          <w:tcPr>
            <w:tcW w:w="1020" w:type="pct"/>
            <w:tcMar>
              <w:top w:w="150" w:type="dxa"/>
              <w:left w:w="240" w:type="dxa"/>
              <w:bottom w:w="150" w:type="dxa"/>
              <w:right w:w="0" w:type="dxa"/>
            </w:tcMar>
            <w:hideMark/>
          </w:tcPr>
          <w:p w14:paraId="10075B3F" w14:textId="1A8093E1"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Sarfraz et al. (2026); </w:t>
            </w:r>
            <w:r w:rsidR="00921D09" w:rsidRPr="00564FB9">
              <w:rPr>
                <w:rFonts w:ascii="Times New Roman" w:eastAsia="Times New Roman" w:hAnsi="Times New Roman" w:cs="Times New Roman"/>
                <w:kern w:val="0"/>
                <w:lang w:val="pt-BR" w:eastAsia="en-MY"/>
                <w14:ligatures w14:val="none"/>
              </w:rPr>
              <w:t xml:space="preserve">Cimino et al. </w:t>
            </w:r>
            <w:r w:rsidR="00921D09" w:rsidRPr="00500D1E">
              <w:rPr>
                <w:rFonts w:ascii="Times New Roman" w:eastAsia="Times New Roman" w:hAnsi="Times New Roman" w:cs="Times New Roman"/>
                <w:kern w:val="0"/>
                <w:lang w:eastAsia="en-MY"/>
                <w14:ligatures w14:val="none"/>
              </w:rPr>
              <w:t xml:space="preserve">(2026); </w:t>
            </w:r>
            <w:r w:rsidRPr="00500D1E">
              <w:rPr>
                <w:rFonts w:ascii="Times New Roman" w:eastAsia="Times New Roman" w:hAnsi="Times New Roman" w:cs="Times New Roman"/>
                <w:kern w:val="0"/>
                <w:lang w:eastAsia="en-MY"/>
                <w14:ligatures w14:val="none"/>
              </w:rPr>
              <w:t xml:space="preserve">Chen &amp; Dong (2025); </w:t>
            </w:r>
            <w:r w:rsidR="00921D09" w:rsidRPr="00500D1E">
              <w:rPr>
                <w:rFonts w:ascii="Times New Roman" w:eastAsia="Times New Roman" w:hAnsi="Times New Roman" w:cs="Times New Roman"/>
                <w:kern w:val="0"/>
                <w:lang w:eastAsia="en-MY"/>
                <w14:ligatures w14:val="none"/>
              </w:rPr>
              <w:t xml:space="preserve">Chatterjee et al. (2021) </w:t>
            </w:r>
          </w:p>
        </w:tc>
      </w:tr>
      <w:tr w:rsidR="008E778C" w:rsidRPr="00921D09" w14:paraId="6FB64D64" w14:textId="77777777" w:rsidTr="00BE2EAB">
        <w:tc>
          <w:tcPr>
            <w:tcW w:w="864" w:type="pct"/>
            <w:tcMar>
              <w:top w:w="150" w:type="dxa"/>
              <w:left w:w="0" w:type="dxa"/>
              <w:bottom w:w="150" w:type="dxa"/>
              <w:right w:w="240" w:type="dxa"/>
            </w:tcMar>
            <w:hideMark/>
          </w:tcPr>
          <w:p w14:paraId="26E02C86"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0118E248"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IV4: Ethical Framework</w:t>
            </w:r>
          </w:p>
        </w:tc>
        <w:tc>
          <w:tcPr>
            <w:tcW w:w="2035" w:type="pct"/>
            <w:tcMar>
              <w:top w:w="150" w:type="dxa"/>
              <w:left w:w="240" w:type="dxa"/>
              <w:bottom w:w="150" w:type="dxa"/>
              <w:right w:w="240" w:type="dxa"/>
            </w:tcMar>
            <w:hideMark/>
          </w:tcPr>
          <w:p w14:paraId="32AD9037"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Principles governing AI design and deployment: Fairness (absence of bias); Accountability (clear responsibility structures); Transparency (explainability, disclosure); Accuracy (reliability, validity); Autonomy (human control preservation)</w:t>
            </w:r>
          </w:p>
        </w:tc>
        <w:tc>
          <w:tcPr>
            <w:tcW w:w="1020" w:type="pct"/>
            <w:tcMar>
              <w:top w:w="150" w:type="dxa"/>
              <w:left w:w="240" w:type="dxa"/>
              <w:bottom w:w="150" w:type="dxa"/>
              <w:right w:w="0" w:type="dxa"/>
            </w:tcMar>
            <w:hideMark/>
          </w:tcPr>
          <w:p w14:paraId="47826054" w14:textId="0992EBDE" w:rsidR="008E778C" w:rsidRPr="00500D1E" w:rsidRDefault="00921D09" w:rsidP="00921D09">
            <w:pPr>
              <w:spacing w:after="0" w:line="240" w:lineRule="auto"/>
              <w:rPr>
                <w:rFonts w:ascii="Times New Roman" w:eastAsia="Times New Roman" w:hAnsi="Times New Roman" w:cs="Times New Roman"/>
                <w:kern w:val="0"/>
                <w:lang w:val="en-MY" w:eastAsia="en-MY"/>
                <w14:ligatures w14:val="none"/>
              </w:rPr>
            </w:pPr>
            <w:r w:rsidRPr="00500D1E">
              <w:rPr>
                <w:rFonts w:ascii="Times New Roman" w:eastAsia="Times New Roman" w:hAnsi="Times New Roman" w:cs="Times New Roman"/>
                <w:kern w:val="0"/>
                <w:lang w:val="pt-BR" w:eastAsia="en-MY"/>
                <w14:ligatures w14:val="none"/>
              </w:rPr>
              <w:t xml:space="preserve">Das et al. </w:t>
            </w:r>
            <w:r w:rsidRPr="00500D1E">
              <w:rPr>
                <w:rFonts w:ascii="Times New Roman" w:eastAsia="Times New Roman" w:hAnsi="Times New Roman" w:cs="Times New Roman"/>
                <w:kern w:val="0"/>
                <w:lang w:val="en-MY" w:eastAsia="en-MY"/>
                <w14:ligatures w14:val="none"/>
              </w:rPr>
              <w:t xml:space="preserve">(2026); Alibasic (2025); Rana et al. (2024); </w:t>
            </w:r>
            <w:r w:rsidR="008E778C" w:rsidRPr="00500D1E">
              <w:rPr>
                <w:rFonts w:ascii="Times New Roman" w:eastAsia="Times New Roman" w:hAnsi="Times New Roman" w:cs="Times New Roman"/>
                <w:kern w:val="0"/>
                <w:lang w:val="en-MY" w:eastAsia="en-MY"/>
                <w14:ligatures w14:val="none"/>
              </w:rPr>
              <w:t xml:space="preserve">Du &amp; Xie (2021) </w:t>
            </w:r>
          </w:p>
        </w:tc>
      </w:tr>
      <w:tr w:rsidR="008E778C" w:rsidRPr="006E2F01" w14:paraId="35E96ED6" w14:textId="77777777" w:rsidTr="00BE2EAB">
        <w:tc>
          <w:tcPr>
            <w:tcW w:w="864" w:type="pct"/>
            <w:tcMar>
              <w:top w:w="150" w:type="dxa"/>
              <w:left w:w="0" w:type="dxa"/>
              <w:bottom w:w="150" w:type="dxa"/>
              <w:right w:w="240" w:type="dxa"/>
            </w:tcMar>
            <w:hideMark/>
          </w:tcPr>
          <w:p w14:paraId="3FC3F9CD" w14:textId="77777777" w:rsidR="008E778C" w:rsidRPr="00921D09" w:rsidRDefault="008E778C" w:rsidP="005E30CC">
            <w:pPr>
              <w:spacing w:after="0" w:line="240" w:lineRule="auto"/>
              <w:jc w:val="both"/>
              <w:rPr>
                <w:rFonts w:ascii="Times New Roman" w:eastAsia="Times New Roman" w:hAnsi="Times New Roman" w:cs="Times New Roman"/>
                <w:kern w:val="0"/>
                <w:lang w:val="en-MY" w:eastAsia="en-MY"/>
                <w14:ligatures w14:val="none"/>
              </w:rPr>
            </w:pPr>
          </w:p>
        </w:tc>
        <w:tc>
          <w:tcPr>
            <w:tcW w:w="1081" w:type="pct"/>
            <w:tcMar>
              <w:top w:w="150" w:type="dxa"/>
              <w:left w:w="240" w:type="dxa"/>
              <w:bottom w:w="150" w:type="dxa"/>
              <w:right w:w="240" w:type="dxa"/>
            </w:tcMar>
            <w:hideMark/>
          </w:tcPr>
          <w:p w14:paraId="5C530CB5"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IV5: AI Autonomy Level</w:t>
            </w:r>
          </w:p>
        </w:tc>
        <w:tc>
          <w:tcPr>
            <w:tcW w:w="2035" w:type="pct"/>
            <w:tcMar>
              <w:top w:w="150" w:type="dxa"/>
              <w:left w:w="240" w:type="dxa"/>
              <w:bottom w:w="150" w:type="dxa"/>
              <w:right w:w="240" w:type="dxa"/>
            </w:tcMar>
            <w:hideMark/>
          </w:tcPr>
          <w:p w14:paraId="791B506B"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Developmental stage of AI capabilities: Tool AI (rule-based, human-dependent); Assistant AI (recommendation systems with human oversight); Agentic AI (autonomous decision-making, self-learning)</w:t>
            </w:r>
          </w:p>
        </w:tc>
        <w:tc>
          <w:tcPr>
            <w:tcW w:w="1020" w:type="pct"/>
            <w:tcMar>
              <w:top w:w="150" w:type="dxa"/>
              <w:left w:w="240" w:type="dxa"/>
              <w:bottom w:w="150" w:type="dxa"/>
              <w:right w:w="0" w:type="dxa"/>
            </w:tcMar>
            <w:hideMark/>
          </w:tcPr>
          <w:p w14:paraId="27E922D1" w14:textId="20E87E96"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Humberd &amp; Latham (2026); Islam et al. (2026); Zhang et al. (2025); </w:t>
            </w:r>
            <w:r w:rsidR="003A090F" w:rsidRPr="00500D1E">
              <w:rPr>
                <w:rFonts w:ascii="Times New Roman" w:eastAsia="Times New Roman" w:hAnsi="Times New Roman" w:cs="Times New Roman"/>
                <w:kern w:val="0"/>
                <w:lang w:eastAsia="en-MY"/>
                <w14:ligatures w14:val="none"/>
              </w:rPr>
              <w:t>V</w:t>
            </w:r>
            <w:r w:rsidRPr="00500D1E">
              <w:rPr>
                <w:rFonts w:ascii="Times New Roman" w:eastAsia="Times New Roman" w:hAnsi="Times New Roman" w:cs="Times New Roman"/>
                <w:kern w:val="0"/>
                <w:lang w:eastAsia="en-MY"/>
                <w14:ligatures w14:val="none"/>
              </w:rPr>
              <w:t>van Rijmenam &amp; Logue (2021)</w:t>
            </w:r>
          </w:p>
        </w:tc>
      </w:tr>
      <w:tr w:rsidR="008E778C" w:rsidRPr="006E2F01" w14:paraId="69C4C216" w14:textId="77777777" w:rsidTr="00BE2EAB">
        <w:tc>
          <w:tcPr>
            <w:tcW w:w="864" w:type="pct"/>
            <w:tcMar>
              <w:top w:w="150" w:type="dxa"/>
              <w:left w:w="0" w:type="dxa"/>
              <w:bottom w:w="150" w:type="dxa"/>
              <w:right w:w="240" w:type="dxa"/>
            </w:tcMar>
            <w:hideMark/>
          </w:tcPr>
          <w:p w14:paraId="574DE973"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Mediating Variables</w:t>
            </w:r>
          </w:p>
        </w:tc>
        <w:tc>
          <w:tcPr>
            <w:tcW w:w="1081" w:type="pct"/>
            <w:tcMar>
              <w:top w:w="150" w:type="dxa"/>
              <w:left w:w="240" w:type="dxa"/>
              <w:bottom w:w="150" w:type="dxa"/>
              <w:right w:w="240" w:type="dxa"/>
            </w:tcMar>
            <w:hideMark/>
          </w:tcPr>
          <w:p w14:paraId="6301B538"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MED1: Legitimacy</w:t>
            </w:r>
          </w:p>
        </w:tc>
        <w:tc>
          <w:tcPr>
            <w:tcW w:w="2035" w:type="pct"/>
            <w:tcMar>
              <w:top w:w="150" w:type="dxa"/>
              <w:left w:w="240" w:type="dxa"/>
              <w:bottom w:w="150" w:type="dxa"/>
              <w:right w:w="240" w:type="dxa"/>
            </w:tcMar>
            <w:hideMark/>
          </w:tcPr>
          <w:p w14:paraId="53921A62"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Social acceptance and perceived appropriateness of AI: Pragmatic legitimacy (utility-based); Moral legitimacy (normative approval); Cognitive legitimacy (taken-for-grantedness)</w:t>
            </w:r>
          </w:p>
        </w:tc>
        <w:tc>
          <w:tcPr>
            <w:tcW w:w="1020" w:type="pct"/>
            <w:tcMar>
              <w:top w:w="150" w:type="dxa"/>
              <w:left w:w="240" w:type="dxa"/>
              <w:bottom w:w="150" w:type="dxa"/>
              <w:right w:w="0" w:type="dxa"/>
            </w:tcMar>
            <w:hideMark/>
          </w:tcPr>
          <w:p w14:paraId="270AF0CD" w14:textId="1C4D42E3" w:rsidR="008E778C" w:rsidRPr="00500D1E" w:rsidRDefault="00921D09"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Chakraborty &amp; Kumar (2026); </w:t>
            </w:r>
            <w:r w:rsidR="008E778C" w:rsidRPr="00500D1E">
              <w:rPr>
                <w:rFonts w:ascii="Times New Roman" w:eastAsia="Times New Roman" w:hAnsi="Times New Roman" w:cs="Times New Roman"/>
                <w:kern w:val="0"/>
                <w:lang w:eastAsia="en-MY"/>
                <w14:ligatures w14:val="none"/>
              </w:rPr>
              <w:t xml:space="preserve">Schilke &amp; Reimann (2025); Rudko et al. (2025); Liyanage et al. </w:t>
            </w:r>
            <w:r w:rsidR="008E778C" w:rsidRPr="00500D1E">
              <w:rPr>
                <w:rFonts w:ascii="Times New Roman" w:eastAsia="Times New Roman" w:hAnsi="Times New Roman" w:cs="Times New Roman"/>
                <w:kern w:val="0"/>
                <w:lang w:eastAsia="en-MY"/>
                <w14:ligatures w14:val="none"/>
              </w:rPr>
              <w:lastRenderedPageBreak/>
              <w:t>(2025)</w:t>
            </w:r>
          </w:p>
        </w:tc>
      </w:tr>
      <w:tr w:rsidR="008E778C" w:rsidRPr="006E2F01" w14:paraId="5063D059" w14:textId="77777777" w:rsidTr="00BE2EAB">
        <w:tc>
          <w:tcPr>
            <w:tcW w:w="864" w:type="pct"/>
            <w:tcMar>
              <w:top w:w="150" w:type="dxa"/>
              <w:left w:w="0" w:type="dxa"/>
              <w:bottom w:w="150" w:type="dxa"/>
              <w:right w:w="240" w:type="dxa"/>
            </w:tcMar>
            <w:hideMark/>
          </w:tcPr>
          <w:p w14:paraId="3C56A91F"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63A2F003"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MED2: Trust</w:t>
            </w:r>
          </w:p>
        </w:tc>
        <w:tc>
          <w:tcPr>
            <w:tcW w:w="2035" w:type="pct"/>
            <w:tcMar>
              <w:top w:w="150" w:type="dxa"/>
              <w:left w:w="240" w:type="dxa"/>
              <w:bottom w:w="150" w:type="dxa"/>
              <w:right w:w="240" w:type="dxa"/>
            </w:tcMar>
            <w:hideMark/>
          </w:tcPr>
          <w:p w14:paraId="7CDE968D"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Willingness to rely on AI systems: Ability trust (competence beliefs); Benevolence trust (perceived goodwill); Integrity trust (adherence to principles)</w:t>
            </w:r>
          </w:p>
        </w:tc>
        <w:tc>
          <w:tcPr>
            <w:tcW w:w="1020" w:type="pct"/>
            <w:tcMar>
              <w:top w:w="150" w:type="dxa"/>
              <w:left w:w="240" w:type="dxa"/>
              <w:bottom w:w="150" w:type="dxa"/>
              <w:right w:w="0" w:type="dxa"/>
            </w:tcMar>
            <w:hideMark/>
          </w:tcPr>
          <w:p w14:paraId="02429BE8" w14:textId="466A146D" w:rsidR="008E778C" w:rsidRPr="00500D1E" w:rsidRDefault="00921D09"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Chakraborty &amp; Kumar (2026); </w:t>
            </w:r>
            <w:r w:rsidR="008E778C" w:rsidRPr="00500D1E">
              <w:rPr>
                <w:rFonts w:ascii="Times New Roman" w:eastAsia="Times New Roman" w:hAnsi="Times New Roman" w:cs="Times New Roman"/>
                <w:kern w:val="0"/>
                <w:lang w:eastAsia="en-MY"/>
                <w14:ligatures w14:val="none"/>
              </w:rPr>
              <w:t>Schilke &amp; Reimann (2025); Fang et al. (2023)</w:t>
            </w:r>
          </w:p>
        </w:tc>
      </w:tr>
      <w:tr w:rsidR="008E778C" w:rsidRPr="006E2F01" w14:paraId="11331108" w14:textId="77777777" w:rsidTr="00BE2EAB">
        <w:tc>
          <w:tcPr>
            <w:tcW w:w="864" w:type="pct"/>
            <w:tcMar>
              <w:top w:w="150" w:type="dxa"/>
              <w:left w:w="0" w:type="dxa"/>
              <w:bottom w:w="150" w:type="dxa"/>
              <w:right w:w="240" w:type="dxa"/>
            </w:tcMar>
            <w:hideMark/>
          </w:tcPr>
          <w:p w14:paraId="203CC19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55DBDE33"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MED3: Decision Rights</w:t>
            </w:r>
          </w:p>
        </w:tc>
        <w:tc>
          <w:tcPr>
            <w:tcW w:w="2035" w:type="pct"/>
            <w:tcMar>
              <w:top w:w="150" w:type="dxa"/>
              <w:left w:w="240" w:type="dxa"/>
              <w:bottom w:w="150" w:type="dxa"/>
              <w:right w:w="240" w:type="dxa"/>
            </w:tcMar>
            <w:hideMark/>
          </w:tcPr>
          <w:p w14:paraId="6EE83FA3"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Allocation of authority between humans and AI: Formal authority delegation; De facto decision autonomy; Human oversight mechanisms; Escalation protocols</w:t>
            </w:r>
          </w:p>
        </w:tc>
        <w:tc>
          <w:tcPr>
            <w:tcW w:w="1020" w:type="pct"/>
            <w:tcMar>
              <w:top w:w="150" w:type="dxa"/>
              <w:left w:w="240" w:type="dxa"/>
              <w:bottom w:w="150" w:type="dxa"/>
              <w:right w:w="0" w:type="dxa"/>
            </w:tcMar>
            <w:hideMark/>
          </w:tcPr>
          <w:p w14:paraId="5EDE4CBE" w14:textId="398457B5"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Humberd &amp; Latham (2026); </w:t>
            </w:r>
            <w:r w:rsidR="00921D09" w:rsidRPr="00500D1E">
              <w:rPr>
                <w:rFonts w:ascii="Times New Roman" w:eastAsia="Times New Roman" w:hAnsi="Times New Roman" w:cs="Times New Roman"/>
                <w:kern w:val="0"/>
                <w:lang w:eastAsia="en-MY"/>
                <w14:ligatures w14:val="none"/>
              </w:rPr>
              <w:t xml:space="preserve">Bechky &amp; Davis (2025); </w:t>
            </w:r>
            <w:r w:rsidRPr="00500D1E">
              <w:rPr>
                <w:rFonts w:ascii="Times New Roman" w:eastAsia="Times New Roman" w:hAnsi="Times New Roman" w:cs="Times New Roman"/>
                <w:kern w:val="0"/>
                <w:lang w:eastAsia="en-MY"/>
                <w14:ligatures w14:val="none"/>
              </w:rPr>
              <w:t xml:space="preserve">Leavitt et al. (2021) </w:t>
            </w:r>
          </w:p>
        </w:tc>
      </w:tr>
      <w:tr w:rsidR="008E778C" w:rsidRPr="006E2F01" w14:paraId="0C90FAD5" w14:textId="77777777" w:rsidTr="00BE2EAB">
        <w:tc>
          <w:tcPr>
            <w:tcW w:w="864" w:type="pct"/>
            <w:tcMar>
              <w:top w:w="150" w:type="dxa"/>
              <w:left w:w="0" w:type="dxa"/>
              <w:bottom w:w="150" w:type="dxa"/>
              <w:right w:w="240" w:type="dxa"/>
            </w:tcMar>
            <w:hideMark/>
          </w:tcPr>
          <w:p w14:paraId="6F212AFB"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Moderating Variables</w:t>
            </w:r>
          </w:p>
        </w:tc>
        <w:tc>
          <w:tcPr>
            <w:tcW w:w="1081" w:type="pct"/>
            <w:tcMar>
              <w:top w:w="150" w:type="dxa"/>
              <w:left w:w="240" w:type="dxa"/>
              <w:bottom w:w="150" w:type="dxa"/>
              <w:right w:w="240" w:type="dxa"/>
            </w:tcMar>
            <w:hideMark/>
          </w:tcPr>
          <w:p w14:paraId="667ADF89"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MOD1: Governance Mechanisms</w:t>
            </w:r>
          </w:p>
        </w:tc>
        <w:tc>
          <w:tcPr>
            <w:tcW w:w="2035" w:type="pct"/>
            <w:tcMar>
              <w:top w:w="150" w:type="dxa"/>
              <w:left w:w="240" w:type="dxa"/>
              <w:bottom w:w="150" w:type="dxa"/>
              <w:right w:w="240" w:type="dxa"/>
            </w:tcMar>
            <w:hideMark/>
          </w:tcPr>
          <w:p w14:paraId="12DE6A75"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Organizational structures overseeing AI: Board-level AI committees; Ethical review boards; Algorithmic accountability offices; Monitoring and audit systems</w:t>
            </w:r>
          </w:p>
        </w:tc>
        <w:tc>
          <w:tcPr>
            <w:tcW w:w="1020" w:type="pct"/>
            <w:tcMar>
              <w:top w:w="150" w:type="dxa"/>
              <w:left w:w="240" w:type="dxa"/>
              <w:bottom w:w="150" w:type="dxa"/>
              <w:right w:w="0" w:type="dxa"/>
            </w:tcMar>
            <w:hideMark/>
          </w:tcPr>
          <w:p w14:paraId="79A6BC41" w14:textId="14FA186C"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Humberd &amp; Latham (2026); Chakraborty &amp; Kumar (2026); Alibasic (2025)</w:t>
            </w:r>
            <w:r w:rsidR="00921D09" w:rsidRPr="00500D1E">
              <w:rPr>
                <w:rFonts w:ascii="Times New Roman" w:eastAsia="Times New Roman" w:hAnsi="Times New Roman" w:cs="Times New Roman"/>
                <w:kern w:val="0"/>
                <w:lang w:eastAsia="en-MY"/>
                <w14:ligatures w14:val="none"/>
              </w:rPr>
              <w:t xml:space="preserve">; Rana et al. (2024) </w:t>
            </w:r>
          </w:p>
        </w:tc>
      </w:tr>
      <w:tr w:rsidR="008E778C" w:rsidRPr="006E2F01" w14:paraId="36A21993" w14:textId="77777777" w:rsidTr="00BE2EAB">
        <w:tc>
          <w:tcPr>
            <w:tcW w:w="864" w:type="pct"/>
            <w:tcMar>
              <w:top w:w="150" w:type="dxa"/>
              <w:left w:w="0" w:type="dxa"/>
              <w:bottom w:w="150" w:type="dxa"/>
              <w:right w:w="240" w:type="dxa"/>
            </w:tcMar>
            <w:hideMark/>
          </w:tcPr>
          <w:p w14:paraId="30F3828A"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08E3B4B7"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MOD2: Organizational Culture</w:t>
            </w:r>
          </w:p>
        </w:tc>
        <w:tc>
          <w:tcPr>
            <w:tcW w:w="2035" w:type="pct"/>
            <w:tcMar>
              <w:top w:w="150" w:type="dxa"/>
              <w:left w:w="240" w:type="dxa"/>
              <w:bottom w:w="150" w:type="dxa"/>
              <w:right w:w="240" w:type="dxa"/>
            </w:tcMar>
            <w:hideMark/>
          </w:tcPr>
          <w:p w14:paraId="22987606"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Shared values and beliefs shaping AI orientation: Innovation culture (experimentation, risk-taking); Digital maturity (technology acceptance); Learning orientation (adaptability, feedback integration)</w:t>
            </w:r>
          </w:p>
        </w:tc>
        <w:tc>
          <w:tcPr>
            <w:tcW w:w="1020" w:type="pct"/>
            <w:tcMar>
              <w:top w:w="150" w:type="dxa"/>
              <w:left w:w="240" w:type="dxa"/>
              <w:bottom w:w="150" w:type="dxa"/>
              <w:right w:w="0" w:type="dxa"/>
            </w:tcMar>
            <w:hideMark/>
          </w:tcPr>
          <w:p w14:paraId="4DF477BB" w14:textId="421240C6" w:rsidR="008E778C" w:rsidRPr="00500D1E" w:rsidRDefault="008E778C" w:rsidP="00921D09">
            <w:pPr>
              <w:spacing w:after="0" w:line="240" w:lineRule="auto"/>
              <w:rPr>
                <w:rFonts w:ascii="Times New Roman" w:eastAsia="Times New Roman" w:hAnsi="Times New Roman" w:cs="Times New Roman"/>
                <w:kern w:val="0"/>
                <w:lang w:val="en-MY" w:eastAsia="en-MY"/>
                <w14:ligatures w14:val="none"/>
              </w:rPr>
            </w:pPr>
            <w:r w:rsidRPr="00500D1E">
              <w:rPr>
                <w:rFonts w:ascii="Times New Roman" w:eastAsia="Times New Roman" w:hAnsi="Times New Roman" w:cs="Times New Roman"/>
                <w:kern w:val="0"/>
                <w:lang w:eastAsia="en-MY"/>
                <w14:ligatures w14:val="none"/>
              </w:rPr>
              <w:t>Sarfraz et al. (2026); Sposato &amp; Dittmar (2026)</w:t>
            </w:r>
            <w:r w:rsidR="00921D09" w:rsidRPr="00500D1E">
              <w:rPr>
                <w:rFonts w:ascii="Times New Roman" w:eastAsia="Times New Roman" w:hAnsi="Times New Roman" w:cs="Times New Roman"/>
                <w:kern w:val="0"/>
                <w:lang w:eastAsia="en-MY"/>
                <w14:ligatures w14:val="none"/>
              </w:rPr>
              <w:t>; Zhang et al. (2025); Arias-Pérez et al. (2023)</w:t>
            </w:r>
          </w:p>
        </w:tc>
      </w:tr>
      <w:tr w:rsidR="008E778C" w:rsidRPr="006E2F01" w14:paraId="6F47F7CE" w14:textId="77777777" w:rsidTr="00BE2EAB">
        <w:tc>
          <w:tcPr>
            <w:tcW w:w="864" w:type="pct"/>
            <w:tcMar>
              <w:top w:w="150" w:type="dxa"/>
              <w:left w:w="0" w:type="dxa"/>
              <w:bottom w:w="150" w:type="dxa"/>
              <w:right w:w="240" w:type="dxa"/>
            </w:tcMar>
            <w:hideMark/>
          </w:tcPr>
          <w:p w14:paraId="03BBF1AD"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5C332215"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MOD3: Institutional Environment</w:t>
            </w:r>
          </w:p>
        </w:tc>
        <w:tc>
          <w:tcPr>
            <w:tcW w:w="2035" w:type="pct"/>
            <w:tcMar>
              <w:top w:w="150" w:type="dxa"/>
              <w:left w:w="240" w:type="dxa"/>
              <w:bottom w:w="150" w:type="dxa"/>
              <w:right w:w="240" w:type="dxa"/>
            </w:tcMar>
            <w:hideMark/>
          </w:tcPr>
          <w:p w14:paraId="30AF6E39"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External context conditions: Regulatory intensity (legal framework strictness); Industry norms (sectoral practices); Cultural context (national values, uncertainty avoidance)</w:t>
            </w:r>
          </w:p>
        </w:tc>
        <w:tc>
          <w:tcPr>
            <w:tcW w:w="1020" w:type="pct"/>
            <w:tcMar>
              <w:top w:w="150" w:type="dxa"/>
              <w:left w:w="240" w:type="dxa"/>
              <w:bottom w:w="150" w:type="dxa"/>
              <w:right w:w="0" w:type="dxa"/>
            </w:tcMar>
            <w:hideMark/>
          </w:tcPr>
          <w:p w14:paraId="55245E71" w14:textId="32BAAF90" w:rsidR="008E778C" w:rsidRPr="00500D1E" w:rsidRDefault="00301E3E"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Chakraborty &amp; Kumar (2026); </w:t>
            </w:r>
            <w:r w:rsidR="008E778C" w:rsidRPr="00500D1E">
              <w:rPr>
                <w:rFonts w:ascii="Times New Roman" w:eastAsia="Times New Roman" w:hAnsi="Times New Roman" w:cs="Times New Roman"/>
                <w:kern w:val="0"/>
                <w:lang w:eastAsia="en-MY"/>
                <w14:ligatures w14:val="none"/>
              </w:rPr>
              <w:t xml:space="preserve">Chen &amp; Dong (2025);  </w:t>
            </w:r>
            <w:r w:rsidRPr="00500D1E">
              <w:rPr>
                <w:rFonts w:ascii="Times New Roman" w:eastAsia="Times New Roman" w:hAnsi="Times New Roman" w:cs="Times New Roman"/>
                <w:kern w:val="0"/>
                <w:lang w:eastAsia="en-MY"/>
                <w14:ligatures w14:val="none"/>
              </w:rPr>
              <w:t xml:space="preserve">Bag et al. (2023); </w:t>
            </w:r>
            <w:r w:rsidR="008E778C" w:rsidRPr="00500D1E">
              <w:rPr>
                <w:rFonts w:ascii="Times New Roman" w:eastAsia="Times New Roman" w:hAnsi="Times New Roman" w:cs="Times New Roman"/>
                <w:kern w:val="0"/>
                <w:lang w:eastAsia="en-MY"/>
                <w14:ligatures w14:val="none"/>
              </w:rPr>
              <w:t xml:space="preserve">Du &amp; Xie (2021) </w:t>
            </w:r>
          </w:p>
        </w:tc>
      </w:tr>
      <w:tr w:rsidR="008E778C" w:rsidRPr="006E2F01" w14:paraId="2430F827" w14:textId="77777777" w:rsidTr="00BE2EAB">
        <w:tc>
          <w:tcPr>
            <w:tcW w:w="864" w:type="pct"/>
            <w:tcMar>
              <w:top w:w="150" w:type="dxa"/>
              <w:left w:w="0" w:type="dxa"/>
              <w:bottom w:w="150" w:type="dxa"/>
              <w:right w:w="240" w:type="dxa"/>
            </w:tcMar>
            <w:hideMark/>
          </w:tcPr>
          <w:p w14:paraId="36FA831C"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Control Variables</w:t>
            </w:r>
          </w:p>
        </w:tc>
        <w:tc>
          <w:tcPr>
            <w:tcW w:w="1081" w:type="pct"/>
            <w:tcMar>
              <w:top w:w="150" w:type="dxa"/>
              <w:left w:w="240" w:type="dxa"/>
              <w:bottom w:w="150" w:type="dxa"/>
              <w:right w:w="240" w:type="dxa"/>
            </w:tcMar>
            <w:hideMark/>
          </w:tcPr>
          <w:p w14:paraId="4384AAF4"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C1: Firm Size</w:t>
            </w:r>
          </w:p>
        </w:tc>
        <w:tc>
          <w:tcPr>
            <w:tcW w:w="2035" w:type="pct"/>
            <w:tcMar>
              <w:top w:w="150" w:type="dxa"/>
              <w:left w:w="240" w:type="dxa"/>
              <w:bottom w:w="150" w:type="dxa"/>
              <w:right w:w="240" w:type="dxa"/>
            </w:tcMar>
            <w:hideMark/>
          </w:tcPr>
          <w:p w14:paraId="539F2E0D"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Organizational scale: Log of total assets; Log of number of employees; Revenue brackets</w:t>
            </w:r>
          </w:p>
        </w:tc>
        <w:tc>
          <w:tcPr>
            <w:tcW w:w="1020" w:type="pct"/>
            <w:tcMar>
              <w:top w:w="150" w:type="dxa"/>
              <w:left w:w="240" w:type="dxa"/>
              <w:bottom w:w="150" w:type="dxa"/>
              <w:right w:w="0" w:type="dxa"/>
            </w:tcMar>
            <w:hideMark/>
          </w:tcPr>
          <w:p w14:paraId="1CB699A4" w14:textId="26F42212"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Sposato &amp; Dittmar (2026); </w:t>
            </w:r>
            <w:r w:rsidR="00301E3E" w:rsidRPr="00500D1E">
              <w:rPr>
                <w:rFonts w:ascii="Times New Roman" w:eastAsia="Times New Roman" w:hAnsi="Times New Roman" w:cs="Times New Roman"/>
                <w:kern w:val="0"/>
                <w:lang w:eastAsia="en-MY"/>
                <w14:ligatures w14:val="none"/>
              </w:rPr>
              <w:t xml:space="preserve">Chatterjee et al. (2021); </w:t>
            </w:r>
            <w:r w:rsidRPr="00500D1E">
              <w:rPr>
                <w:rFonts w:ascii="Times New Roman" w:eastAsia="Times New Roman" w:hAnsi="Times New Roman" w:cs="Times New Roman"/>
                <w:kern w:val="0"/>
                <w:lang w:eastAsia="en-MY"/>
                <w14:ligatures w14:val="none"/>
              </w:rPr>
              <w:t>Bag et al. (2021)</w:t>
            </w:r>
          </w:p>
        </w:tc>
      </w:tr>
      <w:tr w:rsidR="008E778C" w:rsidRPr="006E2F01" w14:paraId="6D81F7E1" w14:textId="77777777" w:rsidTr="00BE2EAB">
        <w:tc>
          <w:tcPr>
            <w:tcW w:w="864" w:type="pct"/>
            <w:tcMar>
              <w:top w:w="150" w:type="dxa"/>
              <w:left w:w="0" w:type="dxa"/>
              <w:bottom w:w="150" w:type="dxa"/>
              <w:right w:w="240" w:type="dxa"/>
            </w:tcMar>
            <w:hideMark/>
          </w:tcPr>
          <w:p w14:paraId="05ACC644"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503EC6DD"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C2: Firm Age</w:t>
            </w:r>
          </w:p>
        </w:tc>
        <w:tc>
          <w:tcPr>
            <w:tcW w:w="2035" w:type="pct"/>
            <w:tcMar>
              <w:top w:w="150" w:type="dxa"/>
              <w:left w:w="240" w:type="dxa"/>
              <w:bottom w:w="150" w:type="dxa"/>
              <w:right w:w="240" w:type="dxa"/>
            </w:tcMar>
            <w:hideMark/>
          </w:tcPr>
          <w:p w14:paraId="135FF3EA"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 xml:space="preserve">Organizational maturity: Years </w:t>
            </w:r>
            <w:r w:rsidRPr="006E2F01">
              <w:rPr>
                <w:rFonts w:ascii="Times New Roman" w:eastAsia="Times New Roman" w:hAnsi="Times New Roman" w:cs="Times New Roman"/>
                <w:kern w:val="0"/>
                <w:lang w:eastAsia="en-MY"/>
                <w14:ligatures w14:val="none"/>
              </w:rPr>
              <w:lastRenderedPageBreak/>
              <w:t>since founding; Organizational life cycle stage</w:t>
            </w:r>
          </w:p>
        </w:tc>
        <w:tc>
          <w:tcPr>
            <w:tcW w:w="1020" w:type="pct"/>
            <w:tcMar>
              <w:top w:w="150" w:type="dxa"/>
              <w:left w:w="240" w:type="dxa"/>
              <w:bottom w:w="150" w:type="dxa"/>
              <w:right w:w="0" w:type="dxa"/>
            </w:tcMar>
            <w:hideMark/>
          </w:tcPr>
          <w:p w14:paraId="631D1380" w14:textId="12605B7B"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 xml:space="preserve">Islam et al. </w:t>
            </w:r>
            <w:r w:rsidRPr="00500D1E">
              <w:rPr>
                <w:rFonts w:ascii="Times New Roman" w:eastAsia="Times New Roman" w:hAnsi="Times New Roman" w:cs="Times New Roman"/>
                <w:kern w:val="0"/>
                <w:lang w:eastAsia="en-MY"/>
                <w14:ligatures w14:val="none"/>
              </w:rPr>
              <w:lastRenderedPageBreak/>
              <w:t>(2026); Chen &amp; Dong (2025)</w:t>
            </w:r>
            <w:r w:rsidR="00301E3E" w:rsidRPr="00500D1E">
              <w:rPr>
                <w:rFonts w:ascii="Times New Roman" w:eastAsia="Times New Roman" w:hAnsi="Times New Roman" w:cs="Times New Roman"/>
                <w:kern w:val="0"/>
                <w:lang w:eastAsia="en-MY"/>
                <w14:ligatures w14:val="none"/>
              </w:rPr>
              <w:t xml:space="preserve">; Arias-Pérez et al. (2023) </w:t>
            </w:r>
          </w:p>
        </w:tc>
      </w:tr>
      <w:tr w:rsidR="008E778C" w:rsidRPr="006E2F01" w14:paraId="2C1637E2" w14:textId="77777777" w:rsidTr="00BE2EAB">
        <w:tc>
          <w:tcPr>
            <w:tcW w:w="864" w:type="pct"/>
            <w:tcMar>
              <w:top w:w="150" w:type="dxa"/>
              <w:left w:w="0" w:type="dxa"/>
              <w:bottom w:w="150" w:type="dxa"/>
              <w:right w:w="240" w:type="dxa"/>
            </w:tcMar>
            <w:hideMark/>
          </w:tcPr>
          <w:p w14:paraId="2E0F5F8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1ED0DAB8"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C3: Industry</w:t>
            </w:r>
          </w:p>
        </w:tc>
        <w:tc>
          <w:tcPr>
            <w:tcW w:w="2035" w:type="pct"/>
            <w:tcMar>
              <w:top w:w="150" w:type="dxa"/>
              <w:left w:w="240" w:type="dxa"/>
              <w:bottom w:w="150" w:type="dxa"/>
              <w:right w:w="240" w:type="dxa"/>
            </w:tcMar>
            <w:hideMark/>
          </w:tcPr>
          <w:p w14:paraId="4D63976A"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Sectoral context: Industry classification dummies; Technology intensity; Regulatory exposure</w:t>
            </w:r>
          </w:p>
        </w:tc>
        <w:tc>
          <w:tcPr>
            <w:tcW w:w="1020" w:type="pct"/>
            <w:tcMar>
              <w:top w:w="150" w:type="dxa"/>
              <w:left w:w="240" w:type="dxa"/>
              <w:bottom w:w="150" w:type="dxa"/>
              <w:right w:w="0" w:type="dxa"/>
            </w:tcMar>
            <w:hideMark/>
          </w:tcPr>
          <w:p w14:paraId="00B49DCB" w14:textId="77777777"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Liyanage et al. (2025); Bag et al. (2023); Du &amp; Xie (2021)</w:t>
            </w:r>
          </w:p>
        </w:tc>
      </w:tr>
      <w:tr w:rsidR="008E778C" w:rsidRPr="006E2F01" w14:paraId="500BD929" w14:textId="77777777" w:rsidTr="00BE2EAB">
        <w:tc>
          <w:tcPr>
            <w:tcW w:w="864" w:type="pct"/>
            <w:tcMar>
              <w:top w:w="150" w:type="dxa"/>
              <w:left w:w="0" w:type="dxa"/>
              <w:bottom w:w="150" w:type="dxa"/>
              <w:right w:w="240" w:type="dxa"/>
            </w:tcMar>
            <w:hideMark/>
          </w:tcPr>
          <w:p w14:paraId="6B6AA95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75EFB546"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C4: Country</w:t>
            </w:r>
          </w:p>
        </w:tc>
        <w:tc>
          <w:tcPr>
            <w:tcW w:w="2035" w:type="pct"/>
            <w:tcMar>
              <w:top w:w="150" w:type="dxa"/>
              <w:left w:w="240" w:type="dxa"/>
              <w:bottom w:w="150" w:type="dxa"/>
              <w:right w:w="240" w:type="dxa"/>
            </w:tcMar>
            <w:hideMark/>
          </w:tcPr>
          <w:p w14:paraId="080A4348"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National context: Legal origin (common vs. civil law); Economic development level; Cultural dimensions</w:t>
            </w:r>
          </w:p>
        </w:tc>
        <w:tc>
          <w:tcPr>
            <w:tcW w:w="1020" w:type="pct"/>
            <w:tcMar>
              <w:top w:w="150" w:type="dxa"/>
              <w:left w:w="240" w:type="dxa"/>
              <w:bottom w:w="150" w:type="dxa"/>
              <w:right w:w="0" w:type="dxa"/>
            </w:tcMar>
            <w:hideMark/>
          </w:tcPr>
          <w:p w14:paraId="0CC3D695" w14:textId="1D29876B" w:rsidR="008E778C" w:rsidRPr="00500D1E" w:rsidRDefault="00301E3E"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Chakraborty &amp; Kumar (2026); </w:t>
            </w:r>
            <w:r w:rsidR="008E778C" w:rsidRPr="00500D1E">
              <w:rPr>
                <w:rFonts w:ascii="Times New Roman" w:eastAsia="Times New Roman" w:hAnsi="Times New Roman" w:cs="Times New Roman"/>
                <w:kern w:val="0"/>
                <w:lang w:eastAsia="en-MY"/>
                <w14:ligatures w14:val="none"/>
              </w:rPr>
              <w:t>Chen &amp; Dong (2025); Fang et al. (2023)</w:t>
            </w:r>
          </w:p>
        </w:tc>
      </w:tr>
    </w:tbl>
    <w:p w14:paraId="43651809" w14:textId="5D4B98F1"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5. E</w:t>
      </w:r>
      <w:r w:rsidR="00C85BDB">
        <w:rPr>
          <w:rFonts w:ascii="Times New Roman" w:eastAsia="Times New Roman" w:hAnsi="Times New Roman" w:cs="Times New Roman"/>
          <w:b/>
          <w:bCs/>
          <w:color w:val="0F1115"/>
          <w:kern w:val="0"/>
          <w:sz w:val="28"/>
          <w:szCs w:val="28"/>
          <w:lang w:eastAsia="en-MY"/>
          <w14:ligatures w14:val="none"/>
        </w:rPr>
        <w:t>MPIRICAL REVIEW</w:t>
      </w:r>
    </w:p>
    <w:p w14:paraId="1857F4B4"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5.1 AI and Institutional Dynamics</w:t>
      </w:r>
    </w:p>
    <w:p w14:paraId="0153524B" w14:textId="47493756"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A substantial stream of research examines AI through </w:t>
      </w:r>
      <w:r w:rsidR="007B61B9" w:rsidRPr="00500D1E">
        <w:rPr>
          <w:rFonts w:ascii="Times New Roman" w:eastAsia="Times New Roman" w:hAnsi="Times New Roman" w:cs="Times New Roman"/>
          <w:kern w:val="0"/>
          <w:lang w:eastAsia="en-MY"/>
          <w14:ligatures w14:val="none"/>
        </w:rPr>
        <w:t>the lens of institutional theory</w:t>
      </w:r>
      <w:r w:rsidRPr="00500D1E">
        <w:rPr>
          <w:rFonts w:ascii="Times New Roman" w:eastAsia="Times New Roman" w:hAnsi="Times New Roman" w:cs="Times New Roman"/>
          <w:kern w:val="0"/>
          <w:lang w:eastAsia="en-MY"/>
          <w14:ligatures w14:val="none"/>
        </w:rPr>
        <w:t xml:space="preserve">. Rudko et al. (2025) provide a foundational theoretical analysis, arguing that new institutionalism offers resources for understanding AI as both </w:t>
      </w:r>
      <w:r w:rsidR="007B61B9" w:rsidRPr="00500D1E">
        <w:rPr>
          <w:rFonts w:ascii="Times New Roman" w:eastAsia="Times New Roman" w:hAnsi="Times New Roman" w:cs="Times New Roman"/>
          <w:kern w:val="0"/>
          <w:lang w:eastAsia="en-MY"/>
          <w14:ligatures w14:val="none"/>
        </w:rPr>
        <w:t xml:space="preserve">a product and a </w:t>
      </w:r>
      <w:r w:rsidRPr="00500D1E">
        <w:rPr>
          <w:rFonts w:ascii="Times New Roman" w:eastAsia="Times New Roman" w:hAnsi="Times New Roman" w:cs="Times New Roman"/>
          <w:kern w:val="0"/>
          <w:lang w:eastAsia="en-MY"/>
          <w14:ligatures w14:val="none"/>
        </w:rPr>
        <w:t xml:space="preserve">producer of institutional forces. They formulate research questions </w:t>
      </w:r>
      <w:r w:rsidR="007B61B9" w:rsidRPr="00500D1E">
        <w:rPr>
          <w:rFonts w:ascii="Times New Roman" w:eastAsia="Times New Roman" w:hAnsi="Times New Roman" w:cs="Times New Roman"/>
          <w:kern w:val="0"/>
          <w:lang w:eastAsia="en-MY"/>
          <w14:ligatures w14:val="none"/>
        </w:rPr>
        <w:t>that address AI's institutional significance, including how AI technologies are</w:t>
      </w:r>
      <w:r w:rsidRPr="00500D1E">
        <w:rPr>
          <w:rFonts w:ascii="Times New Roman" w:eastAsia="Times New Roman" w:hAnsi="Times New Roman" w:cs="Times New Roman"/>
          <w:kern w:val="0"/>
          <w:lang w:eastAsia="en-MY"/>
          <w14:ligatures w14:val="none"/>
        </w:rPr>
        <w:t xml:space="preserve"> legitimized and how they reconfigure institutional environments.</w:t>
      </w:r>
    </w:p>
    <w:p w14:paraId="7488C3DC" w14:textId="77810338"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Reis and Pinheiro (2025) integrate institutional theory with diffusion of innovation theory to understand AI adoption, demonstrating how coercive, normative, and mimetic pressures drive organizational conformity. Their theoretical framework distinguishes </w:t>
      </w:r>
      <w:r w:rsidR="007B61B9" w:rsidRPr="00500D1E">
        <w:rPr>
          <w:rFonts w:ascii="Times New Roman" w:eastAsia="Times New Roman" w:hAnsi="Times New Roman" w:cs="Times New Roman"/>
          <w:kern w:val="0"/>
          <w:lang w:eastAsia="en-MY"/>
          <w14:ligatures w14:val="none"/>
        </w:rPr>
        <w:t>among adopter categories (innovators, followers, traditionalists) and emphasizes how perceived attributes of innovation</w:t>
      </w:r>
      <w:r w:rsidRPr="00500D1E">
        <w:rPr>
          <w:rFonts w:ascii="Times New Roman" w:eastAsia="Times New Roman" w:hAnsi="Times New Roman" w:cs="Times New Roman"/>
          <w:kern w:val="0"/>
          <w:lang w:eastAsia="en-MY"/>
          <w14:ligatures w14:val="none"/>
        </w:rPr>
        <w:t xml:space="preserve"> interact with institutional pressures.</w:t>
      </w:r>
    </w:p>
    <w:p w14:paraId="3DCECD1A"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Empirical studies support and extend these theoretical claims. Zhang et al. (2025) find that institutional pressures positively influence generative AI adoption in enterprise digital platforms, with policy uncertainty and innovative culture moderating these relationships. Liyanage et al. (2025) reveal the rhetorical power of "AI" in convincing management to embrace the technology, while documenting a "noticeable discrepancy between the buzz surrounding AI and its actual use."</w:t>
      </w:r>
    </w:p>
    <w:p w14:paraId="419F3F54" w14:textId="033D0C0C"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Fang et al. (2023) identify three institutional logics</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expertise, accessibility, and efficiency</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that guide legal professionals' understanding and use of intelligent technologies. Their analysis reveals contradictory attitudes and logics, suggesting that institutional logics shape but do not determine professionals' engagement with AI.</w:t>
      </w:r>
    </w:p>
    <w:p w14:paraId="154D4E0A" w14:textId="40A68160"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Chakraborty and Kumar (2026) examine how healthcare organizations respond to regulatory ambiguity regarding generative AI, finding that organizations build three forms of trust</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ability trust, benevolence trust, and integrity trust</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to secure different forms of legitimacy. Their study positions trust as "an active governance mechanism rather than an abstract relational quality."</w:t>
      </w:r>
    </w:p>
    <w:p w14:paraId="51B784E9"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5.2 AI as Economic Agent</w:t>
      </w:r>
    </w:p>
    <w:p w14:paraId="0872D017" w14:textId="1DBF18B3"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A second stream theorizes AI through economic and strategic lenses. Humberd and Latham (2026) offer the most explicit theorization of AI as </w:t>
      </w:r>
      <w:r w:rsidR="007B61B9" w:rsidRPr="00500D1E">
        <w:rPr>
          <w:rFonts w:ascii="Times New Roman" w:eastAsia="Times New Roman" w:hAnsi="Times New Roman" w:cs="Times New Roman"/>
          <w:kern w:val="0"/>
          <w:lang w:eastAsia="en-MY"/>
          <w14:ligatures w14:val="none"/>
        </w:rPr>
        <w:t xml:space="preserve">an </w:t>
      </w:r>
      <w:r w:rsidRPr="00500D1E">
        <w:rPr>
          <w:rFonts w:ascii="Times New Roman" w:eastAsia="Times New Roman" w:hAnsi="Times New Roman" w:cs="Times New Roman"/>
          <w:kern w:val="0"/>
          <w:lang w:eastAsia="en-MY"/>
          <w14:ligatures w14:val="none"/>
        </w:rPr>
        <w:t>organizational agent, extending agency theory to conceptualize AI as potentially achieving "a level of autonomy and self-determination to be considered an agent of the firm." They theorize specific forms of monitoring and incentive alignment that might align AI agents with firm interests.</w:t>
      </w:r>
    </w:p>
    <w:p w14:paraId="37A5B5FB" w14:textId="0CCAD0E8"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Chatterjee et al. (2021) combine institutional theory and </w:t>
      </w:r>
      <w:r w:rsidR="007B61B9" w:rsidRPr="00500D1E">
        <w:rPr>
          <w:rFonts w:ascii="Times New Roman" w:eastAsia="Times New Roman" w:hAnsi="Times New Roman" w:cs="Times New Roman"/>
          <w:kern w:val="0"/>
          <w:lang w:eastAsia="en-MY"/>
          <w14:ligatures w14:val="none"/>
        </w:rPr>
        <w:t>the resource-based view to examine AI-based customer relationship management, finding that AI-CRM affects firm performance,</w:t>
      </w:r>
      <w:r w:rsidRPr="00500D1E">
        <w:rPr>
          <w:rFonts w:ascii="Times New Roman" w:eastAsia="Times New Roman" w:hAnsi="Times New Roman" w:cs="Times New Roman"/>
          <w:kern w:val="0"/>
          <w:lang w:eastAsia="en-MY"/>
          <w14:ligatures w14:val="none"/>
        </w:rPr>
        <w:t xml:space="preserve"> with variations by firm size, age, and industry. Their study positions AI as a strategic resource that can generate </w:t>
      </w:r>
      <w:r w:rsidR="007B61B9" w:rsidRPr="00500D1E">
        <w:rPr>
          <w:rFonts w:ascii="Times New Roman" w:eastAsia="Times New Roman" w:hAnsi="Times New Roman" w:cs="Times New Roman"/>
          <w:kern w:val="0"/>
          <w:lang w:eastAsia="en-MY"/>
          <w14:ligatures w14:val="none"/>
        </w:rPr>
        <w:t xml:space="preserve">a </w:t>
      </w:r>
      <w:r w:rsidRPr="00500D1E">
        <w:rPr>
          <w:rFonts w:ascii="Times New Roman" w:eastAsia="Times New Roman" w:hAnsi="Times New Roman" w:cs="Times New Roman"/>
          <w:kern w:val="0"/>
          <w:lang w:eastAsia="en-MY"/>
          <w14:ligatures w14:val="none"/>
        </w:rPr>
        <w:t>competitive advantage when properly implemented.</w:t>
      </w:r>
    </w:p>
    <w:p w14:paraId="6B433DCA"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Bag et al. (2021) integrate institutional theory and resource-based view to understand big data analytics-powered AI adoption, revealing how institutional pressures shape resource configuration and technology enablement. Sposato and Dittmar (2026) identify four drivers enabling resource-constrained SMEs to overcome adoption barriers: strategic synchronization, leadership commitment, technology sensing, and institutional bridging.</w:t>
      </w:r>
    </w:p>
    <w:p w14:paraId="0DA665E6"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Chen and Dong (2025) examine AI capabilities and export performance, finding that AI serves as "an intermediary institutional mechanism" connecting home-country institutional context with host-country cultural environment. Their study reveals that AI's performance effects vary with provincial market development and cultural distance.</w:t>
      </w:r>
    </w:p>
    <w:p w14:paraId="439FD13E"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5.3 Socio-material Perspectives on AI Agency</w:t>
      </w:r>
    </w:p>
    <w:p w14:paraId="652B0333" w14:textId="6DA57662" w:rsidR="008E778C" w:rsidRPr="00500D1E" w:rsidRDefault="00197B29"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V</w:t>
      </w:r>
      <w:r w:rsidR="008E778C" w:rsidRPr="00500D1E">
        <w:rPr>
          <w:rFonts w:ascii="Times New Roman" w:eastAsia="Times New Roman" w:hAnsi="Times New Roman" w:cs="Times New Roman"/>
          <w:kern w:val="0"/>
          <w:lang w:eastAsia="en-MY"/>
          <w14:ligatures w14:val="none"/>
        </w:rPr>
        <w:t>an Rijmenam and Logue (2021) advance understanding of AI agency through sociomateriality and actor-network theory, arguing that AI's fundamental difference from and similarity to human agency challenge existing organization theory. They explore implications for sociomateriality, actor-network theory, institutional theory, and behavioral theory of the firm.</w:t>
      </w:r>
    </w:p>
    <w:p w14:paraId="3E26A6E6" w14:textId="2E5779CC"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Leavitt et al. (2021) examine machine learning's epistemological opportunities for organization theory, mapping machine learning forms onto research modes: supervised learning to deductive research, reinforcement learning to abductive</w:t>
      </w:r>
      <w:r w:rsidR="00AB0051" w:rsidRPr="00500D1E">
        <w:rPr>
          <w:rFonts w:ascii="Times New Roman" w:eastAsia="Times New Roman" w:hAnsi="Times New Roman" w:cs="Times New Roman"/>
          <w:kern w:val="0"/>
          <w:lang w:eastAsia="en-MY"/>
          <w14:ligatures w14:val="none"/>
        </w:rPr>
        <w:t xml:space="preserve"> research, and unsupervised learning to inductive research</w:t>
      </w:r>
      <w:r w:rsidRPr="00500D1E">
        <w:rPr>
          <w:rFonts w:ascii="Times New Roman" w:eastAsia="Times New Roman" w:hAnsi="Times New Roman" w:cs="Times New Roman"/>
          <w:kern w:val="0"/>
          <w:lang w:eastAsia="en-MY"/>
          <w14:ligatures w14:val="none"/>
        </w:rPr>
        <w:t>. They propose that machine learning can "test and prune midrange theory" and "expand the explanatory spectrum that theory can inhabit."</w:t>
      </w:r>
    </w:p>
    <w:p w14:paraId="6BDDAA8E" w14:textId="09122EDA"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Phillips (2026) offers a critical assessment of mainstream organization theory's neglect of intelligent technologies, examining institutional theory, organizational identity, and sensemaking as areas </w:t>
      </w:r>
      <w:r w:rsidR="00E95B9C">
        <w:rPr>
          <w:rFonts w:ascii="Times New Roman" w:eastAsia="Times New Roman" w:hAnsi="Times New Roman" w:cs="Times New Roman"/>
          <w:kern w:val="0"/>
          <w:lang w:eastAsia="en-MY"/>
          <w14:ligatures w14:val="none"/>
        </w:rPr>
        <w:t>that have not been sufficiently</w:t>
      </w:r>
      <w:r w:rsidRPr="00500D1E">
        <w:rPr>
          <w:rFonts w:ascii="Times New Roman" w:eastAsia="Times New Roman" w:hAnsi="Times New Roman" w:cs="Times New Roman"/>
          <w:kern w:val="0"/>
          <w:lang w:eastAsia="en-MY"/>
          <w14:ligatures w14:val="none"/>
        </w:rPr>
        <w:t xml:space="preserve"> updated to reflect technology's centrality. He identifies causes</w:t>
      </w:r>
      <w:r w:rsidR="00E95B9C">
        <w:rPr>
          <w:rFonts w:ascii="Times New Roman" w:eastAsia="Times New Roman" w:hAnsi="Times New Roman" w:cs="Times New Roman"/>
          <w:kern w:val="0"/>
          <w:lang w:eastAsia="en-MY"/>
          <w14:ligatures w14:val="none"/>
        </w:rPr>
        <w:t>,</w:t>
      </w:r>
      <w:r w:rsidRPr="00500D1E">
        <w:rPr>
          <w:rFonts w:ascii="Times New Roman" w:eastAsia="Times New Roman" w:hAnsi="Times New Roman" w:cs="Times New Roman"/>
          <w:kern w:val="0"/>
          <w:lang w:eastAsia="en-MY"/>
          <w14:ligatures w14:val="none"/>
        </w:rPr>
        <w:t xml:space="preserve"> including technology's historical framing as exogenous and scholars' lack of </w:t>
      </w:r>
      <w:r w:rsidR="00E95B9C">
        <w:rPr>
          <w:rFonts w:ascii="Times New Roman" w:eastAsia="Times New Roman" w:hAnsi="Times New Roman" w:cs="Times New Roman"/>
          <w:kern w:val="0"/>
          <w:lang w:eastAsia="en-MY"/>
          <w14:ligatures w14:val="none"/>
        </w:rPr>
        <w:t>interest in technology</w:t>
      </w:r>
      <w:r w:rsidRPr="00500D1E">
        <w:rPr>
          <w:rFonts w:ascii="Times New Roman" w:eastAsia="Times New Roman" w:hAnsi="Times New Roman" w:cs="Times New Roman"/>
          <w:kern w:val="0"/>
          <w:lang w:eastAsia="en-MY"/>
          <w14:ligatures w14:val="none"/>
        </w:rPr>
        <w:t>.</w:t>
      </w:r>
    </w:p>
    <w:p w14:paraId="31E50418"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lastRenderedPageBreak/>
        <w:t>5.4 Ethics, Trust, and Legitimacy</w:t>
      </w:r>
    </w:p>
    <w:p w14:paraId="39DAE5F6" w14:textId="007A890C"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A fourth stream addresses normative dimensions of AI organizational actorhood. Du and Xie (2021) delineate three dimensions of AI-enabled products with ethical implications</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multi-functionality, interactivity, and intelligence stage</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and develop a multi-layered ethical analysis at product, consumer, and society levels. Their conceptual framework on AI-related corporate social responsibility highlights </w:t>
      </w:r>
      <w:r w:rsidR="007B61B9" w:rsidRPr="00500D1E">
        <w:rPr>
          <w:rFonts w:ascii="Times New Roman" w:eastAsia="Times New Roman" w:hAnsi="Times New Roman" w:cs="Times New Roman"/>
          <w:kern w:val="0"/>
          <w:lang w:eastAsia="en-MY"/>
          <w14:ligatures w14:val="none"/>
        </w:rPr>
        <w:t>the factors that influence</w:t>
      </w:r>
      <w:r w:rsidRPr="00500D1E">
        <w:rPr>
          <w:rFonts w:ascii="Times New Roman" w:eastAsia="Times New Roman" w:hAnsi="Times New Roman" w:cs="Times New Roman"/>
          <w:kern w:val="0"/>
          <w:lang w:eastAsia="en-MY"/>
          <w14:ligatures w14:val="none"/>
        </w:rPr>
        <w:t xml:space="preserve"> firms' socially responsible actions.</w:t>
      </w:r>
    </w:p>
    <w:p w14:paraId="1DB4CEA8" w14:textId="04DD35A9"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Schilke and Reimann (2025) examine the "transparency dilemma," finding</w:t>
      </w:r>
      <w:r w:rsidR="00E95B9C">
        <w:rPr>
          <w:rFonts w:ascii="Times New Roman" w:eastAsia="Times New Roman" w:hAnsi="Times New Roman" w:cs="Times New Roman"/>
          <w:kern w:val="0"/>
          <w:lang w:eastAsia="en-MY"/>
          <w14:ligatures w14:val="none"/>
        </w:rPr>
        <w:t xml:space="preserve">, across 13 experiments, that actors who disclose their use of AI </w:t>
      </w:r>
      <w:r w:rsidRPr="00500D1E">
        <w:rPr>
          <w:rFonts w:ascii="Times New Roman" w:eastAsia="Times New Roman" w:hAnsi="Times New Roman" w:cs="Times New Roman"/>
          <w:kern w:val="0"/>
          <w:lang w:eastAsia="en-MY"/>
          <w14:ligatures w14:val="none"/>
        </w:rPr>
        <w:t xml:space="preserve">are trusted less than those who do not. Drawing on micro-institutional theory, they explain this effect through reduced </w:t>
      </w:r>
      <w:r w:rsidR="007B61B9" w:rsidRPr="00500D1E">
        <w:rPr>
          <w:rFonts w:ascii="Times New Roman" w:eastAsia="Times New Roman" w:hAnsi="Times New Roman" w:cs="Times New Roman"/>
          <w:kern w:val="0"/>
          <w:lang w:eastAsia="en-MY"/>
          <w14:ligatures w14:val="none"/>
        </w:rPr>
        <w:t>perceptions of legitimacy</w:t>
      </w:r>
      <w:r w:rsidRPr="00500D1E">
        <w:rPr>
          <w:rFonts w:ascii="Times New Roman" w:eastAsia="Times New Roman" w:hAnsi="Times New Roman" w:cs="Times New Roman"/>
          <w:kern w:val="0"/>
          <w:lang w:eastAsia="en-MY"/>
          <w14:ligatures w14:val="none"/>
        </w:rPr>
        <w:t>, demonstrating that transparency is not straightforwardly beneficial.</w:t>
      </w:r>
    </w:p>
    <w:p w14:paraId="3C68D707" w14:textId="7C4138A4"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Rana et al. (2024) assess </w:t>
      </w:r>
      <w:r w:rsidR="007B61B9" w:rsidRPr="00500D1E">
        <w:rPr>
          <w:rFonts w:ascii="Times New Roman" w:eastAsia="Times New Roman" w:hAnsi="Times New Roman" w:cs="Times New Roman"/>
          <w:kern w:val="0"/>
          <w:lang w:eastAsia="en-MY"/>
          <w14:ligatures w14:val="none"/>
        </w:rPr>
        <w:t>the nexus between generative AI adoption and</w:t>
      </w:r>
      <w:r w:rsidRPr="00500D1E">
        <w:rPr>
          <w:rFonts w:ascii="Times New Roman" w:eastAsia="Times New Roman" w:hAnsi="Times New Roman" w:cs="Times New Roman"/>
          <w:kern w:val="0"/>
          <w:lang w:eastAsia="en-MY"/>
          <w14:ligatures w14:val="none"/>
        </w:rPr>
        <w:t xml:space="preserve"> ethical considerations, finding that institutional pressures (coercive, normative, mimetic) and ethical principles (fairness, accountability, transparency, accuracy, autonomy) influence </w:t>
      </w:r>
      <w:r w:rsidR="00AB0051" w:rsidRPr="00500D1E">
        <w:rPr>
          <w:rFonts w:ascii="Times New Roman" w:eastAsia="Times New Roman" w:hAnsi="Times New Roman" w:cs="Times New Roman"/>
          <w:kern w:val="0"/>
          <w:lang w:eastAsia="en-MY"/>
          <w14:ligatures w14:val="none"/>
        </w:rPr>
        <w:t>the use of GenAI</w:t>
      </w:r>
      <w:r w:rsidRPr="00500D1E">
        <w:rPr>
          <w:rFonts w:ascii="Times New Roman" w:eastAsia="Times New Roman" w:hAnsi="Times New Roman" w:cs="Times New Roman"/>
          <w:kern w:val="0"/>
          <w:lang w:eastAsia="en-MY"/>
          <w14:ligatures w14:val="none"/>
        </w:rPr>
        <w:t>. Organizational innovativeness moderates the relationship between AI use and performance.</w:t>
      </w:r>
    </w:p>
    <w:p w14:paraId="1D0DF2C6" w14:textId="1207BF3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Alibasic (2025) develops a multi-paradigm ethical framework for hybrid intelligence in blockchain governance, integrating complexity </w:t>
      </w:r>
      <w:r w:rsidR="00AB0051" w:rsidRPr="00500D1E">
        <w:rPr>
          <w:rFonts w:ascii="Times New Roman" w:eastAsia="Times New Roman" w:hAnsi="Times New Roman" w:cs="Times New Roman"/>
          <w:kern w:val="0"/>
          <w:lang w:eastAsia="en-MY"/>
          <w14:ligatures w14:val="none"/>
        </w:rPr>
        <w:t xml:space="preserve">and institutional theories to address the </w:t>
      </w:r>
      <w:r w:rsidRPr="00500D1E">
        <w:rPr>
          <w:rFonts w:ascii="Times New Roman" w:eastAsia="Times New Roman" w:hAnsi="Times New Roman" w:cs="Times New Roman"/>
          <w:kern w:val="0"/>
          <w:lang w:eastAsia="en-MY"/>
          <w14:ligatures w14:val="none"/>
        </w:rPr>
        <w:t>ethical dimensions of human-AI decision-making in decentralized systems.</w:t>
      </w:r>
    </w:p>
    <w:p w14:paraId="3B27577E"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5.5 Adoption Barriers and Enablers</w:t>
      </w:r>
    </w:p>
    <w:p w14:paraId="6F545423" w14:textId="361AC80D"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Several studies examine factors shaping AI adoption and implementation. Das et al. (2026) identify ten barriers to AI adoption in personalized marketing, using interpretive structural modeling to reveal hierarchical relationships</w:t>
      </w:r>
      <w:r w:rsidR="007B61B9" w:rsidRPr="00500D1E">
        <w:rPr>
          <w:rFonts w:ascii="Times New Roman" w:eastAsia="Times New Roman" w:hAnsi="Times New Roman" w:cs="Times New Roman"/>
          <w:kern w:val="0"/>
          <w:lang w:eastAsia="en-MY"/>
          <w14:ligatures w14:val="none"/>
        </w:rPr>
        <w:t>,</w:t>
      </w:r>
      <w:r w:rsidRPr="00500D1E">
        <w:rPr>
          <w:rFonts w:ascii="Times New Roman" w:eastAsia="Times New Roman" w:hAnsi="Times New Roman" w:cs="Times New Roman"/>
          <w:kern w:val="0"/>
          <w:lang w:eastAsia="en-MY"/>
          <w14:ligatures w14:val="none"/>
        </w:rPr>
        <w:t xml:space="preserve"> positioning infrastructure and cost constraints as root drivers and ROI uncertainty as dependent outcomes.</w:t>
      </w:r>
    </w:p>
    <w:p w14:paraId="112CBAFA" w14:textId="326BDB01"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Islam et al. (2026) explore </w:t>
      </w:r>
      <w:r w:rsidR="007B61B9" w:rsidRPr="00500D1E">
        <w:rPr>
          <w:rFonts w:ascii="Times New Roman" w:eastAsia="Times New Roman" w:hAnsi="Times New Roman" w:cs="Times New Roman"/>
          <w:kern w:val="0"/>
          <w:lang w:eastAsia="en-MY"/>
          <w14:ligatures w14:val="none"/>
        </w:rPr>
        <w:t>barriers to agentic AI adoption in Bangladeshi SMEs, identifying eight,</w:t>
      </w:r>
      <w:r w:rsidRPr="00500D1E">
        <w:rPr>
          <w:rFonts w:ascii="Times New Roman" w:eastAsia="Times New Roman" w:hAnsi="Times New Roman" w:cs="Times New Roman"/>
          <w:kern w:val="0"/>
          <w:lang w:eastAsia="en-MY"/>
          <w14:ligatures w14:val="none"/>
        </w:rPr>
        <w:t xml:space="preserve"> including slow internet speeds, limited knowledge, inadequate infrastructure, and political instability. They propose solutions spanning awareness programs, infrastructure development, and public-private partnerships.</w:t>
      </w:r>
    </w:p>
    <w:p w14:paraId="7C0DD0D3" w14:textId="0B02C60E"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Arias-Pérez et al. (2023) examine co-innovation in digital platforms and </w:t>
      </w:r>
      <w:r w:rsidR="007B61B9" w:rsidRPr="00500D1E">
        <w:rPr>
          <w:rFonts w:ascii="Times New Roman" w:eastAsia="Times New Roman" w:hAnsi="Times New Roman" w:cs="Times New Roman"/>
          <w:kern w:val="0"/>
          <w:lang w:eastAsia="en-MY"/>
          <w14:ligatures w14:val="none"/>
        </w:rPr>
        <w:t>the role of business analytics capability</w:t>
      </w:r>
      <w:r w:rsidRPr="00500D1E">
        <w:rPr>
          <w:rFonts w:ascii="Times New Roman" w:eastAsia="Times New Roman" w:hAnsi="Times New Roman" w:cs="Times New Roman"/>
          <w:kern w:val="0"/>
          <w:lang w:eastAsia="en-MY"/>
          <w14:ligatures w14:val="none"/>
        </w:rPr>
        <w:t xml:space="preserve"> in organizational agility, finding that external pressure for AI adoption positively moderates the relationship between analytics capability and agility</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contradicting expectations that institutional pressures disrupt technical integration.</w:t>
      </w:r>
    </w:p>
    <w:p w14:paraId="39111DD9" w14:textId="31F63070"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Bag et al. (2023) integrate institutional theory and </w:t>
      </w:r>
      <w:r w:rsidR="007B61B9" w:rsidRPr="00500D1E">
        <w:rPr>
          <w:rFonts w:ascii="Times New Roman" w:eastAsia="Times New Roman" w:hAnsi="Times New Roman" w:cs="Times New Roman"/>
          <w:kern w:val="0"/>
          <w:lang w:eastAsia="en-MY"/>
          <w14:ligatures w14:val="none"/>
        </w:rPr>
        <w:t xml:space="preserve">the </w:t>
      </w:r>
      <w:r w:rsidRPr="00500D1E">
        <w:rPr>
          <w:rFonts w:ascii="Times New Roman" w:eastAsia="Times New Roman" w:hAnsi="Times New Roman" w:cs="Times New Roman"/>
          <w:kern w:val="0"/>
          <w:lang w:eastAsia="en-MY"/>
          <w14:ligatures w14:val="none"/>
        </w:rPr>
        <w:t>dynamic capability view to examine climate change adaptation capability and firm performance, finding that marketing capability partially mediates this relationship.</w:t>
      </w:r>
    </w:p>
    <w:p w14:paraId="47DF20A4" w14:textId="1B128FE6"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 xml:space="preserve">6. </w:t>
      </w:r>
      <w:r w:rsidR="00C85BDB">
        <w:rPr>
          <w:rFonts w:ascii="Times New Roman" w:eastAsia="Times New Roman" w:hAnsi="Times New Roman" w:cs="Times New Roman"/>
          <w:b/>
          <w:bCs/>
          <w:color w:val="0F1115"/>
          <w:kern w:val="0"/>
          <w:sz w:val="28"/>
          <w:szCs w:val="28"/>
          <w:lang w:eastAsia="en-MY"/>
          <w14:ligatures w14:val="none"/>
        </w:rPr>
        <w:t>METHODOLOGY</w:t>
      </w:r>
    </w:p>
    <w:p w14:paraId="55F41FD9"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6.1 Research Design</w:t>
      </w:r>
    </w:p>
    <w:p w14:paraId="1176B3BB" w14:textId="6ACEB74C"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 xml:space="preserve">This study employs a narrative review methodology, appropriate for synthesizing theoretical and conceptual literature to develop </w:t>
      </w:r>
      <w:r w:rsidR="00AB0051" w:rsidRPr="00500D1E">
        <w:rPr>
          <w:rFonts w:ascii="Times New Roman" w:eastAsia="Times New Roman" w:hAnsi="Times New Roman" w:cs="Times New Roman"/>
          <w:kern w:val="0"/>
          <w:lang w:eastAsia="en-MY"/>
          <w14:ligatures w14:val="none"/>
        </w:rPr>
        <w:t xml:space="preserve">an </w:t>
      </w:r>
      <w:r w:rsidRPr="00500D1E">
        <w:rPr>
          <w:rFonts w:ascii="Times New Roman" w:eastAsia="Times New Roman" w:hAnsi="Times New Roman" w:cs="Times New Roman"/>
          <w:kern w:val="0"/>
          <w:lang w:eastAsia="en-MY"/>
          <w14:ligatures w14:val="none"/>
        </w:rPr>
        <w:t>integrated understanding of a multifaceted phenomenon (Torraco, 2016). Narrative reviews are particularly suited to topics where theoretical development is nascent and fragmented, enabling critical synthesis across diverse traditions</w:t>
      </w:r>
      <w:r w:rsidR="004977B7">
        <w:rPr>
          <w:rFonts w:ascii="Times New Roman" w:eastAsia="Times New Roman" w:hAnsi="Times New Roman" w:cs="Times New Roman"/>
          <w:kern w:val="0"/>
          <w:lang w:eastAsia="en-MY"/>
          <w14:ligatures w14:val="none"/>
        </w:rPr>
        <w:t xml:space="preserve"> (Baharom, 2025)</w:t>
      </w:r>
      <w:r w:rsidRPr="00500D1E">
        <w:rPr>
          <w:rFonts w:ascii="Times New Roman" w:eastAsia="Times New Roman" w:hAnsi="Times New Roman" w:cs="Times New Roman"/>
          <w:kern w:val="0"/>
          <w:lang w:eastAsia="en-MY"/>
          <w14:ligatures w14:val="none"/>
        </w:rPr>
        <w:t>.</w:t>
      </w:r>
    </w:p>
    <w:p w14:paraId="11D9D5FE"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6.2 Search Strategy</w:t>
      </w:r>
    </w:p>
    <w:p w14:paraId="6CF32891"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A systematic search of Web of Science was conducted in March 2026 using the following search string:</w:t>
      </w:r>
    </w:p>
    <w:p w14:paraId="06254020" w14:textId="12028C06" w:rsidR="008E778C" w:rsidRPr="00500D1E" w:rsidRDefault="008E778C" w:rsidP="005E3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i/>
          <w:iCs/>
          <w:kern w:val="0"/>
          <w:lang w:eastAsia="en-MY"/>
          <w14:ligatures w14:val="none"/>
        </w:rPr>
      </w:pPr>
      <w:r w:rsidRPr="00500D1E">
        <w:rPr>
          <w:rFonts w:ascii="Times New Roman" w:eastAsia="Times New Roman" w:hAnsi="Times New Roman" w:cs="Times New Roman"/>
          <w:i/>
          <w:iCs/>
          <w:kern w:val="0"/>
          <w:lang w:eastAsia="en-MY"/>
          <w14:ligatures w14:val="none"/>
        </w:rPr>
        <w:t>("artificial intelligence" OR "AI" OR "machine learning" OR "algorithmic decision making") AND ("organization*") AND ("institutional theory" OR "organizational theory")</w:t>
      </w:r>
    </w:p>
    <w:p w14:paraId="5E19CD8F"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This string was designed to capture literature at the intersection of AI and organization theory while remaining sensitive to diverse theoretical framings.</w:t>
      </w:r>
    </w:p>
    <w:p w14:paraId="1EEFE129"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6.3 Inclusion Criteria</w:t>
      </w:r>
    </w:p>
    <w:p w14:paraId="739D9F2F"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Studies were included if they met the following criteria:</w:t>
      </w:r>
    </w:p>
    <w:p w14:paraId="00F0BE3F" w14:textId="77777777" w:rsidR="008E778C" w:rsidRPr="00500D1E" w:rsidRDefault="008E778C" w:rsidP="005E30CC">
      <w:pPr>
        <w:numPr>
          <w:ilvl w:val="0"/>
          <w:numId w:val="3"/>
        </w:numPr>
        <w:shd w:val="clear" w:color="auto" w:fill="FFFFFF"/>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Document type: Article or review article</w:t>
      </w:r>
    </w:p>
    <w:p w14:paraId="2EBF2738" w14:textId="77777777" w:rsidR="008E778C" w:rsidRPr="00500D1E" w:rsidRDefault="008E778C" w:rsidP="005E30CC">
      <w:pPr>
        <w:numPr>
          <w:ilvl w:val="0"/>
          <w:numId w:val="3"/>
        </w:numPr>
        <w:shd w:val="clear" w:color="auto" w:fill="FFFFFF"/>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Web of Science categories: Management, Business, Business Finance, or Economics</w:t>
      </w:r>
    </w:p>
    <w:p w14:paraId="765048E3" w14:textId="77777777" w:rsidR="008E778C" w:rsidRPr="00500D1E" w:rsidRDefault="008E778C" w:rsidP="005E30CC">
      <w:pPr>
        <w:numPr>
          <w:ilvl w:val="0"/>
          <w:numId w:val="3"/>
        </w:numPr>
        <w:shd w:val="clear" w:color="auto" w:fill="FFFFFF"/>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Language: English</w:t>
      </w:r>
    </w:p>
    <w:p w14:paraId="010924FE" w14:textId="77777777" w:rsidR="008E778C" w:rsidRPr="00500D1E" w:rsidRDefault="008E778C" w:rsidP="005E30CC">
      <w:pPr>
        <w:numPr>
          <w:ilvl w:val="0"/>
          <w:numId w:val="3"/>
        </w:numPr>
        <w:shd w:val="clear" w:color="auto" w:fill="FFFFFF"/>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Publication years: 2020–2026</w:t>
      </w:r>
    </w:p>
    <w:p w14:paraId="56DCCB29" w14:textId="77777777" w:rsidR="008E778C" w:rsidRPr="00500D1E" w:rsidRDefault="008E778C" w:rsidP="005E30CC">
      <w:pPr>
        <w:numPr>
          <w:ilvl w:val="0"/>
          <w:numId w:val="3"/>
        </w:numPr>
        <w:shd w:val="clear" w:color="auto" w:fill="FFFFFF"/>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Relevance: Explicit or implicit theorization of AI's role in organizations</w:t>
      </w:r>
    </w:p>
    <w:p w14:paraId="6F6AC826"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6.4 Screening and Selection</w:t>
      </w:r>
    </w:p>
    <w:p w14:paraId="6E8D4074"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initial search yielded 93 articles. After applying inclusion criteria and removing duplicates, 47 articles were retained for analysis. The selection process followed PRISMA guidelines, with screening based on titles and abstracts, followed by full-text assessment for theoretical relevance.</w:t>
      </w:r>
    </w:p>
    <w:p w14:paraId="3BEE9CA6"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6.5 Data Extraction and Analysis</w:t>
      </w:r>
    </w:p>
    <w:p w14:paraId="4BFC658B"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Data were extracted using a standardized template capturing authors, publication year, journal, theoretical framework, key concepts, empirical context (if applicable), and main theoretical contributions. Analysis employed thematic synthesis, iteratively coding and categorizing theoretical themes across the literature. The analysis was guided by the research question and sensitizing concepts from institutional theory, agency theory, and sociomateriality.</w:t>
      </w:r>
    </w:p>
    <w:p w14:paraId="52D1C1CC" w14:textId="038D9030" w:rsidR="008E778C" w:rsidRPr="00500D1E" w:rsidRDefault="008E778C" w:rsidP="005E30CC">
      <w:pPr>
        <w:shd w:val="clear" w:color="auto" w:fill="FFFFFF"/>
        <w:spacing w:before="480" w:after="240" w:line="240" w:lineRule="auto"/>
        <w:jc w:val="both"/>
        <w:outlineLvl w:val="1"/>
        <w:rPr>
          <w:rFonts w:ascii="Times New Roman" w:eastAsia="Times New Roman" w:hAnsi="Times New Roman" w:cs="Times New Roman"/>
          <w:b/>
          <w:bCs/>
          <w:kern w:val="0"/>
          <w:sz w:val="28"/>
          <w:szCs w:val="28"/>
          <w:lang w:eastAsia="en-MY"/>
          <w14:ligatures w14:val="none"/>
        </w:rPr>
      </w:pPr>
      <w:r w:rsidRPr="00500D1E">
        <w:rPr>
          <w:rFonts w:ascii="Times New Roman" w:eastAsia="Times New Roman" w:hAnsi="Times New Roman" w:cs="Times New Roman"/>
          <w:b/>
          <w:bCs/>
          <w:kern w:val="0"/>
          <w:sz w:val="28"/>
          <w:szCs w:val="28"/>
          <w:lang w:eastAsia="en-MY"/>
          <w14:ligatures w14:val="none"/>
        </w:rPr>
        <w:t>7. F</w:t>
      </w:r>
      <w:r w:rsidR="00C85BDB">
        <w:rPr>
          <w:rFonts w:ascii="Times New Roman" w:eastAsia="Times New Roman" w:hAnsi="Times New Roman" w:cs="Times New Roman"/>
          <w:b/>
          <w:bCs/>
          <w:kern w:val="0"/>
          <w:sz w:val="28"/>
          <w:szCs w:val="28"/>
          <w:lang w:eastAsia="en-MY"/>
          <w14:ligatures w14:val="none"/>
        </w:rPr>
        <w:t>INDINGS</w:t>
      </w:r>
    </w:p>
    <w:p w14:paraId="5404A0B3"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Thematic analysis of the 47 reviewed articles reveals four key findings regarding theorizations of AI as an organizational actor.</w:t>
      </w:r>
    </w:p>
    <w:p w14:paraId="5095DAF4"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lastRenderedPageBreak/>
        <w:t>7.1 AI as Institutional Actor</w:t>
      </w:r>
    </w:p>
    <w:p w14:paraId="1FFD9A02"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Finding 1: AI is increasingly theorized as an institutional actor subject to institutional pressures and capable of institutional work.</w:t>
      </w:r>
    </w:p>
    <w:p w14:paraId="5F0A109F"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literature conceptualizes AI as simultaneously shaped by and shaping institutional environments. Rudko et al. (2025) articulate this duality explicitly, positioning AI as both "product of institutional forces" and "institutional force in its own right." Studies demonstrate how coercive pressures (regulatory requirements), normative pressures (professional expectations), and mimetic pressures (competitive imitation) drive AI adoption across contexts (Reis &amp; Pinheiro, 2025; Zhang et al., 2025; Rana et al., 2024).</w:t>
      </w:r>
    </w:p>
    <w:p w14:paraId="202C920F" w14:textId="5343BB1E"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Beyond passive institutional conformity, AI systems increasingly perform institutional work</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actively shaping rules, norms, and beliefs. Chakraborty and Kumar (2026) show how healthcare organizations build trust as an institutional infrastructure for generative AI governance, </w:t>
      </w:r>
      <w:r w:rsidR="00E95B9C">
        <w:rPr>
          <w:rFonts w:ascii="Times New Roman" w:eastAsia="Times New Roman" w:hAnsi="Times New Roman" w:cs="Times New Roman"/>
          <w:kern w:val="0"/>
          <w:lang w:eastAsia="en-MY"/>
          <w14:ligatures w14:val="none"/>
        </w:rPr>
        <w:t>thereby shaping</w:t>
      </w:r>
      <w:r w:rsidRPr="00500D1E">
        <w:rPr>
          <w:rFonts w:ascii="Times New Roman" w:eastAsia="Times New Roman" w:hAnsi="Times New Roman" w:cs="Times New Roman"/>
          <w:kern w:val="0"/>
          <w:lang w:eastAsia="en-MY"/>
          <w14:ligatures w14:val="none"/>
        </w:rPr>
        <w:t xml:space="preserve"> legitimacy conditions. Fang et al. (2023) reveal how intelligent technologies trigger tensions that redefine professional boundaries, contributing to institutional change.</w:t>
      </w:r>
    </w:p>
    <w:p w14:paraId="68EC0B4F" w14:textId="6ECC0DA8"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The institutional perspective reveals that AI's organizational actorhood is not technologically determined but institutionally constituted. Legitimacy emerges as a critical resource for AI systems, with Schilke and Reimann (2025) demonstrating that AI disclosure erodes trust </w:t>
      </w:r>
      <w:r w:rsidR="00AB0051" w:rsidRPr="00500D1E">
        <w:rPr>
          <w:rFonts w:ascii="Times New Roman" w:eastAsia="Times New Roman" w:hAnsi="Times New Roman" w:cs="Times New Roman"/>
          <w:kern w:val="0"/>
          <w:lang w:eastAsia="en-MY"/>
          <w14:ligatures w14:val="none"/>
        </w:rPr>
        <w:t>by reducing perceptions of legitimacy</w:t>
      </w:r>
      <w:r w:rsidRPr="00500D1E">
        <w:rPr>
          <w:rFonts w:ascii="Times New Roman" w:eastAsia="Times New Roman" w:hAnsi="Times New Roman" w:cs="Times New Roman"/>
          <w:kern w:val="0"/>
          <w:lang w:eastAsia="en-MY"/>
          <w14:ligatures w14:val="none"/>
        </w:rPr>
        <w:t>. This finding challenges purely technical framings, positioning AI's acceptance as fundamentally social and institutional.</w:t>
      </w:r>
    </w:p>
    <w:p w14:paraId="427AC8F0"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7.2 AI as Economic Agent</w:t>
      </w:r>
    </w:p>
    <w:p w14:paraId="7B7B86F6" w14:textId="596634DD"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Finding 2: AI is theorized as an economic agent with discretionary decision-making capacity, </w:t>
      </w:r>
      <w:r w:rsidR="008B0F56">
        <w:rPr>
          <w:rFonts w:ascii="Times New Roman" w:eastAsia="Times New Roman" w:hAnsi="Times New Roman" w:cs="Times New Roman"/>
          <w:kern w:val="0"/>
          <w:lang w:eastAsia="en-MY"/>
          <w14:ligatures w14:val="none"/>
        </w:rPr>
        <w:t>thereby creating novel principal-agent dynamics that require</w:t>
      </w:r>
      <w:r w:rsidRPr="00500D1E">
        <w:rPr>
          <w:rFonts w:ascii="Times New Roman" w:eastAsia="Times New Roman" w:hAnsi="Times New Roman" w:cs="Times New Roman"/>
          <w:kern w:val="0"/>
          <w:lang w:eastAsia="en-MY"/>
          <w14:ligatures w14:val="none"/>
        </w:rPr>
        <w:t xml:space="preserve"> governance mechanisms.</w:t>
      </w:r>
    </w:p>
    <w:p w14:paraId="4CF57B29" w14:textId="1D8EA303"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Humberd and Latham (2026) provide the most explicit theorization of AI as </w:t>
      </w:r>
      <w:r w:rsidR="00AB0051" w:rsidRPr="00500D1E">
        <w:rPr>
          <w:rFonts w:ascii="Times New Roman" w:eastAsia="Times New Roman" w:hAnsi="Times New Roman" w:cs="Times New Roman"/>
          <w:kern w:val="0"/>
          <w:lang w:eastAsia="en-MY"/>
          <w14:ligatures w14:val="none"/>
        </w:rPr>
        <w:t xml:space="preserve">an </w:t>
      </w:r>
      <w:r w:rsidRPr="00500D1E">
        <w:rPr>
          <w:rFonts w:ascii="Times New Roman" w:eastAsia="Times New Roman" w:hAnsi="Times New Roman" w:cs="Times New Roman"/>
          <w:kern w:val="0"/>
          <w:lang w:eastAsia="en-MY"/>
          <w14:ligatures w14:val="none"/>
        </w:rPr>
        <w:t xml:space="preserve">economic agent, arguing that AI systems </w:t>
      </w:r>
      <w:r w:rsidR="008B0F56">
        <w:rPr>
          <w:rFonts w:ascii="Times New Roman" w:eastAsia="Times New Roman" w:hAnsi="Times New Roman" w:cs="Times New Roman"/>
          <w:kern w:val="0"/>
          <w:lang w:eastAsia="en-MY"/>
          <w14:ligatures w14:val="none"/>
        </w:rPr>
        <w:t>that achieve sufficient autonomy become "agents of the firm" and require</w:t>
      </w:r>
      <w:r w:rsidRPr="00500D1E">
        <w:rPr>
          <w:rFonts w:ascii="Times New Roman" w:eastAsia="Times New Roman" w:hAnsi="Times New Roman" w:cs="Times New Roman"/>
          <w:kern w:val="0"/>
          <w:lang w:eastAsia="en-MY"/>
          <w14:ligatures w14:val="none"/>
        </w:rPr>
        <w:t xml:space="preserve"> alignment mechanisms analogous to those governing human agents. This extension of agency theory challenges traditional assumptions that agents must be human, instead focusing on functional characteristics</w:t>
      </w:r>
      <w:r w:rsidR="008B0F56">
        <w:rPr>
          <w:rFonts w:ascii="Times New Roman" w:eastAsia="Times New Roman" w:hAnsi="Times New Roman" w:cs="Times New Roman"/>
          <w:kern w:val="0"/>
          <w:lang w:eastAsia="en-MY"/>
          <w14:ligatures w14:val="none"/>
        </w:rPr>
        <w:t xml:space="preserve"> such as</w:t>
      </w:r>
      <w:r w:rsidRPr="00500D1E">
        <w:rPr>
          <w:rFonts w:ascii="Times New Roman" w:eastAsia="Times New Roman" w:hAnsi="Times New Roman" w:cs="Times New Roman"/>
          <w:kern w:val="0"/>
          <w:lang w:eastAsia="en-MY"/>
          <w14:ligatures w14:val="none"/>
        </w:rPr>
        <w:t xml:space="preserve"> discretion, goal orientation, and decision authority.</w:t>
      </w:r>
    </w:p>
    <w:p w14:paraId="0082AE0A" w14:textId="075E977A"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Studies examining AI's strategic role reinforce this conceptualization. Chatterjee et al. (2021) position AI-CRM as a strategic resource enabling automated B2B relationship decisions "without any human intervention." Chen and Dong (2025) conceptualize AI capabilities as institutional mechanisms </w:t>
      </w:r>
      <w:r w:rsidR="00AB0051" w:rsidRPr="00500D1E">
        <w:rPr>
          <w:rFonts w:ascii="Times New Roman" w:eastAsia="Times New Roman" w:hAnsi="Times New Roman" w:cs="Times New Roman"/>
          <w:kern w:val="0"/>
          <w:lang w:eastAsia="en-MY"/>
          <w14:ligatures w14:val="none"/>
        </w:rPr>
        <w:t>that connect home- and host-country</w:t>
      </w:r>
      <w:r w:rsidRPr="00500D1E">
        <w:rPr>
          <w:rFonts w:ascii="Times New Roman" w:eastAsia="Times New Roman" w:hAnsi="Times New Roman" w:cs="Times New Roman"/>
          <w:kern w:val="0"/>
          <w:lang w:eastAsia="en-MY"/>
          <w14:ligatures w14:val="none"/>
        </w:rPr>
        <w:t xml:space="preserve"> contexts. Bag et al. (2021) </w:t>
      </w:r>
      <w:r w:rsidR="00AB0051" w:rsidRPr="00500D1E">
        <w:rPr>
          <w:rFonts w:ascii="Times New Roman" w:eastAsia="Times New Roman" w:hAnsi="Times New Roman" w:cs="Times New Roman"/>
          <w:kern w:val="0"/>
          <w:lang w:eastAsia="en-MY"/>
          <w14:ligatures w14:val="none"/>
        </w:rPr>
        <w:t>demonstrate how AI adoption enables sustainable manufacturing and circular-economy</w:t>
      </w:r>
      <w:r w:rsidRPr="00500D1E">
        <w:rPr>
          <w:rFonts w:ascii="Times New Roman" w:eastAsia="Times New Roman" w:hAnsi="Times New Roman" w:cs="Times New Roman"/>
          <w:kern w:val="0"/>
          <w:lang w:eastAsia="en-MY"/>
          <w14:ligatures w14:val="none"/>
        </w:rPr>
        <w:t xml:space="preserve"> capabilities.</w:t>
      </w:r>
    </w:p>
    <w:p w14:paraId="305B5674" w14:textId="1323AA7E"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agency perspective raises fundamental governance questions. If AI acts as agent, what monitoring mechanisms ensure alignment with principal interests? Humberd and Latham (2026) theorize "specific forms of monitoring and incentive alignment" for AI agents, though empirical work on AI governance remains nascent. Rana et al. (2024) find that ethical principles</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fairness, accountability, transparency, accuracy, autonomy</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influence GenAI use, suggesting normative constraints on AI agency.</w:t>
      </w:r>
    </w:p>
    <w:p w14:paraId="3B10690C"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lastRenderedPageBreak/>
        <w:t>7.3 AI as Socio-material Assemblage</w:t>
      </w:r>
    </w:p>
    <w:p w14:paraId="7F9ACC95" w14:textId="48A87F9D"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Finding 3: AI's agency is theorized </w:t>
      </w:r>
      <w:r w:rsidR="000402D1">
        <w:rPr>
          <w:rFonts w:ascii="Times New Roman" w:eastAsia="Times New Roman" w:hAnsi="Times New Roman" w:cs="Times New Roman"/>
          <w:kern w:val="0"/>
          <w:lang w:eastAsia="en-MY"/>
          <w14:ligatures w14:val="none"/>
        </w:rPr>
        <w:t xml:space="preserve">to emerge from socio-material assemblages rather than as a property of discrete technologies, thereby </w:t>
      </w:r>
      <w:r w:rsidRPr="00500D1E">
        <w:rPr>
          <w:rFonts w:ascii="Times New Roman" w:eastAsia="Times New Roman" w:hAnsi="Times New Roman" w:cs="Times New Roman"/>
          <w:kern w:val="0"/>
          <w:lang w:eastAsia="en-MY"/>
          <w14:ligatures w14:val="none"/>
        </w:rPr>
        <w:t>challenging methodological individualism in organization theory.</w:t>
      </w:r>
    </w:p>
    <w:p w14:paraId="70A762C4" w14:textId="03CA5716" w:rsidR="008E778C" w:rsidRPr="00500D1E" w:rsidRDefault="00E01A12"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V</w:t>
      </w:r>
      <w:r w:rsidR="008E778C" w:rsidRPr="00500D1E">
        <w:rPr>
          <w:rFonts w:ascii="Times New Roman" w:eastAsia="Times New Roman" w:hAnsi="Times New Roman" w:cs="Times New Roman"/>
          <w:kern w:val="0"/>
          <w:lang w:eastAsia="en-MY"/>
          <w14:ligatures w14:val="none"/>
        </w:rPr>
        <w:t>an Rijmenam and Logue (2021) advance sociomaterial perspectives, arguing that AI agency is distributed across networks of humans, technologies, and practices. This conceptualization avoids both technological determinism (AI as autonomous force) and social constructivism (AI as passive tool), instead positioning agency as an effect of entanglements.</w:t>
      </w:r>
    </w:p>
    <w:p w14:paraId="6084F61B"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Leavitt et al. (2021) similarly challenge atomistic conceptions, proposing that machine learning can support theory development precisely because it operates differently from human reasoning. They argue for machine learning's capacity to "expand the explanatory spectrum" by generating patterns humans might miss while remaining embedded in human-interpretable frameworks.</w:t>
      </w:r>
    </w:p>
    <w:p w14:paraId="67E26237" w14:textId="1286B78B"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Phillips (2026) critiques mainstream organization theory's failure to incorporate intelligent technologies, arguing that concepts </w:t>
      </w:r>
      <w:r w:rsidR="00AB0051" w:rsidRPr="00500D1E">
        <w:rPr>
          <w:rFonts w:ascii="Times New Roman" w:eastAsia="Times New Roman" w:hAnsi="Times New Roman" w:cs="Times New Roman"/>
          <w:kern w:val="0"/>
          <w:lang w:eastAsia="en-MY"/>
          <w14:ligatures w14:val="none"/>
        </w:rPr>
        <w:t>such as organizational identity and sensemaking require reformulation when technologies actively participate in the constitution of</w:t>
      </w:r>
      <w:r w:rsidRPr="00500D1E">
        <w:rPr>
          <w:rFonts w:ascii="Times New Roman" w:eastAsia="Times New Roman" w:hAnsi="Times New Roman" w:cs="Times New Roman"/>
          <w:kern w:val="0"/>
          <w:lang w:eastAsia="en-MY"/>
          <w14:ligatures w14:val="none"/>
        </w:rPr>
        <w:t xml:space="preserve"> organizations. His analysis suggests that socio-material perspectives offer resources for updating organization theory.</w:t>
      </w:r>
    </w:p>
    <w:p w14:paraId="72DED435"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socio-material perspective has profound implications for conceptualizing organizational actorhood. Rather than asking whether AI </w:t>
      </w:r>
      <w:r w:rsidRPr="00500D1E">
        <w:rPr>
          <w:rFonts w:ascii="Times New Roman" w:eastAsia="Times New Roman" w:hAnsi="Times New Roman" w:cs="Times New Roman"/>
          <w:i/>
          <w:iCs/>
          <w:kern w:val="0"/>
          <w:lang w:eastAsia="en-MY"/>
          <w14:ligatures w14:val="none"/>
        </w:rPr>
        <w:t>is</w:t>
      </w:r>
      <w:r w:rsidRPr="00500D1E">
        <w:rPr>
          <w:rFonts w:ascii="Times New Roman" w:eastAsia="Times New Roman" w:hAnsi="Times New Roman" w:cs="Times New Roman"/>
          <w:kern w:val="0"/>
          <w:lang w:eastAsia="en-MY"/>
          <w14:ligatures w14:val="none"/>
        </w:rPr>
        <w:t> an actor, it asks how actorhood is </w:t>
      </w:r>
      <w:r w:rsidRPr="00500D1E">
        <w:rPr>
          <w:rFonts w:ascii="Times New Roman" w:eastAsia="Times New Roman" w:hAnsi="Times New Roman" w:cs="Times New Roman"/>
          <w:i/>
          <w:iCs/>
          <w:kern w:val="0"/>
          <w:lang w:eastAsia="en-MY"/>
          <w14:ligatures w14:val="none"/>
        </w:rPr>
        <w:t>performed</w:t>
      </w:r>
      <w:r w:rsidRPr="00500D1E">
        <w:rPr>
          <w:rFonts w:ascii="Times New Roman" w:eastAsia="Times New Roman" w:hAnsi="Times New Roman" w:cs="Times New Roman"/>
          <w:kern w:val="0"/>
          <w:lang w:eastAsia="en-MY"/>
          <w14:ligatures w14:val="none"/>
        </w:rPr>
        <w:t> through specific configurations of humans, algorithms, data, and practices. Agency becomes variable and relational rather than fixed and categorical.</w:t>
      </w:r>
    </w:p>
    <w:p w14:paraId="697FFB99"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7.4 The Autonomy Gradient</w:t>
      </w:r>
    </w:p>
    <w:p w14:paraId="6DE410A5"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Finding 4: Theorizations recognize AI's evolving autonomy, conceptualizing movement along a gradient from tool to quasi-autonomous actor with implications for organizational control.</w:t>
      </w:r>
    </w:p>
    <w:p w14:paraId="615F71A4"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Humberd and Latham (2026) explicitly theorize AI's evolution from mimicking human routines toward autonomy and self-determination, identifying a threshold at which AI becomes "considered an agent of the firm." This temporal dimension acknowledges that AI's organizational role is not static but develops as capabilities advance.</w:t>
      </w:r>
    </w:p>
    <w:p w14:paraId="25978968" w14:textId="2063BBDB"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Islam et al. (2026) examine </w:t>
      </w:r>
      <w:r w:rsidR="00AB0051" w:rsidRPr="00500D1E">
        <w:rPr>
          <w:rFonts w:ascii="Times New Roman" w:eastAsia="Times New Roman" w:hAnsi="Times New Roman" w:cs="Times New Roman"/>
          <w:kern w:val="0"/>
          <w:lang w:eastAsia="en-MY"/>
          <w14:ligatures w14:val="none"/>
        </w:rPr>
        <w:t>the adoption of "agentic artificial intelligence" (AAI) in SMEs, defining</w:t>
      </w:r>
      <w:r w:rsidRPr="00500D1E">
        <w:rPr>
          <w:rFonts w:ascii="Times New Roman" w:eastAsia="Times New Roman" w:hAnsi="Times New Roman" w:cs="Times New Roman"/>
          <w:kern w:val="0"/>
          <w:lang w:eastAsia="en-MY"/>
          <w14:ligatures w14:val="none"/>
        </w:rPr>
        <w:t xml:space="preserve"> AAI as "an advanced evolution of generative AI" with enhanced autonomy and knowledge-sharing capacity. Their study reveals that AAI adoption barriers differ from those for earlier </w:t>
      </w:r>
      <w:r w:rsidR="00AB0051" w:rsidRPr="00500D1E">
        <w:rPr>
          <w:rFonts w:ascii="Times New Roman" w:eastAsia="Times New Roman" w:hAnsi="Times New Roman" w:cs="Times New Roman"/>
          <w:kern w:val="0"/>
          <w:lang w:eastAsia="en-MY"/>
          <w14:ligatures w14:val="none"/>
        </w:rPr>
        <w:t>forms of AI</w:t>
      </w:r>
      <w:r w:rsidRPr="00500D1E">
        <w:rPr>
          <w:rFonts w:ascii="Times New Roman" w:eastAsia="Times New Roman" w:hAnsi="Times New Roman" w:cs="Times New Roman"/>
          <w:kern w:val="0"/>
          <w:lang w:eastAsia="en-MY"/>
          <w14:ligatures w14:val="none"/>
        </w:rPr>
        <w:t>, suggesting that increasing autonomy introduces new adoption challenges.</w:t>
      </w:r>
    </w:p>
    <w:p w14:paraId="417F12AE"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Zhang et al. (2025) examine generative AI adoption in enterprise platforms, finding that institutional pressures operate differently for generative AI than for earlier technologies. The generative AI's capacity to produce novel content introduces distinct governance challenges related to output uncertainty and accountability.</w:t>
      </w:r>
    </w:p>
    <w:p w14:paraId="42FC6405" w14:textId="146CAC23"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 xml:space="preserve">The autonomy gradient concept helps reconcile seemingly contradictory findings. Studies emphasizing AI as </w:t>
      </w:r>
      <w:r w:rsidR="00B16B80" w:rsidRPr="00500D1E">
        <w:rPr>
          <w:rFonts w:ascii="Times New Roman" w:eastAsia="Times New Roman" w:hAnsi="Times New Roman" w:cs="Times New Roman"/>
          <w:kern w:val="0"/>
          <w:lang w:eastAsia="en-MY"/>
          <w14:ligatures w14:val="none"/>
        </w:rPr>
        <w:t xml:space="preserve">an institutional product (Rudko et al., 2025) and AI as an </w:t>
      </w:r>
      <w:r w:rsidRPr="00500D1E">
        <w:rPr>
          <w:rFonts w:ascii="Times New Roman" w:eastAsia="Times New Roman" w:hAnsi="Times New Roman" w:cs="Times New Roman"/>
          <w:kern w:val="0"/>
          <w:lang w:eastAsia="en-MY"/>
          <w14:ligatures w14:val="none"/>
        </w:rPr>
        <w:t>agentic force (Humberd &amp; Latham, 2026) may describe different points on the autonomy continuum rather than competing claims. This temporal-relational framing positions AI actorhood as emergent rather than binary.</w:t>
      </w:r>
    </w:p>
    <w:p w14:paraId="6795E03E" w14:textId="77777777" w:rsidR="008E778C"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7.5 Summary of Findings</w:t>
      </w:r>
    </w:p>
    <w:p w14:paraId="0EE80EBE" w14:textId="4AD3E16D" w:rsidR="000402D1" w:rsidRPr="000402D1" w:rsidRDefault="000402D1" w:rsidP="005E30CC">
      <w:pPr>
        <w:shd w:val="clear" w:color="auto" w:fill="FFFFFF"/>
        <w:spacing w:before="480" w:after="240" w:line="240" w:lineRule="auto"/>
        <w:jc w:val="both"/>
        <w:outlineLvl w:val="2"/>
        <w:rPr>
          <w:rFonts w:ascii="Times New Roman" w:eastAsia="Times New Roman" w:hAnsi="Times New Roman" w:cs="Times New Roman"/>
          <w:color w:val="0F1115"/>
          <w:kern w:val="0"/>
          <w:lang w:eastAsia="en-MY"/>
          <w14:ligatures w14:val="none"/>
        </w:rPr>
      </w:pPr>
      <w:r w:rsidRPr="000402D1">
        <w:rPr>
          <w:rFonts w:ascii="Times New Roman" w:eastAsia="Times New Roman" w:hAnsi="Times New Roman" w:cs="Times New Roman"/>
          <w:color w:val="0F1115"/>
          <w:kern w:val="0"/>
          <w:lang w:eastAsia="en-MY"/>
          <w14:ligatures w14:val="none"/>
        </w:rPr>
        <w:t>Table 2: Summary of Findings</w:t>
      </w:r>
    </w:p>
    <w:tbl>
      <w:tblPr>
        <w:tblW w:w="5000" w:type="pct"/>
        <w:tblCellMar>
          <w:top w:w="15" w:type="dxa"/>
          <w:left w:w="15" w:type="dxa"/>
          <w:bottom w:w="15" w:type="dxa"/>
          <w:right w:w="15" w:type="dxa"/>
        </w:tblCellMar>
        <w:tblLook w:val="04A0" w:firstRow="1" w:lastRow="0" w:firstColumn="1" w:lastColumn="0" w:noHBand="0" w:noVBand="1"/>
      </w:tblPr>
      <w:tblGrid>
        <w:gridCol w:w="1686"/>
        <w:gridCol w:w="2758"/>
        <w:gridCol w:w="2344"/>
        <w:gridCol w:w="2478"/>
      </w:tblGrid>
      <w:tr w:rsidR="008E778C" w:rsidRPr="006E2F01" w14:paraId="4AEC6537" w14:textId="77777777" w:rsidTr="008E778C">
        <w:trPr>
          <w:tblHeader/>
        </w:trPr>
        <w:tc>
          <w:tcPr>
            <w:tcW w:w="910" w:type="pct"/>
            <w:tcBorders>
              <w:top w:val="single" w:sz="4" w:space="0" w:color="auto"/>
              <w:bottom w:val="single" w:sz="4" w:space="0" w:color="auto"/>
            </w:tcBorders>
            <w:tcMar>
              <w:top w:w="150" w:type="dxa"/>
              <w:left w:w="0" w:type="dxa"/>
              <w:bottom w:w="150" w:type="dxa"/>
              <w:right w:w="240" w:type="dxa"/>
            </w:tcMar>
            <w:hideMark/>
          </w:tcPr>
          <w:p w14:paraId="7BC88ED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Theme</w:t>
            </w:r>
          </w:p>
        </w:tc>
        <w:tc>
          <w:tcPr>
            <w:tcW w:w="1488" w:type="pct"/>
            <w:tcBorders>
              <w:top w:val="single" w:sz="4" w:space="0" w:color="auto"/>
              <w:bottom w:val="single" w:sz="4" w:space="0" w:color="auto"/>
            </w:tcBorders>
            <w:tcMar>
              <w:top w:w="150" w:type="dxa"/>
              <w:left w:w="240" w:type="dxa"/>
              <w:bottom w:w="150" w:type="dxa"/>
              <w:right w:w="240" w:type="dxa"/>
            </w:tcMar>
            <w:hideMark/>
          </w:tcPr>
          <w:p w14:paraId="581D235A"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Core Insight</w:t>
            </w:r>
          </w:p>
        </w:tc>
        <w:tc>
          <w:tcPr>
            <w:tcW w:w="1265" w:type="pct"/>
            <w:tcBorders>
              <w:top w:val="single" w:sz="4" w:space="0" w:color="auto"/>
              <w:bottom w:val="single" w:sz="4" w:space="0" w:color="auto"/>
            </w:tcBorders>
            <w:tcMar>
              <w:top w:w="150" w:type="dxa"/>
              <w:left w:w="240" w:type="dxa"/>
              <w:bottom w:w="150" w:type="dxa"/>
              <w:right w:w="240" w:type="dxa"/>
            </w:tcMar>
            <w:hideMark/>
          </w:tcPr>
          <w:p w14:paraId="70E20BBC"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Key Authors</w:t>
            </w:r>
          </w:p>
        </w:tc>
        <w:tc>
          <w:tcPr>
            <w:tcW w:w="1337" w:type="pct"/>
            <w:tcBorders>
              <w:top w:val="single" w:sz="4" w:space="0" w:color="auto"/>
              <w:bottom w:val="single" w:sz="4" w:space="0" w:color="auto"/>
            </w:tcBorders>
            <w:tcMar>
              <w:top w:w="150" w:type="dxa"/>
              <w:left w:w="240" w:type="dxa"/>
              <w:bottom w:w="150" w:type="dxa"/>
              <w:right w:w="240" w:type="dxa"/>
            </w:tcMar>
            <w:hideMark/>
          </w:tcPr>
          <w:p w14:paraId="2AE9158C"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Theoretical Implications</w:t>
            </w:r>
          </w:p>
        </w:tc>
      </w:tr>
      <w:tr w:rsidR="008E778C" w:rsidRPr="006E2F01" w14:paraId="1B7CE04E" w14:textId="77777777" w:rsidTr="008E778C">
        <w:tc>
          <w:tcPr>
            <w:tcW w:w="910" w:type="pct"/>
            <w:tcBorders>
              <w:top w:val="single" w:sz="4" w:space="0" w:color="auto"/>
            </w:tcBorders>
            <w:tcMar>
              <w:top w:w="150" w:type="dxa"/>
              <w:left w:w="0" w:type="dxa"/>
              <w:bottom w:w="150" w:type="dxa"/>
              <w:right w:w="240" w:type="dxa"/>
            </w:tcMar>
            <w:hideMark/>
          </w:tcPr>
          <w:p w14:paraId="69F3C226"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Institutional Actor</w:t>
            </w:r>
          </w:p>
        </w:tc>
        <w:tc>
          <w:tcPr>
            <w:tcW w:w="1488" w:type="pct"/>
            <w:tcBorders>
              <w:top w:val="single" w:sz="4" w:space="0" w:color="auto"/>
            </w:tcBorders>
            <w:tcMar>
              <w:top w:w="150" w:type="dxa"/>
              <w:left w:w="240" w:type="dxa"/>
              <w:bottom w:w="150" w:type="dxa"/>
              <w:right w:w="240" w:type="dxa"/>
            </w:tcMar>
            <w:hideMark/>
          </w:tcPr>
          <w:p w14:paraId="476C1D7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AI shaped by and shaping institutional environments</w:t>
            </w:r>
          </w:p>
        </w:tc>
        <w:tc>
          <w:tcPr>
            <w:tcW w:w="1265" w:type="pct"/>
            <w:tcBorders>
              <w:top w:val="single" w:sz="4" w:space="0" w:color="auto"/>
            </w:tcBorders>
            <w:tcMar>
              <w:top w:w="150" w:type="dxa"/>
              <w:left w:w="240" w:type="dxa"/>
              <w:bottom w:w="150" w:type="dxa"/>
              <w:right w:w="240" w:type="dxa"/>
            </w:tcMar>
            <w:hideMark/>
          </w:tcPr>
          <w:p w14:paraId="19B3737E" w14:textId="77777777" w:rsidR="008E778C" w:rsidRPr="00500D1E" w:rsidRDefault="008E778C" w:rsidP="005E30CC">
            <w:pPr>
              <w:spacing w:after="0" w:line="240" w:lineRule="auto"/>
              <w:jc w:val="both"/>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Rudko et al. (2025); Reis &amp; Pinheiro (2025); Zhang et al. </w:t>
            </w:r>
            <w:r w:rsidRPr="00500D1E">
              <w:rPr>
                <w:rFonts w:ascii="Times New Roman" w:eastAsia="Times New Roman" w:hAnsi="Times New Roman" w:cs="Times New Roman"/>
                <w:kern w:val="0"/>
                <w:lang w:eastAsia="en-MY"/>
                <w14:ligatures w14:val="none"/>
              </w:rPr>
              <w:t>(2025)</w:t>
            </w:r>
          </w:p>
        </w:tc>
        <w:tc>
          <w:tcPr>
            <w:tcW w:w="1337" w:type="pct"/>
            <w:tcBorders>
              <w:top w:val="single" w:sz="4" w:space="0" w:color="auto"/>
            </w:tcBorders>
            <w:tcMar>
              <w:top w:w="150" w:type="dxa"/>
              <w:left w:w="240" w:type="dxa"/>
              <w:bottom w:w="150" w:type="dxa"/>
              <w:right w:w="0" w:type="dxa"/>
            </w:tcMar>
            <w:hideMark/>
          </w:tcPr>
          <w:p w14:paraId="146255A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Extends institutional theory to non-human entities</w:t>
            </w:r>
          </w:p>
        </w:tc>
      </w:tr>
      <w:tr w:rsidR="008E778C" w:rsidRPr="006E2F01" w14:paraId="3282DCC6" w14:textId="77777777" w:rsidTr="008E778C">
        <w:tc>
          <w:tcPr>
            <w:tcW w:w="910" w:type="pct"/>
            <w:tcMar>
              <w:top w:w="150" w:type="dxa"/>
              <w:left w:w="0" w:type="dxa"/>
              <w:bottom w:w="150" w:type="dxa"/>
              <w:right w:w="240" w:type="dxa"/>
            </w:tcMar>
            <w:hideMark/>
          </w:tcPr>
          <w:p w14:paraId="20B5D4BF"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Economic Agent</w:t>
            </w:r>
          </w:p>
        </w:tc>
        <w:tc>
          <w:tcPr>
            <w:tcW w:w="1488" w:type="pct"/>
            <w:tcMar>
              <w:top w:w="150" w:type="dxa"/>
              <w:left w:w="240" w:type="dxa"/>
              <w:bottom w:w="150" w:type="dxa"/>
              <w:right w:w="240" w:type="dxa"/>
            </w:tcMar>
            <w:hideMark/>
          </w:tcPr>
          <w:p w14:paraId="7AAF7701" w14:textId="3A32944E"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 xml:space="preserve">AI as </w:t>
            </w:r>
            <w:r w:rsidR="00AB0051">
              <w:rPr>
                <w:rFonts w:ascii="Times New Roman" w:eastAsia="Times New Roman" w:hAnsi="Times New Roman" w:cs="Times New Roman"/>
                <w:kern w:val="0"/>
                <w:lang w:eastAsia="en-MY"/>
                <w14:ligatures w14:val="none"/>
              </w:rPr>
              <w:t xml:space="preserve">a </w:t>
            </w:r>
            <w:r w:rsidRPr="006E2F01">
              <w:rPr>
                <w:rFonts w:ascii="Times New Roman" w:eastAsia="Times New Roman" w:hAnsi="Times New Roman" w:cs="Times New Roman"/>
                <w:kern w:val="0"/>
                <w:lang w:eastAsia="en-MY"/>
                <w14:ligatures w14:val="none"/>
              </w:rPr>
              <w:t>discretionary decision-maker creating principal-agent dynamics</w:t>
            </w:r>
          </w:p>
        </w:tc>
        <w:tc>
          <w:tcPr>
            <w:tcW w:w="1265" w:type="pct"/>
            <w:tcMar>
              <w:top w:w="150" w:type="dxa"/>
              <w:left w:w="240" w:type="dxa"/>
              <w:bottom w:w="150" w:type="dxa"/>
              <w:right w:w="240" w:type="dxa"/>
            </w:tcMar>
            <w:hideMark/>
          </w:tcPr>
          <w:p w14:paraId="3875567A" w14:textId="77777777" w:rsidR="008E778C" w:rsidRPr="00500D1E" w:rsidRDefault="008E778C" w:rsidP="005E30CC">
            <w:pPr>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Humberd &amp; Latham (2026); Chatterjee et al. (2021)</w:t>
            </w:r>
          </w:p>
        </w:tc>
        <w:tc>
          <w:tcPr>
            <w:tcW w:w="1337" w:type="pct"/>
            <w:tcMar>
              <w:top w:w="150" w:type="dxa"/>
              <w:left w:w="240" w:type="dxa"/>
              <w:bottom w:w="150" w:type="dxa"/>
              <w:right w:w="0" w:type="dxa"/>
            </w:tcMar>
            <w:hideMark/>
          </w:tcPr>
          <w:p w14:paraId="08835C91" w14:textId="524E66E8" w:rsidR="008E778C" w:rsidRPr="006E2F01" w:rsidRDefault="000402D1" w:rsidP="005E30CC">
            <w:pPr>
              <w:spacing w:after="0" w:line="24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Challenging</w:t>
            </w:r>
            <w:r w:rsidR="008E778C" w:rsidRPr="006E2F01">
              <w:rPr>
                <w:rFonts w:ascii="Times New Roman" w:eastAsia="Times New Roman" w:hAnsi="Times New Roman" w:cs="Times New Roman"/>
                <w:kern w:val="0"/>
                <w:lang w:eastAsia="en-MY"/>
                <w14:ligatures w14:val="none"/>
              </w:rPr>
              <w:t xml:space="preserve"> anthropocentrism in agency theory</w:t>
            </w:r>
          </w:p>
        </w:tc>
      </w:tr>
      <w:tr w:rsidR="008E778C" w:rsidRPr="006E2F01" w14:paraId="4C31B4D6" w14:textId="77777777" w:rsidTr="008E778C">
        <w:tc>
          <w:tcPr>
            <w:tcW w:w="910" w:type="pct"/>
            <w:tcMar>
              <w:top w:w="150" w:type="dxa"/>
              <w:left w:w="0" w:type="dxa"/>
              <w:bottom w:w="150" w:type="dxa"/>
              <w:right w:w="240" w:type="dxa"/>
            </w:tcMar>
            <w:hideMark/>
          </w:tcPr>
          <w:p w14:paraId="615C7750"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Socio-material Assemblage</w:t>
            </w:r>
          </w:p>
        </w:tc>
        <w:tc>
          <w:tcPr>
            <w:tcW w:w="1488" w:type="pct"/>
            <w:tcMar>
              <w:top w:w="150" w:type="dxa"/>
              <w:left w:w="240" w:type="dxa"/>
              <w:bottom w:w="150" w:type="dxa"/>
              <w:right w:w="240" w:type="dxa"/>
            </w:tcMar>
            <w:hideMark/>
          </w:tcPr>
          <w:p w14:paraId="335A1AAB"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Agency emergent from human-technology configurations</w:t>
            </w:r>
          </w:p>
        </w:tc>
        <w:tc>
          <w:tcPr>
            <w:tcW w:w="1265" w:type="pct"/>
            <w:tcMar>
              <w:top w:w="150" w:type="dxa"/>
              <w:left w:w="240" w:type="dxa"/>
              <w:bottom w:w="150" w:type="dxa"/>
              <w:right w:w="240" w:type="dxa"/>
            </w:tcMar>
            <w:hideMark/>
          </w:tcPr>
          <w:p w14:paraId="22BDED76" w14:textId="482EB6DB" w:rsidR="008E778C" w:rsidRPr="00500D1E" w:rsidRDefault="0007756B" w:rsidP="005E30CC">
            <w:pPr>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V</w:t>
            </w:r>
            <w:r w:rsidR="008E778C" w:rsidRPr="00500D1E">
              <w:rPr>
                <w:rFonts w:ascii="Times New Roman" w:eastAsia="Times New Roman" w:hAnsi="Times New Roman" w:cs="Times New Roman"/>
                <w:kern w:val="0"/>
                <w:lang w:eastAsia="en-MY"/>
                <w14:ligatures w14:val="none"/>
              </w:rPr>
              <w:t>an Rijmenam &amp; Logue (2021); Leavitt et al. (2021)</w:t>
            </w:r>
          </w:p>
        </w:tc>
        <w:tc>
          <w:tcPr>
            <w:tcW w:w="1337" w:type="pct"/>
            <w:tcMar>
              <w:top w:w="150" w:type="dxa"/>
              <w:left w:w="240" w:type="dxa"/>
              <w:bottom w:w="150" w:type="dxa"/>
              <w:right w:w="0" w:type="dxa"/>
            </w:tcMar>
            <w:hideMark/>
          </w:tcPr>
          <w:p w14:paraId="6B4B8B73"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Relational ontology of actorhood</w:t>
            </w:r>
          </w:p>
        </w:tc>
      </w:tr>
      <w:tr w:rsidR="008E778C" w:rsidRPr="006E2F01" w14:paraId="1432AC5D" w14:textId="77777777" w:rsidTr="008E778C">
        <w:tc>
          <w:tcPr>
            <w:tcW w:w="910" w:type="pct"/>
            <w:tcMar>
              <w:top w:w="150" w:type="dxa"/>
              <w:left w:w="0" w:type="dxa"/>
              <w:bottom w:w="150" w:type="dxa"/>
              <w:right w:w="240" w:type="dxa"/>
            </w:tcMar>
            <w:hideMark/>
          </w:tcPr>
          <w:p w14:paraId="29F34B8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Autonomy Gradient</w:t>
            </w:r>
          </w:p>
        </w:tc>
        <w:tc>
          <w:tcPr>
            <w:tcW w:w="1488" w:type="pct"/>
            <w:tcMar>
              <w:top w:w="150" w:type="dxa"/>
              <w:left w:w="240" w:type="dxa"/>
              <w:bottom w:w="150" w:type="dxa"/>
              <w:right w:w="240" w:type="dxa"/>
            </w:tcMar>
            <w:hideMark/>
          </w:tcPr>
          <w:p w14:paraId="75A59FC8" w14:textId="57920AC9" w:rsidR="008E778C" w:rsidRPr="006E2F01" w:rsidRDefault="008E778C" w:rsidP="00AB0051">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 xml:space="preserve">AI evolves from tool to </w:t>
            </w:r>
            <w:r w:rsidR="00AB0051">
              <w:rPr>
                <w:rFonts w:ascii="Times New Roman" w:eastAsia="Times New Roman" w:hAnsi="Times New Roman" w:cs="Times New Roman"/>
                <w:kern w:val="0"/>
                <w:lang w:eastAsia="en-MY"/>
                <w14:ligatures w14:val="none"/>
              </w:rPr>
              <w:t xml:space="preserve">a </w:t>
            </w:r>
            <w:r w:rsidRPr="006E2F01">
              <w:rPr>
                <w:rFonts w:ascii="Times New Roman" w:eastAsia="Times New Roman" w:hAnsi="Times New Roman" w:cs="Times New Roman"/>
                <w:kern w:val="0"/>
                <w:lang w:eastAsia="en-MY"/>
                <w14:ligatures w14:val="none"/>
              </w:rPr>
              <w:t>quasi-autonomous actor</w:t>
            </w:r>
          </w:p>
        </w:tc>
        <w:tc>
          <w:tcPr>
            <w:tcW w:w="1265" w:type="pct"/>
            <w:tcMar>
              <w:top w:w="150" w:type="dxa"/>
              <w:left w:w="240" w:type="dxa"/>
              <w:bottom w:w="150" w:type="dxa"/>
              <w:right w:w="240" w:type="dxa"/>
            </w:tcMar>
            <w:hideMark/>
          </w:tcPr>
          <w:p w14:paraId="6DEFB3C4" w14:textId="77777777" w:rsidR="008E778C" w:rsidRPr="00500D1E" w:rsidRDefault="008E778C" w:rsidP="005E30CC">
            <w:pPr>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Humberd &amp; Latham (2026); Islam et al. (2026)</w:t>
            </w:r>
          </w:p>
        </w:tc>
        <w:tc>
          <w:tcPr>
            <w:tcW w:w="1337" w:type="pct"/>
            <w:tcMar>
              <w:top w:w="150" w:type="dxa"/>
              <w:left w:w="240" w:type="dxa"/>
              <w:bottom w:w="150" w:type="dxa"/>
              <w:right w:w="0" w:type="dxa"/>
            </w:tcMar>
            <w:hideMark/>
          </w:tcPr>
          <w:p w14:paraId="1FD046A3"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Temporal-relational conceptualization</w:t>
            </w:r>
          </w:p>
        </w:tc>
      </w:tr>
    </w:tbl>
    <w:p w14:paraId="04DA0F8E" w14:textId="62DD0A6A"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8. D</w:t>
      </w:r>
      <w:r w:rsidR="00C85BDB">
        <w:rPr>
          <w:rFonts w:ascii="Times New Roman" w:eastAsia="Times New Roman" w:hAnsi="Times New Roman" w:cs="Times New Roman"/>
          <w:b/>
          <w:bCs/>
          <w:color w:val="0F1115"/>
          <w:kern w:val="0"/>
          <w:sz w:val="28"/>
          <w:szCs w:val="28"/>
          <w:lang w:eastAsia="en-MY"/>
          <w14:ligatures w14:val="none"/>
        </w:rPr>
        <w:t>ISCUSSION</w:t>
      </w:r>
    </w:p>
    <w:p w14:paraId="3C935D6E"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8.1 Theoretical Implications</w:t>
      </w:r>
    </w:p>
    <w:p w14:paraId="7C740A31" w14:textId="6E7BB071"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This review's findings carry significant implications for </w:t>
      </w:r>
      <w:r w:rsidR="00BE2EAB" w:rsidRPr="00500D1E">
        <w:rPr>
          <w:rFonts w:ascii="Times New Roman" w:eastAsia="Times New Roman" w:hAnsi="Times New Roman" w:cs="Times New Roman"/>
          <w:kern w:val="0"/>
          <w:lang w:eastAsia="en-MY"/>
          <w14:ligatures w14:val="none"/>
        </w:rPr>
        <w:t>organizational</w:t>
      </w:r>
      <w:r w:rsidRPr="00500D1E">
        <w:rPr>
          <w:rFonts w:ascii="Times New Roman" w:eastAsia="Times New Roman" w:hAnsi="Times New Roman" w:cs="Times New Roman"/>
          <w:kern w:val="0"/>
          <w:lang w:eastAsia="en-MY"/>
          <w14:ligatures w14:val="none"/>
        </w:rPr>
        <w:t xml:space="preserve"> theory.</w:t>
      </w:r>
    </w:p>
    <w:p w14:paraId="0AB7F3B6" w14:textId="7C538E16"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First, they challenge the anthropocentric foundations of organization theory. As Phillips (2026) argues, mainstream organization theory has largely failed to incorporate intelligent technologies, rendering core concepts potentially obsolete. The reviewed literature suggests that foundational constructs</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agency, actorhood, legitimacy, identity</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require reformulation for contexts where non-human entities participate in organizing. This is not merely an incremental theoretical adjustment but a potential paradigm shift.</w:t>
      </w:r>
    </w:p>
    <w:p w14:paraId="4E0D54F9"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Second, they reveal the need for multi-theoretical integration. No single theoretical tradition adequately captures AI organizational actorhood. Institutional theory illuminates legitimacy and isomorphic dynamics but under-theorizes AI's autonomous qualities. Agency theory addresses governance and alignment but presumes anthropocentric agent models. Sociomateriality offers relational ontologies but provides limited guidance for empirical research. The proposed conceptual framework (Section 4) suggests how these perspectives might complement rather than compete, with different dimensions capturing different facets of AI actorhood.</w:t>
      </w:r>
    </w:p>
    <w:p w14:paraId="7081B5B6"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Third, they problematize binary conceptualizations of agency. The autonomy gradient finding suggests that AI actorhood is not binary (actor vs. non-actor) but continuous and developmental. This has methodological implications: research must attend to how AI's organizational role evolves as capabilities advance, requiring longitudinal and process-oriented approaches.</w:t>
      </w:r>
    </w:p>
    <w:p w14:paraId="3B24FE7B" w14:textId="038B4ECE"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Fourth, they extend </w:t>
      </w:r>
      <w:r w:rsidR="00AB0051" w:rsidRPr="00500D1E">
        <w:rPr>
          <w:rFonts w:ascii="Times New Roman" w:eastAsia="Times New Roman" w:hAnsi="Times New Roman" w:cs="Times New Roman"/>
          <w:kern w:val="0"/>
          <w:lang w:eastAsia="en-MY"/>
          <w14:ligatures w14:val="none"/>
        </w:rPr>
        <w:t>the application of institutional theory</w:t>
      </w:r>
      <w:r w:rsidRPr="00500D1E">
        <w:rPr>
          <w:rFonts w:ascii="Times New Roman" w:eastAsia="Times New Roman" w:hAnsi="Times New Roman" w:cs="Times New Roman"/>
          <w:kern w:val="0"/>
          <w:lang w:eastAsia="en-MY"/>
          <w14:ligatures w14:val="none"/>
        </w:rPr>
        <w:t xml:space="preserve"> to technology. Rudko et al. (2025), Chakraborty and Kumar (2026), and others demonstrate </w:t>
      </w:r>
      <w:r w:rsidR="00AB0051" w:rsidRPr="00500D1E">
        <w:rPr>
          <w:rFonts w:ascii="Times New Roman" w:eastAsia="Times New Roman" w:hAnsi="Times New Roman" w:cs="Times New Roman"/>
          <w:kern w:val="0"/>
          <w:lang w:eastAsia="en-MY"/>
          <w14:ligatures w14:val="none"/>
        </w:rPr>
        <w:t>the value of institutional theory for understanding AI while also</w:t>
      </w:r>
      <w:r w:rsidRPr="00500D1E">
        <w:rPr>
          <w:rFonts w:ascii="Times New Roman" w:eastAsia="Times New Roman" w:hAnsi="Times New Roman" w:cs="Times New Roman"/>
          <w:kern w:val="0"/>
          <w:lang w:eastAsia="en-MY"/>
          <w14:ligatures w14:val="none"/>
        </w:rPr>
        <w:t xml:space="preserve"> revealing where the theory requires extension</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particularly in conceptualizing technology's active role in institutional work and change.</w:t>
      </w:r>
    </w:p>
    <w:p w14:paraId="154375CD" w14:textId="0452C7A2"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Fifth, they raise normative questions about accountability and responsibility. If AI acts as </w:t>
      </w:r>
      <w:r w:rsidR="00AB0051" w:rsidRPr="00500D1E">
        <w:rPr>
          <w:rFonts w:ascii="Times New Roman" w:eastAsia="Times New Roman" w:hAnsi="Times New Roman" w:cs="Times New Roman"/>
          <w:kern w:val="0"/>
          <w:lang w:eastAsia="en-MY"/>
          <w14:ligatures w14:val="none"/>
        </w:rPr>
        <w:t xml:space="preserve">an </w:t>
      </w:r>
      <w:r w:rsidRPr="00500D1E">
        <w:rPr>
          <w:rFonts w:ascii="Times New Roman" w:eastAsia="Times New Roman" w:hAnsi="Times New Roman" w:cs="Times New Roman"/>
          <w:kern w:val="0"/>
          <w:lang w:eastAsia="en-MY"/>
          <w14:ligatures w14:val="none"/>
        </w:rPr>
        <w:t>organizational agent, who bears responsibility for its decisions? Humberd and Latham (2026) raise but do not fully resolve these questions. Schilke and Reimann's (2025) finding that AI disclosure erodes trust suggests that legitimacy challenges may intensify as AI's agentic role becomes more transparent.</w:t>
      </w:r>
    </w:p>
    <w:p w14:paraId="580AE707"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Sixth, the proposed conceptual framework offers a testable model for future research. By specifying five antecedents, three mediators, three moderators, and four control variables, the framework provides clear guidance for empirical investigation of AI organizational actorhood. The mediating roles of legitimacy, trust, and decision rights suggest mechanisms through which antecedents translate into actorhood outcomes, while moderators identify boundary conditions.</w:t>
      </w:r>
    </w:p>
    <w:p w14:paraId="354DE22B"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8.2 Practical Implications</w:t>
      </w:r>
    </w:p>
    <w:p w14:paraId="07EA514F"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For managers and organizational leaders, recognizing AI as an emerging organizational actor entails several practical implications.</w:t>
      </w:r>
    </w:p>
    <w:p w14:paraId="433DF454" w14:textId="27F55EF6"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Governance mechanisms require reconsideration. If AI systems exercise discretion and make decisions with organizational consequences, traditional governance focused on human decision-makers becomes insufficient. Humberd and Latham's (2026) extension of agency theory suggests the need for monitoring and alignment mechanisms adapted to AI agents. This might include algorithmic auditing, </w:t>
      </w:r>
      <w:r w:rsidR="00AB0051" w:rsidRPr="00500D1E">
        <w:rPr>
          <w:rFonts w:ascii="Times New Roman" w:eastAsia="Times New Roman" w:hAnsi="Times New Roman" w:cs="Times New Roman"/>
          <w:kern w:val="0"/>
          <w:lang w:eastAsia="en-MY"/>
          <w14:ligatures w14:val="none"/>
        </w:rPr>
        <w:t>embedding design requirements that reflect</w:t>
      </w:r>
      <w:r w:rsidRPr="00500D1E">
        <w:rPr>
          <w:rFonts w:ascii="Times New Roman" w:eastAsia="Times New Roman" w:hAnsi="Times New Roman" w:cs="Times New Roman"/>
          <w:kern w:val="0"/>
          <w:lang w:eastAsia="en-MY"/>
          <w14:ligatures w14:val="none"/>
        </w:rPr>
        <w:t xml:space="preserve"> organizational values, and clear accountability structures.</w:t>
      </w:r>
    </w:p>
    <w:p w14:paraId="3AD30FEF" w14:textId="5841E092"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Legitimacy management becomes more complex. Schilke and Reimann (2025) demonstrate that AI disclosure can reduce trust, suggesting organizations face a transparency dilemma. Managers must navigate disclosure decisions while building legitimacy through alternative means</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perhaps emphasizing ability and benevolence alongside transparency (Chakraborty &amp; Kumar, 2026).</w:t>
      </w:r>
    </w:p>
    <w:p w14:paraId="4E17205C"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Workforce development must address human-AI collaboration. As AI assumes agentic roles, human roles transform from direct task execution to supervision, interpretation, and collaboration with AI systems. Sposato and Dittmar (2026) identify strategic capability development as crucial for SMEs navigating AI adoption.</w:t>
      </w:r>
    </w:p>
    <w:p w14:paraId="68414FC6"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Institutional strategy should account for AI's dual role. Organizations shape and are shaped by AI's institutional environment. Proactive engagement with regulators, industry associations, and professional bodies can help shape legitimacy conditions favorable to responsible AI deployment.</w:t>
      </w:r>
    </w:p>
    <w:p w14:paraId="2C9E3D6A" w14:textId="6729321B"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Ethical frameworks must be embedded in AI governance. Du and Xie (2021) and Rana et al. (2024) demonstrate that ethical considerations</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fairness, accountability, transparency, accuracy, </w:t>
      </w:r>
      <w:r w:rsidR="00B16B80" w:rsidRPr="00500D1E">
        <w:rPr>
          <w:rFonts w:ascii="Times New Roman" w:eastAsia="Times New Roman" w:hAnsi="Times New Roman" w:cs="Times New Roman"/>
          <w:kern w:val="0"/>
          <w:lang w:eastAsia="en-MY"/>
          <w14:ligatures w14:val="none"/>
        </w:rPr>
        <w:t>and autonomy</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influence AI adoption and outcomes. Organizations should develop ethical AI frameworks that guide </w:t>
      </w:r>
      <w:r w:rsidR="00B16B80" w:rsidRPr="00500D1E">
        <w:rPr>
          <w:rFonts w:ascii="Times New Roman" w:eastAsia="Times New Roman" w:hAnsi="Times New Roman" w:cs="Times New Roman"/>
          <w:kern w:val="0"/>
          <w:lang w:eastAsia="en-MY"/>
          <w14:ligatures w14:val="none"/>
        </w:rPr>
        <w:t>the design, deployment, and monitoring of AI systems</w:t>
      </w:r>
      <w:r w:rsidRPr="00500D1E">
        <w:rPr>
          <w:rFonts w:ascii="Times New Roman" w:eastAsia="Times New Roman" w:hAnsi="Times New Roman" w:cs="Times New Roman"/>
          <w:kern w:val="0"/>
          <w:lang w:eastAsia="en-MY"/>
          <w14:ligatures w14:val="none"/>
        </w:rPr>
        <w:t>.</w:t>
      </w:r>
    </w:p>
    <w:p w14:paraId="4DA6E738" w14:textId="63601DA3"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For policymakers, the findings suggest the need for governance frameworks addressing AI's organizational role. Current regulatory approaches often treat AI as </w:t>
      </w:r>
      <w:r w:rsidR="00B16B80" w:rsidRPr="00500D1E">
        <w:rPr>
          <w:rFonts w:ascii="Times New Roman" w:eastAsia="Times New Roman" w:hAnsi="Times New Roman" w:cs="Times New Roman"/>
          <w:kern w:val="0"/>
          <w:lang w:eastAsia="en-MY"/>
          <w14:ligatures w14:val="none"/>
        </w:rPr>
        <w:t xml:space="preserve">a tool or product rather than an </w:t>
      </w:r>
      <w:r w:rsidRPr="00500D1E">
        <w:rPr>
          <w:rFonts w:ascii="Times New Roman" w:eastAsia="Times New Roman" w:hAnsi="Times New Roman" w:cs="Times New Roman"/>
          <w:kern w:val="0"/>
          <w:lang w:eastAsia="en-MY"/>
          <w14:ligatures w14:val="none"/>
        </w:rPr>
        <w:t>organizational actor with emergent agency. Frameworks addressing algorithmic accountability, transparency requirements, and liability regimes may need updating.</w:t>
      </w:r>
    </w:p>
    <w:p w14:paraId="170135C6"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8.3 Limitations</w:t>
      </w:r>
    </w:p>
    <w:p w14:paraId="2478AC05"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This review has several limitations. First, its focus on management, business, and accounting literature may exclude relevant contributions from computer science, information systems, and science and technology studies. Second, the search strategy emphasizing institutional and organizational theory terms may under-capture literature theorizing AI through other frameworks. Third, the narrative review methodology, while appropriate for theoretical synthesis, involves interpretive choices that other reviewers might make differently. Fourth, the rapid evolution of AI capabilities means theoretical understandings may lag technological developments. Fifth, the proposed conceptual framework, while grounded in the literature, requires empirical validation.</w:t>
      </w:r>
    </w:p>
    <w:p w14:paraId="01316396" w14:textId="48506A28" w:rsidR="008E778C" w:rsidRPr="00500D1E" w:rsidRDefault="008E778C" w:rsidP="005E30CC">
      <w:pPr>
        <w:shd w:val="clear" w:color="auto" w:fill="FFFFFF"/>
        <w:spacing w:before="480" w:after="240" w:line="240" w:lineRule="auto"/>
        <w:jc w:val="both"/>
        <w:outlineLvl w:val="1"/>
        <w:rPr>
          <w:rFonts w:ascii="Times New Roman" w:eastAsia="Times New Roman" w:hAnsi="Times New Roman" w:cs="Times New Roman"/>
          <w:b/>
          <w:bCs/>
          <w:kern w:val="0"/>
          <w:sz w:val="28"/>
          <w:szCs w:val="28"/>
          <w:lang w:eastAsia="en-MY"/>
          <w14:ligatures w14:val="none"/>
        </w:rPr>
      </w:pPr>
      <w:r w:rsidRPr="00500D1E">
        <w:rPr>
          <w:rFonts w:ascii="Times New Roman" w:eastAsia="Times New Roman" w:hAnsi="Times New Roman" w:cs="Times New Roman"/>
          <w:b/>
          <w:bCs/>
          <w:kern w:val="0"/>
          <w:sz w:val="28"/>
          <w:szCs w:val="28"/>
          <w:lang w:eastAsia="en-MY"/>
          <w14:ligatures w14:val="none"/>
        </w:rPr>
        <w:t>9. C</w:t>
      </w:r>
      <w:r w:rsidR="00C85BDB">
        <w:rPr>
          <w:rFonts w:ascii="Times New Roman" w:eastAsia="Times New Roman" w:hAnsi="Times New Roman" w:cs="Times New Roman"/>
          <w:b/>
          <w:bCs/>
          <w:kern w:val="0"/>
          <w:sz w:val="28"/>
          <w:szCs w:val="28"/>
          <w:lang w:eastAsia="en-MY"/>
          <w14:ligatures w14:val="none"/>
        </w:rPr>
        <w:t>ONCLUSION AND RECOMMENDATIONS</w:t>
      </w:r>
    </w:p>
    <w:p w14:paraId="5EC62D0F" w14:textId="77777777" w:rsidR="008E778C" w:rsidRPr="00500D1E" w:rsidRDefault="008E778C" w:rsidP="002C2632">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9.1 Conclusion</w:t>
      </w:r>
    </w:p>
    <w:p w14:paraId="7082B5EE" w14:textId="39190850" w:rsidR="00D222CA" w:rsidRPr="00500D1E" w:rsidRDefault="00D222CA" w:rsidP="002C2632">
      <w:pPr>
        <w:shd w:val="clear" w:color="auto" w:fill="FFFFFF"/>
        <w:spacing w:after="240" w:line="240" w:lineRule="auto"/>
        <w:jc w:val="both"/>
        <w:outlineLvl w:val="2"/>
        <w:rPr>
          <w:rFonts w:ascii="Times New Roman" w:hAnsi="Times New Roman" w:cs="Times New Roman"/>
          <w:shd w:val="clear" w:color="auto" w:fill="FFFFFF"/>
        </w:rPr>
      </w:pPr>
      <w:r w:rsidRPr="00500D1E">
        <w:rPr>
          <w:rFonts w:ascii="Times New Roman" w:hAnsi="Times New Roman" w:cs="Times New Roman"/>
          <w:shd w:val="clear" w:color="auto" w:fill="FFFFFF"/>
        </w:rPr>
        <w:t>This narrative review has examined how artificial intelligence is theorized as an organizational actor within contemporary management and organization studies. Synthesizing 47 articles published between 2020 and 2026, the review reveals that AI is increasingly conceptualized through multiple theoretical lenses</w:t>
      </w:r>
      <w:r w:rsidR="00BC24AD" w:rsidRPr="00500D1E">
        <w:rPr>
          <w:rFonts w:ascii="Times New Roman" w:hAnsi="Times New Roman" w:cs="Times New Roman"/>
          <w:shd w:val="clear" w:color="auto" w:fill="FFFFFF"/>
        </w:rPr>
        <w:t xml:space="preserve">: </w:t>
      </w:r>
      <w:r w:rsidRPr="00500D1E">
        <w:rPr>
          <w:rFonts w:ascii="Times New Roman" w:hAnsi="Times New Roman" w:cs="Times New Roman"/>
          <w:shd w:val="clear" w:color="auto" w:fill="FFFFFF"/>
        </w:rPr>
        <w:t>institutional theory, agency theory, and sociomateriality</w:t>
      </w:r>
      <w:r w:rsidR="00BC24AD" w:rsidRPr="00500D1E">
        <w:rPr>
          <w:rFonts w:ascii="Times New Roman" w:hAnsi="Times New Roman" w:cs="Times New Roman"/>
          <w:shd w:val="clear" w:color="auto" w:fill="FFFFFF"/>
        </w:rPr>
        <w:t xml:space="preserve">, </w:t>
      </w:r>
      <w:r w:rsidRPr="00500D1E">
        <w:rPr>
          <w:rFonts w:ascii="Times New Roman" w:hAnsi="Times New Roman" w:cs="Times New Roman"/>
          <w:shd w:val="clear" w:color="auto" w:fill="FFFFFF"/>
        </w:rPr>
        <w:t>each illuminating different dimensions of its organizational role. Four key themes emerge: AI as an institutional actor subject to institutional pressures and capable of institutional work; AI as an economic agent creating novel principal-agent dynamics requiring governance mechanisms; AI's agency as emergent from socio-material assemblages rather than properties of discrete technologies; and AI's evolving autonomy along a gradient from tool to quasi-autonomous actor. Building on these findings, the review proposes a comprehensive conceptual framework specifying five antecedents, three mediators, three moderators, and four control variables that collectively shape AI organizational actorhood as the dependent variable. These findings collectively suggest that organization</w:t>
      </w:r>
      <w:r w:rsidR="00BC24AD" w:rsidRPr="00500D1E">
        <w:rPr>
          <w:rFonts w:ascii="Times New Roman" w:hAnsi="Times New Roman" w:cs="Times New Roman"/>
          <w:shd w:val="clear" w:color="auto" w:fill="FFFFFF"/>
        </w:rPr>
        <w:t>al</w:t>
      </w:r>
      <w:r w:rsidRPr="00500D1E">
        <w:rPr>
          <w:rFonts w:ascii="Times New Roman" w:hAnsi="Times New Roman" w:cs="Times New Roman"/>
          <w:shd w:val="clear" w:color="auto" w:fill="FFFFFF"/>
        </w:rPr>
        <w:t xml:space="preserve"> theory stands </w:t>
      </w:r>
      <w:r w:rsidRPr="00500D1E">
        <w:rPr>
          <w:rFonts w:ascii="Times New Roman" w:hAnsi="Times New Roman" w:cs="Times New Roman"/>
          <w:shd w:val="clear" w:color="auto" w:fill="FFFFFF"/>
        </w:rPr>
        <w:lastRenderedPageBreak/>
        <w:t>at an inflection point</w:t>
      </w:r>
      <w:r w:rsidR="00AB0051" w:rsidRPr="00500D1E">
        <w:rPr>
          <w:rFonts w:ascii="Times New Roman" w:hAnsi="Times New Roman" w:cs="Times New Roman"/>
          <w:shd w:val="clear" w:color="auto" w:fill="FFFFFF"/>
        </w:rPr>
        <w:t>, where integrating intelligent technologies into organizational life challenges anthropocentric assumptions embedded in foundational theories and creates</w:t>
      </w:r>
      <w:r w:rsidRPr="00500D1E">
        <w:rPr>
          <w:rFonts w:ascii="Times New Roman" w:hAnsi="Times New Roman" w:cs="Times New Roman"/>
          <w:shd w:val="clear" w:color="auto" w:fill="FFFFFF"/>
        </w:rPr>
        <w:t xml:space="preserve"> opportunities for theoretical renewal. The question is no longer whether AI will be an organizational actor but how its actorhood will be theorized, governed, and enacted</w:t>
      </w:r>
      <w:r w:rsidR="00BC24AD" w:rsidRPr="00500D1E">
        <w:rPr>
          <w:rFonts w:ascii="Times New Roman" w:hAnsi="Times New Roman" w:cs="Times New Roman"/>
          <w:shd w:val="clear" w:color="auto" w:fill="FFFFFF"/>
        </w:rPr>
        <w:t xml:space="preserve">, </w:t>
      </w:r>
      <w:r w:rsidRPr="00500D1E">
        <w:rPr>
          <w:rFonts w:ascii="Times New Roman" w:hAnsi="Times New Roman" w:cs="Times New Roman"/>
          <w:shd w:val="clear" w:color="auto" w:fill="FFFFFF"/>
        </w:rPr>
        <w:t>a challenge that requires engaging seriously with technology while maintaining organization theory's distinctive contributions to understanding institutions, power, meaning, and organizing processes.</w:t>
      </w:r>
    </w:p>
    <w:p w14:paraId="16D22B3F" w14:textId="7FA177ED"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9.2 Recommendations for Future Research</w:t>
      </w:r>
    </w:p>
    <w:p w14:paraId="17D1D6C6" w14:textId="42C81124"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1.</w:t>
      </w:r>
      <w:r w:rsidR="00BC24AD"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Empirically validate the proposed conceptual framework. Future research should operationalize and test the relationships specified in the framework using survey, archival, or mixed methods. Scale development for AI organizational actorhood as a multidimensional construct is urgently needed.</w:t>
      </w:r>
    </w:p>
    <w:p w14:paraId="682916F6" w14:textId="3F5598D9"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2.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 xml:space="preserve">Investigate the mediating mechanisms. Longitudinal studies examining how legitimacy, trust, and decision rights </w:t>
      </w:r>
      <w:r w:rsidR="00B16B80" w:rsidRPr="00500D1E">
        <w:rPr>
          <w:rFonts w:ascii="Times New Roman" w:eastAsia="Times New Roman" w:hAnsi="Times New Roman" w:cs="Times New Roman"/>
          <w:kern w:val="0"/>
          <w:lang w:eastAsia="en-MY"/>
          <w14:ligatures w14:val="none"/>
        </w:rPr>
        <w:t>mediate the effects of antecedents on actorhood outcomes would illuminate the processes by</w:t>
      </w:r>
      <w:r w:rsidRPr="00500D1E">
        <w:rPr>
          <w:rFonts w:ascii="Times New Roman" w:eastAsia="Times New Roman" w:hAnsi="Times New Roman" w:cs="Times New Roman"/>
          <w:kern w:val="0"/>
          <w:lang w:eastAsia="en-MY"/>
          <w14:ligatures w14:val="none"/>
        </w:rPr>
        <w:t xml:space="preserve"> which AI becomes an organizational actor.</w:t>
      </w:r>
    </w:p>
    <w:p w14:paraId="0B62BB94" w14:textId="2E56ED03"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3.</w:t>
      </w:r>
      <w:r w:rsidR="00BC24AD"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Examine moderating boundary conditions. Comparative research across different governance structures, organizational cultures, and institutional environments would reveal how contextual factors strengthen or weaken relationships in the framework.</w:t>
      </w:r>
    </w:p>
    <w:p w14:paraId="65C2D8EE" w14:textId="0C5FBDB3"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4.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Develop mid-range theories of AI organizational actorhood. Future research should move beyond broad theoretical statements toward testable propositions linking specific AI capabilities to organizational outcomes. Sposato and Dittmar's (2026) propositions offer a model for such work.</w:t>
      </w:r>
      <w:r w:rsidR="00A57F33" w:rsidRPr="00500D1E">
        <w:rPr>
          <w:rFonts w:ascii="Times New Roman" w:eastAsia="Times New Roman" w:hAnsi="Times New Roman" w:cs="Times New Roman"/>
          <w:kern w:val="0"/>
          <w:lang w:eastAsia="en-MY"/>
          <w14:ligatures w14:val="none"/>
        </w:rPr>
        <w:tab/>
      </w:r>
    </w:p>
    <w:p w14:paraId="7F091D31" w14:textId="5F6BFECF"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5.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 xml:space="preserve">Investigate the autonomy gradient empirically. Longitudinal studies tracing how AI's organizational role evolves as capabilities advance would illuminate the transition from tool to agent. Comparative case studies of organizations at different AI maturity stages could reveal factors </w:t>
      </w:r>
      <w:r w:rsidR="00AB0051" w:rsidRPr="00500D1E">
        <w:rPr>
          <w:rFonts w:ascii="Times New Roman" w:eastAsia="Times New Roman" w:hAnsi="Times New Roman" w:cs="Times New Roman"/>
          <w:kern w:val="0"/>
          <w:lang w:eastAsia="en-MY"/>
          <w14:ligatures w14:val="none"/>
        </w:rPr>
        <w:t>that enable or constrain</w:t>
      </w:r>
      <w:r w:rsidRPr="00500D1E">
        <w:rPr>
          <w:rFonts w:ascii="Times New Roman" w:eastAsia="Times New Roman" w:hAnsi="Times New Roman" w:cs="Times New Roman"/>
          <w:kern w:val="0"/>
          <w:lang w:eastAsia="en-MY"/>
          <w14:ligatures w14:val="none"/>
        </w:rPr>
        <w:t xml:space="preserve"> this transition.</w:t>
      </w:r>
    </w:p>
    <w:p w14:paraId="1BB1CEDF" w14:textId="6211AFFB"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6.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 xml:space="preserve">Examine governance mechanisms for AI agents. Building on Humberd and Latham (2026), research should investigate what monitoring and alignment mechanisms effectively align AI agents with organizational interests. Design science approaches might </w:t>
      </w:r>
      <w:r w:rsidR="00AB0051" w:rsidRPr="00500D1E">
        <w:rPr>
          <w:rFonts w:ascii="Times New Roman" w:eastAsia="Times New Roman" w:hAnsi="Times New Roman" w:cs="Times New Roman"/>
          <w:kern w:val="0"/>
          <w:lang w:eastAsia="en-MY"/>
          <w14:ligatures w14:val="none"/>
        </w:rPr>
        <w:t xml:space="preserve">be used to </w:t>
      </w:r>
      <w:r w:rsidRPr="00500D1E">
        <w:rPr>
          <w:rFonts w:ascii="Times New Roman" w:eastAsia="Times New Roman" w:hAnsi="Times New Roman" w:cs="Times New Roman"/>
          <w:kern w:val="0"/>
          <w:lang w:eastAsia="en-MY"/>
          <w14:ligatures w14:val="none"/>
        </w:rPr>
        <w:t>develop and test governance protocols.</w:t>
      </w:r>
    </w:p>
    <w:p w14:paraId="0F5A1469" w14:textId="4DE98EB5"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7.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Study institutional work by and for AI. How do AI systems actively shape their institutional environments? How do organizational actors perform institutional work to legitimize AI? Ethnographic and process studies could illuminate these dynamics.</w:t>
      </w:r>
    </w:p>
    <w:p w14:paraId="0DCDB9FE" w14:textId="5AE8BFB7"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8.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 xml:space="preserve">Investigate cross-cultural variation in AI actorhood. Chen and Dong's (2025) finding that AI's </w:t>
      </w:r>
      <w:r w:rsidR="00AB0051" w:rsidRPr="00500D1E">
        <w:rPr>
          <w:rFonts w:ascii="Times New Roman" w:eastAsia="Times New Roman" w:hAnsi="Times New Roman" w:cs="Times New Roman"/>
          <w:kern w:val="0"/>
          <w:lang w:eastAsia="en-MY"/>
          <w14:ligatures w14:val="none"/>
        </w:rPr>
        <w:t xml:space="preserve">effects on export performance </w:t>
      </w:r>
      <w:r w:rsidRPr="00500D1E">
        <w:rPr>
          <w:rFonts w:ascii="Times New Roman" w:eastAsia="Times New Roman" w:hAnsi="Times New Roman" w:cs="Times New Roman"/>
          <w:kern w:val="0"/>
          <w:lang w:eastAsia="en-MY"/>
          <w14:ligatures w14:val="none"/>
        </w:rPr>
        <w:t>vary with cultural distance suggests that AI actorhood may be culturally contingent. Comparative research across institutional contexts could reveal how national cultures shape AI's organizational role.</w:t>
      </w:r>
    </w:p>
    <w:p w14:paraId="28650171" w14:textId="4C59F5E7"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9.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 xml:space="preserve">Examine </w:t>
      </w:r>
      <w:r w:rsidR="00AB0051" w:rsidRPr="00500D1E">
        <w:rPr>
          <w:rFonts w:ascii="Times New Roman" w:eastAsia="Times New Roman" w:hAnsi="Times New Roman" w:cs="Times New Roman"/>
          <w:kern w:val="0"/>
          <w:lang w:eastAsia="en-MY"/>
          <w14:ligatures w14:val="none"/>
        </w:rPr>
        <w:t xml:space="preserve">the </w:t>
      </w:r>
      <w:r w:rsidRPr="00500D1E">
        <w:rPr>
          <w:rFonts w:ascii="Times New Roman" w:eastAsia="Times New Roman" w:hAnsi="Times New Roman" w:cs="Times New Roman"/>
          <w:kern w:val="0"/>
          <w:lang w:eastAsia="en-MY"/>
          <w14:ligatures w14:val="none"/>
        </w:rPr>
        <w:t xml:space="preserve">ethical implications of AI agency. As AI exercises increasing discretion, questions of accountability, responsibility, and moral agency become pressing. Interdisciplinary research </w:t>
      </w:r>
      <w:r w:rsidR="00AB0051" w:rsidRPr="00500D1E">
        <w:rPr>
          <w:rFonts w:ascii="Times New Roman" w:eastAsia="Times New Roman" w:hAnsi="Times New Roman" w:cs="Times New Roman"/>
          <w:kern w:val="0"/>
          <w:lang w:eastAsia="en-MY"/>
          <w14:ligatures w14:val="none"/>
        </w:rPr>
        <w:t>that engages philosophy, law, and computer science alongside organizational</w:t>
      </w:r>
      <w:r w:rsidRPr="00500D1E">
        <w:rPr>
          <w:rFonts w:ascii="Times New Roman" w:eastAsia="Times New Roman" w:hAnsi="Times New Roman" w:cs="Times New Roman"/>
          <w:kern w:val="0"/>
          <w:lang w:eastAsia="en-MY"/>
          <w14:ligatures w14:val="none"/>
        </w:rPr>
        <w:t xml:space="preserve"> theory is needed.</w:t>
      </w:r>
    </w:p>
    <w:p w14:paraId="45F5206C" w14:textId="6C41B3E3" w:rsidR="008E778C" w:rsidRPr="006E2F01" w:rsidRDefault="008E778C" w:rsidP="00A57F33">
      <w:pPr>
        <w:shd w:val="clear" w:color="auto" w:fill="FFFFFF"/>
        <w:spacing w:before="240" w:after="240" w:line="240" w:lineRule="auto"/>
        <w:ind w:left="426" w:hanging="426"/>
        <w:jc w:val="both"/>
        <w:rPr>
          <w:rFonts w:ascii="Times New Roman" w:eastAsia="Times New Roman" w:hAnsi="Times New Roman" w:cs="Times New Roman"/>
          <w:color w:val="0F1115"/>
          <w:kern w:val="0"/>
          <w:lang w:eastAsia="en-MY"/>
          <w14:ligatures w14:val="none"/>
        </w:rPr>
      </w:pPr>
      <w:r w:rsidRPr="00500D1E">
        <w:rPr>
          <w:rFonts w:ascii="Times New Roman" w:eastAsia="Times New Roman" w:hAnsi="Times New Roman" w:cs="Times New Roman"/>
          <w:kern w:val="0"/>
          <w:lang w:eastAsia="en-MY"/>
          <w14:ligatures w14:val="none"/>
        </w:rPr>
        <w:lastRenderedPageBreak/>
        <w:t>10.</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Develop methods appropriate for studying socio-material assemblages. If agency is distributed across human-technology configurations, methods must capture these dynamics. Leavitt et al.'s (2021) exploration of machine learning's epistemological opportunities suggests possibilities for methodological innovation</w:t>
      </w:r>
      <w:r w:rsidRPr="006E2F01">
        <w:rPr>
          <w:rFonts w:ascii="Times New Roman" w:eastAsia="Times New Roman" w:hAnsi="Times New Roman" w:cs="Times New Roman"/>
          <w:color w:val="0F1115"/>
          <w:kern w:val="0"/>
          <w:lang w:eastAsia="en-MY"/>
          <w14:ligatures w14:val="none"/>
        </w:rPr>
        <w:t>.</w:t>
      </w:r>
    </w:p>
    <w:p w14:paraId="4C4555B9" w14:textId="64E8A39A"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R</w:t>
      </w:r>
      <w:r w:rsidR="00C85BDB">
        <w:rPr>
          <w:rFonts w:ascii="Times New Roman" w:eastAsia="Times New Roman" w:hAnsi="Times New Roman" w:cs="Times New Roman"/>
          <w:b/>
          <w:bCs/>
          <w:color w:val="0F1115"/>
          <w:kern w:val="0"/>
          <w:sz w:val="28"/>
          <w:szCs w:val="28"/>
          <w:lang w:eastAsia="en-MY"/>
          <w14:ligatures w14:val="none"/>
        </w:rPr>
        <w:t>EFERENCES</w:t>
      </w:r>
    </w:p>
    <w:p w14:paraId="07C22574"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val="pt-BR" w:eastAsia="en-MY"/>
          <w14:ligatures w14:val="none"/>
        </w:rPr>
      </w:pPr>
      <w:r w:rsidRPr="00564FB9">
        <w:rPr>
          <w:rFonts w:ascii="Times New Roman" w:eastAsia="Times New Roman" w:hAnsi="Times New Roman" w:cs="Times New Roman"/>
          <w:kern w:val="0"/>
          <w:lang w:eastAsia="en-MY"/>
          <w14:ligatures w14:val="none"/>
        </w:rPr>
        <w:t xml:space="preserve">Alibašić, H. (2025). A multi-paradigm ethical framework for hybrid intelligence in blockchain technology and cryptocurrency systems governance. </w:t>
      </w:r>
      <w:r w:rsidRPr="00564FB9">
        <w:rPr>
          <w:rFonts w:ascii="Times New Roman" w:eastAsia="Times New Roman" w:hAnsi="Times New Roman" w:cs="Times New Roman"/>
          <w:i/>
          <w:iCs/>
          <w:kern w:val="0"/>
          <w:lang w:val="pt-BR" w:eastAsia="en-MY"/>
          <w14:ligatures w14:val="none"/>
        </w:rPr>
        <w:t>FinTech, 4</w:t>
      </w:r>
      <w:r w:rsidRPr="00564FB9">
        <w:rPr>
          <w:rFonts w:ascii="Times New Roman" w:eastAsia="Times New Roman" w:hAnsi="Times New Roman" w:cs="Times New Roman"/>
          <w:kern w:val="0"/>
          <w:lang w:val="pt-BR" w:eastAsia="en-MY"/>
          <w14:ligatures w14:val="none"/>
        </w:rPr>
        <w:t>(3), 34. https://doi.org/10.3390/fintech4030034</w:t>
      </w:r>
    </w:p>
    <w:p w14:paraId="73CACEC0"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Arias-Pérez, J., Chacón-Henao, J., &amp; López-Zapata, E. (2023). </w:t>
      </w:r>
      <w:r w:rsidRPr="00564FB9">
        <w:rPr>
          <w:rFonts w:ascii="Times New Roman" w:eastAsia="Times New Roman" w:hAnsi="Times New Roman" w:cs="Times New Roman"/>
          <w:kern w:val="0"/>
          <w:lang w:eastAsia="en-MY"/>
          <w14:ligatures w14:val="none"/>
        </w:rPr>
        <w:t xml:space="preserve">Unlocking agility: Trapped in the antagonism between co-innovation in digital platforms, business analytics capability and external pressure for AI adoption? </w:t>
      </w:r>
      <w:r w:rsidRPr="00564FB9">
        <w:rPr>
          <w:rFonts w:ascii="Times New Roman" w:eastAsia="Times New Roman" w:hAnsi="Times New Roman" w:cs="Times New Roman"/>
          <w:i/>
          <w:iCs/>
          <w:kern w:val="0"/>
          <w:lang w:eastAsia="en-MY"/>
          <w14:ligatures w14:val="none"/>
        </w:rPr>
        <w:t>Business Process Management Journal, 29</w:t>
      </w:r>
      <w:r w:rsidRPr="00564FB9">
        <w:rPr>
          <w:rFonts w:ascii="Times New Roman" w:eastAsia="Times New Roman" w:hAnsi="Times New Roman" w:cs="Times New Roman"/>
          <w:kern w:val="0"/>
          <w:lang w:eastAsia="en-MY"/>
          <w14:ligatures w14:val="none"/>
        </w:rPr>
        <w:t>(6), 1791–1809. https://doi.org/10.1108/bpmj-10-2022-0484</w:t>
      </w:r>
    </w:p>
    <w:p w14:paraId="7F643A0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Bag, S., Pretorius, J. H. C., Gupta, S., &amp; Dwivedi, Y. K. (2021). </w:t>
      </w:r>
      <w:r w:rsidRPr="00564FB9">
        <w:rPr>
          <w:rFonts w:ascii="Times New Roman" w:eastAsia="Times New Roman" w:hAnsi="Times New Roman" w:cs="Times New Roman"/>
          <w:kern w:val="0"/>
          <w:lang w:eastAsia="en-MY"/>
          <w14:ligatures w14:val="none"/>
        </w:rPr>
        <w:t xml:space="preserve">Role of institutional pressures and resources in the adoption of big data analytics powered artificial intelligence, sustainable manufacturing practices and circular economy capabilities. </w:t>
      </w:r>
      <w:r w:rsidRPr="00564FB9">
        <w:rPr>
          <w:rFonts w:ascii="Times New Roman" w:eastAsia="Times New Roman" w:hAnsi="Times New Roman" w:cs="Times New Roman"/>
          <w:i/>
          <w:iCs/>
          <w:kern w:val="0"/>
          <w:lang w:eastAsia="en-MY"/>
          <w14:ligatures w14:val="none"/>
        </w:rPr>
        <w:t>Technological Forecasting and Social Change, 163</w:t>
      </w:r>
      <w:r w:rsidRPr="00564FB9">
        <w:rPr>
          <w:rFonts w:ascii="Times New Roman" w:eastAsia="Times New Roman" w:hAnsi="Times New Roman" w:cs="Times New Roman"/>
          <w:kern w:val="0"/>
          <w:lang w:eastAsia="en-MY"/>
          <w14:ligatures w14:val="none"/>
        </w:rPr>
        <w:t>(120420), 120420. https://doi.org/10.1016/j.techfore.2020.120420</w:t>
      </w:r>
    </w:p>
    <w:p w14:paraId="6B4E37A4"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Bag, S., Srivastava, G., Gupta, S., Zhang, J. Z., &amp; Kamble, S. (2023). </w:t>
      </w:r>
      <w:r w:rsidRPr="00564FB9">
        <w:rPr>
          <w:rFonts w:ascii="Times New Roman" w:eastAsia="Times New Roman" w:hAnsi="Times New Roman" w:cs="Times New Roman"/>
          <w:kern w:val="0"/>
          <w:lang w:eastAsia="en-MY"/>
          <w14:ligatures w14:val="none"/>
        </w:rPr>
        <w:t xml:space="preserve">Climate change adaptation capability, business-to-business marketing capability and firm performance: Integrating institutional theory and dynamic capability view. </w:t>
      </w:r>
      <w:r w:rsidRPr="00564FB9">
        <w:rPr>
          <w:rFonts w:ascii="Times New Roman" w:eastAsia="Times New Roman" w:hAnsi="Times New Roman" w:cs="Times New Roman"/>
          <w:i/>
          <w:iCs/>
          <w:kern w:val="0"/>
          <w:lang w:eastAsia="en-MY"/>
          <w14:ligatures w14:val="none"/>
        </w:rPr>
        <w:t>Industrial Marketing Management, 115</w:t>
      </w:r>
      <w:r w:rsidRPr="00564FB9">
        <w:rPr>
          <w:rFonts w:ascii="Times New Roman" w:eastAsia="Times New Roman" w:hAnsi="Times New Roman" w:cs="Times New Roman"/>
          <w:kern w:val="0"/>
          <w:lang w:eastAsia="en-MY"/>
          <w14:ligatures w14:val="none"/>
        </w:rPr>
        <w:t>, 470–483. https://doi.org/10.1016/j.indmarman.2023.11.003</w:t>
      </w:r>
    </w:p>
    <w:p w14:paraId="26C6662B" w14:textId="77777777" w:rsidR="004977B7" w:rsidRPr="004977B7" w:rsidRDefault="004977B7" w:rsidP="008B0F56">
      <w:pPr>
        <w:pStyle w:val="ListParagraph"/>
        <w:numPr>
          <w:ilvl w:val="0"/>
          <w:numId w:val="4"/>
        </w:numPr>
        <w:ind w:left="426" w:hanging="426"/>
        <w:jc w:val="both"/>
        <w:rPr>
          <w:rFonts w:ascii="Times New Roman" w:eastAsia="Times New Roman" w:hAnsi="Times New Roman" w:cs="Times New Roman"/>
          <w:kern w:val="0"/>
          <w:lang w:eastAsia="en-MY"/>
          <w14:ligatures w14:val="none"/>
        </w:rPr>
      </w:pPr>
      <w:r w:rsidRPr="004977B7">
        <w:rPr>
          <w:rFonts w:ascii="Times New Roman" w:eastAsia="Times New Roman" w:hAnsi="Times New Roman" w:cs="Times New Roman"/>
          <w:kern w:val="0"/>
          <w:lang w:eastAsia="en-MY"/>
          <w14:ligatures w14:val="none"/>
        </w:rPr>
        <w:t xml:space="preserve">Baharom, Z. (2025). Drivers and obstacles: A narrative review of green technology adoption in SMEs. </w:t>
      </w:r>
      <w:r w:rsidRPr="008E6D10">
        <w:rPr>
          <w:rFonts w:ascii="Times New Roman" w:eastAsia="Times New Roman" w:hAnsi="Times New Roman" w:cs="Times New Roman"/>
          <w:i/>
          <w:iCs/>
          <w:kern w:val="0"/>
          <w:lang w:eastAsia="en-MY"/>
          <w14:ligatures w14:val="none"/>
        </w:rPr>
        <w:t>International Journal of Research and Innovation in Social Science, 9</w:t>
      </w:r>
      <w:r w:rsidRPr="004977B7">
        <w:rPr>
          <w:rFonts w:ascii="Times New Roman" w:eastAsia="Times New Roman" w:hAnsi="Times New Roman" w:cs="Times New Roman"/>
          <w:kern w:val="0"/>
          <w:lang w:eastAsia="en-MY"/>
          <w14:ligatures w14:val="none"/>
        </w:rPr>
        <w:t>(11), 6903–6917. https://doi.org/10.47772/ijriss.2025.91100538</w:t>
      </w:r>
    </w:p>
    <w:p w14:paraId="1326064D" w14:textId="175AE09D"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Bechky, B. A., &amp; Davis, G. F. (2024). Resisting the algorithmic management of science: Craft and community after generative AI. </w:t>
      </w:r>
      <w:r w:rsidRPr="00564FB9">
        <w:rPr>
          <w:rFonts w:ascii="Times New Roman" w:eastAsia="Times New Roman" w:hAnsi="Times New Roman" w:cs="Times New Roman"/>
          <w:i/>
          <w:iCs/>
          <w:kern w:val="0"/>
          <w:lang w:eastAsia="en-MY"/>
          <w14:ligatures w14:val="none"/>
        </w:rPr>
        <w:t>Administrative Science Quarterly, 70</w:t>
      </w:r>
      <w:r w:rsidRPr="00564FB9">
        <w:rPr>
          <w:rFonts w:ascii="Times New Roman" w:eastAsia="Times New Roman" w:hAnsi="Times New Roman" w:cs="Times New Roman"/>
          <w:kern w:val="0"/>
          <w:lang w:eastAsia="en-MY"/>
          <w14:ligatures w14:val="none"/>
        </w:rPr>
        <w:t>(1), 1–22. https://doi.org/10.1177/00018392241304403</w:t>
      </w:r>
    </w:p>
    <w:p w14:paraId="2254002A" w14:textId="60CB926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Chakraborty, I., &amp; Kumar, N. (2026). Trust as institutional infrastructure: Balancing isomorphism and legitimacy in the governance of GenAI for healthcare. </w:t>
      </w:r>
      <w:r w:rsidRPr="00564FB9">
        <w:rPr>
          <w:rFonts w:ascii="Times New Roman" w:eastAsia="Times New Roman" w:hAnsi="Times New Roman" w:cs="Times New Roman"/>
          <w:i/>
          <w:iCs/>
          <w:kern w:val="0"/>
          <w:lang w:eastAsia="en-MY"/>
          <w14:ligatures w14:val="none"/>
        </w:rPr>
        <w:t>Technological Forecasting and Social Change, 226</w:t>
      </w:r>
      <w:r w:rsidRPr="00564FB9">
        <w:rPr>
          <w:rFonts w:ascii="Times New Roman" w:eastAsia="Times New Roman" w:hAnsi="Times New Roman" w:cs="Times New Roman"/>
          <w:kern w:val="0"/>
          <w:lang w:eastAsia="en-MY"/>
          <w14:ligatures w14:val="none"/>
        </w:rPr>
        <w:t>(124615). https://doi.org/10.1016/j.techfore.2026.124615</w:t>
      </w:r>
    </w:p>
    <w:p w14:paraId="3F37F01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Chatterjee, S., Rana, N. P., Tamilmani, K., &amp; Sharma, A. (2021). The effect of AI-based CRM on organization performance and competitive advantage: An empirical analysis in the B2B context. </w:t>
      </w:r>
      <w:r w:rsidRPr="00564FB9">
        <w:rPr>
          <w:rFonts w:ascii="Times New Roman" w:eastAsia="Times New Roman" w:hAnsi="Times New Roman" w:cs="Times New Roman"/>
          <w:i/>
          <w:iCs/>
          <w:kern w:val="0"/>
          <w:lang w:eastAsia="en-MY"/>
          <w14:ligatures w14:val="none"/>
        </w:rPr>
        <w:t>Industrial Marketing Management, 97</w:t>
      </w:r>
      <w:r w:rsidRPr="00564FB9">
        <w:rPr>
          <w:rFonts w:ascii="Times New Roman" w:eastAsia="Times New Roman" w:hAnsi="Times New Roman" w:cs="Times New Roman"/>
          <w:kern w:val="0"/>
          <w:lang w:eastAsia="en-MY"/>
          <w14:ligatures w14:val="none"/>
        </w:rPr>
        <w:t>, 205–219. https://doi.org/10.1016/j.indmarman.2021.07.013</w:t>
      </w:r>
    </w:p>
    <w:p w14:paraId="76A0B694"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Chen, Y.-A., &amp; Dong, N. (2025). AI capabilities and export performance: the moderating role of province market development and cultural distance. </w:t>
      </w:r>
      <w:r w:rsidRPr="00564FB9">
        <w:rPr>
          <w:rFonts w:ascii="Times New Roman" w:eastAsia="Times New Roman" w:hAnsi="Times New Roman" w:cs="Times New Roman"/>
          <w:i/>
          <w:iCs/>
          <w:kern w:val="0"/>
          <w:lang w:eastAsia="en-MY"/>
          <w14:ligatures w14:val="none"/>
        </w:rPr>
        <w:t>International Journal of Emerging Markets, 20</w:t>
      </w:r>
      <w:r w:rsidRPr="00564FB9">
        <w:rPr>
          <w:rFonts w:ascii="Times New Roman" w:eastAsia="Times New Roman" w:hAnsi="Times New Roman" w:cs="Times New Roman"/>
          <w:kern w:val="0"/>
          <w:lang w:eastAsia="en-MY"/>
          <w14:ligatures w14:val="none"/>
        </w:rPr>
        <w:t>(12), 4907–4925. https://doi.org/10.1108/ijoem-12-2023-2014</w:t>
      </w:r>
    </w:p>
    <w:p w14:paraId="432EA689"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Cimino, A., Longo, F., Solina, V., &amp; Veltri, P. (2026). </w:t>
      </w:r>
      <w:r w:rsidRPr="00564FB9">
        <w:rPr>
          <w:rFonts w:ascii="Times New Roman" w:eastAsia="Times New Roman" w:hAnsi="Times New Roman" w:cs="Times New Roman"/>
          <w:kern w:val="0"/>
          <w:lang w:eastAsia="en-MY"/>
          <w14:ligatures w14:val="none"/>
        </w:rPr>
        <w:t xml:space="preserve">Integrating large language models with industrial simulation for multi-level decision support: an innovation management perspective in Industry 5.0. </w:t>
      </w:r>
      <w:r w:rsidRPr="00564FB9">
        <w:rPr>
          <w:rFonts w:ascii="Times New Roman" w:eastAsia="Times New Roman" w:hAnsi="Times New Roman" w:cs="Times New Roman"/>
          <w:i/>
          <w:iCs/>
          <w:kern w:val="0"/>
          <w:lang w:eastAsia="en-MY"/>
          <w14:ligatures w14:val="none"/>
        </w:rPr>
        <w:t>European Journal of Innovation Management, 29</w:t>
      </w:r>
      <w:r w:rsidRPr="00564FB9">
        <w:rPr>
          <w:rFonts w:ascii="Times New Roman" w:eastAsia="Times New Roman" w:hAnsi="Times New Roman" w:cs="Times New Roman"/>
          <w:kern w:val="0"/>
          <w:lang w:eastAsia="en-MY"/>
          <w14:ligatures w14:val="none"/>
        </w:rPr>
        <w:t>(11), 27–53. https://doi.org/10.1108/ejim-10-2024-1246</w:t>
      </w:r>
    </w:p>
    <w:p w14:paraId="737CF4FD"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Das, P., Uditaa, &amp; Hariprasad. (2026). Unlocking the promise of AI in personalized marketing: mapping the hidden barriers to adoption. </w:t>
      </w:r>
      <w:r w:rsidRPr="00564FB9">
        <w:rPr>
          <w:rFonts w:ascii="Times New Roman" w:eastAsia="Times New Roman" w:hAnsi="Times New Roman" w:cs="Times New Roman"/>
          <w:i/>
          <w:iCs/>
          <w:kern w:val="0"/>
          <w:lang w:eastAsia="en-MY"/>
          <w14:ligatures w14:val="none"/>
        </w:rPr>
        <w:t>International Journal of Quality and Service Sciences, 18</w:t>
      </w:r>
      <w:r w:rsidRPr="00564FB9">
        <w:rPr>
          <w:rFonts w:ascii="Times New Roman" w:eastAsia="Times New Roman" w:hAnsi="Times New Roman" w:cs="Times New Roman"/>
          <w:kern w:val="0"/>
          <w:lang w:eastAsia="en-MY"/>
          <w14:ligatures w14:val="none"/>
        </w:rPr>
        <w:t>(1), 122–145. https://doi.org/10.1108/ijqss-08-2025-0193</w:t>
      </w:r>
    </w:p>
    <w:p w14:paraId="047A8110"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lastRenderedPageBreak/>
        <w:t>DiMaggio, P. J., &amp; Powell, W. W. (1983). The iron cage revisited: Institutional isomorphism and collective rationality in organizational fields</w:t>
      </w:r>
      <w:r w:rsidRPr="00564FB9">
        <w:rPr>
          <w:rFonts w:ascii="Times New Roman" w:eastAsia="Times New Roman" w:hAnsi="Times New Roman" w:cs="Times New Roman"/>
          <w:i/>
          <w:iCs/>
          <w:kern w:val="0"/>
          <w:lang w:eastAsia="en-MY"/>
          <w14:ligatures w14:val="none"/>
        </w:rPr>
        <w:t>. American Sociological Review, 48</w:t>
      </w:r>
      <w:r w:rsidRPr="00564FB9">
        <w:rPr>
          <w:rFonts w:ascii="Times New Roman" w:eastAsia="Times New Roman" w:hAnsi="Times New Roman" w:cs="Times New Roman"/>
          <w:kern w:val="0"/>
          <w:lang w:eastAsia="en-MY"/>
          <w14:ligatures w14:val="none"/>
        </w:rPr>
        <w:t>(2), 147. https://doi.org/10.2307/2095101</w:t>
      </w:r>
    </w:p>
    <w:p w14:paraId="60A532D7"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Du, S., &amp; Xie, C. (2021). Paradoxes of artificial intelligence in consumer markets: Ethical challenges and opportunities. </w:t>
      </w:r>
      <w:r w:rsidRPr="00564FB9">
        <w:rPr>
          <w:rFonts w:ascii="Times New Roman" w:eastAsia="Times New Roman" w:hAnsi="Times New Roman" w:cs="Times New Roman"/>
          <w:i/>
          <w:iCs/>
          <w:kern w:val="0"/>
          <w:lang w:eastAsia="en-MY"/>
          <w14:ligatures w14:val="none"/>
        </w:rPr>
        <w:t>Journal of Business Research, 129</w:t>
      </w:r>
      <w:r w:rsidRPr="00564FB9">
        <w:rPr>
          <w:rFonts w:ascii="Times New Roman" w:eastAsia="Times New Roman" w:hAnsi="Times New Roman" w:cs="Times New Roman"/>
          <w:kern w:val="0"/>
          <w:lang w:eastAsia="en-MY"/>
          <w14:ligatures w14:val="none"/>
        </w:rPr>
        <w:t>, 961–974. https://doi.org/10.1016/j.jbusres.2020.08.024</w:t>
      </w:r>
    </w:p>
    <w:p w14:paraId="51D117C8"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Dubey, R., Gunasekaran, A., &amp; Papadopoulos, T. (2024). </w:t>
      </w:r>
      <w:r w:rsidRPr="00564FB9">
        <w:rPr>
          <w:rFonts w:ascii="Times New Roman" w:eastAsia="Times New Roman" w:hAnsi="Times New Roman" w:cs="Times New Roman"/>
          <w:kern w:val="0"/>
          <w:lang w:eastAsia="en-MY"/>
          <w14:ligatures w14:val="none"/>
        </w:rPr>
        <w:t xml:space="preserve">Benchmarking operations and supply chain management practices using Generative AI: Towards a theoretical framework. </w:t>
      </w:r>
      <w:r w:rsidRPr="00564FB9">
        <w:rPr>
          <w:rFonts w:ascii="Times New Roman" w:eastAsia="Times New Roman" w:hAnsi="Times New Roman" w:cs="Times New Roman"/>
          <w:i/>
          <w:iCs/>
          <w:kern w:val="0"/>
          <w:lang w:eastAsia="en-MY"/>
          <w14:ligatures w14:val="none"/>
        </w:rPr>
        <w:t>Transportation Research Part E: Logistics and Transportation Review, 189</w:t>
      </w:r>
      <w:r w:rsidRPr="00564FB9">
        <w:rPr>
          <w:rFonts w:ascii="Times New Roman" w:eastAsia="Times New Roman" w:hAnsi="Times New Roman" w:cs="Times New Roman"/>
          <w:kern w:val="0"/>
          <w:lang w:eastAsia="en-MY"/>
          <w14:ligatures w14:val="none"/>
        </w:rPr>
        <w:t>(103689). https://doi.org/10.1016/j.tre.2024.103689</w:t>
      </w:r>
    </w:p>
    <w:p w14:paraId="1B087B67"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Fang, C., Wilkenfeld, J. N., Navick, N., &amp; Gibbs, J. L. (2023). “AI am here to represent you”: Understanding how institutional logics shape attitudes toward intelligent technologies in legal work. </w:t>
      </w:r>
      <w:r w:rsidRPr="00564FB9">
        <w:rPr>
          <w:rFonts w:ascii="Times New Roman" w:eastAsia="Times New Roman" w:hAnsi="Times New Roman" w:cs="Times New Roman"/>
          <w:i/>
          <w:iCs/>
          <w:kern w:val="0"/>
          <w:lang w:eastAsia="en-MY"/>
          <w14:ligatures w14:val="none"/>
        </w:rPr>
        <w:t>Management Communication Quarterly, 37</w:t>
      </w:r>
      <w:r w:rsidRPr="00564FB9">
        <w:rPr>
          <w:rFonts w:ascii="Times New Roman" w:eastAsia="Times New Roman" w:hAnsi="Times New Roman" w:cs="Times New Roman"/>
          <w:kern w:val="0"/>
          <w:lang w:eastAsia="en-MY"/>
          <w14:ligatures w14:val="none"/>
        </w:rPr>
        <w:t>(4), 941–970. https://doi.org/10.1177/08933189231158282</w:t>
      </w:r>
    </w:p>
    <w:p w14:paraId="660D0BC8"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Humberd, B. K., &amp; Latham, S. F. (2026). When AI becomes an agent of the firm: Examining the evolution of AI in organizations through an agency theory lens. </w:t>
      </w:r>
      <w:r w:rsidRPr="00564FB9">
        <w:rPr>
          <w:rFonts w:ascii="Times New Roman" w:eastAsia="Times New Roman" w:hAnsi="Times New Roman" w:cs="Times New Roman"/>
          <w:i/>
          <w:iCs/>
          <w:kern w:val="0"/>
          <w:lang w:eastAsia="en-MY"/>
          <w14:ligatures w14:val="none"/>
        </w:rPr>
        <w:t>The Journal of Management Studies, 63</w:t>
      </w:r>
      <w:r w:rsidRPr="00564FB9">
        <w:rPr>
          <w:rFonts w:ascii="Times New Roman" w:eastAsia="Times New Roman" w:hAnsi="Times New Roman" w:cs="Times New Roman"/>
          <w:kern w:val="0"/>
          <w:lang w:eastAsia="en-MY"/>
          <w14:ligatures w14:val="none"/>
        </w:rPr>
        <w:t>(2), 668–694. https://doi.org/10.1111/joms.13274</w:t>
      </w:r>
    </w:p>
    <w:p w14:paraId="4B50A5A5"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Islam, M. A., Rahman, M., Dal Mas, F., Haque, S. E., &amp; Hani, U. (2026). </w:t>
      </w:r>
      <w:r w:rsidRPr="00564FB9">
        <w:rPr>
          <w:rFonts w:ascii="Times New Roman" w:eastAsia="Times New Roman" w:hAnsi="Times New Roman" w:cs="Times New Roman"/>
          <w:kern w:val="0"/>
          <w:lang w:eastAsia="en-MY"/>
          <w14:ligatures w14:val="none"/>
        </w:rPr>
        <w:t xml:space="preserve">Navigating institutional and capability barriers in agentic artificial intelligence adoption: evidence from small and medium enterprises in Bangladesh. </w:t>
      </w:r>
      <w:r w:rsidRPr="00564FB9">
        <w:rPr>
          <w:rFonts w:ascii="Times New Roman" w:eastAsia="Times New Roman" w:hAnsi="Times New Roman" w:cs="Times New Roman"/>
          <w:i/>
          <w:iCs/>
          <w:kern w:val="0"/>
          <w:lang w:eastAsia="en-MY"/>
          <w14:ligatures w14:val="none"/>
        </w:rPr>
        <w:t>VINE Journal of Information and Knowledge Management Systems</w:t>
      </w:r>
      <w:r w:rsidRPr="00564FB9">
        <w:rPr>
          <w:rFonts w:ascii="Times New Roman" w:eastAsia="Times New Roman" w:hAnsi="Times New Roman" w:cs="Times New Roman"/>
          <w:kern w:val="0"/>
          <w:lang w:eastAsia="en-MY"/>
          <w14:ligatures w14:val="none"/>
        </w:rPr>
        <w:t>, 1–25. https://doi.org/10.1108/vjikms-11-2025-0504</w:t>
      </w:r>
    </w:p>
    <w:p w14:paraId="52E55CE8"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Jensen, M. C., &amp; Meckling, W. H. (1976). Theory of the firm: Managerial behavior, agency costs and ownership structure. </w:t>
      </w:r>
      <w:r w:rsidRPr="00564FB9">
        <w:rPr>
          <w:rFonts w:ascii="Times New Roman" w:eastAsia="Times New Roman" w:hAnsi="Times New Roman" w:cs="Times New Roman"/>
          <w:i/>
          <w:iCs/>
          <w:kern w:val="0"/>
          <w:lang w:eastAsia="en-MY"/>
          <w14:ligatures w14:val="none"/>
        </w:rPr>
        <w:t>Journal of Financial Economics, 3</w:t>
      </w:r>
      <w:r w:rsidRPr="00564FB9">
        <w:rPr>
          <w:rFonts w:ascii="Times New Roman" w:eastAsia="Times New Roman" w:hAnsi="Times New Roman" w:cs="Times New Roman"/>
          <w:kern w:val="0"/>
          <w:lang w:eastAsia="en-MY"/>
          <w14:ligatures w14:val="none"/>
        </w:rPr>
        <w:t>(4), 305–360. https://doi.org/10.1016/0304-405x(76)90026-x</w:t>
      </w:r>
    </w:p>
    <w:p w14:paraId="1AB9659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Leavitt, K., Schabram, K., Hariharan, P., &amp; Barnes, C. M. (2021). Ghost in the machine: On organizational theory in the age of machine learning. </w:t>
      </w:r>
      <w:r w:rsidRPr="00564FB9">
        <w:rPr>
          <w:rFonts w:ascii="Times New Roman" w:eastAsia="Times New Roman" w:hAnsi="Times New Roman" w:cs="Times New Roman"/>
          <w:i/>
          <w:iCs/>
          <w:kern w:val="0"/>
          <w:lang w:eastAsia="en-MY"/>
          <w14:ligatures w14:val="none"/>
        </w:rPr>
        <w:t>Academy of Management Review, 46</w:t>
      </w:r>
      <w:r w:rsidRPr="00564FB9">
        <w:rPr>
          <w:rFonts w:ascii="Times New Roman" w:eastAsia="Times New Roman" w:hAnsi="Times New Roman" w:cs="Times New Roman"/>
          <w:kern w:val="0"/>
          <w:lang w:eastAsia="en-MY"/>
          <w14:ligatures w14:val="none"/>
        </w:rPr>
        <w:t>(4), 750–777. https://doi.org/10.5465/amr.2019.0247</w:t>
      </w:r>
    </w:p>
    <w:p w14:paraId="0B3DF257" w14:textId="64CF233A"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Liyanage, T., Gunasekara, I., Sipnara, S., Givindi, R., &amp; Ranathunga, S. (2025). Braving digital retail frontier through artificial intelligence: </w:t>
      </w:r>
      <w:r w:rsidR="00564FB9">
        <w:rPr>
          <w:rFonts w:ascii="Times New Roman" w:eastAsia="Times New Roman" w:hAnsi="Times New Roman" w:cs="Times New Roman"/>
          <w:kern w:val="0"/>
          <w:lang w:eastAsia="en-MY"/>
          <w14:ligatures w14:val="none"/>
        </w:rPr>
        <w:t>R</w:t>
      </w:r>
      <w:r w:rsidRPr="00564FB9">
        <w:rPr>
          <w:rFonts w:ascii="Times New Roman" w:eastAsia="Times New Roman" w:hAnsi="Times New Roman" w:cs="Times New Roman"/>
          <w:kern w:val="0"/>
          <w:lang w:eastAsia="en-MY"/>
          <w14:ligatures w14:val="none"/>
        </w:rPr>
        <w:t xml:space="preserve">hetoric, reality, institutionalization. </w:t>
      </w:r>
      <w:r w:rsidRPr="00564FB9">
        <w:rPr>
          <w:rFonts w:ascii="Times New Roman" w:eastAsia="Times New Roman" w:hAnsi="Times New Roman" w:cs="Times New Roman"/>
          <w:i/>
          <w:iCs/>
          <w:kern w:val="0"/>
          <w:lang w:eastAsia="en-MY"/>
          <w14:ligatures w14:val="none"/>
        </w:rPr>
        <w:t>International Journal of Retail &amp; Distribution Management, 53</w:t>
      </w:r>
      <w:r w:rsidRPr="00564FB9">
        <w:rPr>
          <w:rFonts w:ascii="Times New Roman" w:eastAsia="Times New Roman" w:hAnsi="Times New Roman" w:cs="Times New Roman"/>
          <w:kern w:val="0"/>
          <w:lang w:eastAsia="en-MY"/>
          <w14:ligatures w14:val="none"/>
        </w:rPr>
        <w:t>(6), 485–499. https://doi.org/10.1108/ijrdm-05-2024-0216</w:t>
      </w:r>
    </w:p>
    <w:p w14:paraId="60A27ADF"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Omrani, N., Rejeb, N., Maalaoui, A., Dabić, M., &amp; Kraus, S. (2024). </w:t>
      </w:r>
      <w:r w:rsidRPr="00564FB9">
        <w:rPr>
          <w:rFonts w:ascii="Times New Roman" w:eastAsia="Times New Roman" w:hAnsi="Times New Roman" w:cs="Times New Roman"/>
          <w:kern w:val="0"/>
          <w:lang w:eastAsia="en-MY"/>
          <w14:ligatures w14:val="none"/>
        </w:rPr>
        <w:t xml:space="preserve">Drivers of Digital Transformation in SMEs. </w:t>
      </w:r>
      <w:r w:rsidRPr="00564FB9">
        <w:rPr>
          <w:rFonts w:ascii="Times New Roman" w:eastAsia="Times New Roman" w:hAnsi="Times New Roman" w:cs="Times New Roman"/>
          <w:i/>
          <w:iCs/>
          <w:kern w:val="0"/>
          <w:lang w:eastAsia="en-MY"/>
          <w14:ligatures w14:val="none"/>
        </w:rPr>
        <w:t>IEEE Transactions on Engineering Management, 71</w:t>
      </w:r>
      <w:r w:rsidRPr="00564FB9">
        <w:rPr>
          <w:rFonts w:ascii="Times New Roman" w:eastAsia="Times New Roman" w:hAnsi="Times New Roman" w:cs="Times New Roman"/>
          <w:kern w:val="0"/>
          <w:lang w:eastAsia="en-MY"/>
          <w14:ligatures w14:val="none"/>
        </w:rPr>
        <w:t>, 5030–5043. https://doi.org/10.1109/tem.2022.3215727</w:t>
      </w:r>
    </w:p>
    <w:p w14:paraId="3502607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Orlikowski, W. J. (2007). Sociomaterial practices: Exploring technology at work. </w:t>
      </w:r>
      <w:r w:rsidRPr="00564FB9">
        <w:rPr>
          <w:rFonts w:ascii="Times New Roman" w:eastAsia="Times New Roman" w:hAnsi="Times New Roman" w:cs="Times New Roman"/>
          <w:i/>
          <w:iCs/>
          <w:kern w:val="0"/>
          <w:lang w:eastAsia="en-MY"/>
          <w14:ligatures w14:val="none"/>
        </w:rPr>
        <w:t>Organization Studies, 28</w:t>
      </w:r>
      <w:r w:rsidRPr="00564FB9">
        <w:rPr>
          <w:rFonts w:ascii="Times New Roman" w:eastAsia="Times New Roman" w:hAnsi="Times New Roman" w:cs="Times New Roman"/>
          <w:kern w:val="0"/>
          <w:lang w:eastAsia="en-MY"/>
          <w14:ligatures w14:val="none"/>
        </w:rPr>
        <w:t>, 1435–1448.</w:t>
      </w:r>
    </w:p>
    <w:p w14:paraId="20186739"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Phillips, N. (2026). Fading into insignificance: Why mainstream OT scholars “missed the boat” on intelligent technologies and what we can do about it. </w:t>
      </w:r>
      <w:r w:rsidRPr="00564FB9">
        <w:rPr>
          <w:rFonts w:ascii="Times New Roman" w:eastAsia="Times New Roman" w:hAnsi="Times New Roman" w:cs="Times New Roman"/>
          <w:i/>
          <w:iCs/>
          <w:kern w:val="0"/>
          <w:lang w:eastAsia="en-MY"/>
          <w14:ligatures w14:val="none"/>
        </w:rPr>
        <w:t>Strategic Organization, 24</w:t>
      </w:r>
      <w:r w:rsidRPr="00564FB9">
        <w:rPr>
          <w:rFonts w:ascii="Times New Roman" w:eastAsia="Times New Roman" w:hAnsi="Times New Roman" w:cs="Times New Roman"/>
          <w:kern w:val="0"/>
          <w:lang w:eastAsia="en-MY"/>
          <w14:ligatures w14:val="none"/>
        </w:rPr>
        <w:t>(2), 237–255. https://doi.org/10.1177/14761270261423363</w:t>
      </w:r>
    </w:p>
    <w:p w14:paraId="2E6905BE"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Rana, N. P., Pillai, R., Sivathanu, B., &amp; Malik, N. (2024). Assessing the nexus of Generative AI adoption, ethical considerations and organizational performance. </w:t>
      </w:r>
      <w:r w:rsidRPr="00564FB9">
        <w:rPr>
          <w:rFonts w:ascii="Times New Roman" w:eastAsia="Times New Roman" w:hAnsi="Times New Roman" w:cs="Times New Roman"/>
          <w:i/>
          <w:iCs/>
          <w:kern w:val="0"/>
          <w:lang w:eastAsia="en-MY"/>
          <w14:ligatures w14:val="none"/>
        </w:rPr>
        <w:t>Technovation, 135</w:t>
      </w:r>
      <w:r w:rsidRPr="00564FB9">
        <w:rPr>
          <w:rFonts w:ascii="Times New Roman" w:eastAsia="Times New Roman" w:hAnsi="Times New Roman" w:cs="Times New Roman"/>
          <w:kern w:val="0"/>
          <w:lang w:eastAsia="en-MY"/>
          <w14:ligatures w14:val="none"/>
        </w:rPr>
        <w:t>(103064). https://doi.org/10.1016/j.technovation.2024.103064</w:t>
      </w:r>
    </w:p>
    <w:p w14:paraId="4A979F9A"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Reis, J. F., &amp; Pinheiro Junior, L. P. (2025). </w:t>
      </w:r>
      <w:r w:rsidRPr="00564FB9">
        <w:rPr>
          <w:rFonts w:ascii="Times New Roman" w:eastAsia="Times New Roman" w:hAnsi="Times New Roman" w:cs="Times New Roman"/>
          <w:kern w:val="0"/>
          <w:lang w:eastAsia="en-MY"/>
          <w14:ligatures w14:val="none"/>
        </w:rPr>
        <w:t xml:space="preserve">Institutional theory (IT) and diffusion of innovation (DOI): A theoretical approach on artificial intelligence (AI). </w:t>
      </w:r>
      <w:r w:rsidRPr="00564FB9">
        <w:rPr>
          <w:rFonts w:ascii="Times New Roman" w:eastAsia="Times New Roman" w:hAnsi="Times New Roman" w:cs="Times New Roman"/>
          <w:i/>
          <w:iCs/>
          <w:kern w:val="0"/>
          <w:lang w:eastAsia="en-MY"/>
          <w14:ligatures w14:val="none"/>
        </w:rPr>
        <w:t>Brazilian Administration Review, 22</w:t>
      </w:r>
      <w:r w:rsidRPr="00564FB9">
        <w:rPr>
          <w:rFonts w:ascii="Times New Roman" w:eastAsia="Times New Roman" w:hAnsi="Times New Roman" w:cs="Times New Roman"/>
          <w:kern w:val="0"/>
          <w:lang w:eastAsia="en-MY"/>
          <w14:ligatures w14:val="none"/>
        </w:rPr>
        <w:t>(4). https://doi.org/10.1590/1807-7692bar2025250060</w:t>
      </w:r>
    </w:p>
    <w:p w14:paraId="6F0E5E1A" w14:textId="56AD45A8"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Rudko, I., Bashirpour Bonab, A., Fedele, M., &amp; Formisano, A. V. (2025). New institutional theory and AI: </w:t>
      </w:r>
      <w:r w:rsidR="00564FB9">
        <w:rPr>
          <w:rFonts w:ascii="Times New Roman" w:eastAsia="Times New Roman" w:hAnsi="Times New Roman" w:cs="Times New Roman"/>
          <w:kern w:val="0"/>
          <w:lang w:eastAsia="en-MY"/>
          <w14:ligatures w14:val="none"/>
        </w:rPr>
        <w:t>T</w:t>
      </w:r>
      <w:r w:rsidRPr="00564FB9">
        <w:rPr>
          <w:rFonts w:ascii="Times New Roman" w:eastAsia="Times New Roman" w:hAnsi="Times New Roman" w:cs="Times New Roman"/>
          <w:kern w:val="0"/>
          <w:lang w:eastAsia="en-MY"/>
          <w14:ligatures w14:val="none"/>
        </w:rPr>
        <w:t xml:space="preserve">oward rethinking of artificial intelligence in organizations. </w:t>
      </w:r>
      <w:r w:rsidRPr="00564FB9">
        <w:rPr>
          <w:rFonts w:ascii="Times New Roman" w:eastAsia="Times New Roman" w:hAnsi="Times New Roman" w:cs="Times New Roman"/>
          <w:i/>
          <w:iCs/>
          <w:kern w:val="0"/>
          <w:lang w:eastAsia="en-MY"/>
          <w14:ligatures w14:val="none"/>
        </w:rPr>
        <w:t>Journal of Management History, 31</w:t>
      </w:r>
      <w:r w:rsidRPr="00564FB9">
        <w:rPr>
          <w:rFonts w:ascii="Times New Roman" w:eastAsia="Times New Roman" w:hAnsi="Times New Roman" w:cs="Times New Roman"/>
          <w:kern w:val="0"/>
          <w:lang w:eastAsia="en-MY"/>
          <w14:ligatures w14:val="none"/>
        </w:rPr>
        <w:t>(2), 261–284. https://doi.org/10.1108/jmh-09-2023-0097</w:t>
      </w:r>
    </w:p>
    <w:p w14:paraId="6108FBA8"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lastRenderedPageBreak/>
        <w:t xml:space="preserve">Sarfraz, M., Khawaja, K. F., &amp; Waheed, Z. (2026). Business process innovation through digital strategy: unveiling the adoption of big data analytics and the evolution of digital culture. </w:t>
      </w:r>
      <w:r w:rsidRPr="00564FB9">
        <w:rPr>
          <w:rFonts w:ascii="Times New Roman" w:eastAsia="Times New Roman" w:hAnsi="Times New Roman" w:cs="Times New Roman"/>
          <w:i/>
          <w:iCs/>
          <w:kern w:val="0"/>
          <w:lang w:eastAsia="en-MY"/>
          <w14:ligatures w14:val="none"/>
        </w:rPr>
        <w:t>Business Process Management Journal, 32</w:t>
      </w:r>
      <w:r w:rsidRPr="00564FB9">
        <w:rPr>
          <w:rFonts w:ascii="Times New Roman" w:eastAsia="Times New Roman" w:hAnsi="Times New Roman" w:cs="Times New Roman"/>
          <w:kern w:val="0"/>
          <w:lang w:eastAsia="en-MY"/>
          <w14:ligatures w14:val="none"/>
        </w:rPr>
        <w:t>(1), 290–315. https://doi.org/10.1108/bpmj-06-2023-0457</w:t>
      </w:r>
    </w:p>
    <w:p w14:paraId="331EDF1B"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Schilke, O., &amp; Reimann, M. (2025). The transparency dilemma: How AI disclosure erodes trust. </w:t>
      </w:r>
      <w:r w:rsidRPr="00564FB9">
        <w:rPr>
          <w:rFonts w:ascii="Times New Roman" w:eastAsia="Times New Roman" w:hAnsi="Times New Roman" w:cs="Times New Roman"/>
          <w:i/>
          <w:iCs/>
          <w:kern w:val="0"/>
          <w:lang w:eastAsia="en-MY"/>
          <w14:ligatures w14:val="none"/>
        </w:rPr>
        <w:t>Organizational Behavior and Human Decision Processes, 188</w:t>
      </w:r>
      <w:r w:rsidRPr="00564FB9">
        <w:rPr>
          <w:rFonts w:ascii="Times New Roman" w:eastAsia="Times New Roman" w:hAnsi="Times New Roman" w:cs="Times New Roman"/>
          <w:kern w:val="0"/>
          <w:lang w:eastAsia="en-MY"/>
          <w14:ligatures w14:val="none"/>
        </w:rPr>
        <w:t>(104405). https://doi.org/10.1016/j.obhdp.2025.104405</w:t>
      </w:r>
    </w:p>
    <w:p w14:paraId="42210EBA"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Sposato, M., &amp; Dittmar, E. C. (2026). </w:t>
      </w:r>
      <w:r w:rsidRPr="00564FB9">
        <w:rPr>
          <w:rFonts w:ascii="Times New Roman" w:eastAsia="Times New Roman" w:hAnsi="Times New Roman" w:cs="Times New Roman"/>
          <w:kern w:val="0"/>
          <w:lang w:eastAsia="en-MY"/>
          <w14:ligatures w14:val="none"/>
        </w:rPr>
        <w:t xml:space="preserve">Beyond resource constraints: how Ibero-American SMEs leverage AI for competitive advantage through strategic capability development. </w:t>
      </w:r>
      <w:r w:rsidRPr="00564FB9">
        <w:rPr>
          <w:rFonts w:ascii="Times New Roman" w:eastAsia="Times New Roman" w:hAnsi="Times New Roman" w:cs="Times New Roman"/>
          <w:i/>
          <w:iCs/>
          <w:kern w:val="0"/>
          <w:lang w:eastAsia="en-MY"/>
          <w14:ligatures w14:val="none"/>
        </w:rPr>
        <w:t>Journal of Strategy and Management, 1</w:t>
      </w:r>
      <w:r w:rsidRPr="00564FB9">
        <w:rPr>
          <w:rFonts w:ascii="Times New Roman" w:eastAsia="Times New Roman" w:hAnsi="Times New Roman" w:cs="Times New Roman"/>
          <w:kern w:val="0"/>
          <w:lang w:eastAsia="en-MY"/>
          <w14:ligatures w14:val="none"/>
        </w:rPr>
        <w:t>–20. https://doi.org/10.1108/jsma-08-2025-0303</w:t>
      </w:r>
    </w:p>
    <w:p w14:paraId="4799B87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Torraco, R. J. (2016). Writing integrative literature reviews: Using the past and present to explore the future. </w:t>
      </w:r>
      <w:r w:rsidRPr="00564FB9">
        <w:rPr>
          <w:rFonts w:ascii="Times New Roman" w:eastAsia="Times New Roman" w:hAnsi="Times New Roman" w:cs="Times New Roman"/>
          <w:i/>
          <w:iCs/>
          <w:kern w:val="0"/>
          <w:lang w:eastAsia="en-MY"/>
          <w14:ligatures w14:val="none"/>
        </w:rPr>
        <w:t>Human Resource Development Review, 15</w:t>
      </w:r>
      <w:r w:rsidRPr="00564FB9">
        <w:rPr>
          <w:rFonts w:ascii="Times New Roman" w:eastAsia="Times New Roman" w:hAnsi="Times New Roman" w:cs="Times New Roman"/>
          <w:kern w:val="0"/>
          <w:lang w:eastAsia="en-MY"/>
          <w14:ligatures w14:val="none"/>
        </w:rPr>
        <w:t>(4), 404–428.</w:t>
      </w:r>
    </w:p>
    <w:p w14:paraId="1A6EFB8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Van Rijmenam, M., &amp; Logue, D. (2021). </w:t>
      </w:r>
      <w:r w:rsidRPr="00564FB9">
        <w:rPr>
          <w:rFonts w:ascii="Times New Roman" w:eastAsia="Times New Roman" w:hAnsi="Times New Roman" w:cs="Times New Roman"/>
          <w:kern w:val="0"/>
          <w:lang w:eastAsia="en-MY"/>
          <w14:ligatures w14:val="none"/>
        </w:rPr>
        <w:t xml:space="preserve">Revising the ‘science of the organisation’: theorising AI agency and actorhood. </w:t>
      </w:r>
      <w:r w:rsidRPr="00564FB9">
        <w:rPr>
          <w:rFonts w:ascii="Times New Roman" w:eastAsia="Times New Roman" w:hAnsi="Times New Roman" w:cs="Times New Roman"/>
          <w:i/>
          <w:iCs/>
          <w:kern w:val="0"/>
          <w:lang w:eastAsia="en-MY"/>
          <w14:ligatures w14:val="none"/>
        </w:rPr>
        <w:t>Innovation (North Sydney, N.S.W.), 23</w:t>
      </w:r>
      <w:r w:rsidRPr="00564FB9">
        <w:rPr>
          <w:rFonts w:ascii="Times New Roman" w:eastAsia="Times New Roman" w:hAnsi="Times New Roman" w:cs="Times New Roman"/>
          <w:kern w:val="0"/>
          <w:lang w:eastAsia="en-MY"/>
          <w14:ligatures w14:val="none"/>
        </w:rPr>
        <w:t>(1), 127–144. https://doi.org/10.1080/14479338.2020.1816833</w:t>
      </w:r>
    </w:p>
    <w:p w14:paraId="6E1A2134"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Zhang, L., Shao, Z., Chen, B., &amp; Benitez, J. (2024). Unraveling Generative AI Adoption in Enterprise Digital Platforms: The Effect of Institutional Pressures and the Moderating Role of Internal and External Environments. </w:t>
      </w:r>
      <w:r w:rsidRPr="00564FB9">
        <w:rPr>
          <w:rFonts w:ascii="Times New Roman" w:eastAsia="Times New Roman" w:hAnsi="Times New Roman" w:cs="Times New Roman"/>
          <w:i/>
          <w:iCs/>
          <w:kern w:val="0"/>
          <w:lang w:eastAsia="en-MY"/>
          <w14:ligatures w14:val="none"/>
        </w:rPr>
        <w:t>IEEE Transactions on Engineering Management, 72</w:t>
      </w:r>
      <w:r w:rsidRPr="00564FB9">
        <w:rPr>
          <w:rFonts w:ascii="Times New Roman" w:eastAsia="Times New Roman" w:hAnsi="Times New Roman" w:cs="Times New Roman"/>
          <w:kern w:val="0"/>
          <w:lang w:eastAsia="en-MY"/>
          <w14:ligatures w14:val="none"/>
        </w:rPr>
        <w:t>, 1–15. https://doi.org/10.1109/tem.2024.3513773</w:t>
      </w:r>
    </w:p>
    <w:p w14:paraId="6E47E8A1" w14:textId="5EB04B5E"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Zhang, Q., Liu, Z., &amp; Yang, S. (2025). Enhancing construction workers’ health and safety: Mechanisms for implementing Construction 4.0 technologies in construction organizations. </w:t>
      </w:r>
      <w:r w:rsidRPr="00564FB9">
        <w:rPr>
          <w:rFonts w:ascii="Times New Roman" w:eastAsia="Times New Roman" w:hAnsi="Times New Roman" w:cs="Times New Roman"/>
          <w:i/>
          <w:iCs/>
          <w:kern w:val="0"/>
          <w:lang w:eastAsia="en-MY"/>
          <w14:ligatures w14:val="none"/>
        </w:rPr>
        <w:t>Engineering, Construction and Architectural Management, 32</w:t>
      </w:r>
      <w:r w:rsidRPr="00564FB9">
        <w:rPr>
          <w:rFonts w:ascii="Times New Roman" w:eastAsia="Times New Roman" w:hAnsi="Times New Roman" w:cs="Times New Roman"/>
          <w:kern w:val="0"/>
          <w:lang w:eastAsia="en-MY"/>
          <w14:ligatures w14:val="none"/>
        </w:rPr>
        <w:t>(13), 68–103. https://doi.org/10.1108/ECAM-11-2024-1517</w:t>
      </w:r>
    </w:p>
    <w:p w14:paraId="3F6EBCA2" w14:textId="77777777" w:rsidR="003A46EE" w:rsidRDefault="003A46EE" w:rsidP="008B0F56">
      <w:pPr>
        <w:shd w:val="clear" w:color="auto" w:fill="FFFFFF"/>
        <w:spacing w:before="480" w:after="240" w:line="240" w:lineRule="auto"/>
        <w:ind w:left="426" w:hanging="426"/>
        <w:jc w:val="both"/>
        <w:outlineLvl w:val="1"/>
        <w:rPr>
          <w:rFonts w:ascii="Times New Roman" w:eastAsia="Times New Roman" w:hAnsi="Times New Roman" w:cs="Times New Roman"/>
          <w:color w:val="EE0000"/>
          <w:kern w:val="0"/>
          <w:lang w:eastAsia="en-MY"/>
          <w14:ligatures w14:val="none"/>
        </w:rPr>
      </w:pPr>
    </w:p>
    <w:p w14:paraId="49F9D850" w14:textId="77777777" w:rsidR="003A46EE" w:rsidRDefault="003A46EE" w:rsidP="008B0F56">
      <w:pPr>
        <w:shd w:val="clear" w:color="auto" w:fill="FFFFFF"/>
        <w:spacing w:before="480" w:after="240" w:line="240" w:lineRule="auto"/>
        <w:ind w:left="426" w:hanging="426"/>
        <w:jc w:val="both"/>
        <w:outlineLvl w:val="1"/>
        <w:rPr>
          <w:rFonts w:ascii="Times New Roman" w:eastAsia="Times New Roman" w:hAnsi="Times New Roman" w:cs="Times New Roman"/>
          <w:color w:val="EE0000"/>
          <w:kern w:val="0"/>
          <w:lang w:eastAsia="en-MY"/>
          <w14:ligatures w14:val="none"/>
        </w:rPr>
      </w:pPr>
    </w:p>
    <w:p w14:paraId="62898E3F" w14:textId="77777777" w:rsidR="00D222CA" w:rsidRPr="005E30CC" w:rsidRDefault="00D222CA" w:rsidP="008B0F56">
      <w:pPr>
        <w:shd w:val="clear" w:color="auto" w:fill="FFFFFF"/>
        <w:spacing w:before="480" w:after="240" w:line="240" w:lineRule="auto"/>
        <w:ind w:left="426" w:hanging="426"/>
        <w:jc w:val="both"/>
        <w:outlineLvl w:val="1"/>
        <w:rPr>
          <w:rFonts w:ascii="Times New Roman" w:eastAsia="Times New Roman" w:hAnsi="Times New Roman" w:cs="Times New Roman"/>
          <w:color w:val="0F1115"/>
          <w:kern w:val="0"/>
          <w:lang w:eastAsia="en-MY"/>
          <w14:ligatures w14:val="none"/>
        </w:rPr>
      </w:pPr>
    </w:p>
    <w:sectPr w:rsidR="00D222CA" w:rsidRPr="005E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562E7"/>
    <w:multiLevelType w:val="multilevel"/>
    <w:tmpl w:val="EA14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205F77"/>
    <w:multiLevelType w:val="hybridMultilevel"/>
    <w:tmpl w:val="69543C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3624814"/>
    <w:multiLevelType w:val="multilevel"/>
    <w:tmpl w:val="B8D0A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0356FE"/>
    <w:multiLevelType w:val="multilevel"/>
    <w:tmpl w:val="48CA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8C"/>
    <w:rsid w:val="000402D1"/>
    <w:rsid w:val="0007756B"/>
    <w:rsid w:val="001249F5"/>
    <w:rsid w:val="00197B29"/>
    <w:rsid w:val="002404A8"/>
    <w:rsid w:val="002473A4"/>
    <w:rsid w:val="002C2632"/>
    <w:rsid w:val="00301E3E"/>
    <w:rsid w:val="00320AC6"/>
    <w:rsid w:val="00377D19"/>
    <w:rsid w:val="003A090F"/>
    <w:rsid w:val="003A46EE"/>
    <w:rsid w:val="0048421A"/>
    <w:rsid w:val="004977B7"/>
    <w:rsid w:val="00500D1E"/>
    <w:rsid w:val="00560BC4"/>
    <w:rsid w:val="00564FB9"/>
    <w:rsid w:val="00582353"/>
    <w:rsid w:val="005D030A"/>
    <w:rsid w:val="005E30CC"/>
    <w:rsid w:val="005F5833"/>
    <w:rsid w:val="00610E44"/>
    <w:rsid w:val="00635B8F"/>
    <w:rsid w:val="00691AB6"/>
    <w:rsid w:val="006C7C02"/>
    <w:rsid w:val="006E2F01"/>
    <w:rsid w:val="00776308"/>
    <w:rsid w:val="007B61B9"/>
    <w:rsid w:val="007E6A9E"/>
    <w:rsid w:val="00853A54"/>
    <w:rsid w:val="00874285"/>
    <w:rsid w:val="008B0F56"/>
    <w:rsid w:val="008E6D10"/>
    <w:rsid w:val="008E778C"/>
    <w:rsid w:val="00921D09"/>
    <w:rsid w:val="00986434"/>
    <w:rsid w:val="00A57F33"/>
    <w:rsid w:val="00AB0051"/>
    <w:rsid w:val="00B16B80"/>
    <w:rsid w:val="00BC24AD"/>
    <w:rsid w:val="00BE2EAB"/>
    <w:rsid w:val="00C85BDB"/>
    <w:rsid w:val="00D222CA"/>
    <w:rsid w:val="00DD3ADE"/>
    <w:rsid w:val="00DF0DB9"/>
    <w:rsid w:val="00E01A12"/>
    <w:rsid w:val="00E95B9C"/>
    <w:rsid w:val="00EE6783"/>
    <w:rsid w:val="00F90112"/>
    <w:rsid w:val="00FB724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8E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78C"/>
    <w:rPr>
      <w:rFonts w:asciiTheme="majorHAnsi" w:eastAsiaTheme="majorEastAsia" w:hAnsiTheme="majorHAnsi" w:cstheme="majorBidi"/>
      <w:noProof/>
      <w:color w:val="0F4761" w:themeColor="accent1" w:themeShade="BF"/>
      <w:sz w:val="40"/>
      <w:szCs w:val="40"/>
      <w:lang w:val="ms-MY"/>
    </w:rPr>
  </w:style>
  <w:style w:type="character" w:customStyle="1" w:styleId="Heading2Char">
    <w:name w:val="Heading 2 Char"/>
    <w:basedOn w:val="DefaultParagraphFont"/>
    <w:link w:val="Heading2"/>
    <w:uiPriority w:val="9"/>
    <w:semiHidden/>
    <w:rsid w:val="008E778C"/>
    <w:rPr>
      <w:rFonts w:asciiTheme="majorHAnsi" w:eastAsiaTheme="majorEastAsia" w:hAnsiTheme="majorHAnsi" w:cstheme="majorBidi"/>
      <w:noProof/>
      <w:color w:val="0F4761" w:themeColor="accent1" w:themeShade="BF"/>
      <w:sz w:val="32"/>
      <w:szCs w:val="32"/>
      <w:lang w:val="ms-MY"/>
    </w:rPr>
  </w:style>
  <w:style w:type="character" w:customStyle="1" w:styleId="Heading3Char">
    <w:name w:val="Heading 3 Char"/>
    <w:basedOn w:val="DefaultParagraphFont"/>
    <w:link w:val="Heading3"/>
    <w:uiPriority w:val="9"/>
    <w:semiHidden/>
    <w:rsid w:val="008E778C"/>
    <w:rPr>
      <w:rFonts w:eastAsiaTheme="majorEastAsia" w:cstheme="majorBidi"/>
      <w:noProof/>
      <w:color w:val="0F4761" w:themeColor="accent1" w:themeShade="BF"/>
      <w:sz w:val="28"/>
      <w:szCs w:val="28"/>
      <w:lang w:val="ms-MY"/>
    </w:rPr>
  </w:style>
  <w:style w:type="character" w:customStyle="1" w:styleId="Heading4Char">
    <w:name w:val="Heading 4 Char"/>
    <w:basedOn w:val="DefaultParagraphFont"/>
    <w:link w:val="Heading4"/>
    <w:uiPriority w:val="9"/>
    <w:semiHidden/>
    <w:rsid w:val="008E778C"/>
    <w:rPr>
      <w:rFonts w:eastAsiaTheme="majorEastAsia" w:cstheme="majorBidi"/>
      <w:i/>
      <w:iCs/>
      <w:noProof/>
      <w:color w:val="0F4761" w:themeColor="accent1" w:themeShade="BF"/>
      <w:lang w:val="ms-MY"/>
    </w:rPr>
  </w:style>
  <w:style w:type="character" w:customStyle="1" w:styleId="Heading5Char">
    <w:name w:val="Heading 5 Char"/>
    <w:basedOn w:val="DefaultParagraphFont"/>
    <w:link w:val="Heading5"/>
    <w:uiPriority w:val="9"/>
    <w:semiHidden/>
    <w:rsid w:val="008E778C"/>
    <w:rPr>
      <w:rFonts w:eastAsiaTheme="majorEastAsia" w:cstheme="majorBidi"/>
      <w:noProof/>
      <w:color w:val="0F4761" w:themeColor="accent1" w:themeShade="BF"/>
      <w:lang w:val="ms-MY"/>
    </w:rPr>
  </w:style>
  <w:style w:type="character" w:customStyle="1" w:styleId="Heading6Char">
    <w:name w:val="Heading 6 Char"/>
    <w:basedOn w:val="DefaultParagraphFont"/>
    <w:link w:val="Heading6"/>
    <w:uiPriority w:val="9"/>
    <w:semiHidden/>
    <w:rsid w:val="008E778C"/>
    <w:rPr>
      <w:rFonts w:eastAsiaTheme="majorEastAsia" w:cstheme="majorBidi"/>
      <w:i/>
      <w:iCs/>
      <w:noProof/>
      <w:color w:val="595959" w:themeColor="text1" w:themeTint="A6"/>
      <w:lang w:val="ms-MY"/>
    </w:rPr>
  </w:style>
  <w:style w:type="character" w:customStyle="1" w:styleId="Heading7Char">
    <w:name w:val="Heading 7 Char"/>
    <w:basedOn w:val="DefaultParagraphFont"/>
    <w:link w:val="Heading7"/>
    <w:uiPriority w:val="9"/>
    <w:semiHidden/>
    <w:rsid w:val="008E778C"/>
    <w:rPr>
      <w:rFonts w:eastAsiaTheme="majorEastAsia" w:cstheme="majorBidi"/>
      <w:noProof/>
      <w:color w:val="595959" w:themeColor="text1" w:themeTint="A6"/>
      <w:lang w:val="ms-MY"/>
    </w:rPr>
  </w:style>
  <w:style w:type="character" w:customStyle="1" w:styleId="Heading8Char">
    <w:name w:val="Heading 8 Char"/>
    <w:basedOn w:val="DefaultParagraphFont"/>
    <w:link w:val="Heading8"/>
    <w:uiPriority w:val="9"/>
    <w:semiHidden/>
    <w:rsid w:val="008E778C"/>
    <w:rPr>
      <w:rFonts w:eastAsiaTheme="majorEastAsia" w:cstheme="majorBidi"/>
      <w:i/>
      <w:iCs/>
      <w:noProof/>
      <w:color w:val="272727" w:themeColor="text1" w:themeTint="D8"/>
      <w:lang w:val="ms-MY"/>
    </w:rPr>
  </w:style>
  <w:style w:type="character" w:customStyle="1" w:styleId="Heading9Char">
    <w:name w:val="Heading 9 Char"/>
    <w:basedOn w:val="DefaultParagraphFont"/>
    <w:link w:val="Heading9"/>
    <w:uiPriority w:val="9"/>
    <w:semiHidden/>
    <w:rsid w:val="008E778C"/>
    <w:rPr>
      <w:rFonts w:eastAsiaTheme="majorEastAsia" w:cstheme="majorBidi"/>
      <w:noProof/>
      <w:color w:val="272727" w:themeColor="text1" w:themeTint="D8"/>
      <w:lang w:val="ms-MY"/>
    </w:rPr>
  </w:style>
  <w:style w:type="paragraph" w:styleId="Title">
    <w:name w:val="Title"/>
    <w:basedOn w:val="Normal"/>
    <w:next w:val="Normal"/>
    <w:link w:val="TitleChar"/>
    <w:uiPriority w:val="10"/>
    <w:qFormat/>
    <w:rsid w:val="008E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78C"/>
    <w:rPr>
      <w:rFonts w:asciiTheme="majorHAnsi" w:eastAsiaTheme="majorEastAsia" w:hAnsiTheme="majorHAnsi" w:cstheme="majorBidi"/>
      <w:noProof/>
      <w:spacing w:val="-10"/>
      <w:kern w:val="28"/>
      <w:sz w:val="56"/>
      <w:szCs w:val="56"/>
      <w:lang w:val="ms-MY"/>
    </w:rPr>
  </w:style>
  <w:style w:type="paragraph" w:styleId="Subtitle">
    <w:name w:val="Subtitle"/>
    <w:basedOn w:val="Normal"/>
    <w:next w:val="Normal"/>
    <w:link w:val="SubtitleChar"/>
    <w:uiPriority w:val="11"/>
    <w:qFormat/>
    <w:rsid w:val="008E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78C"/>
    <w:rPr>
      <w:rFonts w:eastAsiaTheme="majorEastAsia" w:cstheme="majorBidi"/>
      <w:noProof/>
      <w:color w:val="595959" w:themeColor="text1" w:themeTint="A6"/>
      <w:spacing w:val="15"/>
      <w:sz w:val="28"/>
      <w:szCs w:val="28"/>
      <w:lang w:val="ms-MY"/>
    </w:rPr>
  </w:style>
  <w:style w:type="paragraph" w:styleId="Quote">
    <w:name w:val="Quote"/>
    <w:basedOn w:val="Normal"/>
    <w:next w:val="Normal"/>
    <w:link w:val="QuoteChar"/>
    <w:uiPriority w:val="29"/>
    <w:qFormat/>
    <w:rsid w:val="008E778C"/>
    <w:pPr>
      <w:spacing w:before="160"/>
      <w:jc w:val="center"/>
    </w:pPr>
    <w:rPr>
      <w:i/>
      <w:iCs/>
      <w:color w:val="404040" w:themeColor="text1" w:themeTint="BF"/>
    </w:rPr>
  </w:style>
  <w:style w:type="character" w:customStyle="1" w:styleId="QuoteChar">
    <w:name w:val="Quote Char"/>
    <w:basedOn w:val="DefaultParagraphFont"/>
    <w:link w:val="Quote"/>
    <w:uiPriority w:val="29"/>
    <w:rsid w:val="008E778C"/>
    <w:rPr>
      <w:i/>
      <w:iCs/>
      <w:noProof/>
      <w:color w:val="404040" w:themeColor="text1" w:themeTint="BF"/>
      <w:lang w:val="ms-MY"/>
    </w:rPr>
  </w:style>
  <w:style w:type="paragraph" w:styleId="ListParagraph">
    <w:name w:val="List Paragraph"/>
    <w:basedOn w:val="Normal"/>
    <w:uiPriority w:val="34"/>
    <w:qFormat/>
    <w:rsid w:val="008E778C"/>
    <w:pPr>
      <w:ind w:left="720"/>
      <w:contextualSpacing/>
    </w:pPr>
  </w:style>
  <w:style w:type="character" w:styleId="IntenseEmphasis">
    <w:name w:val="Intense Emphasis"/>
    <w:basedOn w:val="DefaultParagraphFont"/>
    <w:uiPriority w:val="21"/>
    <w:qFormat/>
    <w:rsid w:val="008E778C"/>
    <w:rPr>
      <w:i/>
      <w:iCs/>
      <w:color w:val="0F4761" w:themeColor="accent1" w:themeShade="BF"/>
    </w:rPr>
  </w:style>
  <w:style w:type="paragraph" w:styleId="IntenseQuote">
    <w:name w:val="Intense Quote"/>
    <w:basedOn w:val="Normal"/>
    <w:next w:val="Normal"/>
    <w:link w:val="IntenseQuoteChar"/>
    <w:uiPriority w:val="30"/>
    <w:qFormat/>
    <w:rsid w:val="008E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78C"/>
    <w:rPr>
      <w:i/>
      <w:iCs/>
      <w:noProof/>
      <w:color w:val="0F4761" w:themeColor="accent1" w:themeShade="BF"/>
      <w:lang w:val="ms-MY"/>
    </w:rPr>
  </w:style>
  <w:style w:type="character" w:styleId="IntenseReference">
    <w:name w:val="Intense Reference"/>
    <w:basedOn w:val="DefaultParagraphFont"/>
    <w:uiPriority w:val="32"/>
    <w:qFormat/>
    <w:rsid w:val="008E778C"/>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8E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78C"/>
    <w:rPr>
      <w:rFonts w:asciiTheme="majorHAnsi" w:eastAsiaTheme="majorEastAsia" w:hAnsiTheme="majorHAnsi" w:cstheme="majorBidi"/>
      <w:noProof/>
      <w:color w:val="0F4761" w:themeColor="accent1" w:themeShade="BF"/>
      <w:sz w:val="40"/>
      <w:szCs w:val="40"/>
      <w:lang w:val="ms-MY"/>
    </w:rPr>
  </w:style>
  <w:style w:type="character" w:customStyle="1" w:styleId="Heading2Char">
    <w:name w:val="Heading 2 Char"/>
    <w:basedOn w:val="DefaultParagraphFont"/>
    <w:link w:val="Heading2"/>
    <w:uiPriority w:val="9"/>
    <w:semiHidden/>
    <w:rsid w:val="008E778C"/>
    <w:rPr>
      <w:rFonts w:asciiTheme="majorHAnsi" w:eastAsiaTheme="majorEastAsia" w:hAnsiTheme="majorHAnsi" w:cstheme="majorBidi"/>
      <w:noProof/>
      <w:color w:val="0F4761" w:themeColor="accent1" w:themeShade="BF"/>
      <w:sz w:val="32"/>
      <w:szCs w:val="32"/>
      <w:lang w:val="ms-MY"/>
    </w:rPr>
  </w:style>
  <w:style w:type="character" w:customStyle="1" w:styleId="Heading3Char">
    <w:name w:val="Heading 3 Char"/>
    <w:basedOn w:val="DefaultParagraphFont"/>
    <w:link w:val="Heading3"/>
    <w:uiPriority w:val="9"/>
    <w:semiHidden/>
    <w:rsid w:val="008E778C"/>
    <w:rPr>
      <w:rFonts w:eastAsiaTheme="majorEastAsia" w:cstheme="majorBidi"/>
      <w:noProof/>
      <w:color w:val="0F4761" w:themeColor="accent1" w:themeShade="BF"/>
      <w:sz w:val="28"/>
      <w:szCs w:val="28"/>
      <w:lang w:val="ms-MY"/>
    </w:rPr>
  </w:style>
  <w:style w:type="character" w:customStyle="1" w:styleId="Heading4Char">
    <w:name w:val="Heading 4 Char"/>
    <w:basedOn w:val="DefaultParagraphFont"/>
    <w:link w:val="Heading4"/>
    <w:uiPriority w:val="9"/>
    <w:semiHidden/>
    <w:rsid w:val="008E778C"/>
    <w:rPr>
      <w:rFonts w:eastAsiaTheme="majorEastAsia" w:cstheme="majorBidi"/>
      <w:i/>
      <w:iCs/>
      <w:noProof/>
      <w:color w:val="0F4761" w:themeColor="accent1" w:themeShade="BF"/>
      <w:lang w:val="ms-MY"/>
    </w:rPr>
  </w:style>
  <w:style w:type="character" w:customStyle="1" w:styleId="Heading5Char">
    <w:name w:val="Heading 5 Char"/>
    <w:basedOn w:val="DefaultParagraphFont"/>
    <w:link w:val="Heading5"/>
    <w:uiPriority w:val="9"/>
    <w:semiHidden/>
    <w:rsid w:val="008E778C"/>
    <w:rPr>
      <w:rFonts w:eastAsiaTheme="majorEastAsia" w:cstheme="majorBidi"/>
      <w:noProof/>
      <w:color w:val="0F4761" w:themeColor="accent1" w:themeShade="BF"/>
      <w:lang w:val="ms-MY"/>
    </w:rPr>
  </w:style>
  <w:style w:type="character" w:customStyle="1" w:styleId="Heading6Char">
    <w:name w:val="Heading 6 Char"/>
    <w:basedOn w:val="DefaultParagraphFont"/>
    <w:link w:val="Heading6"/>
    <w:uiPriority w:val="9"/>
    <w:semiHidden/>
    <w:rsid w:val="008E778C"/>
    <w:rPr>
      <w:rFonts w:eastAsiaTheme="majorEastAsia" w:cstheme="majorBidi"/>
      <w:i/>
      <w:iCs/>
      <w:noProof/>
      <w:color w:val="595959" w:themeColor="text1" w:themeTint="A6"/>
      <w:lang w:val="ms-MY"/>
    </w:rPr>
  </w:style>
  <w:style w:type="character" w:customStyle="1" w:styleId="Heading7Char">
    <w:name w:val="Heading 7 Char"/>
    <w:basedOn w:val="DefaultParagraphFont"/>
    <w:link w:val="Heading7"/>
    <w:uiPriority w:val="9"/>
    <w:semiHidden/>
    <w:rsid w:val="008E778C"/>
    <w:rPr>
      <w:rFonts w:eastAsiaTheme="majorEastAsia" w:cstheme="majorBidi"/>
      <w:noProof/>
      <w:color w:val="595959" w:themeColor="text1" w:themeTint="A6"/>
      <w:lang w:val="ms-MY"/>
    </w:rPr>
  </w:style>
  <w:style w:type="character" w:customStyle="1" w:styleId="Heading8Char">
    <w:name w:val="Heading 8 Char"/>
    <w:basedOn w:val="DefaultParagraphFont"/>
    <w:link w:val="Heading8"/>
    <w:uiPriority w:val="9"/>
    <w:semiHidden/>
    <w:rsid w:val="008E778C"/>
    <w:rPr>
      <w:rFonts w:eastAsiaTheme="majorEastAsia" w:cstheme="majorBidi"/>
      <w:i/>
      <w:iCs/>
      <w:noProof/>
      <w:color w:val="272727" w:themeColor="text1" w:themeTint="D8"/>
      <w:lang w:val="ms-MY"/>
    </w:rPr>
  </w:style>
  <w:style w:type="character" w:customStyle="1" w:styleId="Heading9Char">
    <w:name w:val="Heading 9 Char"/>
    <w:basedOn w:val="DefaultParagraphFont"/>
    <w:link w:val="Heading9"/>
    <w:uiPriority w:val="9"/>
    <w:semiHidden/>
    <w:rsid w:val="008E778C"/>
    <w:rPr>
      <w:rFonts w:eastAsiaTheme="majorEastAsia" w:cstheme="majorBidi"/>
      <w:noProof/>
      <w:color w:val="272727" w:themeColor="text1" w:themeTint="D8"/>
      <w:lang w:val="ms-MY"/>
    </w:rPr>
  </w:style>
  <w:style w:type="paragraph" w:styleId="Title">
    <w:name w:val="Title"/>
    <w:basedOn w:val="Normal"/>
    <w:next w:val="Normal"/>
    <w:link w:val="TitleChar"/>
    <w:uiPriority w:val="10"/>
    <w:qFormat/>
    <w:rsid w:val="008E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78C"/>
    <w:rPr>
      <w:rFonts w:asciiTheme="majorHAnsi" w:eastAsiaTheme="majorEastAsia" w:hAnsiTheme="majorHAnsi" w:cstheme="majorBidi"/>
      <w:noProof/>
      <w:spacing w:val="-10"/>
      <w:kern w:val="28"/>
      <w:sz w:val="56"/>
      <w:szCs w:val="56"/>
      <w:lang w:val="ms-MY"/>
    </w:rPr>
  </w:style>
  <w:style w:type="paragraph" w:styleId="Subtitle">
    <w:name w:val="Subtitle"/>
    <w:basedOn w:val="Normal"/>
    <w:next w:val="Normal"/>
    <w:link w:val="SubtitleChar"/>
    <w:uiPriority w:val="11"/>
    <w:qFormat/>
    <w:rsid w:val="008E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78C"/>
    <w:rPr>
      <w:rFonts w:eastAsiaTheme="majorEastAsia" w:cstheme="majorBidi"/>
      <w:noProof/>
      <w:color w:val="595959" w:themeColor="text1" w:themeTint="A6"/>
      <w:spacing w:val="15"/>
      <w:sz w:val="28"/>
      <w:szCs w:val="28"/>
      <w:lang w:val="ms-MY"/>
    </w:rPr>
  </w:style>
  <w:style w:type="paragraph" w:styleId="Quote">
    <w:name w:val="Quote"/>
    <w:basedOn w:val="Normal"/>
    <w:next w:val="Normal"/>
    <w:link w:val="QuoteChar"/>
    <w:uiPriority w:val="29"/>
    <w:qFormat/>
    <w:rsid w:val="008E778C"/>
    <w:pPr>
      <w:spacing w:before="160"/>
      <w:jc w:val="center"/>
    </w:pPr>
    <w:rPr>
      <w:i/>
      <w:iCs/>
      <w:color w:val="404040" w:themeColor="text1" w:themeTint="BF"/>
    </w:rPr>
  </w:style>
  <w:style w:type="character" w:customStyle="1" w:styleId="QuoteChar">
    <w:name w:val="Quote Char"/>
    <w:basedOn w:val="DefaultParagraphFont"/>
    <w:link w:val="Quote"/>
    <w:uiPriority w:val="29"/>
    <w:rsid w:val="008E778C"/>
    <w:rPr>
      <w:i/>
      <w:iCs/>
      <w:noProof/>
      <w:color w:val="404040" w:themeColor="text1" w:themeTint="BF"/>
      <w:lang w:val="ms-MY"/>
    </w:rPr>
  </w:style>
  <w:style w:type="paragraph" w:styleId="ListParagraph">
    <w:name w:val="List Paragraph"/>
    <w:basedOn w:val="Normal"/>
    <w:uiPriority w:val="34"/>
    <w:qFormat/>
    <w:rsid w:val="008E778C"/>
    <w:pPr>
      <w:ind w:left="720"/>
      <w:contextualSpacing/>
    </w:pPr>
  </w:style>
  <w:style w:type="character" w:styleId="IntenseEmphasis">
    <w:name w:val="Intense Emphasis"/>
    <w:basedOn w:val="DefaultParagraphFont"/>
    <w:uiPriority w:val="21"/>
    <w:qFormat/>
    <w:rsid w:val="008E778C"/>
    <w:rPr>
      <w:i/>
      <w:iCs/>
      <w:color w:val="0F4761" w:themeColor="accent1" w:themeShade="BF"/>
    </w:rPr>
  </w:style>
  <w:style w:type="paragraph" w:styleId="IntenseQuote">
    <w:name w:val="Intense Quote"/>
    <w:basedOn w:val="Normal"/>
    <w:next w:val="Normal"/>
    <w:link w:val="IntenseQuoteChar"/>
    <w:uiPriority w:val="30"/>
    <w:qFormat/>
    <w:rsid w:val="008E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78C"/>
    <w:rPr>
      <w:i/>
      <w:iCs/>
      <w:noProof/>
      <w:color w:val="0F4761" w:themeColor="accent1" w:themeShade="BF"/>
      <w:lang w:val="ms-MY"/>
    </w:rPr>
  </w:style>
  <w:style w:type="character" w:styleId="IntenseReference">
    <w:name w:val="Intense Reference"/>
    <w:basedOn w:val="DefaultParagraphFont"/>
    <w:uiPriority w:val="32"/>
    <w:qFormat/>
    <w:rsid w:val="008E77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357</TotalTime>
  <Pages>20</Pages>
  <Words>7728</Words>
  <Characters>44052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Zulkiffly Bin Baharom</dc:creator>
  <cp:keywords/>
  <dc:description/>
  <cp:lastModifiedBy>qwert</cp:lastModifiedBy>
  <cp:revision>32</cp:revision>
  <dcterms:created xsi:type="dcterms:W3CDTF">2026-03-17T06:55:00Z</dcterms:created>
  <dcterms:modified xsi:type="dcterms:W3CDTF">2026-05-15T08:11:00Z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5a1b1e09-5346-4c30-84b1-27ce9266345f</vt:lpwstr>
  </property>
</Properties>
</file>