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6B892" w14:textId="0075170E" w:rsidR="009E3724" w:rsidRDefault="00710C81" w:rsidP="00107454">
      <w:pPr>
        <w:spacing w:after="0"/>
        <w:rPr>
          <w:rFonts w:ascii="Times New Roman" w:hAnsi="Times New Roman" w:cs="Times New Roman"/>
          <w:b/>
          <w:bCs/>
          <w:sz w:val="28"/>
          <w:szCs w:val="28"/>
        </w:rPr>
      </w:pPr>
      <w:r w:rsidRPr="00D2722A">
        <w:rPr>
          <w:rFonts w:ascii="Times New Roman" w:hAnsi="Times New Roman" w:cs="Times New Roman"/>
          <w:b/>
          <w:bCs/>
          <w:sz w:val="28"/>
          <w:szCs w:val="28"/>
        </w:rPr>
        <w:t xml:space="preserve">"Impact of Sub-Lethal Monosodium Glutamate Exposure on Hepatic Protein Profiles in </w:t>
      </w:r>
      <w:r w:rsidRPr="00D2722A">
        <w:rPr>
          <w:rFonts w:ascii="Times New Roman" w:hAnsi="Times New Roman" w:cs="Times New Roman"/>
          <w:b/>
          <w:bCs/>
          <w:i/>
          <w:iCs/>
          <w:sz w:val="28"/>
          <w:szCs w:val="28"/>
        </w:rPr>
        <w:t>Labeo rohita</w:t>
      </w:r>
      <w:r w:rsidRPr="00D2722A">
        <w:rPr>
          <w:rFonts w:ascii="Times New Roman" w:hAnsi="Times New Roman" w:cs="Times New Roman"/>
          <w:b/>
          <w:bCs/>
          <w:sz w:val="28"/>
          <w:szCs w:val="28"/>
        </w:rPr>
        <w:t>"</w:t>
      </w:r>
    </w:p>
    <w:p w14:paraId="33390194" w14:textId="77777777" w:rsidR="00D2722A" w:rsidRPr="00D2722A" w:rsidRDefault="00D2722A" w:rsidP="00107454">
      <w:pPr>
        <w:spacing w:after="0"/>
        <w:rPr>
          <w:rFonts w:ascii="Times New Roman" w:hAnsi="Times New Roman" w:cs="Times New Roman"/>
          <w:b/>
          <w:bCs/>
          <w:sz w:val="28"/>
          <w:szCs w:val="28"/>
        </w:rPr>
      </w:pPr>
    </w:p>
    <w:p w14:paraId="143FB7FD" w14:textId="77777777" w:rsidR="00710C81" w:rsidRPr="00710C81" w:rsidRDefault="00710C81" w:rsidP="00D2722A">
      <w:pPr>
        <w:spacing w:after="0" w:line="360" w:lineRule="auto"/>
        <w:jc w:val="both"/>
        <w:rPr>
          <w:rFonts w:ascii="Times New Roman" w:hAnsi="Times New Roman" w:cs="Times New Roman"/>
          <w:b/>
          <w:bCs/>
          <w:sz w:val="22"/>
          <w:szCs w:val="22"/>
        </w:rPr>
      </w:pPr>
      <w:bookmarkStart w:id="0" w:name="_GoBack"/>
      <w:bookmarkEnd w:id="0"/>
      <w:r w:rsidRPr="00710C81">
        <w:rPr>
          <w:rFonts w:ascii="Times New Roman" w:hAnsi="Times New Roman" w:cs="Times New Roman"/>
          <w:b/>
          <w:bCs/>
          <w:sz w:val="22"/>
          <w:szCs w:val="22"/>
        </w:rPr>
        <w:t>Abstract</w:t>
      </w:r>
    </w:p>
    <w:p w14:paraId="6B8222B9" w14:textId="2CC7EF63" w:rsidR="00710C81" w:rsidRPr="00710C81" w:rsidRDefault="00710C81" w:rsidP="00D2722A">
      <w:pPr>
        <w:spacing w:after="0" w:line="360" w:lineRule="auto"/>
        <w:jc w:val="both"/>
        <w:rPr>
          <w:rFonts w:ascii="Times New Roman" w:hAnsi="Times New Roman" w:cs="Times New Roman"/>
          <w:sz w:val="22"/>
          <w:szCs w:val="22"/>
        </w:rPr>
      </w:pPr>
      <w:r w:rsidRPr="00710C81">
        <w:rPr>
          <w:rFonts w:ascii="Times New Roman" w:hAnsi="Times New Roman" w:cs="Times New Roman"/>
          <w:sz w:val="22"/>
          <w:szCs w:val="22"/>
        </w:rPr>
        <w:t xml:space="preserve">This study evaluated the ecotoxicological impact of Monosodium Glutamate (MSG) on the freshwater fish </w:t>
      </w:r>
      <w:r w:rsidRPr="00710C81">
        <w:rPr>
          <w:rFonts w:ascii="Times New Roman" w:hAnsi="Times New Roman" w:cs="Times New Roman"/>
          <w:i/>
          <w:iCs/>
          <w:sz w:val="22"/>
          <w:szCs w:val="22"/>
        </w:rPr>
        <w:t>Labeo rohita</w:t>
      </w:r>
      <w:r w:rsidRPr="00710C81">
        <w:rPr>
          <w:rFonts w:ascii="Times New Roman" w:hAnsi="Times New Roman" w:cs="Times New Roman"/>
          <w:sz w:val="22"/>
          <w:szCs w:val="22"/>
        </w:rPr>
        <w:t xml:space="preserve"> (Rohu). The experiment focused on alterations in liver total protein levels following chronic sub-lethal exposure. </w:t>
      </w:r>
      <w:r w:rsidRPr="00710C81">
        <w:rPr>
          <w:rFonts w:ascii="Times New Roman" w:hAnsi="Times New Roman" w:cs="Times New Roman"/>
          <w:i/>
          <w:iCs/>
          <w:sz w:val="22"/>
          <w:szCs w:val="22"/>
        </w:rPr>
        <w:t>Labeo rohita</w:t>
      </w:r>
      <w:r w:rsidRPr="00710C81">
        <w:rPr>
          <w:rFonts w:ascii="Times New Roman" w:hAnsi="Times New Roman" w:cs="Times New Roman"/>
          <w:sz w:val="22"/>
          <w:szCs w:val="22"/>
        </w:rPr>
        <w:t xml:space="preserve"> were exposed to a constant sub-lethal dose of 10 mg/L of MSG across three progressive temporal intervals: 5, 10, and 15 days. A parallel control group was maintained in chemical-free freshwater. Quantitative estimation of total liver proteins was conducted using standard spectrophotometric methods.</w:t>
      </w:r>
    </w:p>
    <w:p w14:paraId="7A7B0DC9" w14:textId="77777777" w:rsidR="00710C81" w:rsidRPr="00710C81" w:rsidRDefault="00710C81" w:rsidP="00107454">
      <w:pPr>
        <w:spacing w:line="360" w:lineRule="auto"/>
        <w:jc w:val="both"/>
        <w:rPr>
          <w:rFonts w:ascii="Times New Roman" w:hAnsi="Times New Roman" w:cs="Times New Roman"/>
          <w:sz w:val="22"/>
          <w:szCs w:val="22"/>
        </w:rPr>
      </w:pPr>
      <w:r w:rsidRPr="00710C81">
        <w:rPr>
          <w:rFonts w:ascii="Times New Roman" w:hAnsi="Times New Roman" w:cs="Times New Roman"/>
          <w:sz w:val="22"/>
          <w:szCs w:val="22"/>
        </w:rPr>
        <w:t>The results demonstrated a highly significant, time-dependent decline in total liver protein concentration in all MSG-exposed groups compared to the control group. The baseline liver protein level in the control group was recorded at 65.4 ± 1.2 mg/g of wet tissue. Upon exposure to 10 mg/L of MSG, liver protein levels dropped to 52.1 ± 1.0 mg/g on Day 5, 41.8 ± 0.9 mg/g on Day 10, and reached a minimum value of 28.5 ± 0.7 mg/g on Day 15. This marked depletion highlights severe physiological stress, metabolic reallocation, and potential cellular degradation in the hepatic tissue. The study confirms that even low concentrations of agricultural or industrial MSG runoff pose a threat to aquatic organisms by disrupting essential protein synthesis pathways.</w:t>
      </w:r>
    </w:p>
    <w:p w14:paraId="5DCCDE84" w14:textId="77777777" w:rsidR="00710C81" w:rsidRPr="00710C81" w:rsidRDefault="00710C81" w:rsidP="00107454">
      <w:pPr>
        <w:spacing w:line="360" w:lineRule="auto"/>
        <w:rPr>
          <w:rFonts w:ascii="Times New Roman" w:hAnsi="Times New Roman" w:cs="Times New Roman"/>
          <w:sz w:val="22"/>
          <w:szCs w:val="22"/>
        </w:rPr>
      </w:pPr>
      <w:r w:rsidRPr="00710C81">
        <w:rPr>
          <w:rFonts w:ascii="Times New Roman" w:hAnsi="Times New Roman" w:cs="Times New Roman"/>
          <w:b/>
          <w:bCs/>
          <w:sz w:val="22"/>
          <w:szCs w:val="22"/>
        </w:rPr>
        <w:t>Keywords:</w:t>
      </w:r>
      <w:r w:rsidRPr="00710C81">
        <w:rPr>
          <w:rFonts w:ascii="Times New Roman" w:hAnsi="Times New Roman" w:cs="Times New Roman"/>
          <w:sz w:val="22"/>
          <w:szCs w:val="22"/>
        </w:rPr>
        <w:t xml:space="preserve"> Monosodium Glutamate, </w:t>
      </w:r>
      <w:r w:rsidRPr="00710C81">
        <w:rPr>
          <w:rFonts w:ascii="Times New Roman" w:hAnsi="Times New Roman" w:cs="Times New Roman"/>
          <w:i/>
          <w:iCs/>
          <w:sz w:val="22"/>
          <w:szCs w:val="22"/>
        </w:rPr>
        <w:t>Labeo rohita</w:t>
      </w:r>
      <w:r w:rsidRPr="00710C81">
        <w:rPr>
          <w:rFonts w:ascii="Times New Roman" w:hAnsi="Times New Roman" w:cs="Times New Roman"/>
          <w:sz w:val="22"/>
          <w:szCs w:val="22"/>
        </w:rPr>
        <w:t>, Liver Protein, Ecotoxicity, Metabolic Stress.</w:t>
      </w:r>
    </w:p>
    <w:p w14:paraId="432CB787" w14:textId="77777777" w:rsidR="00710C81" w:rsidRPr="00710C81" w:rsidRDefault="00710C81" w:rsidP="00107454">
      <w:pPr>
        <w:spacing w:after="0" w:line="360" w:lineRule="auto"/>
        <w:jc w:val="both"/>
        <w:rPr>
          <w:rFonts w:ascii="Times New Roman" w:hAnsi="Times New Roman" w:cs="Times New Roman"/>
          <w:b/>
          <w:bCs/>
          <w:sz w:val="22"/>
          <w:szCs w:val="22"/>
        </w:rPr>
      </w:pPr>
      <w:r w:rsidRPr="00710C81">
        <w:rPr>
          <w:rFonts w:ascii="Times New Roman" w:hAnsi="Times New Roman" w:cs="Times New Roman"/>
          <w:b/>
          <w:bCs/>
          <w:sz w:val="22"/>
          <w:szCs w:val="22"/>
        </w:rPr>
        <w:t>Introduction</w:t>
      </w:r>
    </w:p>
    <w:p w14:paraId="25899C06" w14:textId="0E76F868" w:rsidR="00710C81" w:rsidRPr="00710C81" w:rsidRDefault="00710C81" w:rsidP="00107454">
      <w:pPr>
        <w:spacing w:after="0" w:line="360" w:lineRule="auto"/>
        <w:jc w:val="both"/>
        <w:rPr>
          <w:rFonts w:ascii="Times New Roman" w:hAnsi="Times New Roman" w:cs="Times New Roman"/>
          <w:sz w:val="22"/>
          <w:szCs w:val="22"/>
        </w:rPr>
      </w:pPr>
      <w:r w:rsidRPr="00710C81">
        <w:rPr>
          <w:rFonts w:ascii="Times New Roman" w:hAnsi="Times New Roman" w:cs="Times New Roman"/>
          <w:sz w:val="22"/>
          <w:szCs w:val="22"/>
        </w:rPr>
        <w:t>The rapid expansion of the food processing industry and food additive production has led to a significant increase in chemical effluents entering freshwater ecosystems</w:t>
      </w:r>
      <w:r w:rsidRPr="005326FF">
        <w:rPr>
          <w:rFonts w:ascii="Times New Roman" w:hAnsi="Times New Roman" w:cs="Times New Roman"/>
          <w:sz w:val="22"/>
          <w:szCs w:val="22"/>
        </w:rPr>
        <w:t xml:space="preserve"> and also in daily diet</w:t>
      </w:r>
      <w:r w:rsidRPr="00710C81">
        <w:rPr>
          <w:rFonts w:ascii="Times New Roman" w:hAnsi="Times New Roman" w:cs="Times New Roman"/>
          <w:sz w:val="22"/>
          <w:szCs w:val="22"/>
        </w:rPr>
        <w:t xml:space="preserve">. Monosodium Glutamate (MSG), the sodium salt of glutamic acid, is globally utilized as an umami </w:t>
      </w:r>
      <w:r w:rsidR="00D2722A" w:rsidRPr="00710C81">
        <w:rPr>
          <w:rFonts w:ascii="Times New Roman" w:hAnsi="Times New Roman" w:cs="Times New Roman"/>
          <w:sz w:val="22"/>
          <w:szCs w:val="22"/>
        </w:rPr>
        <w:t>flavour</w:t>
      </w:r>
      <w:r w:rsidRPr="00710C81">
        <w:rPr>
          <w:rFonts w:ascii="Times New Roman" w:hAnsi="Times New Roman" w:cs="Times New Roman"/>
          <w:sz w:val="22"/>
          <w:szCs w:val="22"/>
        </w:rPr>
        <w:t xml:space="preserve"> enhancer in household and commercial food products. While international food regulatory agencies widely classify MSG as safe for human oral consumption within moderate limits, its continuous release from feed-additive industries and domestic waste presents an overlooked threat to non-target aquatic organisms.</w:t>
      </w:r>
    </w:p>
    <w:p w14:paraId="2B334DD3" w14:textId="77777777" w:rsidR="00710C81" w:rsidRPr="00710C81" w:rsidRDefault="00710C81" w:rsidP="00107454">
      <w:pPr>
        <w:spacing w:after="0" w:line="360" w:lineRule="auto"/>
        <w:jc w:val="both"/>
        <w:rPr>
          <w:rFonts w:ascii="Times New Roman" w:hAnsi="Times New Roman" w:cs="Times New Roman"/>
          <w:sz w:val="22"/>
          <w:szCs w:val="22"/>
        </w:rPr>
      </w:pPr>
      <w:r w:rsidRPr="00710C81">
        <w:rPr>
          <w:rFonts w:ascii="Times New Roman" w:hAnsi="Times New Roman" w:cs="Times New Roman"/>
          <w:sz w:val="22"/>
          <w:szCs w:val="22"/>
        </w:rPr>
        <w:t xml:space="preserve">Fishes serve as excellent biological indicators for ecotoxicological monitoring. They occupy critical positions in the aquatic food chain and directly mirror the chemical health of their habitat. </w:t>
      </w:r>
      <w:r w:rsidRPr="00710C81">
        <w:rPr>
          <w:rFonts w:ascii="Times New Roman" w:hAnsi="Times New Roman" w:cs="Times New Roman"/>
          <w:i/>
          <w:iCs/>
          <w:sz w:val="22"/>
          <w:szCs w:val="22"/>
        </w:rPr>
        <w:t>Labeo rohita</w:t>
      </w:r>
      <w:r w:rsidRPr="00710C81">
        <w:rPr>
          <w:rFonts w:ascii="Times New Roman" w:hAnsi="Times New Roman" w:cs="Times New Roman"/>
          <w:sz w:val="22"/>
          <w:szCs w:val="22"/>
        </w:rPr>
        <w:t xml:space="preserve"> (Hamilton, 1822), commonly known as Rohu, is an economically vital carps species extensively cultivated across South Asia. Because of its sensitivity to chemical pollutants, it is an ideal candidate for assessing sub-lethal chemical toxicity.</w:t>
      </w:r>
    </w:p>
    <w:p w14:paraId="6A3D619B" w14:textId="77777777" w:rsidR="00710C81" w:rsidRPr="00710C81" w:rsidRDefault="00710C81" w:rsidP="00107454">
      <w:pPr>
        <w:spacing w:after="0" w:line="360" w:lineRule="auto"/>
        <w:jc w:val="both"/>
        <w:rPr>
          <w:rFonts w:ascii="Times New Roman" w:hAnsi="Times New Roman" w:cs="Times New Roman"/>
          <w:sz w:val="22"/>
          <w:szCs w:val="22"/>
        </w:rPr>
      </w:pPr>
      <w:r w:rsidRPr="00710C81">
        <w:rPr>
          <w:rFonts w:ascii="Times New Roman" w:hAnsi="Times New Roman" w:cs="Times New Roman"/>
          <w:sz w:val="22"/>
          <w:szCs w:val="22"/>
        </w:rPr>
        <w:t xml:space="preserve">The teleost liver acts as the primary organ for nutrient metabolism, xenobiotic detoxification, and vital plasma protein synthesis. Cellular disruptions within hepatic tissue directly impair metabolic and homeostatic functions. Proteins are fundamental biological macromolecules essential for structural architecture, enzymatic biocatalysis, and cellular defense mechanisms. Exposure to sub-lethal </w:t>
      </w:r>
      <w:r w:rsidRPr="00710C81">
        <w:rPr>
          <w:rFonts w:ascii="Times New Roman" w:hAnsi="Times New Roman" w:cs="Times New Roman"/>
          <w:sz w:val="22"/>
          <w:szCs w:val="22"/>
        </w:rPr>
        <w:lastRenderedPageBreak/>
        <w:t>concentrations of environmental toxins alters total protein profiles due to accelerated protein breakdown or a downregulation in biosynthesis.</w:t>
      </w:r>
    </w:p>
    <w:p w14:paraId="4FD65BDD" w14:textId="77777777" w:rsidR="00710C81" w:rsidRPr="005326FF" w:rsidRDefault="00710C81" w:rsidP="00107454">
      <w:pPr>
        <w:spacing w:line="360" w:lineRule="auto"/>
        <w:jc w:val="both"/>
        <w:rPr>
          <w:rFonts w:ascii="Times New Roman" w:hAnsi="Times New Roman" w:cs="Times New Roman"/>
          <w:sz w:val="22"/>
          <w:szCs w:val="22"/>
        </w:rPr>
      </w:pPr>
      <w:r w:rsidRPr="00710C81">
        <w:rPr>
          <w:rFonts w:ascii="Times New Roman" w:hAnsi="Times New Roman" w:cs="Times New Roman"/>
          <w:sz w:val="22"/>
          <w:szCs w:val="22"/>
        </w:rPr>
        <w:t xml:space="preserve">While previous research has documented the histopathological impacts of MSG on teleost gills and kidneys, limited quantitative data exists on its sub-lethal biochemical impact on core metabolic proteins. Therefore, this investigation was designed to study the time-dependent impact of a sub-lethal MSG concentration (10 mg/L) on the total liver protein content of </w:t>
      </w:r>
      <w:r w:rsidRPr="00710C81">
        <w:rPr>
          <w:rFonts w:ascii="Times New Roman" w:hAnsi="Times New Roman" w:cs="Times New Roman"/>
          <w:i/>
          <w:iCs/>
          <w:sz w:val="22"/>
          <w:szCs w:val="22"/>
        </w:rPr>
        <w:t>Labeo rohita</w:t>
      </w:r>
      <w:r w:rsidRPr="00710C81">
        <w:rPr>
          <w:rFonts w:ascii="Times New Roman" w:hAnsi="Times New Roman" w:cs="Times New Roman"/>
          <w:sz w:val="22"/>
          <w:szCs w:val="22"/>
        </w:rPr>
        <w:t xml:space="preserve"> over 5, 10, and 15 days of exposure.</w:t>
      </w:r>
    </w:p>
    <w:p w14:paraId="1548FCE2" w14:textId="77777777" w:rsidR="00710C81" w:rsidRPr="00710C81" w:rsidRDefault="00710C81" w:rsidP="00710C81">
      <w:pPr>
        <w:rPr>
          <w:rFonts w:ascii="Times New Roman" w:hAnsi="Times New Roman" w:cs="Times New Roman"/>
          <w:b/>
          <w:bCs/>
          <w:sz w:val="22"/>
          <w:szCs w:val="22"/>
        </w:rPr>
      </w:pPr>
      <w:r w:rsidRPr="00710C81">
        <w:rPr>
          <w:rFonts w:ascii="Times New Roman" w:hAnsi="Times New Roman" w:cs="Times New Roman"/>
          <w:b/>
          <w:bCs/>
          <w:sz w:val="22"/>
          <w:szCs w:val="22"/>
        </w:rPr>
        <w:t>Materials and Methods:</w:t>
      </w:r>
    </w:p>
    <w:p w14:paraId="2C1A2BAA" w14:textId="77777777" w:rsidR="00710C81" w:rsidRPr="00710C81" w:rsidRDefault="00710C81" w:rsidP="00D2722A">
      <w:pPr>
        <w:spacing w:after="0" w:line="360" w:lineRule="auto"/>
        <w:jc w:val="both"/>
        <w:rPr>
          <w:rFonts w:ascii="Times New Roman" w:hAnsi="Times New Roman" w:cs="Times New Roman"/>
          <w:sz w:val="22"/>
          <w:szCs w:val="22"/>
        </w:rPr>
      </w:pPr>
      <w:r w:rsidRPr="00710C81">
        <w:rPr>
          <w:rFonts w:ascii="Times New Roman" w:hAnsi="Times New Roman" w:cs="Times New Roman"/>
          <w:sz w:val="22"/>
          <w:szCs w:val="22"/>
        </w:rPr>
        <w:t xml:space="preserve"> Healthy</w:t>
      </w:r>
      <w:r w:rsidRPr="00710C81">
        <w:rPr>
          <w:rFonts w:ascii="Times New Roman" w:hAnsi="Times New Roman" w:cs="Times New Roman"/>
          <w:i/>
          <w:iCs/>
          <w:sz w:val="22"/>
          <w:szCs w:val="22"/>
        </w:rPr>
        <w:t xml:space="preserve"> Labeo rohita</w:t>
      </w:r>
      <w:r w:rsidRPr="00710C81">
        <w:rPr>
          <w:rFonts w:ascii="Times New Roman" w:hAnsi="Times New Roman" w:cs="Times New Roman"/>
          <w:sz w:val="22"/>
          <w:szCs w:val="22"/>
        </w:rPr>
        <w:t xml:space="preserve"> (average weight 90–120 g) were acclimatized in aerated freshwater tanks (temperature 25–28°C, pH 7.0–7.5, for 15 days. Fish were fed a commercial diet and divided into control and treatment groups. The treatment group received a 5 mg dose of MSG through diet. Liver samples were collected after 5, 10, and 15 days of exposure.</w:t>
      </w:r>
    </w:p>
    <w:p w14:paraId="203F435C" w14:textId="171CF632" w:rsidR="00107454" w:rsidRPr="00D2722A" w:rsidRDefault="00710C81" w:rsidP="00D2722A">
      <w:pPr>
        <w:spacing w:after="0" w:line="360" w:lineRule="auto"/>
        <w:jc w:val="both"/>
        <w:rPr>
          <w:rFonts w:ascii="Times New Roman" w:hAnsi="Times New Roman" w:cs="Times New Roman"/>
          <w:sz w:val="22"/>
          <w:szCs w:val="22"/>
        </w:rPr>
      </w:pPr>
      <w:r w:rsidRPr="00710C81">
        <w:rPr>
          <w:rFonts w:ascii="Times New Roman" w:hAnsi="Times New Roman" w:cs="Times New Roman"/>
          <w:sz w:val="22"/>
          <w:szCs w:val="22"/>
        </w:rPr>
        <w:t xml:space="preserve">Liver </w:t>
      </w:r>
      <w:r w:rsidRPr="005326FF">
        <w:rPr>
          <w:rFonts w:ascii="Times New Roman" w:hAnsi="Times New Roman" w:cs="Times New Roman"/>
          <w:sz w:val="22"/>
          <w:szCs w:val="22"/>
        </w:rPr>
        <w:t xml:space="preserve">protein </w:t>
      </w:r>
      <w:r w:rsidRPr="00710C81">
        <w:rPr>
          <w:rFonts w:ascii="Times New Roman" w:hAnsi="Times New Roman" w:cs="Times New Roman"/>
          <w:sz w:val="22"/>
          <w:szCs w:val="22"/>
        </w:rPr>
        <w:t xml:space="preserve">was quantified using a </w:t>
      </w:r>
      <w:r w:rsidRPr="005326FF">
        <w:rPr>
          <w:rFonts w:ascii="Times New Roman" w:hAnsi="Times New Roman" w:cs="Times New Roman"/>
          <w:sz w:val="22"/>
          <w:szCs w:val="22"/>
        </w:rPr>
        <w:t>Lowry</w:t>
      </w:r>
      <w:r w:rsidRPr="00710C81">
        <w:rPr>
          <w:rFonts w:ascii="Times New Roman" w:hAnsi="Times New Roman" w:cs="Times New Roman"/>
          <w:sz w:val="22"/>
          <w:szCs w:val="22"/>
        </w:rPr>
        <w:t xml:space="preserve"> Method (Colorimetric). Results are expressed as mg of </w:t>
      </w:r>
      <w:r w:rsidRPr="005326FF">
        <w:rPr>
          <w:rFonts w:ascii="Times New Roman" w:hAnsi="Times New Roman" w:cs="Times New Roman"/>
          <w:sz w:val="22"/>
          <w:szCs w:val="22"/>
        </w:rPr>
        <w:t>protein</w:t>
      </w:r>
      <w:r w:rsidRPr="00710C81">
        <w:rPr>
          <w:rFonts w:ascii="Times New Roman" w:hAnsi="Times New Roman" w:cs="Times New Roman"/>
          <w:sz w:val="22"/>
          <w:szCs w:val="22"/>
        </w:rPr>
        <w:t xml:space="preserve">/100 </w:t>
      </w:r>
      <w:r w:rsidR="00D2722A" w:rsidRPr="00710C81">
        <w:rPr>
          <w:rFonts w:ascii="Times New Roman" w:hAnsi="Times New Roman" w:cs="Times New Roman"/>
          <w:sz w:val="22"/>
          <w:szCs w:val="22"/>
        </w:rPr>
        <w:t>mg of</w:t>
      </w:r>
      <w:r w:rsidRPr="00710C81">
        <w:rPr>
          <w:rFonts w:ascii="Times New Roman" w:hAnsi="Times New Roman" w:cs="Times New Roman"/>
          <w:sz w:val="22"/>
          <w:szCs w:val="22"/>
        </w:rPr>
        <w:t xml:space="preserve"> wet liver tissue weight.</w:t>
      </w:r>
    </w:p>
    <w:p w14:paraId="510979FE" w14:textId="77777777" w:rsidR="00D2722A" w:rsidRDefault="00D2722A" w:rsidP="00710C81">
      <w:pPr>
        <w:rPr>
          <w:rFonts w:ascii="Times New Roman" w:hAnsi="Times New Roman" w:cs="Times New Roman"/>
          <w:b/>
          <w:bCs/>
          <w:sz w:val="22"/>
          <w:szCs w:val="22"/>
        </w:rPr>
      </w:pPr>
    </w:p>
    <w:p w14:paraId="659B4FD0" w14:textId="0523FF65" w:rsidR="00710C81" w:rsidRPr="00710C81" w:rsidRDefault="00710C81" w:rsidP="00710C81">
      <w:pPr>
        <w:rPr>
          <w:rFonts w:ascii="Times New Roman" w:hAnsi="Times New Roman" w:cs="Times New Roman"/>
          <w:b/>
          <w:bCs/>
          <w:sz w:val="22"/>
          <w:szCs w:val="22"/>
        </w:rPr>
      </w:pPr>
      <w:r w:rsidRPr="00710C81">
        <w:rPr>
          <w:rFonts w:ascii="Times New Roman" w:hAnsi="Times New Roman" w:cs="Times New Roman"/>
          <w:b/>
          <w:bCs/>
          <w:sz w:val="22"/>
          <w:szCs w:val="22"/>
        </w:rPr>
        <w:t>Results</w:t>
      </w:r>
    </w:p>
    <w:p w14:paraId="1251CEBC" w14:textId="77777777" w:rsidR="00710C81" w:rsidRPr="00710C81" w:rsidRDefault="00710C81" w:rsidP="00D2722A">
      <w:pPr>
        <w:spacing w:line="360" w:lineRule="auto"/>
        <w:jc w:val="both"/>
        <w:rPr>
          <w:rFonts w:ascii="Times New Roman" w:hAnsi="Times New Roman" w:cs="Times New Roman"/>
          <w:sz w:val="22"/>
          <w:szCs w:val="22"/>
        </w:rPr>
      </w:pPr>
      <w:r w:rsidRPr="00710C81">
        <w:rPr>
          <w:rFonts w:ascii="Times New Roman" w:hAnsi="Times New Roman" w:cs="Times New Roman"/>
          <w:sz w:val="22"/>
          <w:szCs w:val="22"/>
        </w:rPr>
        <w:t xml:space="preserve">No fish mortality was observed during the 15 days of sub-lethal MSG exposure. However, fish exposed to 10 mg/L of MSG exhibited mild </w:t>
      </w:r>
      <w:proofErr w:type="spellStart"/>
      <w:r w:rsidRPr="00710C81">
        <w:rPr>
          <w:rFonts w:ascii="Times New Roman" w:hAnsi="Times New Roman" w:cs="Times New Roman"/>
          <w:sz w:val="22"/>
          <w:szCs w:val="22"/>
        </w:rPr>
        <w:t>behavioral</w:t>
      </w:r>
      <w:proofErr w:type="spellEnd"/>
      <w:r w:rsidRPr="00710C81">
        <w:rPr>
          <w:rFonts w:ascii="Times New Roman" w:hAnsi="Times New Roman" w:cs="Times New Roman"/>
          <w:sz w:val="22"/>
          <w:szCs w:val="22"/>
        </w:rPr>
        <w:t xml:space="preserve"> changes, including transient hyper-locomotion and altered feeding patterns.</w:t>
      </w:r>
    </w:p>
    <w:p w14:paraId="6774B28C" w14:textId="77777777" w:rsidR="00710C81" w:rsidRDefault="00710C81" w:rsidP="00D2722A">
      <w:pPr>
        <w:spacing w:line="360" w:lineRule="auto"/>
        <w:jc w:val="both"/>
        <w:rPr>
          <w:rFonts w:ascii="Times New Roman" w:hAnsi="Times New Roman" w:cs="Times New Roman"/>
          <w:sz w:val="22"/>
          <w:szCs w:val="22"/>
        </w:rPr>
      </w:pPr>
      <w:r w:rsidRPr="00710C81">
        <w:rPr>
          <w:rFonts w:ascii="Times New Roman" w:hAnsi="Times New Roman" w:cs="Times New Roman"/>
          <w:sz w:val="22"/>
          <w:szCs w:val="22"/>
        </w:rPr>
        <w:t>Biochemical analysis of the hepatic tissue revealed a clear, time-dependent decrease in total protein levels in the MSG-treated groups compared to the control group. The baseline liver protein level of the control group remained stable at 65.4 ± 1.2 mg/g. In the MSG exposure groups, protein levels dropped steadily across the test intervals. On Day 5, liver protein decreased to 52.1 ± 1.0 mg/g, representing a 20.3% reduction. By Day 10, the level fell to 41.8 ± 0.9 mg/g, a 36.1% reduction. The maximum depletion occurred on Day 15, where the protein level fell to 28.5 ± 0.7 mg/g, a 56.4% decrease compared to the control group. One-way ANOVA confirmed that the reduction in total liver protein across all exposure intervals was statistically highly significant (</w:t>
      </w:r>
      <w:proofErr w:type="gramStart"/>
      <w:r w:rsidRPr="00710C81">
        <w:rPr>
          <w:rFonts w:ascii="Times New Roman" w:hAnsi="Times New Roman" w:cs="Times New Roman"/>
          <w:sz w:val="22"/>
          <w:szCs w:val="22"/>
        </w:rPr>
        <w:t>\(</w:t>
      </w:r>
      <w:proofErr w:type="gramEnd"/>
      <w:r w:rsidRPr="00710C81">
        <w:rPr>
          <w:rFonts w:ascii="Times New Roman" w:hAnsi="Times New Roman" w:cs="Times New Roman"/>
          <w:sz w:val="22"/>
          <w:szCs w:val="22"/>
        </w:rPr>
        <w:t>p &lt; 0.05\)).</w:t>
      </w:r>
    </w:p>
    <w:p w14:paraId="790A4D9D" w14:textId="77777777" w:rsidR="00107454" w:rsidRDefault="00107454" w:rsidP="00D2722A">
      <w:pPr>
        <w:spacing w:line="360" w:lineRule="auto"/>
        <w:jc w:val="both"/>
        <w:rPr>
          <w:rFonts w:ascii="Times New Roman" w:hAnsi="Times New Roman" w:cs="Times New Roman"/>
          <w:sz w:val="22"/>
          <w:szCs w:val="22"/>
        </w:rPr>
      </w:pPr>
    </w:p>
    <w:p w14:paraId="7B3A6B8F" w14:textId="77777777" w:rsidR="00107454" w:rsidRDefault="00107454" w:rsidP="00D2722A">
      <w:pPr>
        <w:spacing w:line="360" w:lineRule="auto"/>
        <w:jc w:val="both"/>
        <w:rPr>
          <w:rFonts w:ascii="Times New Roman" w:hAnsi="Times New Roman" w:cs="Times New Roman"/>
          <w:sz w:val="22"/>
          <w:szCs w:val="22"/>
        </w:rPr>
      </w:pPr>
    </w:p>
    <w:p w14:paraId="4755DF0E" w14:textId="77777777" w:rsidR="00107454" w:rsidRDefault="00107454" w:rsidP="00D2722A">
      <w:pPr>
        <w:spacing w:line="360" w:lineRule="auto"/>
        <w:jc w:val="both"/>
        <w:rPr>
          <w:rFonts w:ascii="Times New Roman" w:hAnsi="Times New Roman" w:cs="Times New Roman"/>
          <w:sz w:val="22"/>
          <w:szCs w:val="22"/>
        </w:rPr>
      </w:pPr>
    </w:p>
    <w:p w14:paraId="6EA80D24" w14:textId="77777777" w:rsidR="00107454" w:rsidRDefault="00107454" w:rsidP="00107454">
      <w:pPr>
        <w:spacing w:after="0" w:line="360" w:lineRule="auto"/>
        <w:jc w:val="both"/>
        <w:rPr>
          <w:rFonts w:ascii="Times New Roman" w:hAnsi="Times New Roman" w:cs="Times New Roman"/>
          <w:sz w:val="22"/>
          <w:szCs w:val="22"/>
        </w:rPr>
      </w:pPr>
    </w:p>
    <w:p w14:paraId="59267699" w14:textId="77777777" w:rsidR="00107454" w:rsidRDefault="00107454" w:rsidP="00107454">
      <w:pPr>
        <w:spacing w:after="0" w:line="360" w:lineRule="auto"/>
        <w:jc w:val="both"/>
        <w:rPr>
          <w:rFonts w:ascii="Times New Roman" w:hAnsi="Times New Roman" w:cs="Times New Roman"/>
          <w:sz w:val="22"/>
          <w:szCs w:val="22"/>
        </w:rPr>
      </w:pPr>
    </w:p>
    <w:p w14:paraId="39358106" w14:textId="77777777" w:rsidR="00107454" w:rsidRPr="005326FF" w:rsidRDefault="00107454" w:rsidP="00107454">
      <w:pPr>
        <w:spacing w:after="0" w:line="360" w:lineRule="auto"/>
        <w:jc w:val="both"/>
        <w:rPr>
          <w:rFonts w:ascii="Times New Roman" w:hAnsi="Times New Roman" w:cs="Times New Roman"/>
          <w:sz w:val="22"/>
          <w:szCs w:val="22"/>
        </w:rPr>
      </w:pPr>
    </w:p>
    <w:p w14:paraId="4465264C" w14:textId="68C999DE" w:rsidR="005A4CC6" w:rsidRPr="005326FF" w:rsidRDefault="00743F08" w:rsidP="00710C81">
      <w:pPr>
        <w:rPr>
          <w:rFonts w:ascii="Times New Roman" w:hAnsi="Times New Roman" w:cs="Times New Roman"/>
          <w:sz w:val="22"/>
          <w:szCs w:val="22"/>
        </w:rPr>
      </w:pPr>
      <w:r w:rsidRPr="00743F08">
        <w:rPr>
          <w:rFonts w:ascii="Times New Roman" w:hAnsi="Times New Roman" w:cs="Times New Roman"/>
          <w:b/>
          <w:bCs/>
          <w:sz w:val="22"/>
          <w:szCs w:val="22"/>
        </w:rPr>
        <w:lastRenderedPageBreak/>
        <w:t>Table</w:t>
      </w:r>
      <w:r w:rsidR="00107454">
        <w:rPr>
          <w:rFonts w:ascii="Times New Roman" w:hAnsi="Times New Roman" w:cs="Times New Roman"/>
          <w:b/>
          <w:bCs/>
          <w:sz w:val="22"/>
          <w:szCs w:val="22"/>
        </w:rPr>
        <w:t xml:space="preserve"> No.</w:t>
      </w:r>
      <w:r w:rsidRPr="00743F08">
        <w:rPr>
          <w:rFonts w:ascii="Times New Roman" w:hAnsi="Times New Roman" w:cs="Times New Roman"/>
          <w:b/>
          <w:bCs/>
          <w:sz w:val="22"/>
          <w:szCs w:val="22"/>
        </w:rPr>
        <w:t xml:space="preserve"> 1: Liver </w:t>
      </w:r>
      <w:r w:rsidRPr="005326FF">
        <w:rPr>
          <w:rFonts w:ascii="Times New Roman" w:hAnsi="Times New Roman" w:cs="Times New Roman"/>
          <w:b/>
          <w:bCs/>
          <w:sz w:val="22"/>
          <w:szCs w:val="22"/>
        </w:rPr>
        <w:t>Protein</w:t>
      </w:r>
      <w:r w:rsidRPr="00743F08">
        <w:rPr>
          <w:rFonts w:ascii="Times New Roman" w:hAnsi="Times New Roman" w:cs="Times New Roman"/>
          <w:b/>
          <w:bCs/>
          <w:sz w:val="22"/>
          <w:szCs w:val="22"/>
        </w:rPr>
        <w:t xml:space="preserve"> Content (mg/100 mg tissue) in </w:t>
      </w:r>
      <w:r w:rsidRPr="00743F08">
        <w:rPr>
          <w:rFonts w:ascii="Times New Roman" w:hAnsi="Times New Roman" w:cs="Times New Roman"/>
          <w:b/>
          <w:bCs/>
          <w:i/>
          <w:iCs/>
          <w:sz w:val="22"/>
          <w:szCs w:val="22"/>
        </w:rPr>
        <w:t>Labeo rohita</w:t>
      </w:r>
      <w:r w:rsidRPr="00743F08">
        <w:rPr>
          <w:rFonts w:ascii="Times New Roman" w:hAnsi="Times New Roman" w:cs="Times New Roman"/>
          <w:b/>
          <w:bCs/>
          <w:sz w:val="22"/>
          <w:szCs w:val="22"/>
        </w:rPr>
        <w:t xml:space="preserve"> under </w:t>
      </w:r>
      <w:r w:rsidRPr="005326FF">
        <w:rPr>
          <w:rFonts w:ascii="Times New Roman" w:hAnsi="Times New Roman" w:cs="Times New Roman"/>
          <w:b/>
          <w:bCs/>
          <w:sz w:val="22"/>
          <w:szCs w:val="22"/>
        </w:rPr>
        <w:t>10</w:t>
      </w:r>
      <w:r w:rsidRPr="00743F08">
        <w:rPr>
          <w:rFonts w:ascii="Times New Roman" w:hAnsi="Times New Roman" w:cs="Times New Roman"/>
          <w:b/>
          <w:bCs/>
          <w:sz w:val="22"/>
          <w:szCs w:val="22"/>
        </w:rPr>
        <w:t xml:space="preserve"> mg MSG Exposure for 15 days-</w:t>
      </w:r>
    </w:p>
    <w:tbl>
      <w:tblPr>
        <w:tblStyle w:val="TableGrid"/>
        <w:tblW w:w="0" w:type="auto"/>
        <w:jc w:val="center"/>
        <w:tblLook w:val="04A0" w:firstRow="1" w:lastRow="0" w:firstColumn="1" w:lastColumn="0" w:noHBand="0" w:noVBand="1"/>
      </w:tblPr>
      <w:tblGrid>
        <w:gridCol w:w="1110"/>
        <w:gridCol w:w="1579"/>
        <w:gridCol w:w="1303"/>
        <w:gridCol w:w="2382"/>
      </w:tblGrid>
      <w:tr w:rsidR="005A4CC6" w:rsidRPr="005326FF" w14:paraId="67575CBD" w14:textId="77777777" w:rsidTr="00107454">
        <w:trPr>
          <w:trHeight w:val="775"/>
          <w:jc w:val="center"/>
        </w:trPr>
        <w:tc>
          <w:tcPr>
            <w:tcW w:w="1110" w:type="dxa"/>
          </w:tcPr>
          <w:p w14:paraId="58905D26" w14:textId="62457239" w:rsidR="00743F08" w:rsidRPr="00D2722A" w:rsidRDefault="005A4CC6" w:rsidP="00743F08">
            <w:pPr>
              <w:spacing w:line="360" w:lineRule="auto"/>
              <w:jc w:val="center"/>
              <w:rPr>
                <w:rFonts w:ascii="Times New Roman" w:hAnsi="Times New Roman" w:cs="Times New Roman"/>
                <w:b/>
                <w:bCs/>
                <w:sz w:val="22"/>
                <w:szCs w:val="22"/>
              </w:rPr>
            </w:pPr>
            <w:r w:rsidRPr="00D2722A">
              <w:rPr>
                <w:rFonts w:ascii="Times New Roman" w:hAnsi="Times New Roman" w:cs="Times New Roman"/>
                <w:b/>
                <w:bCs/>
                <w:sz w:val="22"/>
                <w:szCs w:val="22"/>
              </w:rPr>
              <w:t>Exposure Period of MSG</w:t>
            </w:r>
          </w:p>
        </w:tc>
        <w:tc>
          <w:tcPr>
            <w:tcW w:w="1579" w:type="dxa"/>
          </w:tcPr>
          <w:p w14:paraId="355272EA" w14:textId="750E0CA7" w:rsidR="00743F08" w:rsidRPr="00D2722A" w:rsidRDefault="005A4CC6" w:rsidP="00743F08">
            <w:pPr>
              <w:spacing w:line="360" w:lineRule="auto"/>
              <w:jc w:val="center"/>
              <w:rPr>
                <w:rFonts w:ascii="Times New Roman" w:hAnsi="Times New Roman" w:cs="Times New Roman"/>
                <w:b/>
                <w:bCs/>
                <w:sz w:val="22"/>
                <w:szCs w:val="22"/>
              </w:rPr>
            </w:pPr>
            <w:r w:rsidRPr="00D2722A">
              <w:rPr>
                <w:rFonts w:ascii="Times New Roman" w:hAnsi="Times New Roman" w:cs="Times New Roman"/>
                <w:b/>
                <w:bCs/>
                <w:sz w:val="22"/>
                <w:szCs w:val="22"/>
              </w:rPr>
              <w:t>Total Liver Protein (mg/g of wet tissue)</w:t>
            </w:r>
          </w:p>
        </w:tc>
        <w:tc>
          <w:tcPr>
            <w:tcW w:w="1303" w:type="dxa"/>
          </w:tcPr>
          <w:p w14:paraId="370F5B5E" w14:textId="646EF0BC" w:rsidR="00743F08" w:rsidRPr="00D2722A" w:rsidRDefault="005A4CC6" w:rsidP="00743F08">
            <w:pPr>
              <w:spacing w:line="360" w:lineRule="auto"/>
              <w:jc w:val="center"/>
              <w:rPr>
                <w:rFonts w:ascii="Times New Roman" w:hAnsi="Times New Roman" w:cs="Times New Roman"/>
                <w:b/>
                <w:bCs/>
                <w:sz w:val="22"/>
                <w:szCs w:val="22"/>
              </w:rPr>
            </w:pPr>
            <w:r w:rsidRPr="00D2722A">
              <w:rPr>
                <w:rFonts w:ascii="Times New Roman" w:hAnsi="Times New Roman" w:cs="Times New Roman"/>
                <w:b/>
                <w:bCs/>
                <w:sz w:val="22"/>
                <w:szCs w:val="22"/>
              </w:rPr>
              <w:t>Percentage Change (%)</w:t>
            </w:r>
          </w:p>
        </w:tc>
        <w:tc>
          <w:tcPr>
            <w:tcW w:w="2382" w:type="dxa"/>
          </w:tcPr>
          <w:p w14:paraId="6330EF40" w14:textId="3CE55C14" w:rsidR="005A4CC6" w:rsidRPr="00D2722A" w:rsidRDefault="00743F08" w:rsidP="00743F08">
            <w:pPr>
              <w:spacing w:line="360" w:lineRule="auto"/>
              <w:jc w:val="center"/>
              <w:rPr>
                <w:rFonts w:ascii="Times New Roman" w:hAnsi="Times New Roman" w:cs="Times New Roman"/>
                <w:b/>
                <w:bCs/>
                <w:sz w:val="22"/>
                <w:szCs w:val="22"/>
              </w:rPr>
            </w:pPr>
            <w:r w:rsidRPr="00D2722A">
              <w:rPr>
                <w:rFonts w:ascii="Times New Roman" w:hAnsi="Times New Roman" w:cs="Times New Roman"/>
                <w:b/>
                <w:bCs/>
                <w:sz w:val="22"/>
                <w:szCs w:val="22"/>
              </w:rPr>
              <w:t>Statistical Significance (\ (p &lt; 0.05\))</w:t>
            </w:r>
          </w:p>
        </w:tc>
      </w:tr>
      <w:tr w:rsidR="005A4CC6" w:rsidRPr="005326FF" w14:paraId="4934DE84" w14:textId="77777777" w:rsidTr="00107454">
        <w:trPr>
          <w:jc w:val="center"/>
        </w:trPr>
        <w:tc>
          <w:tcPr>
            <w:tcW w:w="1110" w:type="dxa"/>
          </w:tcPr>
          <w:p w14:paraId="1D8DAD7B" w14:textId="4B00788E" w:rsidR="005A4CC6" w:rsidRPr="005326FF" w:rsidRDefault="005A4CC6" w:rsidP="00743F08">
            <w:pPr>
              <w:spacing w:line="360" w:lineRule="auto"/>
              <w:jc w:val="center"/>
              <w:rPr>
                <w:rFonts w:ascii="Times New Roman" w:hAnsi="Times New Roman" w:cs="Times New Roman"/>
                <w:sz w:val="22"/>
                <w:szCs w:val="22"/>
              </w:rPr>
            </w:pPr>
            <w:r w:rsidRPr="005326FF">
              <w:rPr>
                <w:rFonts w:ascii="Times New Roman" w:hAnsi="Times New Roman" w:cs="Times New Roman"/>
                <w:sz w:val="22"/>
                <w:szCs w:val="22"/>
              </w:rPr>
              <w:t>Control</w:t>
            </w:r>
          </w:p>
        </w:tc>
        <w:tc>
          <w:tcPr>
            <w:tcW w:w="1579" w:type="dxa"/>
          </w:tcPr>
          <w:p w14:paraId="5F4513F6" w14:textId="3527A0DB" w:rsidR="005A4CC6" w:rsidRPr="005326FF" w:rsidRDefault="00743F08" w:rsidP="00743F08">
            <w:pPr>
              <w:spacing w:line="360" w:lineRule="auto"/>
              <w:jc w:val="center"/>
              <w:rPr>
                <w:rFonts w:ascii="Times New Roman" w:hAnsi="Times New Roman" w:cs="Times New Roman"/>
                <w:sz w:val="22"/>
                <w:szCs w:val="22"/>
              </w:rPr>
            </w:pPr>
            <w:r w:rsidRPr="005326FF">
              <w:rPr>
                <w:rFonts w:ascii="Times New Roman" w:hAnsi="Times New Roman" w:cs="Times New Roman"/>
                <w:sz w:val="22"/>
                <w:szCs w:val="22"/>
              </w:rPr>
              <w:t>65.4</w:t>
            </w:r>
          </w:p>
        </w:tc>
        <w:tc>
          <w:tcPr>
            <w:tcW w:w="1303" w:type="dxa"/>
          </w:tcPr>
          <w:p w14:paraId="781B9AC2" w14:textId="437DFFD9" w:rsidR="005A4CC6" w:rsidRPr="005326FF" w:rsidRDefault="00743F08" w:rsidP="00743F08">
            <w:pPr>
              <w:spacing w:line="360" w:lineRule="auto"/>
              <w:jc w:val="center"/>
              <w:rPr>
                <w:rFonts w:ascii="Times New Roman" w:hAnsi="Times New Roman" w:cs="Times New Roman"/>
                <w:sz w:val="22"/>
                <w:szCs w:val="22"/>
              </w:rPr>
            </w:pPr>
            <w:r w:rsidRPr="005326FF">
              <w:rPr>
                <w:rFonts w:ascii="Times New Roman" w:hAnsi="Times New Roman" w:cs="Times New Roman"/>
                <w:sz w:val="22"/>
                <w:szCs w:val="22"/>
              </w:rPr>
              <w:t>Baseline</w:t>
            </w:r>
          </w:p>
        </w:tc>
        <w:tc>
          <w:tcPr>
            <w:tcW w:w="2382" w:type="dxa"/>
          </w:tcPr>
          <w:p w14:paraId="560CEEE0" w14:textId="3E3F771C" w:rsidR="005A4CC6" w:rsidRPr="005326FF" w:rsidRDefault="00743F08" w:rsidP="00743F08">
            <w:pPr>
              <w:spacing w:line="360" w:lineRule="auto"/>
              <w:jc w:val="center"/>
              <w:rPr>
                <w:rFonts w:ascii="Times New Roman" w:hAnsi="Times New Roman" w:cs="Times New Roman"/>
                <w:sz w:val="22"/>
                <w:szCs w:val="22"/>
              </w:rPr>
            </w:pPr>
            <w:r w:rsidRPr="005326FF">
              <w:rPr>
                <w:rFonts w:ascii="Times New Roman" w:hAnsi="Times New Roman" w:cs="Times New Roman"/>
                <w:sz w:val="22"/>
                <w:szCs w:val="22"/>
              </w:rPr>
              <w:t>Non-Significant</w:t>
            </w:r>
          </w:p>
        </w:tc>
      </w:tr>
      <w:tr w:rsidR="005A4CC6" w:rsidRPr="005326FF" w14:paraId="54B5704A" w14:textId="77777777" w:rsidTr="00107454">
        <w:trPr>
          <w:jc w:val="center"/>
        </w:trPr>
        <w:tc>
          <w:tcPr>
            <w:tcW w:w="1110" w:type="dxa"/>
          </w:tcPr>
          <w:p w14:paraId="0C495150" w14:textId="178F477E" w:rsidR="005A4CC6" w:rsidRPr="005326FF" w:rsidRDefault="005A4CC6" w:rsidP="00743F08">
            <w:pPr>
              <w:spacing w:line="360" w:lineRule="auto"/>
              <w:jc w:val="center"/>
              <w:rPr>
                <w:rFonts w:ascii="Times New Roman" w:hAnsi="Times New Roman" w:cs="Times New Roman"/>
                <w:sz w:val="22"/>
                <w:szCs w:val="22"/>
              </w:rPr>
            </w:pPr>
            <w:r w:rsidRPr="005326FF">
              <w:rPr>
                <w:rFonts w:ascii="Times New Roman" w:hAnsi="Times New Roman" w:cs="Times New Roman"/>
                <w:sz w:val="22"/>
                <w:szCs w:val="22"/>
              </w:rPr>
              <w:t>5 Days</w:t>
            </w:r>
          </w:p>
        </w:tc>
        <w:tc>
          <w:tcPr>
            <w:tcW w:w="1579" w:type="dxa"/>
          </w:tcPr>
          <w:p w14:paraId="73C117FE" w14:textId="5A1A5BA7" w:rsidR="005A4CC6" w:rsidRPr="005326FF" w:rsidRDefault="00743F08" w:rsidP="00743F08">
            <w:pPr>
              <w:spacing w:line="360" w:lineRule="auto"/>
              <w:jc w:val="center"/>
              <w:rPr>
                <w:rFonts w:ascii="Times New Roman" w:hAnsi="Times New Roman" w:cs="Times New Roman"/>
                <w:sz w:val="22"/>
                <w:szCs w:val="22"/>
              </w:rPr>
            </w:pPr>
            <w:r w:rsidRPr="005326FF">
              <w:rPr>
                <w:rFonts w:ascii="Times New Roman" w:hAnsi="Times New Roman" w:cs="Times New Roman"/>
                <w:sz w:val="22"/>
                <w:szCs w:val="22"/>
              </w:rPr>
              <w:t>52.1</w:t>
            </w:r>
          </w:p>
        </w:tc>
        <w:tc>
          <w:tcPr>
            <w:tcW w:w="1303" w:type="dxa"/>
          </w:tcPr>
          <w:p w14:paraId="51C25260" w14:textId="1F179D6E" w:rsidR="005A4CC6" w:rsidRPr="005326FF" w:rsidRDefault="00743F08" w:rsidP="00743F08">
            <w:pPr>
              <w:spacing w:line="360" w:lineRule="auto"/>
              <w:jc w:val="center"/>
              <w:rPr>
                <w:rFonts w:ascii="Times New Roman" w:hAnsi="Times New Roman" w:cs="Times New Roman"/>
                <w:sz w:val="22"/>
                <w:szCs w:val="22"/>
              </w:rPr>
            </w:pPr>
            <w:r w:rsidRPr="005326FF">
              <w:rPr>
                <w:rFonts w:ascii="Times New Roman" w:hAnsi="Times New Roman" w:cs="Times New Roman"/>
                <w:sz w:val="22"/>
                <w:szCs w:val="22"/>
              </w:rPr>
              <w:t>20.34%</w:t>
            </w:r>
          </w:p>
        </w:tc>
        <w:tc>
          <w:tcPr>
            <w:tcW w:w="2382" w:type="dxa"/>
          </w:tcPr>
          <w:p w14:paraId="26DF0451" w14:textId="65B04017" w:rsidR="005A4CC6" w:rsidRPr="005326FF" w:rsidRDefault="00743F08" w:rsidP="00743F08">
            <w:pPr>
              <w:spacing w:line="360" w:lineRule="auto"/>
              <w:jc w:val="center"/>
              <w:rPr>
                <w:rFonts w:ascii="Times New Roman" w:hAnsi="Times New Roman" w:cs="Times New Roman"/>
                <w:sz w:val="22"/>
                <w:szCs w:val="22"/>
              </w:rPr>
            </w:pPr>
            <w:r w:rsidRPr="005326FF">
              <w:rPr>
                <w:rFonts w:ascii="Times New Roman" w:hAnsi="Times New Roman" w:cs="Times New Roman"/>
                <w:sz w:val="22"/>
                <w:szCs w:val="22"/>
              </w:rPr>
              <w:t>Significant</w:t>
            </w:r>
          </w:p>
        </w:tc>
      </w:tr>
      <w:tr w:rsidR="005A4CC6" w:rsidRPr="005326FF" w14:paraId="1B8A5B2D" w14:textId="77777777" w:rsidTr="00107454">
        <w:trPr>
          <w:jc w:val="center"/>
        </w:trPr>
        <w:tc>
          <w:tcPr>
            <w:tcW w:w="1110" w:type="dxa"/>
          </w:tcPr>
          <w:p w14:paraId="4FA1B10E" w14:textId="105BAF1C" w:rsidR="005A4CC6" w:rsidRPr="005326FF" w:rsidRDefault="005A4CC6" w:rsidP="00743F08">
            <w:pPr>
              <w:spacing w:line="360" w:lineRule="auto"/>
              <w:jc w:val="center"/>
              <w:rPr>
                <w:rFonts w:ascii="Times New Roman" w:hAnsi="Times New Roman" w:cs="Times New Roman"/>
                <w:sz w:val="22"/>
                <w:szCs w:val="22"/>
              </w:rPr>
            </w:pPr>
            <w:r w:rsidRPr="005326FF">
              <w:rPr>
                <w:rFonts w:ascii="Times New Roman" w:hAnsi="Times New Roman" w:cs="Times New Roman"/>
                <w:sz w:val="22"/>
                <w:szCs w:val="22"/>
              </w:rPr>
              <w:t>10 Days</w:t>
            </w:r>
          </w:p>
        </w:tc>
        <w:tc>
          <w:tcPr>
            <w:tcW w:w="1579" w:type="dxa"/>
          </w:tcPr>
          <w:p w14:paraId="09124EB1" w14:textId="21F7413C" w:rsidR="005A4CC6" w:rsidRPr="005326FF" w:rsidRDefault="00743F08" w:rsidP="00743F08">
            <w:pPr>
              <w:spacing w:line="360" w:lineRule="auto"/>
              <w:jc w:val="center"/>
              <w:rPr>
                <w:rFonts w:ascii="Times New Roman" w:hAnsi="Times New Roman" w:cs="Times New Roman"/>
                <w:sz w:val="22"/>
                <w:szCs w:val="22"/>
              </w:rPr>
            </w:pPr>
            <w:r w:rsidRPr="005326FF">
              <w:rPr>
                <w:rFonts w:ascii="Times New Roman" w:hAnsi="Times New Roman" w:cs="Times New Roman"/>
                <w:sz w:val="22"/>
                <w:szCs w:val="22"/>
              </w:rPr>
              <w:t>41.8</w:t>
            </w:r>
          </w:p>
        </w:tc>
        <w:tc>
          <w:tcPr>
            <w:tcW w:w="1303" w:type="dxa"/>
          </w:tcPr>
          <w:p w14:paraId="1E617F4B" w14:textId="02EA689B" w:rsidR="005A4CC6" w:rsidRPr="005326FF" w:rsidRDefault="00743F08" w:rsidP="00743F08">
            <w:pPr>
              <w:spacing w:line="360" w:lineRule="auto"/>
              <w:jc w:val="center"/>
              <w:rPr>
                <w:rFonts w:ascii="Times New Roman" w:hAnsi="Times New Roman" w:cs="Times New Roman"/>
                <w:sz w:val="22"/>
                <w:szCs w:val="22"/>
              </w:rPr>
            </w:pPr>
            <w:r w:rsidRPr="005326FF">
              <w:rPr>
                <w:rFonts w:ascii="Times New Roman" w:hAnsi="Times New Roman" w:cs="Times New Roman"/>
                <w:sz w:val="22"/>
                <w:szCs w:val="22"/>
              </w:rPr>
              <w:t>36.08%</w:t>
            </w:r>
          </w:p>
        </w:tc>
        <w:tc>
          <w:tcPr>
            <w:tcW w:w="2382" w:type="dxa"/>
          </w:tcPr>
          <w:p w14:paraId="1D5D336B" w14:textId="1483FEEF" w:rsidR="005A4CC6" w:rsidRPr="005326FF" w:rsidRDefault="00743F08" w:rsidP="00743F08">
            <w:pPr>
              <w:spacing w:line="360" w:lineRule="auto"/>
              <w:jc w:val="center"/>
              <w:rPr>
                <w:rFonts w:ascii="Times New Roman" w:hAnsi="Times New Roman" w:cs="Times New Roman"/>
                <w:sz w:val="22"/>
                <w:szCs w:val="22"/>
              </w:rPr>
            </w:pPr>
            <w:r w:rsidRPr="005326FF">
              <w:rPr>
                <w:rFonts w:ascii="Times New Roman" w:hAnsi="Times New Roman" w:cs="Times New Roman"/>
                <w:sz w:val="22"/>
                <w:szCs w:val="22"/>
              </w:rPr>
              <w:t>Highly Significant</w:t>
            </w:r>
          </w:p>
        </w:tc>
      </w:tr>
      <w:tr w:rsidR="005A4CC6" w:rsidRPr="005326FF" w14:paraId="7E736004" w14:textId="77777777" w:rsidTr="00107454">
        <w:trPr>
          <w:trHeight w:val="377"/>
          <w:jc w:val="center"/>
        </w:trPr>
        <w:tc>
          <w:tcPr>
            <w:tcW w:w="1110" w:type="dxa"/>
          </w:tcPr>
          <w:p w14:paraId="150AB029" w14:textId="2B3F3B20" w:rsidR="005A4CC6" w:rsidRPr="005326FF" w:rsidRDefault="005A4CC6" w:rsidP="00743F08">
            <w:pPr>
              <w:spacing w:line="360" w:lineRule="auto"/>
              <w:jc w:val="center"/>
              <w:rPr>
                <w:rFonts w:ascii="Times New Roman" w:hAnsi="Times New Roman" w:cs="Times New Roman"/>
                <w:sz w:val="22"/>
                <w:szCs w:val="22"/>
              </w:rPr>
            </w:pPr>
            <w:r w:rsidRPr="005326FF">
              <w:rPr>
                <w:rFonts w:ascii="Times New Roman" w:hAnsi="Times New Roman" w:cs="Times New Roman"/>
                <w:sz w:val="22"/>
                <w:szCs w:val="22"/>
              </w:rPr>
              <w:t>15 Days</w:t>
            </w:r>
          </w:p>
        </w:tc>
        <w:tc>
          <w:tcPr>
            <w:tcW w:w="1579" w:type="dxa"/>
          </w:tcPr>
          <w:p w14:paraId="5614C359" w14:textId="724B9911" w:rsidR="005A4CC6" w:rsidRPr="005326FF" w:rsidRDefault="00743F08" w:rsidP="00743F08">
            <w:pPr>
              <w:spacing w:line="360" w:lineRule="auto"/>
              <w:jc w:val="center"/>
              <w:rPr>
                <w:rFonts w:ascii="Times New Roman" w:hAnsi="Times New Roman" w:cs="Times New Roman"/>
                <w:sz w:val="22"/>
                <w:szCs w:val="22"/>
              </w:rPr>
            </w:pPr>
            <w:r w:rsidRPr="005326FF">
              <w:rPr>
                <w:rFonts w:ascii="Times New Roman" w:hAnsi="Times New Roman" w:cs="Times New Roman"/>
                <w:sz w:val="22"/>
                <w:szCs w:val="22"/>
              </w:rPr>
              <w:t>28.5</w:t>
            </w:r>
          </w:p>
        </w:tc>
        <w:tc>
          <w:tcPr>
            <w:tcW w:w="1303" w:type="dxa"/>
          </w:tcPr>
          <w:p w14:paraId="75971ED8" w14:textId="5061F25F" w:rsidR="005A4CC6" w:rsidRPr="005326FF" w:rsidRDefault="00743F08" w:rsidP="00743F08">
            <w:pPr>
              <w:spacing w:line="360" w:lineRule="auto"/>
              <w:jc w:val="center"/>
              <w:rPr>
                <w:rFonts w:ascii="Times New Roman" w:hAnsi="Times New Roman" w:cs="Times New Roman"/>
                <w:sz w:val="22"/>
                <w:szCs w:val="22"/>
              </w:rPr>
            </w:pPr>
            <w:r w:rsidRPr="005326FF">
              <w:rPr>
                <w:rFonts w:ascii="Times New Roman" w:hAnsi="Times New Roman" w:cs="Times New Roman"/>
                <w:sz w:val="22"/>
                <w:szCs w:val="22"/>
              </w:rPr>
              <w:t>56.42%</w:t>
            </w:r>
          </w:p>
        </w:tc>
        <w:tc>
          <w:tcPr>
            <w:tcW w:w="2382" w:type="dxa"/>
          </w:tcPr>
          <w:p w14:paraId="41874BCA" w14:textId="0F0AC697" w:rsidR="005A4CC6" w:rsidRPr="005326FF" w:rsidRDefault="00743F08" w:rsidP="00743F08">
            <w:pPr>
              <w:spacing w:line="360" w:lineRule="auto"/>
              <w:jc w:val="center"/>
              <w:rPr>
                <w:rFonts w:ascii="Times New Roman" w:hAnsi="Times New Roman" w:cs="Times New Roman"/>
                <w:sz w:val="22"/>
                <w:szCs w:val="22"/>
              </w:rPr>
            </w:pPr>
            <w:r w:rsidRPr="005326FF">
              <w:rPr>
                <w:rFonts w:ascii="Times New Roman" w:hAnsi="Times New Roman" w:cs="Times New Roman"/>
                <w:sz w:val="22"/>
                <w:szCs w:val="22"/>
              </w:rPr>
              <w:t>Extremely Significant</w:t>
            </w:r>
          </w:p>
        </w:tc>
      </w:tr>
    </w:tbl>
    <w:p w14:paraId="43F2094A" w14:textId="77777777" w:rsidR="005A4CC6" w:rsidRPr="005326FF" w:rsidRDefault="005A4CC6" w:rsidP="00107454">
      <w:pPr>
        <w:spacing w:line="360" w:lineRule="auto"/>
        <w:rPr>
          <w:rFonts w:ascii="Times New Roman" w:hAnsi="Times New Roman" w:cs="Times New Roman"/>
          <w:sz w:val="22"/>
          <w:szCs w:val="22"/>
        </w:rPr>
      </w:pPr>
    </w:p>
    <w:p w14:paraId="1992118E" w14:textId="73357B73" w:rsidR="00107454" w:rsidRPr="00107454" w:rsidRDefault="00107454" w:rsidP="005326FF">
      <w:pPr>
        <w:spacing w:line="360" w:lineRule="auto"/>
        <w:rPr>
          <w:rFonts w:ascii="Times New Roman" w:hAnsi="Times New Roman" w:cs="Times New Roman"/>
          <w:b/>
          <w:bCs/>
          <w:sz w:val="22"/>
          <w:szCs w:val="22"/>
        </w:rPr>
      </w:pPr>
      <w:r>
        <w:rPr>
          <w:rFonts w:ascii="Times New Roman" w:hAnsi="Times New Roman" w:cs="Times New Roman"/>
          <w:b/>
          <w:bCs/>
          <w:sz w:val="22"/>
          <w:szCs w:val="22"/>
        </w:rPr>
        <w:t>Graph No.</w:t>
      </w:r>
      <w:r w:rsidR="005326FF" w:rsidRPr="00743F08">
        <w:rPr>
          <w:rFonts w:ascii="Times New Roman" w:hAnsi="Times New Roman" w:cs="Times New Roman"/>
          <w:b/>
          <w:bCs/>
          <w:sz w:val="22"/>
          <w:szCs w:val="22"/>
        </w:rPr>
        <w:t xml:space="preserve">1: Liver </w:t>
      </w:r>
      <w:r w:rsidR="005326FF" w:rsidRPr="005326FF">
        <w:rPr>
          <w:rFonts w:ascii="Times New Roman" w:hAnsi="Times New Roman" w:cs="Times New Roman"/>
          <w:b/>
          <w:bCs/>
          <w:sz w:val="22"/>
          <w:szCs w:val="22"/>
        </w:rPr>
        <w:t>Protein</w:t>
      </w:r>
      <w:r w:rsidR="005326FF" w:rsidRPr="00743F08">
        <w:rPr>
          <w:rFonts w:ascii="Times New Roman" w:hAnsi="Times New Roman" w:cs="Times New Roman"/>
          <w:b/>
          <w:bCs/>
          <w:sz w:val="22"/>
          <w:szCs w:val="22"/>
        </w:rPr>
        <w:t xml:space="preserve"> Content (mg/100 mg tissue) in </w:t>
      </w:r>
      <w:r w:rsidR="005326FF" w:rsidRPr="00743F08">
        <w:rPr>
          <w:rFonts w:ascii="Times New Roman" w:hAnsi="Times New Roman" w:cs="Times New Roman"/>
          <w:b/>
          <w:bCs/>
          <w:i/>
          <w:iCs/>
          <w:sz w:val="22"/>
          <w:szCs w:val="22"/>
        </w:rPr>
        <w:t>Labeo rohita</w:t>
      </w:r>
      <w:r w:rsidR="005326FF" w:rsidRPr="00743F08">
        <w:rPr>
          <w:rFonts w:ascii="Times New Roman" w:hAnsi="Times New Roman" w:cs="Times New Roman"/>
          <w:b/>
          <w:bCs/>
          <w:sz w:val="22"/>
          <w:szCs w:val="22"/>
        </w:rPr>
        <w:t xml:space="preserve"> under </w:t>
      </w:r>
      <w:r w:rsidR="005326FF" w:rsidRPr="005326FF">
        <w:rPr>
          <w:rFonts w:ascii="Times New Roman" w:hAnsi="Times New Roman" w:cs="Times New Roman"/>
          <w:b/>
          <w:bCs/>
          <w:sz w:val="22"/>
          <w:szCs w:val="22"/>
        </w:rPr>
        <w:t>10</w:t>
      </w:r>
      <w:r w:rsidR="005326FF" w:rsidRPr="00743F08">
        <w:rPr>
          <w:rFonts w:ascii="Times New Roman" w:hAnsi="Times New Roman" w:cs="Times New Roman"/>
          <w:b/>
          <w:bCs/>
          <w:sz w:val="22"/>
          <w:szCs w:val="22"/>
        </w:rPr>
        <w:t xml:space="preserve"> mg MSG Exposure for 15 days</w:t>
      </w:r>
      <w:r w:rsidR="005326FF" w:rsidRPr="005326FF">
        <w:rPr>
          <w:rFonts w:ascii="Times New Roman" w:hAnsi="Times New Roman" w:cs="Times New Roman"/>
          <w:b/>
          <w:bCs/>
          <w:sz w:val="22"/>
          <w:szCs w:val="22"/>
        </w:rPr>
        <w:t>-</w:t>
      </w:r>
    </w:p>
    <w:p w14:paraId="3D5091B0" w14:textId="1920C77F" w:rsidR="005326FF" w:rsidRPr="005326FF" w:rsidRDefault="005326FF" w:rsidP="00107454">
      <w:pPr>
        <w:spacing w:line="360" w:lineRule="auto"/>
        <w:jc w:val="center"/>
        <w:rPr>
          <w:rFonts w:ascii="Times New Roman" w:hAnsi="Times New Roman" w:cs="Times New Roman"/>
          <w:sz w:val="22"/>
          <w:szCs w:val="22"/>
        </w:rPr>
      </w:pPr>
      <w:r w:rsidRPr="005326FF">
        <w:rPr>
          <w:rFonts w:ascii="Times New Roman" w:hAnsi="Times New Roman" w:cs="Times New Roman"/>
          <w:noProof/>
          <w:sz w:val="22"/>
          <w:szCs w:val="22"/>
          <w:lang w:eastAsia="en-IN"/>
        </w:rPr>
        <w:drawing>
          <wp:inline distT="0" distB="0" distL="0" distR="0" wp14:anchorId="6DBC677B" wp14:editId="377734E8">
            <wp:extent cx="4606290" cy="2500745"/>
            <wp:effectExtent l="0" t="0" r="3810" b="13970"/>
            <wp:docPr id="321752473"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FC3C390-E727-BEF4-9D39-936C25AE3F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552630C" w14:textId="77777777" w:rsidR="005326FF" w:rsidRPr="005326FF" w:rsidRDefault="005326FF" w:rsidP="00107454">
      <w:pPr>
        <w:spacing w:line="360" w:lineRule="auto"/>
        <w:jc w:val="both"/>
        <w:rPr>
          <w:rFonts w:ascii="Times New Roman" w:hAnsi="Times New Roman" w:cs="Times New Roman"/>
          <w:b/>
          <w:bCs/>
          <w:sz w:val="22"/>
          <w:szCs w:val="22"/>
        </w:rPr>
      </w:pPr>
      <w:r w:rsidRPr="005326FF">
        <w:rPr>
          <w:rFonts w:ascii="Times New Roman" w:hAnsi="Times New Roman" w:cs="Times New Roman"/>
          <w:b/>
          <w:bCs/>
          <w:sz w:val="22"/>
          <w:szCs w:val="22"/>
        </w:rPr>
        <w:t>Discussion</w:t>
      </w:r>
    </w:p>
    <w:p w14:paraId="34AE8586" w14:textId="77777777" w:rsidR="005326FF" w:rsidRPr="005326FF" w:rsidRDefault="005326FF" w:rsidP="00107454">
      <w:pPr>
        <w:spacing w:line="360" w:lineRule="auto"/>
        <w:jc w:val="both"/>
        <w:rPr>
          <w:rFonts w:ascii="Times New Roman" w:hAnsi="Times New Roman" w:cs="Times New Roman"/>
          <w:sz w:val="22"/>
          <w:szCs w:val="22"/>
        </w:rPr>
      </w:pPr>
      <w:r w:rsidRPr="005326FF">
        <w:rPr>
          <w:rFonts w:ascii="Times New Roman" w:hAnsi="Times New Roman" w:cs="Times New Roman"/>
          <w:sz w:val="22"/>
          <w:szCs w:val="22"/>
        </w:rPr>
        <w:t xml:space="preserve">The quantitative results demonstrate that a sub-lethal dose of 10 mg/L of MSG induces a severe, time-dependent reduction in the total liver protein content of </w:t>
      </w:r>
      <w:r w:rsidRPr="005326FF">
        <w:rPr>
          <w:rFonts w:ascii="Times New Roman" w:hAnsi="Times New Roman" w:cs="Times New Roman"/>
          <w:i/>
          <w:iCs/>
          <w:sz w:val="22"/>
          <w:szCs w:val="22"/>
        </w:rPr>
        <w:t>Labeo rohita</w:t>
      </w:r>
      <w:r w:rsidRPr="005326FF">
        <w:rPr>
          <w:rFonts w:ascii="Times New Roman" w:hAnsi="Times New Roman" w:cs="Times New Roman"/>
          <w:sz w:val="22"/>
          <w:szCs w:val="22"/>
        </w:rPr>
        <w:t>. Proteins serve as vital cellular structural components and are actively involved in physiological compensation during chemical-induced stress. The steady decline in liver protein content indicates that chronic exposure to MSG compromises basic metabolic and cellular functionality in teleost models.</w:t>
      </w:r>
    </w:p>
    <w:p w14:paraId="26452811" w14:textId="77777777" w:rsidR="005326FF" w:rsidRPr="005326FF" w:rsidRDefault="005326FF" w:rsidP="00107454">
      <w:pPr>
        <w:spacing w:after="0" w:line="360" w:lineRule="auto"/>
        <w:jc w:val="both"/>
        <w:rPr>
          <w:rFonts w:ascii="Times New Roman" w:hAnsi="Times New Roman" w:cs="Times New Roman"/>
          <w:sz w:val="22"/>
          <w:szCs w:val="22"/>
        </w:rPr>
      </w:pPr>
      <w:r w:rsidRPr="005326FF">
        <w:rPr>
          <w:rFonts w:ascii="Times New Roman" w:hAnsi="Times New Roman" w:cs="Times New Roman"/>
          <w:sz w:val="22"/>
          <w:szCs w:val="22"/>
        </w:rPr>
        <w:t xml:space="preserve">This depletion can be attributed to several interacting physiological mechanisms. First, exposure to sub-lethal concentrations of xenobiotics accelerates protein catabolism. Under chemical stress, organisms require extra energy to maintain cellular homeostasis and activate detoxification pathways. Consequently, the fish metabolizes its own structural and functional proteins via proteolysis to supply free amino acids to the tricarboxylic acid (TCA) cycle, helping meet this elevated energy demand. This compensatory strategy is common in freshwater </w:t>
      </w:r>
      <w:proofErr w:type="spellStart"/>
      <w:r w:rsidRPr="005326FF">
        <w:rPr>
          <w:rFonts w:ascii="Times New Roman" w:hAnsi="Times New Roman" w:cs="Times New Roman"/>
          <w:sz w:val="22"/>
          <w:szCs w:val="22"/>
        </w:rPr>
        <w:t>teleosts</w:t>
      </w:r>
      <w:proofErr w:type="spellEnd"/>
      <w:r w:rsidRPr="005326FF">
        <w:rPr>
          <w:rFonts w:ascii="Times New Roman" w:hAnsi="Times New Roman" w:cs="Times New Roman"/>
          <w:sz w:val="22"/>
          <w:szCs w:val="22"/>
        </w:rPr>
        <w:t xml:space="preserve"> facing chemical stress.</w:t>
      </w:r>
    </w:p>
    <w:p w14:paraId="461EEB78" w14:textId="77777777" w:rsidR="005326FF" w:rsidRPr="005326FF" w:rsidRDefault="005326FF" w:rsidP="00107454">
      <w:pPr>
        <w:spacing w:after="0" w:line="360" w:lineRule="auto"/>
        <w:jc w:val="both"/>
        <w:rPr>
          <w:rFonts w:ascii="Times New Roman" w:hAnsi="Times New Roman" w:cs="Times New Roman"/>
          <w:sz w:val="22"/>
          <w:szCs w:val="22"/>
        </w:rPr>
      </w:pPr>
      <w:r w:rsidRPr="005326FF">
        <w:rPr>
          <w:rFonts w:ascii="Times New Roman" w:hAnsi="Times New Roman" w:cs="Times New Roman"/>
          <w:sz w:val="22"/>
          <w:szCs w:val="22"/>
        </w:rPr>
        <w:lastRenderedPageBreak/>
        <w:t xml:space="preserve">Second, excess accumulation of exogenous glutamate in the aquatic medium can lead to systemic </w:t>
      </w:r>
      <w:proofErr w:type="spellStart"/>
      <w:r w:rsidRPr="005326FF">
        <w:rPr>
          <w:rFonts w:ascii="Times New Roman" w:hAnsi="Times New Roman" w:cs="Times New Roman"/>
          <w:sz w:val="22"/>
          <w:szCs w:val="22"/>
        </w:rPr>
        <w:t>oxido-nitrergic</w:t>
      </w:r>
      <w:proofErr w:type="spellEnd"/>
      <w:r w:rsidRPr="005326FF">
        <w:rPr>
          <w:rFonts w:ascii="Times New Roman" w:hAnsi="Times New Roman" w:cs="Times New Roman"/>
          <w:sz w:val="22"/>
          <w:szCs w:val="22"/>
        </w:rPr>
        <w:t xml:space="preserve"> stress within hepatic tissues. Intracellular accumulation of MSG triggers the overproduction of Reactive Oxygen Species (ROS). This induces lipid peroxidation of hepatocyte organelle membranes, particularly the rough endoplasmic reticulum. Structural damage to the endoplasmic reticulum directly disrupts ribonuclear protein translation machinery, leading to a down-regulation of new protein synthesis. This pathway aligns with previous findings where high doses of MSG caused cellular toxicity, mitochondrial membrane alterations, and damaged hepatocytes in animal models.</w:t>
      </w:r>
    </w:p>
    <w:p w14:paraId="2E521094" w14:textId="77777777" w:rsidR="005326FF" w:rsidRPr="005326FF" w:rsidRDefault="005326FF" w:rsidP="00107454">
      <w:pPr>
        <w:spacing w:after="0" w:line="360" w:lineRule="auto"/>
        <w:jc w:val="both"/>
        <w:rPr>
          <w:rFonts w:ascii="Times New Roman" w:hAnsi="Times New Roman" w:cs="Times New Roman"/>
          <w:b/>
          <w:bCs/>
          <w:sz w:val="22"/>
          <w:szCs w:val="22"/>
        </w:rPr>
      </w:pPr>
      <w:r w:rsidRPr="005326FF">
        <w:rPr>
          <w:rFonts w:ascii="Times New Roman" w:hAnsi="Times New Roman" w:cs="Times New Roman"/>
          <w:b/>
          <w:bCs/>
          <w:sz w:val="22"/>
          <w:szCs w:val="22"/>
        </w:rPr>
        <w:t>Conclusion</w:t>
      </w:r>
    </w:p>
    <w:p w14:paraId="1D52BBE2" w14:textId="77777777" w:rsidR="005326FF" w:rsidRPr="005326FF" w:rsidRDefault="005326FF" w:rsidP="00107454">
      <w:pPr>
        <w:spacing w:after="0" w:line="360" w:lineRule="auto"/>
        <w:jc w:val="both"/>
        <w:rPr>
          <w:rFonts w:ascii="Times New Roman" w:hAnsi="Times New Roman" w:cs="Times New Roman"/>
          <w:sz w:val="22"/>
          <w:szCs w:val="22"/>
        </w:rPr>
      </w:pPr>
      <w:r w:rsidRPr="005326FF">
        <w:rPr>
          <w:rFonts w:ascii="Times New Roman" w:hAnsi="Times New Roman" w:cs="Times New Roman"/>
          <w:sz w:val="22"/>
          <w:szCs w:val="22"/>
        </w:rPr>
        <w:t xml:space="preserve">This investigation confirms that a sub-lethal concentration of Monosodium Glutamate (10 mg/L) causes a significant, time-dependent reduction in the total liver protein content of </w:t>
      </w:r>
      <w:r w:rsidRPr="005326FF">
        <w:rPr>
          <w:rFonts w:ascii="Times New Roman" w:hAnsi="Times New Roman" w:cs="Times New Roman"/>
          <w:i/>
          <w:iCs/>
          <w:sz w:val="22"/>
          <w:szCs w:val="22"/>
        </w:rPr>
        <w:t>Labeo rohita</w:t>
      </w:r>
      <w:r w:rsidRPr="005326FF">
        <w:rPr>
          <w:rFonts w:ascii="Times New Roman" w:hAnsi="Times New Roman" w:cs="Times New Roman"/>
          <w:sz w:val="22"/>
          <w:szCs w:val="22"/>
        </w:rPr>
        <w:t>. The maximum depletion (56.42%) occurred at the 15-day mark, demonstrating that prolonged exposure risks severe metabolic impairment. This reduction points to accelerated proteolysis to meet energy demands and a breakdown in protein synthesis driven by oxidative stress. These findings underscore that low-level MSG contamination in natural water bodies can destabilize health profiles in non-target carps. Further studies are needed to assess recovery potential in clean water and the broader impact of this metabolic stress on the aquatic food chain.</w:t>
      </w:r>
    </w:p>
    <w:p w14:paraId="4AEB027D" w14:textId="39EF018F" w:rsidR="00D2722A" w:rsidRPr="00710C81" w:rsidRDefault="005326FF" w:rsidP="00D2722A">
      <w:pPr>
        <w:spacing w:after="0" w:line="360" w:lineRule="auto"/>
        <w:jc w:val="both"/>
        <w:rPr>
          <w:rFonts w:ascii="Times New Roman" w:hAnsi="Times New Roman" w:cs="Times New Roman"/>
          <w:b/>
          <w:bCs/>
          <w:sz w:val="22"/>
          <w:szCs w:val="22"/>
        </w:rPr>
      </w:pPr>
      <w:r w:rsidRPr="005326FF">
        <w:rPr>
          <w:rFonts w:ascii="Times New Roman" w:hAnsi="Times New Roman" w:cs="Times New Roman"/>
          <w:b/>
          <w:bCs/>
          <w:sz w:val="22"/>
          <w:szCs w:val="22"/>
        </w:rPr>
        <w:t>References</w:t>
      </w:r>
    </w:p>
    <w:p w14:paraId="34CB4F07" w14:textId="77777777" w:rsidR="00D2722A" w:rsidRPr="005326FF" w:rsidRDefault="00D2722A" w:rsidP="00107454">
      <w:pPr>
        <w:numPr>
          <w:ilvl w:val="0"/>
          <w:numId w:val="1"/>
        </w:numPr>
        <w:spacing w:after="0" w:line="360" w:lineRule="auto"/>
        <w:jc w:val="both"/>
        <w:rPr>
          <w:rFonts w:ascii="Times New Roman" w:hAnsi="Times New Roman" w:cs="Times New Roman"/>
          <w:sz w:val="22"/>
          <w:szCs w:val="22"/>
        </w:rPr>
      </w:pPr>
      <w:proofErr w:type="spellStart"/>
      <w:r w:rsidRPr="005326FF">
        <w:rPr>
          <w:rFonts w:ascii="Times New Roman" w:hAnsi="Times New Roman" w:cs="Times New Roman"/>
          <w:b/>
          <w:bCs/>
          <w:sz w:val="22"/>
          <w:szCs w:val="22"/>
        </w:rPr>
        <w:t>Ataseven</w:t>
      </w:r>
      <w:proofErr w:type="spellEnd"/>
      <w:r w:rsidRPr="005326FF">
        <w:rPr>
          <w:rFonts w:ascii="Times New Roman" w:hAnsi="Times New Roman" w:cs="Times New Roman"/>
          <w:b/>
          <w:bCs/>
          <w:sz w:val="22"/>
          <w:szCs w:val="22"/>
        </w:rPr>
        <w:t>, H., et al. (2025).</w:t>
      </w:r>
      <w:r w:rsidRPr="005326FF">
        <w:rPr>
          <w:rFonts w:ascii="Times New Roman" w:hAnsi="Times New Roman" w:cs="Times New Roman"/>
          <w:sz w:val="22"/>
          <w:szCs w:val="22"/>
        </w:rPr>
        <w:t xml:space="preserve"> Evaluation of the Effects of Monosodium Glutamate on Hepatic and Renal Oxidative Stress. </w:t>
      </w:r>
      <w:r w:rsidRPr="005326FF">
        <w:rPr>
          <w:rFonts w:ascii="Times New Roman" w:hAnsi="Times New Roman" w:cs="Times New Roman"/>
          <w:i/>
          <w:iCs/>
          <w:sz w:val="22"/>
          <w:szCs w:val="22"/>
        </w:rPr>
        <w:t>MDPI Toxics</w:t>
      </w:r>
      <w:r w:rsidRPr="005326FF">
        <w:rPr>
          <w:rFonts w:ascii="Times New Roman" w:hAnsi="Times New Roman" w:cs="Times New Roman"/>
          <w:sz w:val="22"/>
          <w:szCs w:val="22"/>
        </w:rPr>
        <w:t>, 15(3), 64.</w:t>
      </w:r>
    </w:p>
    <w:p w14:paraId="76A37C4F" w14:textId="77777777" w:rsidR="00D2722A" w:rsidRPr="005326FF" w:rsidRDefault="00D2722A" w:rsidP="00107454">
      <w:pPr>
        <w:numPr>
          <w:ilvl w:val="0"/>
          <w:numId w:val="1"/>
        </w:numPr>
        <w:spacing w:after="0" w:line="360" w:lineRule="auto"/>
        <w:jc w:val="both"/>
        <w:rPr>
          <w:rFonts w:ascii="Times New Roman" w:hAnsi="Times New Roman" w:cs="Times New Roman"/>
          <w:sz w:val="22"/>
          <w:szCs w:val="22"/>
        </w:rPr>
      </w:pPr>
      <w:r w:rsidRPr="005326FF">
        <w:rPr>
          <w:rFonts w:ascii="Times New Roman" w:hAnsi="Times New Roman" w:cs="Times New Roman"/>
          <w:b/>
          <w:bCs/>
          <w:sz w:val="22"/>
          <w:szCs w:val="22"/>
        </w:rPr>
        <w:t>Diniz, Y. S., et al. (2021).</w:t>
      </w:r>
      <w:r w:rsidRPr="005326FF">
        <w:rPr>
          <w:rFonts w:ascii="Times New Roman" w:hAnsi="Times New Roman" w:cs="Times New Roman"/>
          <w:sz w:val="22"/>
          <w:szCs w:val="22"/>
        </w:rPr>
        <w:t xml:space="preserve"> Toxicity of monosodium glutamate intake on different tissues and metabolic profiles. </w:t>
      </w:r>
      <w:r w:rsidRPr="005326FF">
        <w:rPr>
          <w:rFonts w:ascii="Times New Roman" w:hAnsi="Times New Roman" w:cs="Times New Roman"/>
          <w:i/>
          <w:iCs/>
          <w:sz w:val="22"/>
          <w:szCs w:val="22"/>
        </w:rPr>
        <w:t>Journal of Metabolic and Animal Sciences</w:t>
      </w:r>
      <w:r w:rsidRPr="005326FF">
        <w:rPr>
          <w:rFonts w:ascii="Times New Roman" w:hAnsi="Times New Roman" w:cs="Times New Roman"/>
          <w:sz w:val="22"/>
          <w:szCs w:val="22"/>
        </w:rPr>
        <w:t xml:space="preserve">, 26(3), 45-58. </w:t>
      </w:r>
    </w:p>
    <w:p w14:paraId="78E4C873" w14:textId="77777777" w:rsidR="00D2722A" w:rsidRPr="005326FF" w:rsidRDefault="00D2722A" w:rsidP="00107454">
      <w:pPr>
        <w:numPr>
          <w:ilvl w:val="0"/>
          <w:numId w:val="1"/>
        </w:numPr>
        <w:spacing w:after="0" w:line="360" w:lineRule="auto"/>
        <w:jc w:val="both"/>
        <w:rPr>
          <w:rFonts w:ascii="Times New Roman" w:hAnsi="Times New Roman" w:cs="Times New Roman"/>
          <w:sz w:val="22"/>
          <w:szCs w:val="22"/>
        </w:rPr>
      </w:pPr>
      <w:r w:rsidRPr="005326FF">
        <w:rPr>
          <w:rFonts w:ascii="Times New Roman" w:hAnsi="Times New Roman" w:cs="Times New Roman"/>
          <w:b/>
          <w:bCs/>
          <w:sz w:val="22"/>
          <w:szCs w:val="22"/>
        </w:rPr>
        <w:t xml:space="preserve">Eweka, A. O., &amp; </w:t>
      </w:r>
      <w:proofErr w:type="spellStart"/>
      <w:r w:rsidRPr="005326FF">
        <w:rPr>
          <w:rFonts w:ascii="Times New Roman" w:hAnsi="Times New Roman" w:cs="Times New Roman"/>
          <w:b/>
          <w:bCs/>
          <w:sz w:val="22"/>
          <w:szCs w:val="22"/>
        </w:rPr>
        <w:t>Om'Iniabohs</w:t>
      </w:r>
      <w:proofErr w:type="spellEnd"/>
      <w:r w:rsidRPr="005326FF">
        <w:rPr>
          <w:rFonts w:ascii="Times New Roman" w:hAnsi="Times New Roman" w:cs="Times New Roman"/>
          <w:b/>
          <w:bCs/>
          <w:sz w:val="22"/>
          <w:szCs w:val="22"/>
        </w:rPr>
        <w:t>, F. A. E. (2020).</w:t>
      </w:r>
      <w:r w:rsidRPr="005326FF">
        <w:rPr>
          <w:rFonts w:ascii="Times New Roman" w:hAnsi="Times New Roman" w:cs="Times New Roman"/>
          <w:sz w:val="22"/>
          <w:szCs w:val="22"/>
        </w:rPr>
        <w:t xml:space="preserve"> Histochemical Studies of the Effects of Monosodium Glutamate on the Liver of Adult Wistar Rats. </w:t>
      </w:r>
      <w:r w:rsidRPr="005326FF">
        <w:rPr>
          <w:rFonts w:ascii="Times New Roman" w:hAnsi="Times New Roman" w:cs="Times New Roman"/>
          <w:i/>
          <w:iCs/>
          <w:sz w:val="22"/>
          <w:szCs w:val="22"/>
        </w:rPr>
        <w:t>Internet Journal of Gastroenterology</w:t>
      </w:r>
      <w:r w:rsidRPr="005326FF">
        <w:rPr>
          <w:rFonts w:ascii="Times New Roman" w:hAnsi="Times New Roman" w:cs="Times New Roman"/>
          <w:sz w:val="22"/>
          <w:szCs w:val="22"/>
        </w:rPr>
        <w:t xml:space="preserve">, 12(2). </w:t>
      </w:r>
    </w:p>
    <w:p w14:paraId="7BEAD763" w14:textId="77777777" w:rsidR="00D2722A" w:rsidRPr="005326FF" w:rsidRDefault="00D2722A" w:rsidP="00107454">
      <w:pPr>
        <w:numPr>
          <w:ilvl w:val="0"/>
          <w:numId w:val="1"/>
        </w:numPr>
        <w:spacing w:after="0" w:line="360" w:lineRule="auto"/>
        <w:jc w:val="both"/>
        <w:rPr>
          <w:rFonts w:ascii="Times New Roman" w:hAnsi="Times New Roman" w:cs="Times New Roman"/>
          <w:sz w:val="22"/>
          <w:szCs w:val="22"/>
        </w:rPr>
      </w:pPr>
      <w:r w:rsidRPr="005326FF">
        <w:rPr>
          <w:rFonts w:ascii="Times New Roman" w:hAnsi="Times New Roman" w:cs="Times New Roman"/>
          <w:b/>
          <w:bCs/>
          <w:sz w:val="22"/>
          <w:szCs w:val="22"/>
        </w:rPr>
        <w:t>Niaz, K., et al. (2020).</w:t>
      </w:r>
      <w:r w:rsidRPr="005326FF">
        <w:rPr>
          <w:rFonts w:ascii="Times New Roman" w:hAnsi="Times New Roman" w:cs="Times New Roman"/>
          <w:sz w:val="22"/>
          <w:szCs w:val="22"/>
        </w:rPr>
        <w:t xml:space="preserve"> Monosodium glutamate induces memory and hepatic challenges in test models: Defensive role of herbal intervention. </w:t>
      </w:r>
      <w:r w:rsidRPr="005326FF">
        <w:rPr>
          <w:rFonts w:ascii="Times New Roman" w:hAnsi="Times New Roman" w:cs="Times New Roman"/>
          <w:i/>
          <w:iCs/>
          <w:sz w:val="22"/>
          <w:szCs w:val="22"/>
        </w:rPr>
        <w:t>PMC Pharmacology</w:t>
      </w:r>
      <w:r w:rsidRPr="005326FF">
        <w:rPr>
          <w:rFonts w:ascii="Times New Roman" w:hAnsi="Times New Roman" w:cs="Times New Roman"/>
          <w:sz w:val="22"/>
          <w:szCs w:val="22"/>
        </w:rPr>
        <w:t>, 11(4), 215-227.</w:t>
      </w:r>
    </w:p>
    <w:p w14:paraId="7B55FBA7" w14:textId="77777777" w:rsidR="00D2722A" w:rsidRPr="005326FF" w:rsidRDefault="00D2722A" w:rsidP="00107454">
      <w:pPr>
        <w:numPr>
          <w:ilvl w:val="0"/>
          <w:numId w:val="1"/>
        </w:numPr>
        <w:spacing w:after="0" w:line="360" w:lineRule="auto"/>
        <w:jc w:val="both"/>
        <w:rPr>
          <w:rFonts w:ascii="Times New Roman" w:hAnsi="Times New Roman" w:cs="Times New Roman"/>
          <w:sz w:val="22"/>
          <w:szCs w:val="22"/>
        </w:rPr>
      </w:pPr>
      <w:r w:rsidRPr="005326FF">
        <w:rPr>
          <w:rFonts w:ascii="Times New Roman" w:hAnsi="Times New Roman" w:cs="Times New Roman"/>
          <w:b/>
          <w:bCs/>
          <w:sz w:val="22"/>
          <w:szCs w:val="22"/>
        </w:rPr>
        <w:t>Perumalsamy, K., et al. (2024).</w:t>
      </w:r>
      <w:r w:rsidRPr="005326FF">
        <w:rPr>
          <w:rFonts w:ascii="Times New Roman" w:hAnsi="Times New Roman" w:cs="Times New Roman"/>
          <w:sz w:val="22"/>
          <w:szCs w:val="22"/>
        </w:rPr>
        <w:t xml:space="preserve"> Histopathological alterations in the vital organs of Indian major carp </w:t>
      </w:r>
      <w:r w:rsidRPr="005326FF">
        <w:rPr>
          <w:rFonts w:ascii="Times New Roman" w:hAnsi="Times New Roman" w:cs="Times New Roman"/>
          <w:i/>
          <w:iCs/>
          <w:sz w:val="22"/>
          <w:szCs w:val="22"/>
        </w:rPr>
        <w:t>Labeo rohita</w:t>
      </w:r>
      <w:r w:rsidRPr="005326FF">
        <w:rPr>
          <w:rFonts w:ascii="Times New Roman" w:hAnsi="Times New Roman" w:cs="Times New Roman"/>
          <w:sz w:val="22"/>
          <w:szCs w:val="22"/>
        </w:rPr>
        <w:t xml:space="preserve"> exposed to sub-lethal concentration of MSG. </w:t>
      </w:r>
      <w:r w:rsidRPr="005326FF">
        <w:rPr>
          <w:rFonts w:ascii="Times New Roman" w:hAnsi="Times New Roman" w:cs="Times New Roman"/>
          <w:i/>
          <w:iCs/>
          <w:sz w:val="22"/>
          <w:szCs w:val="22"/>
        </w:rPr>
        <w:t>Journal of Basic and Applied Zoology</w:t>
      </w:r>
      <w:r w:rsidRPr="005326FF">
        <w:rPr>
          <w:rFonts w:ascii="Times New Roman" w:hAnsi="Times New Roman" w:cs="Times New Roman"/>
          <w:sz w:val="22"/>
          <w:szCs w:val="22"/>
        </w:rPr>
        <w:t xml:space="preserve">, 85(10), 1-12. </w:t>
      </w:r>
    </w:p>
    <w:p w14:paraId="2CA43E44" w14:textId="77777777" w:rsidR="00D2722A" w:rsidRPr="005326FF" w:rsidRDefault="00D2722A" w:rsidP="00107454">
      <w:pPr>
        <w:numPr>
          <w:ilvl w:val="0"/>
          <w:numId w:val="1"/>
        </w:numPr>
        <w:spacing w:after="0" w:line="360" w:lineRule="auto"/>
        <w:jc w:val="both"/>
        <w:rPr>
          <w:rFonts w:ascii="Times New Roman" w:hAnsi="Times New Roman" w:cs="Times New Roman"/>
          <w:sz w:val="22"/>
          <w:szCs w:val="22"/>
        </w:rPr>
      </w:pPr>
      <w:r w:rsidRPr="005326FF">
        <w:rPr>
          <w:rFonts w:ascii="Times New Roman" w:hAnsi="Times New Roman" w:cs="Times New Roman"/>
          <w:b/>
          <w:bCs/>
          <w:sz w:val="22"/>
          <w:szCs w:val="22"/>
        </w:rPr>
        <w:t>Sharma, A. (2021).</w:t>
      </w:r>
      <w:r w:rsidRPr="005326FF">
        <w:rPr>
          <w:rFonts w:ascii="Times New Roman" w:hAnsi="Times New Roman" w:cs="Times New Roman"/>
          <w:sz w:val="22"/>
          <w:szCs w:val="22"/>
        </w:rPr>
        <w:t xml:space="preserve"> Changes in the plasma electrolytes of fresh water teleost fish </w:t>
      </w:r>
      <w:r w:rsidRPr="005326FF">
        <w:rPr>
          <w:rFonts w:ascii="Times New Roman" w:hAnsi="Times New Roman" w:cs="Times New Roman"/>
          <w:i/>
          <w:iCs/>
          <w:sz w:val="22"/>
          <w:szCs w:val="22"/>
        </w:rPr>
        <w:t>Labeo rohita</w:t>
      </w:r>
      <w:r w:rsidRPr="005326FF">
        <w:rPr>
          <w:rFonts w:ascii="Times New Roman" w:hAnsi="Times New Roman" w:cs="Times New Roman"/>
          <w:sz w:val="22"/>
          <w:szCs w:val="22"/>
        </w:rPr>
        <w:t xml:space="preserve"> exposed to sublethal concentration of monosodium glutamate. </w:t>
      </w:r>
      <w:r w:rsidRPr="005326FF">
        <w:rPr>
          <w:rFonts w:ascii="Times New Roman" w:hAnsi="Times New Roman" w:cs="Times New Roman"/>
          <w:i/>
          <w:iCs/>
          <w:sz w:val="22"/>
          <w:szCs w:val="22"/>
        </w:rPr>
        <w:t>ResearchGate Publication</w:t>
      </w:r>
      <w:r w:rsidRPr="005326FF">
        <w:rPr>
          <w:rFonts w:ascii="Times New Roman" w:hAnsi="Times New Roman" w:cs="Times New Roman"/>
          <w:sz w:val="22"/>
          <w:szCs w:val="22"/>
        </w:rPr>
        <w:t xml:space="preserve">, 352041990. </w:t>
      </w:r>
    </w:p>
    <w:p w14:paraId="33F56F46" w14:textId="77777777" w:rsidR="00D2722A" w:rsidRPr="005326FF" w:rsidRDefault="00D2722A" w:rsidP="00107454">
      <w:pPr>
        <w:numPr>
          <w:ilvl w:val="0"/>
          <w:numId w:val="1"/>
        </w:numPr>
        <w:spacing w:after="0" w:line="360" w:lineRule="auto"/>
        <w:jc w:val="both"/>
        <w:rPr>
          <w:rFonts w:ascii="Times New Roman" w:hAnsi="Times New Roman" w:cs="Times New Roman"/>
          <w:sz w:val="22"/>
          <w:szCs w:val="22"/>
        </w:rPr>
      </w:pPr>
      <w:r w:rsidRPr="005326FF">
        <w:rPr>
          <w:rFonts w:ascii="Times New Roman" w:hAnsi="Times New Roman" w:cs="Times New Roman"/>
          <w:b/>
          <w:bCs/>
          <w:sz w:val="22"/>
          <w:szCs w:val="22"/>
        </w:rPr>
        <w:t>Thomas, M., et al. (2023).</w:t>
      </w:r>
      <w:r w:rsidRPr="005326FF">
        <w:rPr>
          <w:rFonts w:ascii="Times New Roman" w:hAnsi="Times New Roman" w:cs="Times New Roman"/>
          <w:sz w:val="22"/>
          <w:szCs w:val="22"/>
        </w:rPr>
        <w:t xml:space="preserve"> The excitotoxic effect of monosodium glutamate on Zebra Fish (</w:t>
      </w:r>
      <w:r w:rsidRPr="005326FF">
        <w:rPr>
          <w:rFonts w:ascii="Times New Roman" w:hAnsi="Times New Roman" w:cs="Times New Roman"/>
          <w:i/>
          <w:iCs/>
          <w:sz w:val="22"/>
          <w:szCs w:val="22"/>
        </w:rPr>
        <w:t>Danio rerio</w:t>
      </w:r>
      <w:r w:rsidRPr="005326FF">
        <w:rPr>
          <w:rFonts w:ascii="Times New Roman" w:hAnsi="Times New Roman" w:cs="Times New Roman"/>
          <w:sz w:val="22"/>
          <w:szCs w:val="22"/>
        </w:rPr>
        <w:t xml:space="preserve">). </w:t>
      </w:r>
      <w:r w:rsidRPr="005326FF">
        <w:rPr>
          <w:rFonts w:ascii="Times New Roman" w:hAnsi="Times New Roman" w:cs="Times New Roman"/>
          <w:i/>
          <w:iCs/>
          <w:sz w:val="22"/>
          <w:szCs w:val="22"/>
        </w:rPr>
        <w:t>International Journal of Biosciences</w:t>
      </w:r>
      <w:r w:rsidRPr="005326FF">
        <w:rPr>
          <w:rFonts w:ascii="Times New Roman" w:hAnsi="Times New Roman" w:cs="Times New Roman"/>
          <w:sz w:val="22"/>
          <w:szCs w:val="22"/>
        </w:rPr>
        <w:t xml:space="preserve">, 23(6), 112-120. </w:t>
      </w:r>
    </w:p>
    <w:p w14:paraId="69BAAF96" w14:textId="77777777" w:rsidR="00D2722A" w:rsidRPr="005326FF" w:rsidRDefault="00D2722A" w:rsidP="00107454">
      <w:pPr>
        <w:numPr>
          <w:ilvl w:val="0"/>
          <w:numId w:val="1"/>
        </w:numPr>
        <w:spacing w:after="0" w:line="360" w:lineRule="auto"/>
        <w:jc w:val="both"/>
        <w:rPr>
          <w:rFonts w:ascii="Times New Roman" w:hAnsi="Times New Roman" w:cs="Times New Roman"/>
          <w:sz w:val="22"/>
          <w:szCs w:val="22"/>
        </w:rPr>
      </w:pPr>
      <w:r w:rsidRPr="005326FF">
        <w:rPr>
          <w:rFonts w:ascii="Times New Roman" w:hAnsi="Times New Roman" w:cs="Times New Roman"/>
          <w:b/>
          <w:bCs/>
          <w:sz w:val="22"/>
          <w:szCs w:val="22"/>
        </w:rPr>
        <w:t>Zanfirescu, A., et al. (2019).</w:t>
      </w:r>
      <w:r w:rsidRPr="005326FF">
        <w:rPr>
          <w:rFonts w:ascii="Times New Roman" w:hAnsi="Times New Roman" w:cs="Times New Roman"/>
          <w:sz w:val="22"/>
          <w:szCs w:val="22"/>
        </w:rPr>
        <w:t xml:space="preserve"> A review of the alleged health hazards of monosodium glutamate. </w:t>
      </w:r>
      <w:r w:rsidRPr="005326FF">
        <w:rPr>
          <w:rFonts w:ascii="Times New Roman" w:hAnsi="Times New Roman" w:cs="Times New Roman"/>
          <w:i/>
          <w:iCs/>
          <w:sz w:val="22"/>
          <w:szCs w:val="22"/>
        </w:rPr>
        <w:t>Comprehensive Reviews in Food Science and Food Safety</w:t>
      </w:r>
      <w:r w:rsidRPr="005326FF">
        <w:rPr>
          <w:rFonts w:ascii="Times New Roman" w:hAnsi="Times New Roman" w:cs="Times New Roman"/>
          <w:sz w:val="22"/>
          <w:szCs w:val="22"/>
        </w:rPr>
        <w:t xml:space="preserve">, 18(4), 1111-1134. </w:t>
      </w:r>
    </w:p>
    <w:sectPr w:rsidR="00D2722A" w:rsidRPr="005326FF" w:rsidSect="00EA1AE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FA20B" w14:textId="77777777" w:rsidR="00926AAC" w:rsidRDefault="00926AAC" w:rsidP="002D222A">
      <w:pPr>
        <w:spacing w:after="0" w:line="240" w:lineRule="auto"/>
      </w:pPr>
      <w:r>
        <w:separator/>
      </w:r>
    </w:p>
  </w:endnote>
  <w:endnote w:type="continuationSeparator" w:id="0">
    <w:p w14:paraId="7EF21334" w14:textId="77777777" w:rsidR="00926AAC" w:rsidRDefault="00926AAC" w:rsidP="002D2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90DAC" w14:textId="77777777" w:rsidR="00926AAC" w:rsidRDefault="00926AAC" w:rsidP="002D222A">
      <w:pPr>
        <w:spacing w:after="0" w:line="240" w:lineRule="auto"/>
      </w:pPr>
      <w:r>
        <w:separator/>
      </w:r>
    </w:p>
  </w:footnote>
  <w:footnote w:type="continuationSeparator" w:id="0">
    <w:p w14:paraId="0312DE37" w14:textId="77777777" w:rsidR="00926AAC" w:rsidRDefault="00926AAC" w:rsidP="002D22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042F0"/>
    <w:multiLevelType w:val="multilevel"/>
    <w:tmpl w:val="5E18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C81"/>
    <w:rsid w:val="00107454"/>
    <w:rsid w:val="002D222A"/>
    <w:rsid w:val="005326FF"/>
    <w:rsid w:val="00550C3F"/>
    <w:rsid w:val="005A4CC6"/>
    <w:rsid w:val="00710C81"/>
    <w:rsid w:val="00743F08"/>
    <w:rsid w:val="00926AAC"/>
    <w:rsid w:val="009E3724"/>
    <w:rsid w:val="00A357D3"/>
    <w:rsid w:val="00BC281A"/>
    <w:rsid w:val="00D2055B"/>
    <w:rsid w:val="00D2722A"/>
    <w:rsid w:val="00EA1A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B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0C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0C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0C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0C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0C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0C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C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C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C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C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0C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0C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0C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0C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0C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C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C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C81"/>
    <w:rPr>
      <w:rFonts w:eastAsiaTheme="majorEastAsia" w:cstheme="majorBidi"/>
      <w:color w:val="272727" w:themeColor="text1" w:themeTint="D8"/>
    </w:rPr>
  </w:style>
  <w:style w:type="paragraph" w:styleId="Title">
    <w:name w:val="Title"/>
    <w:basedOn w:val="Normal"/>
    <w:next w:val="Normal"/>
    <w:link w:val="TitleChar"/>
    <w:uiPriority w:val="10"/>
    <w:qFormat/>
    <w:rsid w:val="00710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C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C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C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C81"/>
    <w:pPr>
      <w:spacing w:before="160"/>
      <w:jc w:val="center"/>
    </w:pPr>
    <w:rPr>
      <w:i/>
      <w:iCs/>
      <w:color w:val="404040" w:themeColor="text1" w:themeTint="BF"/>
    </w:rPr>
  </w:style>
  <w:style w:type="character" w:customStyle="1" w:styleId="QuoteChar">
    <w:name w:val="Quote Char"/>
    <w:basedOn w:val="DefaultParagraphFont"/>
    <w:link w:val="Quote"/>
    <w:uiPriority w:val="29"/>
    <w:rsid w:val="00710C81"/>
    <w:rPr>
      <w:i/>
      <w:iCs/>
      <w:color w:val="404040" w:themeColor="text1" w:themeTint="BF"/>
    </w:rPr>
  </w:style>
  <w:style w:type="paragraph" w:styleId="ListParagraph">
    <w:name w:val="List Paragraph"/>
    <w:basedOn w:val="Normal"/>
    <w:uiPriority w:val="34"/>
    <w:qFormat/>
    <w:rsid w:val="00710C81"/>
    <w:pPr>
      <w:ind w:left="720"/>
      <w:contextualSpacing/>
    </w:pPr>
  </w:style>
  <w:style w:type="character" w:styleId="IntenseEmphasis">
    <w:name w:val="Intense Emphasis"/>
    <w:basedOn w:val="DefaultParagraphFont"/>
    <w:uiPriority w:val="21"/>
    <w:qFormat/>
    <w:rsid w:val="00710C81"/>
    <w:rPr>
      <w:i/>
      <w:iCs/>
      <w:color w:val="2F5496" w:themeColor="accent1" w:themeShade="BF"/>
    </w:rPr>
  </w:style>
  <w:style w:type="paragraph" w:styleId="IntenseQuote">
    <w:name w:val="Intense Quote"/>
    <w:basedOn w:val="Normal"/>
    <w:next w:val="Normal"/>
    <w:link w:val="IntenseQuoteChar"/>
    <w:uiPriority w:val="30"/>
    <w:qFormat/>
    <w:rsid w:val="00710C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0C81"/>
    <w:rPr>
      <w:i/>
      <w:iCs/>
      <w:color w:val="2F5496" w:themeColor="accent1" w:themeShade="BF"/>
    </w:rPr>
  </w:style>
  <w:style w:type="character" w:styleId="IntenseReference">
    <w:name w:val="Intense Reference"/>
    <w:basedOn w:val="DefaultParagraphFont"/>
    <w:uiPriority w:val="32"/>
    <w:qFormat/>
    <w:rsid w:val="00710C81"/>
    <w:rPr>
      <w:b/>
      <w:bCs/>
      <w:smallCaps/>
      <w:color w:val="2F5496" w:themeColor="accent1" w:themeShade="BF"/>
      <w:spacing w:val="5"/>
    </w:rPr>
  </w:style>
  <w:style w:type="character" w:styleId="Hyperlink">
    <w:name w:val="Hyperlink"/>
    <w:basedOn w:val="DefaultParagraphFont"/>
    <w:uiPriority w:val="99"/>
    <w:unhideWhenUsed/>
    <w:rsid w:val="00710C81"/>
    <w:rPr>
      <w:color w:val="0563C1" w:themeColor="hyperlink"/>
      <w:u w:val="single"/>
    </w:rPr>
  </w:style>
  <w:style w:type="character" w:customStyle="1" w:styleId="UnresolvedMention">
    <w:name w:val="Unresolved Mention"/>
    <w:basedOn w:val="DefaultParagraphFont"/>
    <w:uiPriority w:val="99"/>
    <w:semiHidden/>
    <w:unhideWhenUsed/>
    <w:rsid w:val="00710C81"/>
    <w:rPr>
      <w:color w:val="605E5C"/>
      <w:shd w:val="clear" w:color="auto" w:fill="E1DFDD"/>
    </w:rPr>
  </w:style>
  <w:style w:type="paragraph" w:styleId="Header">
    <w:name w:val="header"/>
    <w:basedOn w:val="Normal"/>
    <w:link w:val="HeaderChar"/>
    <w:uiPriority w:val="99"/>
    <w:unhideWhenUsed/>
    <w:rsid w:val="002D2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22A"/>
  </w:style>
  <w:style w:type="paragraph" w:styleId="Footer">
    <w:name w:val="footer"/>
    <w:basedOn w:val="Normal"/>
    <w:link w:val="FooterChar"/>
    <w:uiPriority w:val="99"/>
    <w:unhideWhenUsed/>
    <w:rsid w:val="002D2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22A"/>
  </w:style>
  <w:style w:type="table" w:styleId="TableGrid">
    <w:name w:val="Table Grid"/>
    <w:basedOn w:val="TableNormal"/>
    <w:uiPriority w:val="39"/>
    <w:rsid w:val="005A4C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0C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0C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0C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0C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0C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0C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C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C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C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C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0C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0C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0C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0C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0C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C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C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C81"/>
    <w:rPr>
      <w:rFonts w:eastAsiaTheme="majorEastAsia" w:cstheme="majorBidi"/>
      <w:color w:val="272727" w:themeColor="text1" w:themeTint="D8"/>
    </w:rPr>
  </w:style>
  <w:style w:type="paragraph" w:styleId="Title">
    <w:name w:val="Title"/>
    <w:basedOn w:val="Normal"/>
    <w:next w:val="Normal"/>
    <w:link w:val="TitleChar"/>
    <w:uiPriority w:val="10"/>
    <w:qFormat/>
    <w:rsid w:val="00710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C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C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C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C81"/>
    <w:pPr>
      <w:spacing w:before="160"/>
      <w:jc w:val="center"/>
    </w:pPr>
    <w:rPr>
      <w:i/>
      <w:iCs/>
      <w:color w:val="404040" w:themeColor="text1" w:themeTint="BF"/>
    </w:rPr>
  </w:style>
  <w:style w:type="character" w:customStyle="1" w:styleId="QuoteChar">
    <w:name w:val="Quote Char"/>
    <w:basedOn w:val="DefaultParagraphFont"/>
    <w:link w:val="Quote"/>
    <w:uiPriority w:val="29"/>
    <w:rsid w:val="00710C81"/>
    <w:rPr>
      <w:i/>
      <w:iCs/>
      <w:color w:val="404040" w:themeColor="text1" w:themeTint="BF"/>
    </w:rPr>
  </w:style>
  <w:style w:type="paragraph" w:styleId="ListParagraph">
    <w:name w:val="List Paragraph"/>
    <w:basedOn w:val="Normal"/>
    <w:uiPriority w:val="34"/>
    <w:qFormat/>
    <w:rsid w:val="00710C81"/>
    <w:pPr>
      <w:ind w:left="720"/>
      <w:contextualSpacing/>
    </w:pPr>
  </w:style>
  <w:style w:type="character" w:styleId="IntenseEmphasis">
    <w:name w:val="Intense Emphasis"/>
    <w:basedOn w:val="DefaultParagraphFont"/>
    <w:uiPriority w:val="21"/>
    <w:qFormat/>
    <w:rsid w:val="00710C81"/>
    <w:rPr>
      <w:i/>
      <w:iCs/>
      <w:color w:val="2F5496" w:themeColor="accent1" w:themeShade="BF"/>
    </w:rPr>
  </w:style>
  <w:style w:type="paragraph" w:styleId="IntenseQuote">
    <w:name w:val="Intense Quote"/>
    <w:basedOn w:val="Normal"/>
    <w:next w:val="Normal"/>
    <w:link w:val="IntenseQuoteChar"/>
    <w:uiPriority w:val="30"/>
    <w:qFormat/>
    <w:rsid w:val="00710C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0C81"/>
    <w:rPr>
      <w:i/>
      <w:iCs/>
      <w:color w:val="2F5496" w:themeColor="accent1" w:themeShade="BF"/>
    </w:rPr>
  </w:style>
  <w:style w:type="character" w:styleId="IntenseReference">
    <w:name w:val="Intense Reference"/>
    <w:basedOn w:val="DefaultParagraphFont"/>
    <w:uiPriority w:val="32"/>
    <w:qFormat/>
    <w:rsid w:val="00710C81"/>
    <w:rPr>
      <w:b/>
      <w:bCs/>
      <w:smallCaps/>
      <w:color w:val="2F5496" w:themeColor="accent1" w:themeShade="BF"/>
      <w:spacing w:val="5"/>
    </w:rPr>
  </w:style>
  <w:style w:type="character" w:styleId="Hyperlink">
    <w:name w:val="Hyperlink"/>
    <w:basedOn w:val="DefaultParagraphFont"/>
    <w:uiPriority w:val="99"/>
    <w:unhideWhenUsed/>
    <w:rsid w:val="00710C81"/>
    <w:rPr>
      <w:color w:val="0563C1" w:themeColor="hyperlink"/>
      <w:u w:val="single"/>
    </w:rPr>
  </w:style>
  <w:style w:type="character" w:customStyle="1" w:styleId="UnresolvedMention">
    <w:name w:val="Unresolved Mention"/>
    <w:basedOn w:val="DefaultParagraphFont"/>
    <w:uiPriority w:val="99"/>
    <w:semiHidden/>
    <w:unhideWhenUsed/>
    <w:rsid w:val="00710C81"/>
    <w:rPr>
      <w:color w:val="605E5C"/>
      <w:shd w:val="clear" w:color="auto" w:fill="E1DFDD"/>
    </w:rPr>
  </w:style>
  <w:style w:type="paragraph" w:styleId="Header">
    <w:name w:val="header"/>
    <w:basedOn w:val="Normal"/>
    <w:link w:val="HeaderChar"/>
    <w:uiPriority w:val="99"/>
    <w:unhideWhenUsed/>
    <w:rsid w:val="002D2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22A"/>
  </w:style>
  <w:style w:type="paragraph" w:styleId="Footer">
    <w:name w:val="footer"/>
    <w:basedOn w:val="Normal"/>
    <w:link w:val="FooterChar"/>
    <w:uiPriority w:val="99"/>
    <w:unhideWhenUsed/>
    <w:rsid w:val="002D2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22A"/>
  </w:style>
  <w:style w:type="table" w:styleId="TableGrid">
    <w:name w:val="Table Grid"/>
    <w:basedOn w:val="TableNormal"/>
    <w:uiPriority w:val="39"/>
    <w:rsid w:val="005A4C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100" b="1" i="0" u="none" strike="noStrike" baseline="0">
                <a:effectLst/>
                <a:latin typeface="Times New Roman" panose="02020603050405020304" pitchFamily="18" charset="0"/>
                <a:cs typeface="Times New Roman" panose="02020603050405020304" pitchFamily="18" charset="0"/>
              </a:rPr>
              <a:t> Liver Protein Content (mg/100 mg tissue) in </a:t>
            </a:r>
            <a:r>
              <a:rPr lang="en-IN" sz="1100" b="1" i="1" u="none" strike="noStrike" baseline="0">
                <a:effectLst/>
                <a:latin typeface="Times New Roman" panose="02020603050405020304" pitchFamily="18" charset="0"/>
                <a:cs typeface="Times New Roman" panose="02020603050405020304" pitchFamily="18" charset="0"/>
              </a:rPr>
              <a:t>Labeo rohita</a:t>
            </a:r>
            <a:r>
              <a:rPr lang="en-IN" sz="1100" b="1" i="0" u="none" strike="noStrike" baseline="0">
                <a:effectLst/>
                <a:latin typeface="Times New Roman" panose="02020603050405020304" pitchFamily="18" charset="0"/>
                <a:cs typeface="Times New Roman" panose="02020603050405020304" pitchFamily="18" charset="0"/>
              </a:rPr>
              <a:t> under 10 mg MSG Exposure for 15 days</a:t>
            </a:r>
            <a:endParaRPr lang="en-IN" sz="110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lineChart>
        <c:grouping val="standard"/>
        <c:varyColors val="0"/>
        <c:ser>
          <c:idx val="0"/>
          <c:order val="0"/>
          <c:tx>
            <c:strRef>
              <c:f>Sheet1!$G$7</c:f>
              <c:strCache>
                <c:ptCount val="1"/>
                <c:pt idx="0">
                  <c:v>Total Liver Protein (mg/g of wet tissue)</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strRef>
              <c:f>Sheet1!$F$8:$F$11</c:f>
              <c:strCache>
                <c:ptCount val="4"/>
                <c:pt idx="0">
                  <c:v>Control</c:v>
                </c:pt>
                <c:pt idx="1">
                  <c:v>5 Days</c:v>
                </c:pt>
                <c:pt idx="2">
                  <c:v>10 Days</c:v>
                </c:pt>
                <c:pt idx="3">
                  <c:v>15 Days</c:v>
                </c:pt>
              </c:strCache>
            </c:strRef>
          </c:cat>
          <c:val>
            <c:numRef>
              <c:f>Sheet1!$G$8:$G$11</c:f>
              <c:numCache>
                <c:formatCode>General</c:formatCode>
                <c:ptCount val="4"/>
                <c:pt idx="0">
                  <c:v>65.400000000000006</c:v>
                </c:pt>
                <c:pt idx="1">
                  <c:v>52.1</c:v>
                </c:pt>
                <c:pt idx="2">
                  <c:v>41.8</c:v>
                </c:pt>
                <c:pt idx="3">
                  <c:v>28.5</c:v>
                </c:pt>
              </c:numCache>
            </c:numRef>
          </c:val>
          <c:smooth val="0"/>
          <c:extLst xmlns:c16r2="http://schemas.microsoft.com/office/drawing/2015/06/chart">
            <c:ext xmlns:c16="http://schemas.microsoft.com/office/drawing/2014/chart" uri="{C3380CC4-5D6E-409C-BE32-E72D297353CC}">
              <c16:uniqueId val="{00000000-3428-4CFD-A4CA-53E78BB31FC7}"/>
            </c:ext>
          </c:extLst>
        </c:ser>
        <c:ser>
          <c:idx val="1"/>
          <c:order val="1"/>
          <c:tx>
            <c:strRef>
              <c:f>Sheet1!$H$7</c:f>
              <c:strCache>
                <c:ptCount val="1"/>
                <c:pt idx="0">
                  <c:v>Percentage Change (%)</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cat>
            <c:strRef>
              <c:f>Sheet1!$F$8:$F$11</c:f>
              <c:strCache>
                <c:ptCount val="4"/>
                <c:pt idx="0">
                  <c:v>Control</c:v>
                </c:pt>
                <c:pt idx="1">
                  <c:v>5 Days</c:v>
                </c:pt>
                <c:pt idx="2">
                  <c:v>10 Days</c:v>
                </c:pt>
                <c:pt idx="3">
                  <c:v>15 Days</c:v>
                </c:pt>
              </c:strCache>
            </c:strRef>
          </c:cat>
          <c:val>
            <c:numRef>
              <c:f>Sheet1!$H$8:$H$11</c:f>
              <c:numCache>
                <c:formatCode>0.00%</c:formatCode>
                <c:ptCount val="4"/>
                <c:pt idx="0" formatCode="General">
                  <c:v>0</c:v>
                </c:pt>
                <c:pt idx="1">
                  <c:v>0.2034</c:v>
                </c:pt>
                <c:pt idx="2">
                  <c:v>0.36080000000000001</c:v>
                </c:pt>
                <c:pt idx="3">
                  <c:v>0.56420000000000003</c:v>
                </c:pt>
              </c:numCache>
            </c:numRef>
          </c:val>
          <c:smooth val="0"/>
          <c:extLst xmlns:c16r2="http://schemas.microsoft.com/office/drawing/2015/06/chart">
            <c:ext xmlns:c16="http://schemas.microsoft.com/office/drawing/2014/chart" uri="{C3380CC4-5D6E-409C-BE32-E72D297353CC}">
              <c16:uniqueId val="{00000001-3428-4CFD-A4CA-53E78BB31FC7}"/>
            </c:ext>
          </c:extLst>
        </c:ser>
        <c:dLbls>
          <c:showLegendKey val="0"/>
          <c:showVal val="0"/>
          <c:showCatName val="0"/>
          <c:showSerName val="0"/>
          <c:showPercent val="0"/>
          <c:showBubbleSize val="0"/>
        </c:dLbls>
        <c:marker val="1"/>
        <c:smooth val="0"/>
        <c:axId val="150609408"/>
        <c:axId val="227051200"/>
      </c:lineChart>
      <c:catAx>
        <c:axId val="1506094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7051200"/>
        <c:crosses val="autoZero"/>
        <c:auto val="1"/>
        <c:lblAlgn val="ctr"/>
        <c:lblOffset val="100"/>
        <c:noMultiLvlLbl val="0"/>
      </c:catAx>
      <c:valAx>
        <c:axId val="227051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609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Onkar Kadam</dc:creator>
  <cp:keywords/>
  <dc:description/>
  <cp:lastModifiedBy>qwert</cp:lastModifiedBy>
  <cp:revision>2</cp:revision>
  <dcterms:created xsi:type="dcterms:W3CDTF">2026-05-12T08:20:00Z</dcterms:created>
  <dcterms:modified xsi:type="dcterms:W3CDTF">2026-05-15T08:16:00Z</dcterms:modified>
</cp:coreProperties>
</file>