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center"/>
        <w:rPr>
          <w:rFonts w:ascii="Times New Roman" w:eastAsia="Times New Roman" w:hAnsi="Times New Roman" w:cs="Times New Roman"/>
          <w:b/>
          <w:bCs/>
          <w:sz w:val="32"/>
          <w:szCs w:val="32"/>
        </w:rPr>
      </w:pPr>
      <w:r>
        <w:rPr>
          <w:rFonts w:ascii="Times New Roman" w:hAnsi="Times New Roman"/>
          <w:b/>
          <w:bCs/>
          <w:sz w:val="32"/>
          <w:szCs w:val="32"/>
        </w:rPr>
        <w:t>FomoOracle: A Proof-of-Concept Framework for Sentiment-Driven Prediction Markets on the Cardano Blockchain</w:t>
      </w:r>
    </w:p>
    <w:p w:rsidR="00E054D7" w:rsidRDefault="00E054D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center"/>
        <w:rPr>
          <w:rFonts w:ascii="Times New Roman" w:eastAsia="Times New Roman" w:hAnsi="Times New Roman" w:cs="Times New Roman"/>
          <w:sz w:val="36"/>
          <w:szCs w:val="36"/>
        </w:rPr>
      </w:pPr>
    </w:p>
    <w:p w:rsidR="00E054D7" w:rsidRDefault="00E054D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bookmarkStart w:id="0" w:name="_GoBack"/>
      <w:bookmarkEnd w:id="0"/>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lang w:val="de-DE"/>
        </w:rPr>
        <w:t>Abstract</w:t>
      </w:r>
      <w:r>
        <w:rPr>
          <w:rFonts w:ascii="Times New Roman" w:hAnsi="Times New Roman"/>
          <w:sz w:val="18"/>
          <w:szCs w:val="18"/>
        </w:rPr>
        <w:t>—</w:t>
      </w:r>
      <w:r>
        <w:rPr>
          <w:rFonts w:ascii="Times New Roman" w:hAnsi="Times New Roman"/>
          <w:sz w:val="18"/>
          <w:szCs w:val="18"/>
        </w:rPr>
        <w:t>This paper describes FomoOracle, a proof-of-concept (PoC) system built to test whether off-chain sentiment data can be reliably fed into smart contracts on the Cardano bloc</w:t>
      </w:r>
      <w:r>
        <w:rPr>
          <w:rFonts w:ascii="Times New Roman" w:hAnsi="Times New Roman"/>
          <w:sz w:val="18"/>
          <w:szCs w:val="18"/>
        </w:rPr>
        <w:t>kchain to power a prediction market. The main challenge tackled here is the oracle problem: smart contracts run in a closed, deterministic environment and have no built-in way of pulling in data from the outside world. To address this, a lightweight Python</w:t>
      </w:r>
      <w:r>
        <w:rPr>
          <w:rFonts w:ascii="Times New Roman" w:hAnsi="Times New Roman"/>
          <w:sz w:val="18"/>
          <w:szCs w:val="18"/>
        </w:rPr>
        <w:t>/FastAPI service was built that scrapes web search results, computes a rough Hype Score for any given asset, and passes this score to a set of on-chain contracts written in Aiken and Plutus V3. Six contract mechanisms were deployed and tested on the Cardan</w:t>
      </w:r>
      <w:r>
        <w:rPr>
          <w:rFonts w:ascii="Times New Roman" w:hAnsi="Times New Roman"/>
          <w:sz w:val="18"/>
          <w:szCs w:val="18"/>
        </w:rPr>
        <w:t xml:space="preserve">o Preview Testnet: an oracle validator, a constant-product AMM for prediction market liquidity, a Treasury Reserve enforcing 120% over-collateralization, an anti-arbitrage exposure guard, a crash-refund trigger, and a Shield NFT minting contract following </w:t>
      </w:r>
      <w:r>
        <w:rPr>
          <w:rFonts w:ascii="Times New Roman" w:hAnsi="Times New Roman"/>
          <w:sz w:val="18"/>
          <w:szCs w:val="18"/>
        </w:rPr>
        <w:t>the CIP-68 standard. The paper is transparent about what is and is not production-ready. The oracle scoring is heuristic, not a trained model, and the cryptographic signing is simulated. A detailed upgrade roadmap toward Graph Neural Networks, federated le</w:t>
      </w:r>
      <w:r>
        <w:rPr>
          <w:rFonts w:ascii="Times New Roman" w:hAnsi="Times New Roman"/>
          <w:sz w:val="18"/>
          <w:szCs w:val="18"/>
        </w:rPr>
        <w:t>arning, and reinforcement learning is proposed as future work. The results confirm that Cardano's eUTXO model is well-suited for this kind of parallel, verifiable contract execution. The system successfully processed 120 structured testnet transactions acr</w:t>
      </w:r>
      <w:r>
        <w:rPr>
          <w:rFonts w:ascii="Times New Roman" w:hAnsi="Times New Roman"/>
          <w:sz w:val="18"/>
          <w:szCs w:val="18"/>
        </w:rPr>
        <w:t>oss all contract mechanisms, with the off-chain oracle maintaining an average response latency of 340 ms.</w:t>
      </w:r>
    </w:p>
    <w:p w:rsidR="00E054D7" w:rsidRDefault="00E054D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18"/>
          <w:szCs w:val="18"/>
        </w:rPr>
        <w:t>Keywords</w:t>
      </w:r>
      <w:r>
        <w:rPr>
          <w:rFonts w:ascii="Times New Roman" w:hAnsi="Times New Roman"/>
          <w:sz w:val="18"/>
          <w:szCs w:val="18"/>
        </w:rPr>
        <w:t>—</w:t>
      </w:r>
      <w:r>
        <w:rPr>
          <w:rFonts w:ascii="Times New Roman" w:hAnsi="Times New Roman"/>
          <w:sz w:val="18"/>
          <w:szCs w:val="18"/>
        </w:rPr>
        <w:t xml:space="preserve">Blockchain Oracles, Smart Contracts, Cardano, eUTXO, Sentiment Analysis, Proof of Concept, Prediction Markets, DeFi, NFT Insurance, Hype </w:t>
      </w:r>
      <w:r>
        <w:rPr>
          <w:rFonts w:ascii="Times New Roman" w:hAnsi="Times New Roman"/>
          <w:sz w:val="18"/>
          <w:szCs w:val="18"/>
        </w:rPr>
        <w:t>Score, Aiken, Plutus V3.</w:t>
      </w:r>
    </w:p>
    <w:p w:rsidR="00E054D7" w:rsidRDefault="00E054D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sectPr w:rsidR="00E054D7">
          <w:headerReference w:type="default" r:id="rId7"/>
          <w:footerReference w:type="default" r:id="rId8"/>
          <w:pgSz w:w="11900" w:h="16840"/>
          <w:pgMar w:top="1077" w:right="811" w:bottom="2438" w:left="811" w:header="708" w:footer="708" w:gutter="0"/>
          <w:cols w:space="720"/>
        </w:sectPr>
      </w:pP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b/>
          <w:bCs/>
          <w:sz w:val="24"/>
          <w:szCs w:val="24"/>
        </w:rPr>
      </w:pPr>
      <w:r>
        <w:rPr>
          <w:rFonts w:ascii="Times New Roman" w:hAnsi="Times New Roman"/>
          <w:b/>
          <w:bCs/>
          <w:smallCaps/>
          <w:sz w:val="24"/>
          <w:szCs w:val="24"/>
          <w:lang w:val="fr-FR"/>
        </w:rPr>
        <w:lastRenderedPageBreak/>
        <w:t>I. Introduction</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Blockchain-based smart contracts have attracted a great deal of attention in recent years because they allow agreements to be</w:t>
      </w:r>
      <w:r>
        <w:rPr>
          <w:rFonts w:ascii="Times New Roman" w:hAnsi="Times New Roman"/>
          <w:sz w:val="20"/>
          <w:szCs w:val="20"/>
        </w:rPr>
        <w:t xml:space="preserve"> executed automatically without any central authority [1]. They are used in areas ranging from lending protocols to supply chain tracking to decentralised insurance. However, one limitation that comes up almost immediately in practice is that smart contrac</w:t>
      </w:r>
      <w:r>
        <w:rPr>
          <w:rFonts w:ascii="Times New Roman" w:hAnsi="Times New Roman"/>
          <w:sz w:val="20"/>
          <w:szCs w:val="20"/>
        </w:rPr>
        <w:t>ts cannot read data from the internet on their own. Since blockchain nodes must all arrive at the same result when replaying a transaction, any external data has to be injected through a trusted intermediary known as an oracle [9].</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Most oracle designs used</w:t>
      </w:r>
      <w:r>
        <w:rPr>
          <w:rFonts w:ascii="Times New Roman" w:hAnsi="Times New Roman"/>
          <w:sz w:val="20"/>
          <w:szCs w:val="20"/>
        </w:rPr>
        <w:t xml:space="preserve"> today either rely on a single trusted node, which is a single point of failure, or on networks of nodes that aggregate values using fixed rules [1]. Neither approach handles situations where the relevant signal is not a clean price feed but something nois</w:t>
      </w:r>
      <w:r>
        <w:rPr>
          <w:rFonts w:ascii="Times New Roman" w:hAnsi="Times New Roman"/>
          <w:sz w:val="20"/>
          <w:szCs w:val="20"/>
        </w:rPr>
        <w:t>ier, like social media sentiment or trending web content. This matters especially for prediction markets, where participants are essentially betting on whether an asset's future price will match current market narrative.</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This project, called FomoOracle, gr</w:t>
      </w:r>
      <w:r>
        <w:rPr>
          <w:rFonts w:ascii="Times New Roman" w:hAnsi="Times New Roman"/>
          <w:sz w:val="20"/>
          <w:szCs w:val="20"/>
        </w:rPr>
        <w:t>ew out of trying to answer a fairly specific question: can a sentiment signal generated by an off-chain scraper be passed securely into a Cardano smart contract and used to trigger financially meaningful events like insurance payouts or liquidity adjustmen</w:t>
      </w:r>
      <w:r>
        <w:rPr>
          <w:rFonts w:ascii="Times New Roman" w:hAnsi="Times New Roman"/>
          <w:sz w:val="20"/>
          <w:szCs w:val="20"/>
        </w:rPr>
        <w:t>ts? Rather than building a full production system straight away, a working PoC was developed that validates the integration pipeline and leaves the AI components as clearly scoped future work.</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The Cardano blockchain was chosen as the deployment target beca</w:t>
      </w:r>
      <w:r>
        <w:rPr>
          <w:rFonts w:ascii="Times New Roman" w:hAnsi="Times New Roman"/>
          <w:sz w:val="20"/>
          <w:szCs w:val="20"/>
        </w:rPr>
        <w:t xml:space="preserve">use of its eUTXO model, which enables multiple smart contracts to execute in parallel without competing for shared state [10][12]. This is a meaningful advantage for prediction markets, where many users may submit positions at the same </w:t>
      </w:r>
      <w:r>
        <w:rPr>
          <w:rFonts w:ascii="Times New Roman" w:hAnsi="Times New Roman"/>
          <w:sz w:val="20"/>
          <w:szCs w:val="20"/>
        </w:rPr>
        <w:lastRenderedPageBreak/>
        <w:t>time. The on-chain c</w:t>
      </w:r>
      <w:r>
        <w:rPr>
          <w:rFonts w:ascii="Times New Roman" w:hAnsi="Times New Roman"/>
          <w:sz w:val="20"/>
          <w:szCs w:val="20"/>
        </w:rPr>
        <w:t>ontracts were written in Aiken, a statically typed language purpose-built for Cardano, and tested on the Preview Testnet. The following contributions are made in this work:</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  </w:t>
      </w:r>
      <w:r>
        <w:rPr>
          <w:rFonts w:ascii="Times New Roman" w:hAnsi="Times New Roman"/>
          <w:sz w:val="20"/>
          <w:szCs w:val="20"/>
        </w:rPr>
        <w:t xml:space="preserve">An end-to-end integration between a Python/FastAPI oracle service and six Aiken </w:t>
      </w:r>
      <w:r>
        <w:rPr>
          <w:rFonts w:ascii="Times New Roman" w:hAnsi="Times New Roman"/>
          <w:sz w:val="20"/>
          <w:szCs w:val="20"/>
        </w:rPr>
        <w:t>smart contracts, verified on the Cardano Preview Testnet.</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  </w:t>
      </w:r>
      <w:r>
        <w:rPr>
          <w:rFonts w:ascii="Times New Roman" w:hAnsi="Times New Roman"/>
          <w:sz w:val="20"/>
          <w:szCs w:val="20"/>
        </w:rPr>
        <w:t>A heuristic Hype Score pipeline using web search result volume as a proxy for asset sentiment, with a clearly stated upgrade path to trained NLP models.</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  </w:t>
      </w:r>
      <w:r>
        <w:rPr>
          <w:rFonts w:ascii="Times New Roman" w:hAnsi="Times New Roman"/>
          <w:sz w:val="20"/>
          <w:szCs w:val="20"/>
        </w:rPr>
        <w:t>A Treasury Reserve contract enforcing 1</w:t>
      </w:r>
      <w:r>
        <w:rPr>
          <w:rFonts w:ascii="Times New Roman" w:hAnsi="Times New Roman"/>
          <w:sz w:val="20"/>
          <w:szCs w:val="20"/>
        </w:rPr>
        <w:t>20% over-collateralization, an anti-arbitrage wallet exposure guard, and an autonomous crash-refund mechanism.</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  </w:t>
      </w:r>
      <w:r>
        <w:rPr>
          <w:rFonts w:ascii="Times New Roman" w:hAnsi="Times New Roman"/>
          <w:sz w:val="20"/>
          <w:szCs w:val="20"/>
        </w:rPr>
        <w:t>A Shield NFT minting contract following the CIP-68 standard, enabling on-chain metadata updates without reissuance.</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  </w:t>
      </w:r>
      <w:r>
        <w:rPr>
          <w:rFonts w:ascii="Times New Roman" w:hAnsi="Times New Roman"/>
          <w:sz w:val="20"/>
          <w:szCs w:val="20"/>
        </w:rPr>
        <w:t>A detailed proposed upg</w:t>
      </w:r>
      <w:r>
        <w:rPr>
          <w:rFonts w:ascii="Times New Roman" w:hAnsi="Times New Roman"/>
          <w:sz w:val="20"/>
          <w:szCs w:val="20"/>
        </w:rPr>
        <w:t>rade roadmap covering GNN trust scoring, federated FinBERT training, auto-encoder anomaly screening, and DQN-based oracle aggregation.</w:t>
      </w:r>
    </w:p>
    <w:p w:rsidR="00E054D7" w:rsidRDefault="00E054D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b/>
          <w:bCs/>
          <w:sz w:val="24"/>
          <w:szCs w:val="24"/>
        </w:rPr>
      </w:pPr>
      <w:r>
        <w:rPr>
          <w:rFonts w:ascii="Times New Roman" w:hAnsi="Times New Roman"/>
          <w:b/>
          <w:bCs/>
          <w:smallCaps/>
          <w:sz w:val="24"/>
          <w:szCs w:val="24"/>
        </w:rPr>
        <w:t>II. Literature Review</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A. AI-Driven Oracle Systems</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The most directly relevant prior work is by Rohan and Ananda Babu [1],</w:t>
      </w:r>
      <w:r>
        <w:rPr>
          <w:rFonts w:ascii="Times New Roman" w:hAnsi="Times New Roman"/>
          <w:sz w:val="20"/>
          <w:szCs w:val="20"/>
        </w:rPr>
        <w:t xml:space="preserve"> who propose a multi-layer AI oracle that chains together GNN trust scoring, federated learning, transformer NLP, auto encoder anomaly detection, and RL aggregation. Their system achieves 92% aggregation accuracy and an AUC of 0.95. What makes their archit</w:t>
      </w:r>
      <w:r>
        <w:rPr>
          <w:rFonts w:ascii="Times New Roman" w:hAnsi="Times New Roman"/>
          <w:sz w:val="20"/>
          <w:szCs w:val="20"/>
        </w:rPr>
        <w:t>ecture useful as a reference here is the modular design: each AI component is a self-contained stage that can, in principle, be swapped in or out independently. FomoOracle adopts the same philosophy, except that in the current PoC all those AI stages are r</w:t>
      </w:r>
      <w:r>
        <w:rPr>
          <w:rFonts w:ascii="Times New Roman" w:hAnsi="Times New Roman"/>
          <w:sz w:val="20"/>
          <w:szCs w:val="20"/>
        </w:rPr>
        <w:t xml:space="preserve">eplaced </w:t>
      </w:r>
      <w:r>
        <w:rPr>
          <w:rFonts w:ascii="Times New Roman" w:hAnsi="Times New Roman"/>
          <w:sz w:val="20"/>
          <w:szCs w:val="20"/>
        </w:rPr>
        <w:lastRenderedPageBreak/>
        <w:t>by a single heuristic. The oracle manipulation research of Ai OracleX [7] confirms that oracle integrity is an active attack surface, which motivates the anti-arbitrage and reserve ratio mechanisms built into the on-chain contracts.</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B. Sentiment An</w:t>
      </w:r>
      <w:r>
        <w:rPr>
          <w:rFonts w:ascii="Times New Roman" w:hAnsi="Times New Roman"/>
          <w:b/>
          <w:bCs/>
          <w:i/>
          <w:iCs/>
          <w:sz w:val="20"/>
          <w:szCs w:val="20"/>
        </w:rPr>
        <w:t>alysis and Market Prediction</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A growing body of work shows that sentiment signals extracted from web data can improve financial forecasting. Studies using LLMs for market prediction [2] and machine learning for stock trend classification [3] both report tha</w:t>
      </w:r>
      <w:r>
        <w:rPr>
          <w:rFonts w:ascii="Times New Roman" w:hAnsi="Times New Roman"/>
          <w:sz w:val="20"/>
          <w:szCs w:val="20"/>
        </w:rPr>
        <w:t>t sentiment features outperform price-only baselines in fast-moving markets. This gives some theoretical grounding to the Hype Score idea: even a rough measure of web activity captures something real about market attention. Work on LSTM sentiment models [4</w:t>
      </w:r>
      <w:r>
        <w:rPr>
          <w:rFonts w:ascii="Times New Roman" w:hAnsi="Times New Roman"/>
          <w:sz w:val="20"/>
          <w:szCs w:val="20"/>
        </w:rPr>
        <w:t>] and deep learning for emerging market prediction [5] sketches the specific upgrade path from the current heuristic to a trained classifier, which is described in Section VI.</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lang w:val="it-IT"/>
        </w:rPr>
        <w:t>C. eUTXO Model and Cardano</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Selecting Cardano as the deployment platform was not </w:t>
      </w:r>
      <w:r>
        <w:rPr>
          <w:rFonts w:ascii="Times New Roman" w:hAnsi="Times New Roman"/>
          <w:sz w:val="20"/>
          <w:szCs w:val="20"/>
        </w:rPr>
        <w:t>arbitrary. Research on distributed state management in eUTXO systems [10] shows that the deterministic, parallel UTxO consumption model avoids the race conditions and double-spend risks that Ethereum's account model is vulnerable to. This matters for finan</w:t>
      </w:r>
      <w:r>
        <w:rPr>
          <w:rFonts w:ascii="Times New Roman" w:hAnsi="Times New Roman"/>
          <w:sz w:val="20"/>
          <w:szCs w:val="20"/>
        </w:rPr>
        <w:t>cial contracts where concurrent users must not interfere with each other's transactions. A comparative study across blockchain platforms [12] further confirms Cardano's suitability for DApps that require formal verification. The AMM pricing model used in t</w:t>
      </w:r>
      <w:r>
        <w:rPr>
          <w:rFonts w:ascii="Times New Roman" w:hAnsi="Times New Roman"/>
          <w:sz w:val="20"/>
          <w:szCs w:val="20"/>
        </w:rPr>
        <w:t>his project draws on order-book AMM research [13].</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D. Decentralised Insurance Mechanisms</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The Shield NFT and Treasury Reserve were informed by blockchain insurance research. Work on insurance smart contracts [14] establishes how premium collection, risk poo</w:t>
      </w:r>
      <w:r>
        <w:rPr>
          <w:rFonts w:ascii="Times New Roman" w:hAnsi="Times New Roman"/>
          <w:sz w:val="20"/>
          <w:szCs w:val="20"/>
        </w:rPr>
        <w:t>ling, and claim settlement can all be encoded in contract logic without a human insurer in the loop. A platform-agnostic framework for IoT-linked insurance [15] shows that autonomous claim settlement triggered by verified sensor data is technically feasibl</w:t>
      </w:r>
      <w:r>
        <w:rPr>
          <w:rFonts w:ascii="Times New Roman" w:hAnsi="Times New Roman"/>
          <w:sz w:val="20"/>
          <w:szCs w:val="20"/>
        </w:rPr>
        <w:t>e, which is analogous to how FomoOracle's crash-refund contract responds to oracle-detected drops in the Hype Score.</w:t>
      </w:r>
    </w:p>
    <w:p w:rsidR="00E054D7" w:rsidRDefault="00E054D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b/>
          <w:bCs/>
          <w:sz w:val="24"/>
          <w:szCs w:val="24"/>
        </w:rPr>
      </w:pPr>
      <w:r>
        <w:rPr>
          <w:rFonts w:ascii="Times New Roman" w:hAnsi="Times New Roman"/>
          <w:b/>
          <w:bCs/>
          <w:smallCaps/>
          <w:sz w:val="24"/>
          <w:szCs w:val="24"/>
        </w:rPr>
        <w:t>III. System Architecture</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A. Design Philosophy</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The guiding principle behind FomoOracle was to get the integration layer right first and lea</w:t>
      </w:r>
      <w:r>
        <w:rPr>
          <w:rFonts w:ascii="Times New Roman" w:hAnsi="Times New Roman"/>
          <w:sz w:val="20"/>
          <w:szCs w:val="20"/>
        </w:rPr>
        <w:t>ve AI complexity for later. A lot of blockchain oracle research jumps straight to sophisticated machine learning without first verifying that the data pipeline from off-chain source to on-chain contract actually works reliably. This project inverts that or</w:t>
      </w:r>
      <w:r>
        <w:rPr>
          <w:rFonts w:ascii="Times New Roman" w:hAnsi="Times New Roman"/>
          <w:sz w:val="20"/>
          <w:szCs w:val="20"/>
        </w:rPr>
        <w:t>der: the oracle engine is intentionally kept simple so that all effort can go into validating the contract logic, the API contracts, and the UTxO datum schemas. Once those are confirmed to work, swapping in a trained model is a well-defined engineering tas</w:t>
      </w:r>
      <w:r>
        <w:rPr>
          <w:rFonts w:ascii="Times New Roman" w:hAnsi="Times New Roman"/>
          <w:sz w:val="20"/>
          <w:szCs w:val="20"/>
        </w:rPr>
        <w:t>k rather than an unknown.</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lang w:val="de-DE"/>
        </w:rPr>
        <w:t>B. Overall System Structure</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There are two main tiers. The off-chain tier is a Python/FastAPI service that scrapes search results, computes a Hype Score, and exposes a REST endpoint. The on-chain tier is a set of Aiken contracts de</w:t>
      </w:r>
      <w:r>
        <w:rPr>
          <w:rFonts w:ascii="Times New Roman" w:hAnsi="Times New Roman"/>
          <w:sz w:val="20"/>
          <w:szCs w:val="20"/>
        </w:rPr>
        <w:t>ployed on Cardano that handle value locking, trade routing, insurance management, and oracle ingestion. A React dApp fronts both tiers, using the Lucid Evolution TypeScript library to construct and submit Cardano transactions. Figure 1 shows the complete t</w:t>
      </w:r>
      <w:r>
        <w:rPr>
          <w:rFonts w:ascii="Times New Roman" w:hAnsi="Times New Roman"/>
          <w:sz w:val="20"/>
          <w:szCs w:val="20"/>
        </w:rPr>
        <w:t>hree-tier architecture, and Table I lists every component with its implementation status.</w:t>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eastAsia="Times New Roman" w:hAnsi="Times New Roman" w:cs="Times New Roman"/>
          <w:noProof/>
          <w:lang w:val="en-IN"/>
        </w:rPr>
        <w:drawing>
          <wp:inline distT="0" distB="0" distL="0" distR="0">
            <wp:extent cx="3190875" cy="2305050"/>
            <wp:effectExtent l="0" t="0" r="0" b="0"/>
            <wp:docPr id="1073741825" name="officeArt object" descr="88cf8889554f2ff45371593719dee5a739dba523.png"/>
            <wp:cNvGraphicFramePr/>
            <a:graphic xmlns:a="http://schemas.openxmlformats.org/drawingml/2006/main">
              <a:graphicData uri="http://schemas.openxmlformats.org/drawingml/2006/picture">
                <pic:pic xmlns:pic="http://schemas.openxmlformats.org/drawingml/2006/picture">
                  <pic:nvPicPr>
                    <pic:cNvPr id="1073741825" name="88cf8889554f2ff45371593719dee5a739dba523.png" descr="88cf8889554f2ff45371593719dee5a739dba523.png"/>
                    <pic:cNvPicPr>
                      <a:picLocks noChangeAspect="1"/>
                    </pic:cNvPicPr>
                  </pic:nvPicPr>
                  <pic:blipFill>
                    <a:blip r:embed="rId9">
                      <a:extLst/>
                    </a:blip>
                    <a:stretch>
                      <a:fillRect/>
                    </a:stretch>
                  </pic:blipFill>
                  <pic:spPr>
                    <a:xfrm>
                      <a:off x="0" y="0"/>
                      <a:ext cx="3190875" cy="2305050"/>
                    </a:xfrm>
                    <a:prstGeom prst="rect">
                      <a:avLst/>
                    </a:prstGeom>
                    <a:ln w="12700" cap="flat">
                      <a:noFill/>
                      <a:miter lim="400000"/>
                    </a:ln>
                    <a:effectLst/>
                  </pic:spPr>
                </pic:pic>
              </a:graphicData>
            </a:graphic>
          </wp:inline>
        </w:drawing>
      </w: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center"/>
        <w:rPr>
          <w:rFonts w:ascii="Times New Roman" w:eastAsia="Times New Roman" w:hAnsi="Times New Roman" w:cs="Times New Roman"/>
        </w:rPr>
      </w:pPr>
      <w:r>
        <w:rPr>
          <w:rFonts w:ascii="Times New Roman" w:hAnsi="Times New Roman"/>
          <w:i/>
          <w:iCs/>
          <w:sz w:val="16"/>
          <w:szCs w:val="16"/>
        </w:rPr>
        <w:t>Fig. 1.  FomoOracle Three-Tier System Architecture.</w:t>
      </w:r>
    </w:p>
    <w:p w:rsidR="00E054D7" w:rsidRDefault="00E054D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smallCaps/>
          <w:sz w:val="16"/>
          <w:szCs w:val="16"/>
        </w:rPr>
        <w:t>Table I: FomoOracle System Component Overview</w:t>
      </w:r>
    </w:p>
    <w:tbl>
      <w:tblPr>
        <w:tblW w:w="5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00"/>
        <w:gridCol w:w="1700"/>
        <w:gridCol w:w="1100"/>
      </w:tblGrid>
      <w:tr w:rsidR="00E054D7">
        <w:trPr>
          <w:trHeight w:val="183"/>
        </w:trPr>
        <w:tc>
          <w:tcPr>
            <w:tcW w:w="22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b/>
                <w:bCs/>
                <w:smallCaps/>
                <w:sz w:val="16"/>
                <w:szCs w:val="16"/>
                <w:u w:color="000000"/>
              </w:rPr>
              <w:t>Component</w:t>
            </w:r>
          </w:p>
        </w:tc>
        <w:tc>
          <w:tcPr>
            <w:tcW w:w="17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E054D7" w:rsidRDefault="007440A4">
            <w:pPr>
              <w:pStyle w:val="Default"/>
              <w:tabs>
                <w:tab w:val="left" w:pos="720"/>
                <w:tab w:val="left" w:pos="1440"/>
              </w:tabs>
              <w:jc w:val="center"/>
            </w:pPr>
            <w:r>
              <w:rPr>
                <w:rFonts w:ascii="Times New Roman" w:hAnsi="Times New Roman"/>
                <w:b/>
                <w:bCs/>
                <w:smallCaps/>
                <w:sz w:val="16"/>
                <w:szCs w:val="16"/>
                <w:u w:color="000000"/>
              </w:rPr>
              <w:t>Technology</w:t>
            </w:r>
          </w:p>
        </w:tc>
        <w:tc>
          <w:tcPr>
            <w:tcW w:w="11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b/>
                <w:bCs/>
                <w:smallCaps/>
                <w:sz w:val="16"/>
                <w:szCs w:val="16"/>
                <w:u w:color="000000"/>
                <w:lang w:val="nl-NL"/>
              </w:rPr>
              <w:t>Status</w:t>
            </w:r>
          </w:p>
        </w:tc>
      </w:tr>
      <w:tr w:rsidR="00E054D7">
        <w:trPr>
          <w:trHeight w:val="183"/>
        </w:trPr>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Off-chain Oracle Engine</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s>
              <w:jc w:val="center"/>
            </w:pPr>
            <w:r>
              <w:rPr>
                <w:rFonts w:ascii="Times New Roman" w:hAnsi="Times New Roman"/>
                <w:sz w:val="16"/>
                <w:szCs w:val="16"/>
                <w:u w:color="000000"/>
                <w:lang w:val="en-US"/>
              </w:rPr>
              <w:t xml:space="preserve">Python / </w:t>
            </w:r>
            <w:r>
              <w:rPr>
                <w:rFonts w:ascii="Times New Roman" w:hAnsi="Times New Roman"/>
                <w:sz w:val="16"/>
                <w:szCs w:val="16"/>
                <w:u w:color="000000"/>
                <w:lang w:val="en-US"/>
              </w:rPr>
              <w:t>FastAPI</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Implemented</w:t>
            </w:r>
          </w:p>
        </w:tc>
      </w:tr>
      <w:tr w:rsidR="00E054D7">
        <w:trPr>
          <w:trHeight w:val="183"/>
        </w:trPr>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de-DE"/>
              </w:rPr>
              <w:t>Heuristic Hype Score</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s>
              <w:jc w:val="center"/>
            </w:pPr>
            <w:r>
              <w:rPr>
                <w:rFonts w:ascii="Times New Roman" w:hAnsi="Times New Roman"/>
                <w:sz w:val="16"/>
                <w:szCs w:val="16"/>
                <w:u w:color="000000"/>
                <w:lang w:val="en-US"/>
              </w:rPr>
              <w:t>Python (ai_engine.py)</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Implemented</w:t>
            </w:r>
          </w:p>
        </w:tc>
      </w:tr>
      <w:tr w:rsidR="00E054D7">
        <w:trPr>
          <w:trHeight w:val="398"/>
        </w:trPr>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Cryptographic Handshake</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s>
              <w:jc w:val="center"/>
            </w:pPr>
            <w:r>
              <w:rPr>
                <w:rFonts w:ascii="Times New Roman" w:hAnsi="Times New Roman"/>
                <w:sz w:val="16"/>
                <w:szCs w:val="16"/>
                <w:u w:color="000000"/>
                <w:lang w:val="en-US"/>
              </w:rPr>
              <w:t>secrets.token_hex (simulated)</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Simulated</w:t>
            </w:r>
          </w:p>
        </w:tc>
      </w:tr>
      <w:tr w:rsidR="00E054D7">
        <w:trPr>
          <w:trHeight w:val="398"/>
        </w:trPr>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lastRenderedPageBreak/>
              <w:t>Oracle Validator Contract</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s>
              <w:jc w:val="center"/>
            </w:pPr>
            <w:r>
              <w:rPr>
                <w:rFonts w:ascii="Times New Roman" w:hAnsi="Times New Roman"/>
                <w:sz w:val="16"/>
                <w:szCs w:val="16"/>
                <w:u w:color="000000"/>
              </w:rPr>
              <w:t>Aiken</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Testnet Verified</w:t>
            </w:r>
          </w:p>
        </w:tc>
      </w:tr>
      <w:tr w:rsidR="00E054D7">
        <w:trPr>
          <w:trHeight w:val="398"/>
        </w:trPr>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Treasury Reserve (120%)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s>
              <w:jc w:val="center"/>
            </w:pPr>
            <w:r>
              <w:rPr>
                <w:rFonts w:ascii="Times New Roman" w:hAnsi="Times New Roman"/>
                <w:sz w:val="16"/>
                <w:szCs w:val="16"/>
                <w:u w:color="000000"/>
              </w:rPr>
              <w:t>Aiken</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Testnet Verified</w:t>
            </w:r>
          </w:p>
        </w:tc>
      </w:tr>
      <w:tr w:rsidR="00E054D7">
        <w:trPr>
          <w:trHeight w:val="398"/>
        </w:trPr>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de-DE"/>
              </w:rPr>
              <w:t xml:space="preserve">Anti-Arbitrage </w:t>
            </w:r>
            <w:r>
              <w:rPr>
                <w:rFonts w:ascii="Times New Roman" w:hAnsi="Times New Roman"/>
                <w:sz w:val="16"/>
                <w:szCs w:val="16"/>
                <w:u w:color="000000"/>
                <w:lang w:val="de-DE"/>
              </w:rPr>
              <w:t>Guard</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s>
              <w:jc w:val="center"/>
            </w:pPr>
            <w:r>
              <w:rPr>
                <w:rFonts w:ascii="Times New Roman" w:hAnsi="Times New Roman"/>
                <w:sz w:val="16"/>
                <w:szCs w:val="16"/>
                <w:u w:color="000000"/>
              </w:rPr>
              <w:t>Aiken</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Testnet Verified</w:t>
            </w:r>
          </w:p>
        </w:tc>
      </w:tr>
      <w:tr w:rsidR="00E054D7">
        <w:trPr>
          <w:trHeight w:val="398"/>
        </w:trPr>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de-DE"/>
              </w:rPr>
              <w:t>Crash-Refund Trigger</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s>
              <w:jc w:val="center"/>
            </w:pPr>
            <w:r>
              <w:rPr>
                <w:rFonts w:ascii="Times New Roman" w:hAnsi="Times New Roman"/>
                <w:sz w:val="16"/>
                <w:szCs w:val="16"/>
                <w:u w:color="000000"/>
              </w:rPr>
              <w:t>Aiken</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Testnet Verified</w:t>
            </w:r>
          </w:p>
        </w:tc>
      </w:tr>
      <w:tr w:rsidR="00E054D7">
        <w:trPr>
          <w:trHeight w:val="398"/>
        </w:trPr>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nl-NL"/>
              </w:rPr>
              <w:t>Shield NFT (CIP-68)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s>
              <w:jc w:val="center"/>
            </w:pPr>
            <w:r>
              <w:rPr>
                <w:rFonts w:ascii="Times New Roman" w:hAnsi="Times New Roman"/>
                <w:sz w:val="16"/>
                <w:szCs w:val="16"/>
                <w:u w:color="000000"/>
              </w:rPr>
              <w:t>Aiken</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Testnet Verified</w:t>
            </w:r>
          </w:p>
        </w:tc>
      </w:tr>
      <w:tr w:rsidR="00E054D7">
        <w:trPr>
          <w:trHeight w:val="398"/>
        </w:trPr>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AMM Liquidity Contract</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s>
              <w:jc w:val="center"/>
            </w:pPr>
            <w:r>
              <w:rPr>
                <w:rFonts w:ascii="Times New Roman" w:hAnsi="Times New Roman"/>
                <w:sz w:val="16"/>
                <w:szCs w:val="16"/>
                <w:u w:color="000000"/>
              </w:rPr>
              <w:t>Aiken</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Testnet Verified</w:t>
            </w:r>
          </w:p>
        </w:tc>
      </w:tr>
      <w:tr w:rsidR="00E054D7">
        <w:trPr>
          <w:trHeight w:val="398"/>
        </w:trPr>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nl-NL"/>
              </w:rPr>
              <w:t>React dApp Frontend</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s>
              <w:jc w:val="center"/>
            </w:pPr>
            <w:r>
              <w:rPr>
                <w:rFonts w:ascii="Times New Roman" w:hAnsi="Times New Roman"/>
                <w:sz w:val="16"/>
                <w:szCs w:val="16"/>
                <w:u w:color="000000"/>
                <w:lang w:val="fr-FR"/>
              </w:rPr>
              <w:t>TypeScript / Lucid Evolution</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Implemented</w:t>
            </w:r>
          </w:p>
        </w:tc>
      </w:tr>
    </w:tbl>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 xml:space="preserve">C. User Flow and </w:t>
      </w:r>
      <w:r>
        <w:rPr>
          <w:rFonts w:ascii="Times New Roman" w:hAnsi="Times New Roman"/>
          <w:b/>
          <w:bCs/>
          <w:i/>
          <w:iCs/>
          <w:sz w:val="20"/>
          <w:szCs w:val="20"/>
        </w:rPr>
        <w:t>Interaction Sequence</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The user journey runs through four phases: wallet connection, market browsing and trade placement, Shield acquisition, and claim settlement. Each phase can fail independently without leaving the system in a broken state. Figure 2 shows</w:t>
      </w:r>
      <w:r>
        <w:rPr>
          <w:rFonts w:ascii="Times New Roman" w:hAnsi="Times New Roman"/>
          <w:sz w:val="20"/>
          <w:szCs w:val="20"/>
        </w:rPr>
        <w:t xml:space="preserve"> the full interaction sequence between the user, frontend, FastAPI backend, and the Cardano blockchain.</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eastAsia="Times New Roman" w:hAnsi="Times New Roman" w:cs="Times New Roman"/>
          <w:noProof/>
          <w:lang w:val="en-IN"/>
        </w:rPr>
        <w:drawing>
          <wp:inline distT="0" distB="0" distL="0" distR="0">
            <wp:extent cx="3190875" cy="2600325"/>
            <wp:effectExtent l="0" t="0" r="0" b="0"/>
            <wp:docPr id="1073741826" name="officeArt object" descr="d93989a84827ed7a2dcaa2456749848fc3001233.png"/>
            <wp:cNvGraphicFramePr/>
            <a:graphic xmlns:a="http://schemas.openxmlformats.org/drawingml/2006/main">
              <a:graphicData uri="http://schemas.openxmlformats.org/drawingml/2006/picture">
                <pic:pic xmlns:pic="http://schemas.openxmlformats.org/drawingml/2006/picture">
                  <pic:nvPicPr>
                    <pic:cNvPr id="1073741826" name="d93989a84827ed7a2dcaa2456749848fc3001233.png" descr="d93989a84827ed7a2dcaa2456749848fc3001233.png"/>
                    <pic:cNvPicPr>
                      <a:picLocks noChangeAspect="1"/>
                    </pic:cNvPicPr>
                  </pic:nvPicPr>
                  <pic:blipFill>
                    <a:blip r:embed="rId10">
                      <a:extLst/>
                    </a:blip>
                    <a:stretch>
                      <a:fillRect/>
                    </a:stretch>
                  </pic:blipFill>
                  <pic:spPr>
                    <a:xfrm>
                      <a:off x="0" y="0"/>
                      <a:ext cx="3190875" cy="2600325"/>
                    </a:xfrm>
                    <a:prstGeom prst="rect">
                      <a:avLst/>
                    </a:prstGeom>
                    <a:ln w="12700" cap="flat">
                      <a:noFill/>
                      <a:miter lim="400000"/>
                    </a:ln>
                    <a:effectLst/>
                  </pic:spPr>
                </pic:pic>
              </a:graphicData>
            </a:graphic>
          </wp:inline>
        </w:drawing>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center"/>
        <w:rPr>
          <w:rFonts w:ascii="Times New Roman" w:eastAsia="Times New Roman" w:hAnsi="Times New Roman" w:cs="Times New Roman"/>
        </w:rPr>
      </w:pPr>
      <w:r>
        <w:rPr>
          <w:rFonts w:ascii="Times New Roman" w:hAnsi="Times New Roman"/>
          <w:i/>
          <w:iCs/>
          <w:sz w:val="16"/>
          <w:szCs w:val="16"/>
        </w:rPr>
        <w:t>Fig. 2.  User Flow and Interaction Sequence.</w:t>
      </w: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D. Off-Chain Oracle Engine</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The oracle engine lives in ai_engine.py. It issues a </w:t>
      </w:r>
      <w:r>
        <w:rPr>
          <w:rFonts w:ascii="Times New Roman" w:hAnsi="Times New Roman"/>
          <w:sz w:val="20"/>
          <w:szCs w:val="20"/>
        </w:rPr>
        <w:lastRenderedPageBreak/>
        <w:t xml:space="preserve">DuckDuckGo search query </w:t>
      </w:r>
      <w:r>
        <w:rPr>
          <w:rFonts w:ascii="Times New Roman" w:hAnsi="Times New Roman"/>
          <w:sz w:val="20"/>
          <w:szCs w:val="20"/>
        </w:rPr>
        <w:t>for a target asset ticker and concatenates the returned result snippets into a single text string. A base score is then derived from the length of that string using base_score = len(combined_text) // 30, on the reasoning that more search result text implie</w:t>
      </w:r>
      <w:r>
        <w:rPr>
          <w:rFonts w:ascii="Times New Roman" w:hAnsi="Times New Roman"/>
          <w:sz w:val="20"/>
          <w:szCs w:val="20"/>
        </w:rPr>
        <w:t>s higher web activity around the asset. A random integer between -5 and +5 is added to simulate natural noise.</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The resulting hype_score is paired with a simulated price proxy to yield a sentiment_gap, which represents how far the narrative is running ahead</w:t>
      </w:r>
      <w:r>
        <w:rPr>
          <w:rFonts w:ascii="Times New Roman" w:hAnsi="Times New Roman"/>
          <w:sz w:val="20"/>
          <w:szCs w:val="20"/>
        </w:rPr>
        <w:t xml:space="preserve"> of or behind the price. Figure 6 shows the complete AI engine data flow pipeline including the scoring stages and signature generation.</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It is important to be upfront about what this is not. Text length is a very crude proxy for genuine sentiment and can b</w:t>
      </w:r>
      <w:r>
        <w:rPr>
          <w:rFonts w:ascii="Times New Roman" w:hAnsi="Times New Roman"/>
          <w:sz w:val="20"/>
          <w:szCs w:val="20"/>
        </w:rPr>
        <w:t>e thrown off by changes in how search engines format results. The random component is not a probabilistic model; it just makes the output vary between calls. The upgrade path from this to a real trained model is described in Section VI.</w:t>
      </w: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smallCaps/>
          <w:sz w:val="16"/>
          <w:szCs w:val="16"/>
        </w:rPr>
        <w:t>Table II: Hype Sco</w:t>
      </w:r>
      <w:r>
        <w:rPr>
          <w:rFonts w:ascii="Times New Roman" w:hAnsi="Times New Roman"/>
          <w:b/>
          <w:bCs/>
          <w:smallCaps/>
          <w:sz w:val="16"/>
          <w:szCs w:val="16"/>
        </w:rPr>
        <w:t xml:space="preserve">re Computation </w:t>
      </w:r>
      <w:r>
        <w:rPr>
          <w:rFonts w:ascii="Times New Roman" w:hAnsi="Times New Roman"/>
          <w:b/>
          <w:bCs/>
          <w:smallCaps/>
          <w:sz w:val="16"/>
          <w:szCs w:val="16"/>
        </w:rPr>
        <w:t xml:space="preserve">— </w:t>
      </w:r>
      <w:r>
        <w:rPr>
          <w:rFonts w:ascii="Times New Roman" w:hAnsi="Times New Roman"/>
          <w:b/>
          <w:bCs/>
          <w:smallCaps/>
          <w:sz w:val="16"/>
          <w:szCs w:val="16"/>
        </w:rPr>
        <w:t>Variable Definitions</w:t>
      </w:r>
    </w:p>
    <w:tbl>
      <w:tblPr>
        <w:tblW w:w="5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00"/>
        <w:gridCol w:w="2700"/>
      </w:tblGrid>
      <w:tr w:rsidR="00E054D7">
        <w:trPr>
          <w:trHeight w:val="183"/>
        </w:trPr>
        <w:tc>
          <w:tcPr>
            <w:tcW w:w="23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b/>
                <w:bCs/>
                <w:smallCaps/>
                <w:sz w:val="16"/>
                <w:szCs w:val="16"/>
                <w:u w:color="000000"/>
                <w:lang w:val="fr-FR"/>
              </w:rPr>
              <w:t>Variable</w:t>
            </w:r>
          </w:p>
        </w:tc>
        <w:tc>
          <w:tcPr>
            <w:tcW w:w="27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b/>
                <w:bCs/>
                <w:smallCaps/>
                <w:sz w:val="16"/>
                <w:szCs w:val="16"/>
                <w:u w:color="000000"/>
                <w:lang w:val="en-US"/>
              </w:rPr>
              <w:t>Definition</w:t>
            </w:r>
          </w:p>
        </w:tc>
      </w:tr>
      <w:tr w:rsidR="00E054D7">
        <w:trPr>
          <w:trHeight w:val="398"/>
        </w:trPr>
        <w:tc>
          <w:tcPr>
            <w:tcW w:w="2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combined_text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Concatenated DuckDuckGo result snippets for target ticker</w:t>
            </w:r>
          </w:p>
        </w:tc>
      </w:tr>
      <w:tr w:rsidR="00E054D7">
        <w:trPr>
          <w:trHeight w:val="183"/>
        </w:trPr>
        <w:tc>
          <w:tcPr>
            <w:tcW w:w="2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base_score</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len(combined_text) // 30</w:t>
            </w:r>
          </w:p>
        </w:tc>
      </w:tr>
      <w:tr w:rsidR="00E054D7">
        <w:trPr>
          <w:trHeight w:val="398"/>
        </w:trPr>
        <w:tc>
          <w:tcPr>
            <w:tcW w:w="2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fr-FR"/>
              </w:rPr>
              <w:t>flux</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nl-NL"/>
              </w:rPr>
              <w:t>Random integer in [</w:t>
            </w:r>
            <w:r>
              <w:rPr>
                <w:rFonts w:ascii="Times New Roman" w:hAnsi="Times New Roman"/>
                <w:sz w:val="16"/>
                <w:szCs w:val="16"/>
                <w:u w:color="000000"/>
              </w:rPr>
              <w:t>−</w:t>
            </w:r>
            <w:r>
              <w:rPr>
                <w:rFonts w:ascii="Times New Roman" w:hAnsi="Times New Roman"/>
                <w:sz w:val="16"/>
                <w:szCs w:val="16"/>
                <w:u w:color="000000"/>
                <w:lang w:val="en-US"/>
              </w:rPr>
              <w:t>5, +5] simulating signal noise</w:t>
            </w:r>
          </w:p>
        </w:tc>
      </w:tr>
      <w:tr w:rsidR="00E054D7">
        <w:trPr>
          <w:trHeight w:val="183"/>
        </w:trPr>
        <w:tc>
          <w:tcPr>
            <w:tcW w:w="2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hype_score</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base_score + flux</w:t>
            </w:r>
          </w:p>
        </w:tc>
      </w:tr>
      <w:tr w:rsidR="00E054D7">
        <w:trPr>
          <w:trHeight w:val="398"/>
        </w:trPr>
        <w:tc>
          <w:tcPr>
            <w:tcW w:w="2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price_proxy</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Simulated market price datum (not a live feed in PoC)</w:t>
            </w:r>
          </w:p>
        </w:tc>
      </w:tr>
      <w:tr w:rsidR="00E054D7">
        <w:trPr>
          <w:trHeight w:val="183"/>
        </w:trPr>
        <w:tc>
          <w:tcPr>
            <w:tcW w:w="2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fr-FR"/>
              </w:rPr>
              <w:t>sentiment_gap</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 xml:space="preserve">hype_score </w:t>
            </w:r>
            <w:r>
              <w:rPr>
                <w:rFonts w:ascii="Times New Roman" w:hAnsi="Times New Roman"/>
                <w:sz w:val="16"/>
                <w:szCs w:val="16"/>
                <w:u w:color="000000"/>
              </w:rPr>
              <w:t>−</w:t>
            </w:r>
            <w:r>
              <w:rPr>
                <w:rFonts w:ascii="Times New Roman" w:hAnsi="Times New Roman"/>
                <w:sz w:val="16"/>
                <w:szCs w:val="16"/>
                <w:u w:color="000000"/>
              </w:rPr>
              <w:t xml:space="preserve"> </w:t>
            </w:r>
            <w:r>
              <w:rPr>
                <w:rFonts w:ascii="Times New Roman" w:hAnsi="Times New Roman"/>
                <w:sz w:val="16"/>
                <w:szCs w:val="16"/>
                <w:u w:color="000000"/>
                <w:lang w:val="en-US"/>
              </w:rPr>
              <w:t>price_proxy</w:t>
            </w:r>
          </w:p>
        </w:tc>
      </w:tr>
    </w:tbl>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E. Cryptographic Handshake (Simulated)</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The oracle validator contract requires an incoming datum to carry a signature field so that it can check the</w:t>
      </w:r>
      <w:r>
        <w:rPr>
          <w:rFonts w:ascii="Times New Roman" w:hAnsi="Times New Roman"/>
          <w:sz w:val="20"/>
          <w:szCs w:val="20"/>
        </w:rPr>
        <w:t xml:space="preserve"> data came from a legitimate source. In this PoC, that field is filled with a 128-character hexadecimal string produced by secrets.token_hex(64). This is cryptographically random but is not a genuine Ed25519 signature over the datum payload. The validator </w:t>
      </w:r>
      <w:r>
        <w:rPr>
          <w:rFonts w:ascii="Times New Roman" w:hAnsi="Times New Roman"/>
          <w:sz w:val="20"/>
          <w:szCs w:val="20"/>
        </w:rPr>
        <w:t>checks that the field is present and well-formed but does not run actual public-key verification. The contract has been designed with a deliberate slot for a real Ed25519 verification function as a future upgrade.</w:t>
      </w: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b/>
          <w:bCs/>
          <w:sz w:val="24"/>
          <w:szCs w:val="24"/>
        </w:rPr>
      </w:pPr>
      <w:r>
        <w:rPr>
          <w:rFonts w:ascii="Times New Roman" w:hAnsi="Times New Roman"/>
          <w:b/>
          <w:bCs/>
          <w:smallCaps/>
          <w:sz w:val="24"/>
          <w:szCs w:val="24"/>
          <w:lang w:val="fr-FR"/>
        </w:rPr>
        <w:lastRenderedPageBreak/>
        <w:t>IV. On-Chain Implementation</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lang w:val="it-IT"/>
        </w:rPr>
        <w:t>A. Cardano Sm</w:t>
      </w:r>
      <w:r>
        <w:rPr>
          <w:rFonts w:ascii="Times New Roman" w:hAnsi="Times New Roman"/>
          <w:b/>
          <w:bCs/>
          <w:i/>
          <w:iCs/>
          <w:sz w:val="20"/>
          <w:szCs w:val="20"/>
          <w:lang w:val="it-IT"/>
        </w:rPr>
        <w:t>art Contract Stack</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All six on-chain mechanisms were written in Aiken and compiled to Untyped Plutus Core (UPLC), targeting the Cardano Chang+2 protocol era. Aiken was chosen over raw Plutus Haskell because its type system is simpler and its compilation pip</w:t>
      </w:r>
      <w:r>
        <w:rPr>
          <w:rFonts w:ascii="Times New Roman" w:hAnsi="Times New Roman"/>
          <w:sz w:val="20"/>
          <w:szCs w:val="20"/>
        </w:rPr>
        <w:t>eline is faster during iterative testing. Transaction construction and UTxO selection were handled by Lucid Evolution. Table III summarises what was built and tested.</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center"/>
        <w:rPr>
          <w:rFonts w:ascii="Times New Roman" w:eastAsia="Times New Roman" w:hAnsi="Times New Roman" w:cs="Times New Roman"/>
        </w:rPr>
      </w:pPr>
      <w:r>
        <w:rPr>
          <w:rFonts w:ascii="Times New Roman" w:hAnsi="Times New Roman"/>
          <w:b/>
          <w:bCs/>
          <w:smallCaps/>
          <w:sz w:val="16"/>
          <w:szCs w:val="16"/>
        </w:rPr>
        <w:t xml:space="preserve">Table III: On-Chain Contract Implementations </w:t>
      </w:r>
      <w:r>
        <w:rPr>
          <w:rFonts w:ascii="Times New Roman" w:hAnsi="Times New Roman"/>
          <w:b/>
          <w:bCs/>
          <w:smallCaps/>
          <w:sz w:val="16"/>
          <w:szCs w:val="16"/>
        </w:rPr>
        <w:t xml:space="preserve">— </w:t>
      </w:r>
      <w:r>
        <w:rPr>
          <w:rFonts w:ascii="Times New Roman" w:hAnsi="Times New Roman"/>
          <w:b/>
          <w:bCs/>
          <w:smallCaps/>
          <w:sz w:val="16"/>
          <w:szCs w:val="16"/>
        </w:rPr>
        <w:t>Verified on Cardano Preview Testnet</w:t>
      </w:r>
    </w:p>
    <w:tbl>
      <w:tblPr>
        <w:tblW w:w="5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00"/>
        <w:gridCol w:w="1200"/>
        <w:gridCol w:w="1300"/>
      </w:tblGrid>
      <w:tr w:rsidR="00E054D7">
        <w:trPr>
          <w:trHeight w:val="398"/>
        </w:trPr>
        <w:tc>
          <w:tcPr>
            <w:tcW w:w="25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b/>
                <w:bCs/>
                <w:smallCaps/>
                <w:sz w:val="16"/>
                <w:szCs w:val="16"/>
                <w:u w:color="000000"/>
                <w:lang w:val="en-US"/>
              </w:rPr>
              <w:t>Contract Mechanism</w:t>
            </w:r>
          </w:p>
        </w:tc>
        <w:tc>
          <w:tcPr>
            <w:tcW w:w="12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b/>
                <w:bCs/>
                <w:smallCaps/>
                <w:sz w:val="16"/>
                <w:szCs w:val="16"/>
                <w:u w:color="000000"/>
                <w:lang w:val="en-US"/>
              </w:rPr>
              <w:t>Valid Txns</w:t>
            </w:r>
          </w:p>
        </w:tc>
        <w:tc>
          <w:tcPr>
            <w:tcW w:w="13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b/>
                <w:bCs/>
                <w:smallCaps/>
                <w:sz w:val="16"/>
                <w:szCs w:val="16"/>
                <w:u w:color="000000"/>
                <w:lang w:val="en-US"/>
              </w:rPr>
              <w:t>Adversarial Txns Rejected</w:t>
            </w:r>
          </w:p>
        </w:tc>
      </w:tr>
      <w:tr w:rsidR="00E054D7">
        <w:trPr>
          <w:trHeight w:val="183"/>
        </w:trPr>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rPr>
              <w:t>Oracle Validator</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rPr>
              <w:t>20 / 20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rPr>
              <w:t>15 / 15</w:t>
            </w:r>
          </w:p>
        </w:tc>
      </w:tr>
      <w:tr w:rsidR="00E054D7">
        <w:trPr>
          <w:trHeight w:val="398"/>
        </w:trPr>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Treasury Reserve (120%)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rPr>
              <w:t>25 / 25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3 boundary edge-cases passed</w:t>
            </w:r>
          </w:p>
        </w:tc>
      </w:tr>
      <w:tr w:rsidR="00E054D7">
        <w:trPr>
          <w:trHeight w:val="183"/>
        </w:trPr>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de-DE"/>
              </w:rPr>
              <w:t>Anti-Arbitrage Guard</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rPr>
              <w:t>12 / 12</w:t>
            </w:r>
          </w:p>
        </w:tc>
      </w:tr>
      <w:tr w:rsidR="00E054D7">
        <w:trPr>
          <w:trHeight w:val="183"/>
        </w:trPr>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de-DE"/>
              </w:rPr>
              <w:t>Crash-Refund Trigger</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rPr>
              <w:t>18 / 18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0 payout errors</w:t>
            </w:r>
          </w:p>
        </w:tc>
      </w:tr>
      <w:tr w:rsidR="00E054D7">
        <w:trPr>
          <w:trHeight w:val="183"/>
        </w:trPr>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nl-NL"/>
              </w:rPr>
              <w:t>Shield NFT (CIP-68)</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 xml:space="preserve">All </w:t>
            </w:r>
            <w:r>
              <w:rPr>
                <w:rFonts w:ascii="Times New Roman" w:hAnsi="Times New Roman"/>
                <w:sz w:val="16"/>
                <w:szCs w:val="16"/>
                <w:u w:color="000000"/>
                <w:lang w:val="en-US"/>
              </w:rPr>
              <w:t>tiers minted</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w:t>
            </w:r>
          </w:p>
        </w:tc>
      </w:tr>
      <w:tr w:rsidR="00E054D7">
        <w:trPr>
          <w:trHeight w:val="398"/>
        </w:trPr>
        <w:tc>
          <w:tcPr>
            <w:tcW w:w="25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fr-FR"/>
              </w:rPr>
              <w:t>AMM Liquidity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Slippage enforced</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s>
              <w:jc w:val="center"/>
            </w:pPr>
            <w:r>
              <w:rPr>
                <w:rFonts w:ascii="Times New Roman" w:hAnsi="Times New Roman"/>
                <w:sz w:val="16"/>
                <w:szCs w:val="16"/>
                <w:u w:color="000000"/>
                <w:lang w:val="en-US"/>
              </w:rPr>
              <w:t>—</w:t>
            </w:r>
          </w:p>
        </w:tc>
      </w:tr>
    </w:tbl>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B. Shield Minting Policy</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The shield_policy validator handles a ShieldAction redeemer with three cases. MintRetail verifies that at least 5,000,000 lovelace is sent to the treasury output in the same </w:t>
      </w:r>
      <w:r>
        <w:rPr>
          <w:rFonts w:ascii="Times New Roman" w:hAnsi="Times New Roman"/>
          <w:sz w:val="20"/>
          <w:szCs w:val="20"/>
        </w:rPr>
        <w:t>transaction, then calls check_safety_valve with a 5 ADA potential payout. MintPro applies the same logic but requires payment above 500,000,000 lovelace and uses a 60 ADA payout in the safety check. BurnClaim returns True unconditionally since the treasury</w:t>
      </w:r>
      <w:r>
        <w:rPr>
          <w:rFonts w:ascii="Times New Roman" w:hAnsi="Times New Roman"/>
          <w:sz w:val="20"/>
          <w:szCs w:val="20"/>
        </w:rPr>
        <w:t xml:space="preserve"> validator handles all claim preconditions. Figure 3 shows the validator routing structure.</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eastAsia="Times New Roman" w:hAnsi="Times New Roman" w:cs="Times New Roman"/>
          <w:noProof/>
          <w:lang w:val="en-IN"/>
        </w:rPr>
        <w:lastRenderedPageBreak/>
        <w:drawing>
          <wp:inline distT="0" distB="0" distL="0" distR="0">
            <wp:extent cx="3190875" cy="2066925"/>
            <wp:effectExtent l="0" t="0" r="0" b="0"/>
            <wp:docPr id="1073741827" name="officeArt object" descr="5564b3465ea87f5052dd2456447ba008b9a945cf.png"/>
            <wp:cNvGraphicFramePr/>
            <a:graphic xmlns:a="http://schemas.openxmlformats.org/drawingml/2006/main">
              <a:graphicData uri="http://schemas.openxmlformats.org/drawingml/2006/picture">
                <pic:pic xmlns:pic="http://schemas.openxmlformats.org/drawingml/2006/picture">
                  <pic:nvPicPr>
                    <pic:cNvPr id="1073741827" name="5564b3465ea87f5052dd2456447ba008b9a945cf.png" descr="5564b3465ea87f5052dd2456447ba008b9a945cf.png"/>
                    <pic:cNvPicPr>
                      <a:picLocks noChangeAspect="1"/>
                    </pic:cNvPicPr>
                  </pic:nvPicPr>
                  <pic:blipFill>
                    <a:blip r:embed="rId11">
                      <a:extLst/>
                    </a:blip>
                    <a:stretch>
                      <a:fillRect/>
                    </a:stretch>
                  </pic:blipFill>
                  <pic:spPr>
                    <a:xfrm>
                      <a:off x="0" y="0"/>
                      <a:ext cx="3190875" cy="2066925"/>
                    </a:xfrm>
                    <a:prstGeom prst="rect">
                      <a:avLst/>
                    </a:prstGeom>
                    <a:ln w="12700" cap="flat">
                      <a:noFill/>
                      <a:miter lim="400000"/>
                    </a:ln>
                    <a:effectLst/>
                  </pic:spPr>
                </pic:pic>
              </a:graphicData>
            </a:graphic>
          </wp:inline>
        </w:drawing>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center"/>
        <w:rPr>
          <w:rFonts w:ascii="Times New Roman" w:eastAsia="Times New Roman" w:hAnsi="Times New Roman" w:cs="Times New Roman"/>
        </w:rPr>
      </w:pPr>
      <w:r>
        <w:rPr>
          <w:rFonts w:ascii="Times New Roman" w:hAnsi="Times New Roman"/>
          <w:i/>
          <w:iCs/>
          <w:sz w:val="16"/>
          <w:szCs w:val="16"/>
        </w:rPr>
        <w:t>Fig. 3.  Shield Minting Policy Validator Structure.</w:t>
      </w: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C. Treasury Reserve: 120% Over-Collateralization and Safety Valve</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The Treasury Reserve contract is designed </w:t>
      </w:r>
      <w:r>
        <w:rPr>
          <w:rFonts w:ascii="Times New Roman" w:hAnsi="Times New Roman"/>
          <w:sz w:val="20"/>
          <w:szCs w:val="20"/>
        </w:rPr>
        <w:t>to ensure the platform always holds enough ADA to cover its worst-case payout obligations. The safety valve reads the treasury UTxO as a reference input so it is not consumed during minting, allowing multiple users to mint Shields in the same block without</w:t>
      </w:r>
      <w:r>
        <w:rPr>
          <w:rFonts w:ascii="Times New Roman" w:hAnsi="Times New Roman"/>
          <w:sz w:val="20"/>
          <w:szCs w:val="20"/>
        </w:rPr>
        <w:t xml:space="preserve"> contention. The invariant checked at validation time is:</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center"/>
        <w:rPr>
          <w:rFonts w:ascii="Times New Roman" w:eastAsia="Times New Roman" w:hAnsi="Times New Roman" w:cs="Times New Roman"/>
        </w:rPr>
      </w:pPr>
      <w:r>
        <w:rPr>
          <w:rFonts w:ascii="Times New Roman" w:hAnsi="Times New Roman"/>
          <w:i/>
          <w:iCs/>
          <w:sz w:val="20"/>
          <w:szCs w:val="20"/>
        </w:rPr>
        <w:t xml:space="preserve">R = (treasury_locked_ada / max_possible_payout) </w:t>
      </w:r>
      <w:r>
        <w:rPr>
          <w:rFonts w:ascii="Times New Roman" w:hAnsi="Times New Roman"/>
          <w:i/>
          <w:iCs/>
          <w:sz w:val="20"/>
          <w:szCs w:val="20"/>
        </w:rPr>
        <w:t xml:space="preserve">× </w:t>
      </w:r>
      <w:r>
        <w:rPr>
          <w:rFonts w:ascii="Times New Roman" w:hAnsi="Times New Roman"/>
          <w:i/>
          <w:iCs/>
          <w:sz w:val="20"/>
          <w:szCs w:val="20"/>
        </w:rPr>
        <w:t xml:space="preserve">100 </w:t>
      </w:r>
      <w:r>
        <w:rPr>
          <w:rFonts w:ascii="Times New Roman" w:hAnsi="Times New Roman"/>
          <w:i/>
          <w:iCs/>
          <w:sz w:val="20"/>
          <w:szCs w:val="20"/>
        </w:rPr>
        <w:t xml:space="preserve">≥ </w:t>
      </w:r>
      <w:r>
        <w:rPr>
          <w:rFonts w:ascii="Times New Roman" w:hAnsi="Times New Roman"/>
          <w:i/>
          <w:iCs/>
          <w:sz w:val="20"/>
          <w:szCs w:val="20"/>
        </w:rPr>
        <w:t>120</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The safety valve enforces a tighter real-time check: (current_liability + new_payout) </w:t>
      </w:r>
      <w:r>
        <w:rPr>
          <w:rFonts w:ascii="Times New Roman" w:hAnsi="Times New Roman"/>
          <w:sz w:val="20"/>
          <w:szCs w:val="20"/>
        </w:rPr>
        <w:t xml:space="preserve">≤ </w:t>
      </w:r>
      <w:r>
        <w:rPr>
          <w:rFonts w:ascii="Times New Roman" w:hAnsi="Times New Roman"/>
          <w:sz w:val="20"/>
          <w:szCs w:val="20"/>
        </w:rPr>
        <w:t xml:space="preserve">(treasury_balance </w:t>
      </w:r>
      <w:r>
        <w:rPr>
          <w:rFonts w:ascii="Times New Roman" w:hAnsi="Times New Roman"/>
          <w:sz w:val="20"/>
          <w:szCs w:val="20"/>
        </w:rPr>
        <w:t xml:space="preserve">× </w:t>
      </w:r>
      <w:r>
        <w:rPr>
          <w:rFonts w:ascii="Times New Roman" w:hAnsi="Times New Roman"/>
          <w:sz w:val="20"/>
          <w:szCs w:val="20"/>
        </w:rPr>
        <w:t xml:space="preserve">80) / 100. This 80% liability </w:t>
      </w:r>
      <w:r>
        <w:rPr>
          <w:rFonts w:ascii="Times New Roman" w:hAnsi="Times New Roman"/>
          <w:sz w:val="20"/>
          <w:szCs w:val="20"/>
        </w:rPr>
        <w:t>cap retains a 20% reserve buffer above the 120% floor. Any withdrawal transaction that would push the ratio below the threshold is rejected outright by the contract script. Figure 4 shows the complete safety valve logic.</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eastAsia="Times New Roman" w:hAnsi="Times New Roman" w:cs="Times New Roman"/>
          <w:noProof/>
          <w:lang w:val="en-IN"/>
        </w:rPr>
        <w:drawing>
          <wp:inline distT="0" distB="0" distL="0" distR="0">
            <wp:extent cx="3190875" cy="1876425"/>
            <wp:effectExtent l="0" t="0" r="0" b="0"/>
            <wp:docPr id="1073741828" name="officeArt object" descr="ab5d31b3e621987ff758b015bc6e1580aefe8e3a.png"/>
            <wp:cNvGraphicFramePr/>
            <a:graphic xmlns:a="http://schemas.openxmlformats.org/drawingml/2006/main">
              <a:graphicData uri="http://schemas.openxmlformats.org/drawingml/2006/picture">
                <pic:pic xmlns:pic="http://schemas.openxmlformats.org/drawingml/2006/picture">
                  <pic:nvPicPr>
                    <pic:cNvPr id="1073741828" name="ab5d31b3e621987ff758b015bc6e1580aefe8e3a.png" descr="ab5d31b3e621987ff758b015bc6e1580aefe8e3a.png"/>
                    <pic:cNvPicPr>
                      <a:picLocks noChangeAspect="1"/>
                    </pic:cNvPicPr>
                  </pic:nvPicPr>
                  <pic:blipFill>
                    <a:blip r:embed="rId12">
                      <a:extLst/>
                    </a:blip>
                    <a:stretch>
                      <a:fillRect/>
                    </a:stretch>
                  </pic:blipFill>
                  <pic:spPr>
                    <a:xfrm>
                      <a:off x="0" y="0"/>
                      <a:ext cx="3190875" cy="1876425"/>
                    </a:xfrm>
                    <a:prstGeom prst="rect">
                      <a:avLst/>
                    </a:prstGeom>
                    <a:ln w="12700" cap="flat">
                      <a:noFill/>
                      <a:miter lim="400000"/>
                    </a:ln>
                    <a:effectLst/>
                  </pic:spPr>
                </pic:pic>
              </a:graphicData>
            </a:graphic>
          </wp:inline>
        </w:drawing>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center"/>
        <w:rPr>
          <w:rFonts w:ascii="Times New Roman" w:eastAsia="Times New Roman" w:hAnsi="Times New Roman" w:cs="Times New Roman"/>
        </w:rPr>
      </w:pPr>
      <w:r>
        <w:rPr>
          <w:rFonts w:ascii="Times New Roman" w:hAnsi="Times New Roman"/>
          <w:i/>
          <w:iCs/>
          <w:sz w:val="16"/>
          <w:szCs w:val="16"/>
        </w:rPr>
        <w:t>Fig. 4.  Safety Valve Mechanism a</w:t>
      </w:r>
      <w:r>
        <w:rPr>
          <w:rFonts w:ascii="Times New Roman" w:hAnsi="Times New Roman"/>
          <w:i/>
          <w:iCs/>
          <w:sz w:val="16"/>
          <w:szCs w:val="16"/>
        </w:rPr>
        <w:t>nd Solvency Formula.</w:t>
      </w: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lang w:val="de-DE"/>
        </w:rPr>
        <w:t>D. Anti-Arbitrage Exposure Guard</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The prediction market contract includes a dual-layer wallet exposure guard. The frontend check happens before the transaction is built, giving users fast feedback. The backend check re-validates indepe</w:t>
      </w:r>
      <w:r>
        <w:rPr>
          <w:rFonts w:ascii="Times New Roman" w:hAnsi="Times New Roman"/>
          <w:sz w:val="20"/>
          <w:szCs w:val="20"/>
        </w:rPr>
        <w:t xml:space="preserve">ndently because the API can be </w:t>
      </w:r>
      <w:r>
        <w:rPr>
          <w:rFonts w:ascii="Times New Roman" w:hAnsi="Times New Roman"/>
          <w:sz w:val="20"/>
          <w:szCs w:val="20"/>
        </w:rPr>
        <w:lastRenderedPageBreak/>
        <w:t>called directly, bypassing the frontend entirely. Both layers sum the wallet's invested values for a given market, exclude HEDGE records, compare against the tier threshold, and reject if the user does not have sufficient exp</w:t>
      </w:r>
      <w:r>
        <w:rPr>
          <w:rFonts w:ascii="Times New Roman" w:hAnsi="Times New Roman"/>
          <w:sz w:val="20"/>
          <w:szCs w:val="20"/>
        </w:rPr>
        <w:t>osure. This creates a proof-of-exposure requirement without on-chain oracle integration. Figure 5 shows the two-gate architecture.</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eastAsia="Times New Roman" w:hAnsi="Times New Roman" w:cs="Times New Roman"/>
          <w:noProof/>
          <w:lang w:val="en-IN"/>
        </w:rPr>
        <w:drawing>
          <wp:inline distT="0" distB="0" distL="0" distR="0">
            <wp:extent cx="3190875" cy="2266950"/>
            <wp:effectExtent l="0" t="0" r="0" b="0"/>
            <wp:docPr id="1073741829" name="officeArt object" descr="4689e0398854e55b0cf18dc21df3d8e7178a74d9.png"/>
            <wp:cNvGraphicFramePr/>
            <a:graphic xmlns:a="http://schemas.openxmlformats.org/drawingml/2006/main">
              <a:graphicData uri="http://schemas.openxmlformats.org/drawingml/2006/picture">
                <pic:pic xmlns:pic="http://schemas.openxmlformats.org/drawingml/2006/picture">
                  <pic:nvPicPr>
                    <pic:cNvPr id="1073741829" name="4689e0398854e55b0cf18dc21df3d8e7178a74d9.png" descr="4689e0398854e55b0cf18dc21df3d8e7178a74d9.png"/>
                    <pic:cNvPicPr>
                      <a:picLocks noChangeAspect="1"/>
                    </pic:cNvPicPr>
                  </pic:nvPicPr>
                  <pic:blipFill>
                    <a:blip r:embed="rId13">
                      <a:extLst/>
                    </a:blip>
                    <a:stretch>
                      <a:fillRect/>
                    </a:stretch>
                  </pic:blipFill>
                  <pic:spPr>
                    <a:xfrm>
                      <a:off x="0" y="0"/>
                      <a:ext cx="3190875" cy="2266950"/>
                    </a:xfrm>
                    <a:prstGeom prst="rect">
                      <a:avLst/>
                    </a:prstGeom>
                    <a:ln w="12700" cap="flat">
                      <a:noFill/>
                      <a:miter lim="400000"/>
                    </a:ln>
                    <a:effectLst/>
                  </pic:spPr>
                </pic:pic>
              </a:graphicData>
            </a:graphic>
          </wp:inline>
        </w:drawing>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center"/>
        <w:rPr>
          <w:rFonts w:ascii="Times New Roman" w:eastAsia="Times New Roman" w:hAnsi="Times New Roman" w:cs="Times New Roman"/>
        </w:rPr>
      </w:pPr>
      <w:r>
        <w:rPr>
          <w:rFonts w:ascii="Times New Roman" w:hAnsi="Times New Roman"/>
          <w:i/>
          <w:iCs/>
          <w:sz w:val="16"/>
          <w:szCs w:val="16"/>
          <w:lang w:val="de-DE"/>
        </w:rPr>
        <w:t>Fig. 5.  Dual-Layer Anti-Arbitrage Validation Logic.</w:t>
      </w: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lang w:val="de-DE"/>
        </w:rPr>
        <w:t>E. Shield NFT and Crash-Refund Automation</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Shield NFTs use the CIP-68 </w:t>
      </w:r>
      <w:r>
        <w:rPr>
          <w:rFonts w:ascii="Times New Roman" w:hAnsi="Times New Roman"/>
          <w:sz w:val="20"/>
          <w:szCs w:val="20"/>
        </w:rPr>
        <w:t xml:space="preserve">standard, which separates a token's reference datum from its on-chain representation. This allows the metadata carried by a Shield NFT, such as coverage tier and expiry epoch, to be updated without burning and reissuing the token. Three coverage tiers are </w:t>
      </w:r>
      <w:r>
        <w:rPr>
          <w:rFonts w:ascii="Times New Roman" w:hAnsi="Times New Roman"/>
          <w:sz w:val="20"/>
          <w:szCs w:val="20"/>
        </w:rPr>
        <w:t>defined: Basic, Standard, and Premium, each carrying a different maximum refund percentage. The crash-refund trigger monitors the oracle datum for a drop in Hype Score exceeding a configured threshold within a rolling epoch window. Upon trigger, the contra</w:t>
      </w:r>
      <w:r>
        <w:rPr>
          <w:rFonts w:ascii="Times New Roman" w:hAnsi="Times New Roman"/>
          <w:sz w:val="20"/>
          <w:szCs w:val="20"/>
        </w:rPr>
        <w:t>ct computes eligible refund amounts automatically, without requiring manual claim submission by token holders.</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F. AMM Liquidity Mechanism</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Position pricing in the prediction market follows the constant-product formula x </w:t>
      </w:r>
      <w:r>
        <w:rPr>
          <w:rFonts w:ascii="Times New Roman" w:hAnsi="Times New Roman"/>
          <w:sz w:val="20"/>
          <w:szCs w:val="20"/>
        </w:rPr>
        <w:t xml:space="preserve">× </w:t>
      </w:r>
      <w:r>
        <w:rPr>
          <w:rFonts w:ascii="Times New Roman" w:hAnsi="Times New Roman"/>
          <w:sz w:val="20"/>
          <w:szCs w:val="20"/>
        </w:rPr>
        <w:t xml:space="preserve">y = k. As participants buy </w:t>
      </w:r>
      <w:r>
        <w:rPr>
          <w:rFonts w:ascii="Times New Roman" w:hAnsi="Times New Roman"/>
          <w:sz w:val="20"/>
          <w:szCs w:val="20"/>
        </w:rPr>
        <w:t>positions on one outcome, its implied probability rises while the opposing outcome's falls. A configurable slippage ceiling prevents any single transaction from moving the price curve by more than a set amount. Trading fees collected during the epoch are r</w:t>
      </w:r>
      <w:r>
        <w:rPr>
          <w:rFonts w:ascii="Times New Roman" w:hAnsi="Times New Roman"/>
          <w:sz w:val="20"/>
          <w:szCs w:val="20"/>
        </w:rPr>
        <w:t>edistributed to liquidity providers in proportion to their pool share at settlement time, following AMM research [13].</w:t>
      </w: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b/>
          <w:bCs/>
        </w:rPr>
      </w:pPr>
      <w:r>
        <w:rPr>
          <w:rFonts w:ascii="Times New Roman" w:hAnsi="Times New Roman"/>
          <w:b/>
          <w:bCs/>
          <w:smallCaps/>
          <w:sz w:val="20"/>
          <w:szCs w:val="20"/>
        </w:rPr>
        <w:t>V. Evaluation and Testing</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A. Testing Methodology</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Testing was split into two phases. First, the oracle engine was run in isolation agains</w:t>
      </w:r>
      <w:r>
        <w:rPr>
          <w:rFonts w:ascii="Times New Roman" w:hAnsi="Times New Roman"/>
          <w:sz w:val="20"/>
          <w:szCs w:val="20"/>
        </w:rPr>
        <w:t xml:space="preserve">t live DuckDuckGo queries for ten different asset tickers over 48 hours, with all outputs logged. Second, the on-chain contracts were exercised through a structured set of testnet transactions covering both the </w:t>
      </w:r>
      <w:r>
        <w:rPr>
          <w:rFonts w:ascii="Times New Roman" w:hAnsi="Times New Roman"/>
          <w:sz w:val="20"/>
          <w:szCs w:val="20"/>
        </w:rPr>
        <w:lastRenderedPageBreak/>
        <w:t>expected happy path and a range of adversaria</w:t>
      </w:r>
      <w:r>
        <w:rPr>
          <w:rFonts w:ascii="Times New Roman" w:hAnsi="Times New Roman"/>
          <w:sz w:val="20"/>
          <w:szCs w:val="20"/>
        </w:rPr>
        <w:t>l inputs designed to trigger rejections. Three targeted on-chain scenarios were additionally run as definitive pass/fail evidence on the Cardano preprod testnet.</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B. Oracle Engine Behaviour</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Over 200 invocations, the heuristic engine produced Hype Scores ran</w:t>
      </w:r>
      <w:r>
        <w:rPr>
          <w:rFonts w:ascii="Times New Roman" w:hAnsi="Times New Roman"/>
          <w:sz w:val="20"/>
          <w:szCs w:val="20"/>
        </w:rPr>
        <w:t>ging from 8 to 47, with a mean of 23.4 and a standard deviation of 8.1. The variance reflects genuine differences in how much web content exists for different asset tickers at different times. The random flux component contributed an average absolute shift</w:t>
      </w:r>
      <w:r>
        <w:rPr>
          <w:rFonts w:ascii="Times New Roman" w:hAnsi="Times New Roman"/>
          <w:sz w:val="20"/>
          <w:szCs w:val="20"/>
        </w:rPr>
        <w:t xml:space="preserve"> of about 2.8 points per call. No AUC score or precision/recall metric is reported for this component because it is not a classifier. Average response latency for a full oracle invocation was 340 ms with a p95 of 580 ms.</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C. On-Chain Contract Validation Res</w:t>
      </w:r>
      <w:r>
        <w:rPr>
          <w:rFonts w:ascii="Times New Roman" w:hAnsi="Times New Roman"/>
          <w:b/>
          <w:bCs/>
          <w:i/>
          <w:iCs/>
          <w:sz w:val="20"/>
          <w:szCs w:val="20"/>
        </w:rPr>
        <w:t>ults</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A total of 120 structured transactions were submitted across all six contract mechanisms. The oracle validator accepted all 20 valid submissions and correctly rejected all 15 adversarial ones (malformed signature, stale timestamp, out-of-range score).</w:t>
      </w:r>
      <w:r>
        <w:rPr>
          <w:rFonts w:ascii="Times New Roman" w:hAnsi="Times New Roman"/>
          <w:sz w:val="20"/>
          <w:szCs w:val="20"/>
        </w:rPr>
        <w:t xml:space="preserve"> The Treasury Reserve held its 120% invariant across all 25 test scenarios including three boundary edge cases. The anti-arbitrage guard blocked all 12 oversized position attempts. The crash-refund trigger computed and dispatched correct payouts for all 18</w:t>
      </w:r>
      <w:r>
        <w:rPr>
          <w:rFonts w:ascii="Times New Roman" w:hAnsi="Times New Roman"/>
          <w:sz w:val="20"/>
          <w:szCs w:val="20"/>
        </w:rPr>
        <w:t xml:space="preserve"> simulated crash scenarios with zero payout errors. A valid Retail Shield mint confirmed in approximately 20 seconds on preprod, validating the safety-valve reference input pattern under real network conditions.</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D. Limitations of Current Implementation</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Sev</w:t>
      </w:r>
      <w:r>
        <w:rPr>
          <w:rFonts w:ascii="Times New Roman" w:hAnsi="Times New Roman"/>
          <w:sz w:val="20"/>
          <w:szCs w:val="20"/>
        </w:rPr>
        <w:t>eral limitations of the current PoC build are worth stating plainly. The oracle relies on a single FastAPI instance, so if that service goes down the on-chain contracts stop receiving updates. The text-length scoring approach is brittle and could easily be</w:t>
      </w:r>
      <w:r>
        <w:rPr>
          <w:rFonts w:ascii="Times New Roman" w:hAnsi="Times New Roman"/>
          <w:sz w:val="20"/>
          <w:szCs w:val="20"/>
        </w:rPr>
        <w:t xml:space="preserve"> broken by changes to search result formatting. The Ed25519 signing is simulated; real cryptographic verification is not in place. The portfolio state is held in memory and is lost on backend restart. Finally, because no trained ML model is present, standa</w:t>
      </w:r>
      <w:r>
        <w:rPr>
          <w:rFonts w:ascii="Times New Roman" w:hAnsi="Times New Roman"/>
          <w:sz w:val="20"/>
          <w:szCs w:val="20"/>
        </w:rPr>
        <w:t>rd model evaluation metrics such as accuracy, AUC, or F1 score cannot be meaningfully reported for the oracle component.</w:t>
      </w: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b/>
          <w:bCs/>
          <w:sz w:val="24"/>
          <w:szCs w:val="24"/>
        </w:rPr>
      </w:pPr>
      <w:r>
        <w:rPr>
          <w:rFonts w:ascii="Times New Roman" w:hAnsi="Times New Roman"/>
          <w:b/>
          <w:bCs/>
          <w:smallCaps/>
          <w:sz w:val="24"/>
          <w:szCs w:val="24"/>
        </w:rPr>
        <w:t>VI. Proposed Future Architecture</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A. Upgrade Roadmap</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FomoOracle in its current state is an integration scaffold, not a finished product</w:t>
      </w:r>
      <w:r>
        <w:rPr>
          <w:rFonts w:ascii="Times New Roman" w:hAnsi="Times New Roman"/>
          <w:sz w:val="20"/>
          <w:szCs w:val="20"/>
        </w:rPr>
        <w:t>. The value of the PoC is that the data flow, contract interfaces, API contracts, and UTxO datum schemas have all been validated. Replacing the heuristic oracle engine with a real AI pipeline is now a matter of slotting new components into known interfaces</w:t>
      </w:r>
      <w:r>
        <w:rPr>
          <w:rFonts w:ascii="Times New Roman" w:hAnsi="Times New Roman"/>
          <w:sz w:val="20"/>
          <w:szCs w:val="20"/>
        </w:rPr>
        <w:t>. Table IV maps each current component to its proposed replacement.</w:t>
      </w: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smallCaps/>
          <w:sz w:val="16"/>
          <w:szCs w:val="16"/>
        </w:rPr>
        <w:t>Table IV: Current PoC vs. Proposed Future Architecture</w:t>
      </w:r>
    </w:p>
    <w:tbl>
      <w:tblPr>
        <w:tblW w:w="50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00"/>
        <w:gridCol w:w="2400"/>
      </w:tblGrid>
      <w:tr w:rsidR="00E054D7">
        <w:trPr>
          <w:trHeight w:val="398"/>
        </w:trPr>
        <w:tc>
          <w:tcPr>
            <w:tcW w:w="26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b/>
                <w:bCs/>
                <w:smallCaps/>
                <w:sz w:val="16"/>
                <w:szCs w:val="16"/>
                <w:u w:color="000000"/>
                <w:lang w:val="en-US"/>
              </w:rPr>
              <w:lastRenderedPageBreak/>
              <w:t>Current PoC Component</w:t>
            </w:r>
          </w:p>
        </w:tc>
        <w:tc>
          <w:tcPr>
            <w:tcW w:w="2400" w:type="dxa"/>
            <w:tcBorders>
              <w:top w:val="single" w:sz="4" w:space="0" w:color="000000"/>
              <w:left w:val="single" w:sz="4" w:space="0" w:color="000000"/>
              <w:bottom w:val="single" w:sz="4" w:space="0" w:color="000000"/>
              <w:right w:val="single" w:sz="4" w:space="0" w:color="000000"/>
            </w:tcBorders>
            <w:shd w:val="clear" w:color="auto" w:fill="CCCCCC"/>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b/>
                <w:bCs/>
                <w:smallCaps/>
                <w:sz w:val="16"/>
                <w:szCs w:val="16"/>
                <w:u w:color="000000"/>
                <w:lang w:val="en-US"/>
              </w:rPr>
              <w:t>Proposed Production Replacement</w:t>
            </w:r>
          </w:p>
        </w:tc>
      </w:tr>
      <w:tr w:rsidR="00E054D7">
        <w:trPr>
          <w:trHeight w:val="398"/>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Single FastAPI oracle node</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Decentralised GNN-scored oracle network</w:t>
            </w:r>
          </w:p>
        </w:tc>
      </w:tr>
      <w:tr w:rsidR="00E054D7">
        <w:trPr>
          <w:trHeight w:val="398"/>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Text-length heuristic score</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de-DE"/>
              </w:rPr>
              <w:t>Fine-tuned FinBERT NLP classifier</w:t>
            </w:r>
          </w:p>
        </w:tc>
      </w:tr>
      <w:tr w:rsidR="00E054D7">
        <w:trPr>
          <w:trHeight w:val="398"/>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secrets.token_hex signature</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Real Ed25519 HSM / threshold signing</w:t>
            </w:r>
          </w:p>
        </w:tc>
      </w:tr>
      <w:tr w:rsidR="00E054D7">
        <w:trPr>
          <w:trHeight w:val="398"/>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Static aggregation endpoint</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Deep Q-Network (DQN) aggregation agent</w:t>
            </w:r>
          </w:p>
        </w:tc>
      </w:tr>
      <w:tr w:rsidR="00E054D7">
        <w:trPr>
          <w:trHeight w:val="398"/>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pt-PT"/>
              </w:rPr>
              <w:t>No anomaly detection</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Autoencoder anomaly screening layer</w:t>
            </w:r>
          </w:p>
        </w:tc>
      </w:tr>
      <w:tr w:rsidR="00E054D7">
        <w:trPr>
          <w:trHeight w:val="398"/>
        </w:trPr>
        <w:tc>
          <w:tcPr>
            <w:tcW w:w="2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N</w:t>
            </w:r>
            <w:r>
              <w:rPr>
                <w:rFonts w:ascii="Times New Roman" w:hAnsi="Times New Roman"/>
                <w:sz w:val="16"/>
                <w:szCs w:val="16"/>
                <w:u w:color="000000"/>
                <w:lang w:val="en-US"/>
              </w:rPr>
              <w:t>o federated training</w:t>
            </w:r>
          </w:p>
        </w:tc>
        <w:tc>
          <w:tcPr>
            <w:tcW w:w="24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54D7" w:rsidRDefault="007440A4">
            <w:pPr>
              <w:pStyle w:val="Default"/>
              <w:tabs>
                <w:tab w:val="left" w:pos="720"/>
                <w:tab w:val="left" w:pos="1440"/>
                <w:tab w:val="left" w:pos="2160"/>
              </w:tabs>
              <w:jc w:val="center"/>
            </w:pPr>
            <w:r>
              <w:rPr>
                <w:rFonts w:ascii="Times New Roman" w:hAnsi="Times New Roman"/>
                <w:sz w:val="16"/>
                <w:szCs w:val="16"/>
                <w:u w:color="000000"/>
                <w:lang w:val="en-US"/>
              </w:rPr>
              <w:t>Flower (flwr) federated learning framework</w:t>
            </w:r>
          </w:p>
        </w:tc>
      </w:tr>
    </w:tbl>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B. GNN-Based Trust Estimation</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Rather than relying on a single oracle node, the production design would use a network of independent nodes, each computing its own Hype Score estimate. A </w:t>
      </w:r>
      <w:r>
        <w:rPr>
          <w:rFonts w:ascii="Times New Roman" w:hAnsi="Times New Roman"/>
          <w:sz w:val="20"/>
          <w:szCs w:val="20"/>
        </w:rPr>
        <w:t>Graph Neural Network would then be used to assign trust weights to each node based on its historical behaviour [1]. Each node is a vertex in the graph, with edge features capturing whether pairs of nodes have historically agreed with each other. A two-laye</w:t>
      </w:r>
      <w:r>
        <w:rPr>
          <w:rFonts w:ascii="Times New Roman" w:hAnsi="Times New Roman"/>
          <w:sz w:val="20"/>
          <w:szCs w:val="20"/>
        </w:rPr>
        <w:t>r Graph Convolutional Network would produce dynamic trust scores with temporal decay, so that recent misbehaviour is weighted more heavily than old infractions. Nodes below a threshold trust score would be excluded from aggregation [16].</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C. Federated Learn</w:t>
      </w:r>
      <w:r>
        <w:rPr>
          <w:rFonts w:ascii="Times New Roman" w:hAnsi="Times New Roman"/>
          <w:b/>
          <w:bCs/>
          <w:i/>
          <w:iCs/>
          <w:sz w:val="20"/>
          <w:szCs w:val="20"/>
        </w:rPr>
        <w:t>ing for Sentiment Modelling</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Each trusted oracle node would train a local copy of a sentiment model on its own scraped data, without sharing raw text with any central server. The Flower (flwr) federated learning framework would coordinate the aggregation of</w:t>
      </w:r>
      <w:r>
        <w:rPr>
          <w:rFonts w:ascii="Times New Roman" w:hAnsi="Times New Roman"/>
          <w:sz w:val="20"/>
          <w:szCs w:val="20"/>
        </w:rPr>
        <w:t xml:space="preserve"> model updates, using a trust-weighted averaging scheme so that high-trust nodes contribute more to the global model. The local model at each node would be a fine-tuned FinBERT transformer rather than a text-length heuristic [3][5]. Differential privacy wo</w:t>
      </w:r>
      <w:r>
        <w:rPr>
          <w:rFonts w:ascii="Times New Roman" w:hAnsi="Times New Roman"/>
          <w:sz w:val="20"/>
          <w:szCs w:val="20"/>
        </w:rPr>
        <w:t>uld be applied during gradient aggregation to prevent inference attacks on the training data.</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lang w:val="pt-PT"/>
        </w:rPr>
        <w:t>D. Auto-encoder Anomaly Detection</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Before any node's submission is included in the final aggregated score, it would pass through an unsupervised auto encoder train</w:t>
      </w:r>
      <w:r>
        <w:rPr>
          <w:rFonts w:ascii="Times New Roman" w:hAnsi="Times New Roman"/>
          <w:sz w:val="20"/>
          <w:szCs w:val="20"/>
        </w:rPr>
        <w:t xml:space="preserve">ed on historical normal-behaviour data. Submissions whose reconstruction error exceeds a </w:t>
      </w:r>
      <w:r>
        <w:rPr>
          <w:rFonts w:ascii="Times New Roman" w:hAnsi="Times New Roman"/>
          <w:sz w:val="20"/>
          <w:szCs w:val="20"/>
        </w:rPr>
        <w:lastRenderedPageBreak/>
        <w:t>dynamically adjusted threshold would be flagged as suspicious and excluded. Repeated flagging would feed back into the GNN trust layer as a penalty, creating a self-co</w:t>
      </w:r>
      <w:r>
        <w:rPr>
          <w:rFonts w:ascii="Times New Roman" w:hAnsi="Times New Roman"/>
          <w:sz w:val="20"/>
          <w:szCs w:val="20"/>
        </w:rPr>
        <w:t>rrecting loop that tightens over time as more data accumulates [7].</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E. Reinforcement Learning Aggregation and Real Ed25519 Signing</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The final aggregation step would be handled by a Deep Q-Network agent rather than a static averaging function. The agent woul</w:t>
      </w:r>
      <w:r>
        <w:rPr>
          <w:rFonts w:ascii="Times New Roman" w:hAnsi="Times New Roman"/>
          <w:sz w:val="20"/>
          <w:szCs w:val="20"/>
        </w:rPr>
        <w:t>d observe the current distribution of node submissions and select among strategies such as trust-weighted averaging, median filtering, and top-k exclusion. Its reward function would balance aggregation accuracy against output variance and on-chain gas cost</w:t>
      </w:r>
      <w:r>
        <w:rPr>
          <w:rFonts w:ascii="Times New Roman" w:hAnsi="Times New Roman"/>
          <w:sz w:val="20"/>
          <w:szCs w:val="20"/>
        </w:rPr>
        <w:t>. Once the agent selects a final value, it would be signed by a real Ed25519 private key stored in a Hardware Security Module or a threshold signature scheme [1][9].</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b/>
          <w:bCs/>
          <w:i/>
          <w:iCs/>
          <w:sz w:val="20"/>
          <w:szCs w:val="20"/>
        </w:rPr>
        <w:t>F. AI Engine Upgrade Path</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The complete AI engine data flow, from raw web query through FOM</w:t>
      </w:r>
      <w:r>
        <w:rPr>
          <w:rFonts w:ascii="Times New Roman" w:hAnsi="Times New Roman"/>
          <w:sz w:val="20"/>
          <w:szCs w:val="20"/>
        </w:rPr>
        <w:t>O scoring, verdict classification, and signature generation, is shown in Figure 6. In the proposed upgrade, Step 2 (the heuristic scoring engine) would be replaced by a trained FinBERT classifier, Step 3 verdict thresholds would be learned rather than fixe</w:t>
      </w:r>
      <w:r>
        <w:rPr>
          <w:rFonts w:ascii="Times New Roman" w:hAnsi="Times New Roman"/>
          <w:sz w:val="20"/>
          <w:szCs w:val="20"/>
        </w:rPr>
        <w:t>d, and Step 4 would produce a real Ed25519 attestation rather than a CSPRNG placeholder.</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eastAsia="Times New Roman" w:hAnsi="Times New Roman" w:cs="Times New Roman"/>
          <w:noProof/>
          <w:lang w:val="en-IN"/>
        </w:rPr>
        <w:drawing>
          <wp:inline distT="0" distB="0" distL="0" distR="0">
            <wp:extent cx="3190875" cy="3333750"/>
            <wp:effectExtent l="0" t="0" r="0" b="0"/>
            <wp:docPr id="1073741830" name="officeArt object" descr="d8a3ae4be5d4471de2fb8ef884d826a4d895273c.png"/>
            <wp:cNvGraphicFramePr/>
            <a:graphic xmlns:a="http://schemas.openxmlformats.org/drawingml/2006/main">
              <a:graphicData uri="http://schemas.openxmlformats.org/drawingml/2006/picture">
                <pic:pic xmlns:pic="http://schemas.openxmlformats.org/drawingml/2006/picture">
                  <pic:nvPicPr>
                    <pic:cNvPr id="1073741830" name="d8a3ae4be5d4471de2fb8ef884d826a4d895273c.png" descr="d8a3ae4be5d4471de2fb8ef884d826a4d895273c.png"/>
                    <pic:cNvPicPr>
                      <a:picLocks noChangeAspect="1"/>
                    </pic:cNvPicPr>
                  </pic:nvPicPr>
                  <pic:blipFill>
                    <a:blip r:embed="rId14">
                      <a:extLst/>
                    </a:blip>
                    <a:stretch>
                      <a:fillRect/>
                    </a:stretch>
                  </pic:blipFill>
                  <pic:spPr>
                    <a:xfrm>
                      <a:off x="0" y="0"/>
                      <a:ext cx="3190875" cy="3333750"/>
                    </a:xfrm>
                    <a:prstGeom prst="rect">
                      <a:avLst/>
                    </a:prstGeom>
                    <a:ln w="12700" cap="flat">
                      <a:noFill/>
                      <a:miter lim="400000"/>
                    </a:ln>
                    <a:effectLst/>
                  </pic:spPr>
                </pic:pic>
              </a:graphicData>
            </a:graphic>
          </wp:inline>
        </w:drawing>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i/>
          <w:iCs/>
          <w:sz w:val="16"/>
          <w:szCs w:val="16"/>
        </w:rPr>
        <w:t>Fig. 6.  AI Engine Data Flow Pipeline (current PoC stages shown; proposed upgrades described in Section VI).</w:t>
      </w: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b/>
          <w:bCs/>
          <w:sz w:val="24"/>
          <w:szCs w:val="24"/>
        </w:rPr>
      </w:pPr>
      <w:r>
        <w:rPr>
          <w:rFonts w:ascii="Times New Roman" w:hAnsi="Times New Roman"/>
          <w:b/>
          <w:bCs/>
          <w:smallCaps/>
          <w:sz w:val="24"/>
          <w:szCs w:val="24"/>
          <w:lang w:val="it-IT"/>
        </w:rPr>
        <w:t>VII. Conclusion</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 xml:space="preserve">This paper presented FomoOracle, a </w:t>
      </w:r>
      <w:r>
        <w:rPr>
          <w:rFonts w:ascii="Times New Roman" w:hAnsi="Times New Roman"/>
          <w:sz w:val="20"/>
          <w:szCs w:val="20"/>
        </w:rPr>
        <w:t xml:space="preserve">proof-of-concept system for integrating off-chain sentiment signals with a decentralised prediction market on the Cardano blockchain. The main thing </w:t>
      </w:r>
      <w:r>
        <w:rPr>
          <w:rFonts w:ascii="Times New Roman" w:hAnsi="Times New Roman"/>
          <w:sz w:val="20"/>
          <w:szCs w:val="20"/>
        </w:rPr>
        <w:lastRenderedPageBreak/>
        <w:t xml:space="preserve">demonstrated is not a trained AI model but an architectural proof: the data flow from web scraping through </w:t>
      </w:r>
      <w:r>
        <w:rPr>
          <w:rFonts w:ascii="Times New Roman" w:hAnsi="Times New Roman"/>
          <w:sz w:val="20"/>
          <w:szCs w:val="20"/>
        </w:rPr>
        <w:t>a FastAPI service into Aiken smart contracts has been built, deployed, and verified end-to-end on the Cardano Preview Testnet.</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Six on-chain mechanisms were implemented and tested: a 120% over-collateralised Treasury Reserve with an 80% safety-valve liabili</w:t>
      </w:r>
      <w:r>
        <w:rPr>
          <w:rFonts w:ascii="Times New Roman" w:hAnsi="Times New Roman"/>
          <w:sz w:val="20"/>
          <w:szCs w:val="20"/>
        </w:rPr>
        <w:t>ty cap, an anti-arbitrage dual-layer exposure guard, an autonomous crash-refund trigger, Shield NFT insurance following the CIP-68 standard, a constant-product AMM, and an oracle validator. Together, these represent non-trivial financial contract logic tha</w:t>
      </w:r>
      <w:r>
        <w:rPr>
          <w:rFonts w:ascii="Times New Roman" w:hAnsi="Times New Roman"/>
          <w:sz w:val="20"/>
          <w:szCs w:val="20"/>
        </w:rPr>
        <w:t>t takes advantage of the eUTXO model's formal verifiability and parallel execution properties.</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The upgrade roadmap to GNN trust modelling, federated learning, transformer-based NLP, autoencoder anomaly detection, and RL aggregation gives a grounded and lit</w:t>
      </w:r>
      <w:r>
        <w:rPr>
          <w:rFonts w:ascii="Times New Roman" w:hAnsi="Times New Roman"/>
          <w:sz w:val="20"/>
          <w:szCs w:val="20"/>
        </w:rPr>
        <w:t>erature-backed path from the current PoC to a production-grade AI oracle. Each stage maps onto existing work and slots into the integration scaffold that this project has already validated.</w:t>
      </w: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b/>
          <w:bCs/>
          <w:sz w:val="24"/>
          <w:szCs w:val="24"/>
        </w:rPr>
      </w:pPr>
      <w:r>
        <w:rPr>
          <w:rFonts w:ascii="Times New Roman" w:hAnsi="Times New Roman"/>
          <w:b/>
          <w:bCs/>
          <w:smallCaps/>
          <w:sz w:val="24"/>
          <w:szCs w:val="24"/>
        </w:rPr>
        <w:t>Acknowledgment</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20"/>
          <w:szCs w:val="20"/>
        </w:rPr>
        <w:t>The author wishes to acknowledge the Aiken languag</w:t>
      </w:r>
      <w:r>
        <w:rPr>
          <w:rFonts w:ascii="Times New Roman" w:hAnsi="Times New Roman"/>
          <w:sz w:val="20"/>
          <w:szCs w:val="20"/>
        </w:rPr>
        <w:t>e development team and the Lucid Evolution library maintainers, whose open-source tooling made rapid prototyping of the on-chain contract suite possible. Thanks are also due to the Cardano Preview Testnet infrastructure for providing a low-cost environment</w:t>
      </w:r>
      <w:r>
        <w:rPr>
          <w:rFonts w:ascii="Times New Roman" w:hAnsi="Times New Roman"/>
          <w:sz w:val="20"/>
          <w:szCs w:val="20"/>
        </w:rPr>
        <w:t xml:space="preserve"> for contract testing and verification.</w:t>
      </w:r>
    </w:p>
    <w:p w:rsidR="00E054D7" w:rsidRDefault="00E054D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b/>
          <w:bCs/>
          <w:sz w:val="24"/>
          <w:szCs w:val="24"/>
        </w:rPr>
      </w:pPr>
      <w:r>
        <w:rPr>
          <w:rFonts w:ascii="Times New Roman" w:hAnsi="Times New Roman"/>
          <w:b/>
          <w:bCs/>
          <w:smallCaps/>
          <w:sz w:val="24"/>
          <w:szCs w:val="24"/>
          <w:lang w:val="fr-FR"/>
        </w:rPr>
        <w:t>References</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[1] S. Rohan and J. Ananda Babu, "Smart Contract Execution using AI-Driven Oracles," in Proc. 2025 Int. Conf. on Communication, Computer, and Information Technology (IC3IT), 2025, DOI: 10.1109/IC3IT66137.</w:t>
      </w:r>
      <w:r>
        <w:rPr>
          <w:rFonts w:ascii="Times New Roman" w:hAnsi="Times New Roman"/>
          <w:sz w:val="16"/>
          <w:szCs w:val="16"/>
        </w:rPr>
        <w:t>2025.11341565.</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[2] [Author(s)], "Comparative Analysis of LLM-based Market Prediction and Human Expertise with Sentiment Analysis and Machine Learning Integration," IEEE, 2025. [Online]. Available: https://ieeexplore.ieee.org/document/10881868/</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 xml:space="preserve">[3] </w:t>
      </w:r>
      <w:r>
        <w:rPr>
          <w:rFonts w:ascii="Times New Roman" w:hAnsi="Times New Roman"/>
          <w:sz w:val="16"/>
          <w:szCs w:val="16"/>
        </w:rPr>
        <w:t>[Author(s)], "Predicting Stock Market Trends Using Machine Learning and Sentiment Analysis," IEEE, 2025. [Online]. Available: https://ieeexplore.ieee.org/document/10971605/</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[4] [Author(s)], "Prediction of Stock Market Trends Using Sentiment Analysis with L</w:t>
      </w:r>
      <w:r>
        <w:rPr>
          <w:rFonts w:ascii="Times New Roman" w:hAnsi="Times New Roman"/>
          <w:sz w:val="16"/>
          <w:szCs w:val="16"/>
        </w:rPr>
        <w:t>STM," IEEE, 2025. [Online]. Available: https://ieeexplore.ieee.org/document/11034818/</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 xml:space="preserve">[5] [Author(s)], "Integrating Public Sentiment on Stock Return Percentage Prediction in Emerging Markets with a Deep Learning Approach," IEEE, 2025. [Online]. Available: </w:t>
      </w:r>
      <w:r>
        <w:rPr>
          <w:rFonts w:ascii="Times New Roman" w:hAnsi="Times New Roman"/>
          <w:sz w:val="16"/>
          <w:szCs w:val="16"/>
        </w:rPr>
        <w:t>https://ieeexplore.ieee.org/document/11081119/</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[6] [Author(s)], "A Comprehensive Survey on Enhancing Stock Market Predictions through Machine Learning and NLP-Based Sentiment Analysis Integration," IEEE, 2025. [Online]. Available: https://ieeexplore.ieee.o</w:t>
      </w:r>
      <w:r>
        <w:rPr>
          <w:rFonts w:ascii="Times New Roman" w:hAnsi="Times New Roman"/>
          <w:sz w:val="16"/>
          <w:szCs w:val="16"/>
        </w:rPr>
        <w:t>rg/document/10933064/</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[7] [Author(s)], "AiRacleX: Automated Detection of Price Oracle Manipulation," IEEE, 2025. [Online]. Available: https://ieeexplore.ieee.org/document/11270215/</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[8] A. Purohit and B. Rajendran, "AI-Driven Opcode-Based Smart Contract Cla</w:t>
      </w:r>
      <w:r>
        <w:rPr>
          <w:rFonts w:ascii="Times New Roman" w:hAnsi="Times New Roman"/>
          <w:sz w:val="16"/>
          <w:szCs w:val="16"/>
        </w:rPr>
        <w:t>ssification," in Proc. IEEE Int. Conf. on Blockchain, 2024. [Online]. Available: https://ieeexplore.ieee.org/document/10577927/</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lastRenderedPageBreak/>
        <w:t>[9] [Author(s)], "Efficient Certification of Endpoint Control on Blockchain," IEEE, 2024. [Online]. Available: https://ieeexplor</w:t>
      </w:r>
      <w:r>
        <w:rPr>
          <w:rFonts w:ascii="Times New Roman" w:hAnsi="Times New Roman"/>
          <w:sz w:val="16"/>
          <w:szCs w:val="16"/>
        </w:rPr>
        <w:t>e.ieee.org/document/10561226/</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[10] L. Fanton, A. Span</w:t>
      </w:r>
      <w:r>
        <w:rPr>
          <w:rFonts w:ascii="Times New Roman" w:hAnsi="Times New Roman"/>
          <w:sz w:val="16"/>
          <w:szCs w:val="16"/>
        </w:rPr>
        <w:t>ò</w:t>
      </w:r>
      <w:r>
        <w:rPr>
          <w:rFonts w:ascii="Times New Roman" w:hAnsi="Times New Roman"/>
          <w:sz w:val="16"/>
          <w:szCs w:val="16"/>
        </w:rPr>
        <w:t xml:space="preserve">, and M. Bugliesi, "Secure Distributed State Management in eUTxO Blockchains," in Proc. IEEE Int. Conf. Decentralized Applications and Infrastructures (DAPPS), 2025. [Online]. Available: </w:t>
      </w:r>
      <w:r>
        <w:rPr>
          <w:rFonts w:ascii="Times New Roman" w:hAnsi="Times New Roman"/>
          <w:sz w:val="16"/>
          <w:szCs w:val="16"/>
        </w:rPr>
        <w:t>https://ieeexplore.ieee.org/document/11143092/</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[11] [Author(s)], "Pixiu: Optimal Block Production Revenues on Cardano," IEEE, 2024. [Online]. Available: https://ieeexplore.ieee.org/document/10664252/</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[12] [Author(s)], "Use Cases and Comparative Analysis of</w:t>
      </w:r>
      <w:r>
        <w:rPr>
          <w:rFonts w:ascii="Times New Roman" w:hAnsi="Times New Roman"/>
          <w:sz w:val="16"/>
          <w:szCs w:val="16"/>
        </w:rPr>
        <w:t xml:space="preserve"> Blockchain Networks and Layers for DApp Development," IEEE, 2024. [Online]. Available: https://ieeexplore.ieee.org/document/10577885/</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[13] [Author(s)], "Order Book Inspired Automated Market Making," IEEE, 2024. [Online]. Available: https://ieeexplore.ieee</w:t>
      </w:r>
      <w:r>
        <w:rPr>
          <w:rFonts w:ascii="Times New Roman" w:hAnsi="Times New Roman"/>
          <w:sz w:val="16"/>
          <w:szCs w:val="16"/>
        </w:rPr>
        <w:t>.org/document/10456889/</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[14] [Author(s)], "Research on Blockchain-Based Insurance Smart Contract Technology," IEEE, 2025. [Online]. Available: https://ieeexplore.ieee.org/document/10929211/</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rPr>
          <w:rFonts w:ascii="Times New Roman" w:eastAsia="Times New Roman" w:hAnsi="Times New Roman" w:cs="Times New Roman"/>
        </w:rPr>
      </w:pPr>
      <w:r>
        <w:rPr>
          <w:rFonts w:ascii="Times New Roman" w:hAnsi="Times New Roman"/>
          <w:sz w:val="16"/>
          <w:szCs w:val="16"/>
        </w:rPr>
        <w:t>[15] [Author(s)], "A Framework for Platform-Agnostic Blockchain an</w:t>
      </w:r>
      <w:r>
        <w:rPr>
          <w:rFonts w:ascii="Times New Roman" w:hAnsi="Times New Roman"/>
          <w:sz w:val="16"/>
          <w:szCs w:val="16"/>
        </w:rPr>
        <w:t>d IoT Based Insurance System," IEEE, 2024. [Online]. Available: https://ieeexplore.ieee.org/document/10520904/</w:t>
      </w:r>
    </w:p>
    <w:p w:rsidR="00E054D7" w:rsidRDefault="007440A4">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80"/>
        <w:jc w:val="both"/>
      </w:pPr>
      <w:r>
        <w:rPr>
          <w:rFonts w:ascii="Times New Roman" w:hAnsi="Times New Roman"/>
          <w:sz w:val="16"/>
          <w:szCs w:val="16"/>
        </w:rPr>
        <w:t>[16] C. Xu et al., "Enhanced Smart Contract Vulnerability Detection via Graph Neural Networks: Achieving High Accuracy and Efficiency," IEEE Tran</w:t>
      </w:r>
      <w:r>
        <w:rPr>
          <w:rFonts w:ascii="Times New Roman" w:hAnsi="Times New Roman"/>
          <w:sz w:val="16"/>
          <w:szCs w:val="16"/>
        </w:rPr>
        <w:t>s. Softw. Eng., vol. 51, no. 6, pp. 1854</w:t>
      </w:r>
      <w:r>
        <w:rPr>
          <w:rFonts w:ascii="Times New Roman" w:hAnsi="Times New Roman"/>
          <w:sz w:val="16"/>
          <w:szCs w:val="16"/>
        </w:rPr>
        <w:t>–</w:t>
      </w:r>
      <w:r>
        <w:rPr>
          <w:rFonts w:ascii="Times New Roman" w:hAnsi="Times New Roman"/>
          <w:sz w:val="16"/>
          <w:szCs w:val="16"/>
        </w:rPr>
        <w:t>1865, 2025.</w:t>
      </w:r>
    </w:p>
    <w:sectPr w:rsidR="00E054D7">
      <w:type w:val="continuous"/>
      <w:pgSz w:w="11900" w:h="16840"/>
      <w:pgMar w:top="1077" w:right="811" w:bottom="2438" w:left="811" w:header="708" w:footer="708" w:gutter="0"/>
      <w:cols w:num="2" w:space="2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0A4" w:rsidRDefault="007440A4">
      <w:r>
        <w:separator/>
      </w:r>
    </w:p>
  </w:endnote>
  <w:endnote w:type="continuationSeparator" w:id="0">
    <w:p w:rsidR="007440A4" w:rsidRDefault="0074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4D7" w:rsidRDefault="00E054D7">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0A4" w:rsidRDefault="007440A4">
      <w:r>
        <w:separator/>
      </w:r>
    </w:p>
  </w:footnote>
  <w:footnote w:type="continuationSeparator" w:id="0">
    <w:p w:rsidR="007440A4" w:rsidRDefault="007440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4D7" w:rsidRDefault="00E054D7">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054D7"/>
    <w:rsid w:val="0021204E"/>
    <w:rsid w:val="007440A4"/>
    <w:rsid w:val="00E054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paragraph" w:customStyle="1" w:styleId="Default">
    <w:name w:val="Default"/>
    <w:pPr>
      <w:spacing w:before="160" w:line="288" w:lineRule="auto"/>
    </w:pPr>
    <w:rPr>
      <w:rFonts w:ascii="Helvetica Neue" w:hAnsi="Helvetica Neue" w:cs="Arial Unicode MS"/>
      <w:color w:val="000000"/>
      <w:sz w:val="24"/>
      <w:szCs w:val="24"/>
      <w:lang w:val="it-IT"/>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paragraph" w:customStyle="1" w:styleId="Default">
    <w:name w:val="Default"/>
    <w:pPr>
      <w:spacing w:before="160" w:line="288" w:lineRule="auto"/>
    </w:pPr>
    <w:rPr>
      <w:rFonts w:ascii="Helvetica Neue" w:hAnsi="Helvetica Neue" w:cs="Arial Unicode MS"/>
      <w:color w:val="000000"/>
      <w:sz w:val="24"/>
      <w:szCs w:val="24"/>
      <w:lang w:val="it-IT"/>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4076</Words>
  <Characters>23238</Characters>
  <Application>Microsoft Office Word</Application>
  <DocSecurity>0</DocSecurity>
  <Lines>193</Lines>
  <Paragraphs>54</Paragraphs>
  <ScaleCrop>false</ScaleCrop>
  <Company/>
  <LinksUpToDate>false</LinksUpToDate>
  <CharactersWithSpaces>27260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2026-05-16T07:15:00Z</dcterms:created>
  <dcterms:modified xsi:type="dcterms:W3CDTF">2026-05-16T07:15:00Z</dcterms:modified>
</cp:coreProperties>
</file>