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883B1" w14:textId="77777777" w:rsidR="002A0A49" w:rsidRPr="008D01D3" w:rsidRDefault="001D28EC" w:rsidP="008D01D3">
      <w:pPr>
        <w:pBdr>
          <w:bottom w:val="single" w:sz="4" w:space="1" w:color="auto"/>
        </w:pBdr>
        <w:spacing w:line="360" w:lineRule="auto"/>
        <w:jc w:val="center"/>
        <w:rPr>
          <w:rFonts w:ascii="Times New Roman" w:hAnsi="Times New Roman" w:cs="Times New Roman"/>
          <w:b/>
          <w:bCs/>
          <w:sz w:val="32"/>
          <w:szCs w:val="32"/>
        </w:rPr>
      </w:pPr>
      <w:r w:rsidRPr="008D01D3">
        <w:rPr>
          <w:rFonts w:ascii="Times New Roman" w:hAnsi="Times New Roman" w:cs="Times New Roman"/>
          <w:b/>
          <w:bCs/>
          <w:sz w:val="32"/>
          <w:szCs w:val="32"/>
        </w:rPr>
        <w:t>"</w:t>
      </w:r>
      <w:r w:rsidR="00C4342F" w:rsidRPr="008D01D3">
        <w:rPr>
          <w:rFonts w:ascii="Times New Roman" w:hAnsi="Times New Roman" w:cs="Times New Roman"/>
          <w:b/>
          <w:bCs/>
          <w:sz w:val="32"/>
          <w:szCs w:val="32"/>
        </w:rPr>
        <w:t>FROM INTENTION TO PRACTICE: AN EXTENDED TECHNOLOGY ACCEPTANCE MODEL OF ORGANIC FARMING ADOPTION AMONG FARMERS</w:t>
      </w:r>
      <w:r w:rsidRPr="008D01D3">
        <w:rPr>
          <w:rFonts w:ascii="Times New Roman" w:hAnsi="Times New Roman" w:cs="Times New Roman"/>
          <w:b/>
          <w:bCs/>
          <w:sz w:val="32"/>
          <w:szCs w:val="32"/>
        </w:rPr>
        <w:t>"</w:t>
      </w:r>
    </w:p>
    <w:p w14:paraId="3B80DE6A" w14:textId="77777777" w:rsidR="00BA1AE7" w:rsidRPr="003753C7" w:rsidRDefault="00BA1AE7" w:rsidP="00C4342F">
      <w:pPr>
        <w:jc w:val="both"/>
        <w:rPr>
          <w:rFonts w:ascii="Times New Roman" w:hAnsi="Times New Roman" w:cs="Times New Roman"/>
          <w:b/>
          <w:bCs/>
          <w:sz w:val="24"/>
          <w:szCs w:val="24"/>
        </w:rPr>
      </w:pPr>
      <w:bookmarkStart w:id="0" w:name="_GoBack"/>
      <w:bookmarkEnd w:id="0"/>
      <w:r w:rsidRPr="003753C7">
        <w:rPr>
          <w:rFonts w:ascii="Times New Roman" w:hAnsi="Times New Roman" w:cs="Times New Roman"/>
          <w:b/>
          <w:bCs/>
          <w:sz w:val="24"/>
          <w:szCs w:val="24"/>
        </w:rPr>
        <w:t>Abstract</w:t>
      </w:r>
    </w:p>
    <w:p w14:paraId="59E15C6D" w14:textId="77777777" w:rsidR="00F81A7A" w:rsidRPr="003753C7" w:rsidRDefault="00F81A7A" w:rsidP="00C4342F">
      <w:pPr>
        <w:jc w:val="both"/>
        <w:rPr>
          <w:rFonts w:ascii="Times New Roman" w:hAnsi="Times New Roman" w:cs="Times New Roman"/>
          <w:i/>
          <w:iCs/>
          <w:sz w:val="24"/>
          <w:szCs w:val="24"/>
        </w:rPr>
      </w:pPr>
      <w:r w:rsidRPr="003753C7">
        <w:rPr>
          <w:rFonts w:ascii="Times New Roman" w:hAnsi="Times New Roman" w:cs="Times New Roman"/>
          <w:i/>
          <w:iCs/>
          <w:sz w:val="24"/>
          <w:szCs w:val="24"/>
        </w:rPr>
        <w:t>The transition to organic farming is increasingly recognized as a viable remedy for environmental degradation, health problems, and the long-term viability of agricultural systems. However, despite growing awareness, farmers continue to adopt organic farming practices unevenly, creating a gap between intention and practice. This study proposes an enlarged Technology adoption Model (TAM) to examine the key determinants of farmers' adoption of organic farming. By include components like perceived risk, social influence, perceived economic benefits, perceived environmental concern, and institutional support, the model builds upon the traditional TAM concepts of perceived utility and perceived ease of use. Using primary data collected from farmers using a standardized questionnaire, the study use structural equation modeling to investigate the relationships between these parameters. The findings demonstrate that perceived utility and environmental concern have a significant impact on farmers' opinions on organic farming, which in turn affects their behavioral intentions. Perceived risk also acts as a barrier to adoption, although institutional support and social influence are crucial mediators in turning intention into actual practice. The study contributes to the body of knowledge by highlighting the elements that facilitate the transition from intention to practice and by empirically validating an extended TAM in the context of organic farming. The results offer useful information that agricultural stakeholders, governments, and extension agencies may utilize to develop targeted interventions that encourage farmers to adopt organic farming practices more broadly.</w:t>
      </w:r>
    </w:p>
    <w:p w14:paraId="35A3AC39" w14:textId="77777777" w:rsidR="00BA1AE7" w:rsidRPr="003753C7" w:rsidRDefault="00BA1AE7" w:rsidP="00C4342F">
      <w:pPr>
        <w:jc w:val="both"/>
        <w:rPr>
          <w:rFonts w:ascii="Times New Roman" w:hAnsi="Times New Roman" w:cs="Times New Roman"/>
          <w:i/>
          <w:iCs/>
          <w:sz w:val="24"/>
          <w:szCs w:val="24"/>
        </w:rPr>
      </w:pPr>
      <w:r w:rsidRPr="003753C7">
        <w:rPr>
          <w:rFonts w:ascii="Times New Roman" w:hAnsi="Times New Roman" w:cs="Times New Roman"/>
          <w:b/>
          <w:bCs/>
          <w:sz w:val="24"/>
          <w:szCs w:val="24"/>
        </w:rPr>
        <w:t xml:space="preserve">Keywords: </w:t>
      </w:r>
      <w:r w:rsidRPr="003753C7">
        <w:rPr>
          <w:rFonts w:ascii="Times New Roman" w:hAnsi="Times New Roman" w:cs="Times New Roman"/>
          <w:i/>
          <w:iCs/>
          <w:sz w:val="24"/>
          <w:szCs w:val="24"/>
        </w:rPr>
        <w:t>Intention, Technology, Acceptance, Model, Organic, Farming</w:t>
      </w:r>
    </w:p>
    <w:p w14:paraId="6312CC63" w14:textId="77777777" w:rsidR="00735A3E" w:rsidRPr="003753C7" w:rsidRDefault="00735A3E" w:rsidP="0042600F">
      <w:pPr>
        <w:jc w:val="both"/>
        <w:rPr>
          <w:rFonts w:ascii="Times New Roman" w:hAnsi="Times New Roman" w:cs="Times New Roman"/>
          <w:b/>
          <w:bCs/>
          <w:sz w:val="24"/>
          <w:szCs w:val="22"/>
        </w:rPr>
      </w:pPr>
      <w:r w:rsidRPr="003753C7">
        <w:rPr>
          <w:rFonts w:ascii="Times New Roman" w:hAnsi="Times New Roman" w:cs="Times New Roman"/>
          <w:b/>
          <w:bCs/>
          <w:sz w:val="24"/>
          <w:szCs w:val="22"/>
        </w:rPr>
        <w:t>Introduction</w:t>
      </w:r>
    </w:p>
    <w:p w14:paraId="6337EF51" w14:textId="77777777" w:rsidR="0042600F" w:rsidRPr="003753C7" w:rsidRDefault="0042600F" w:rsidP="0042600F">
      <w:pPr>
        <w:jc w:val="both"/>
        <w:rPr>
          <w:rFonts w:ascii="Times New Roman" w:hAnsi="Times New Roman" w:cs="Times New Roman"/>
          <w:sz w:val="24"/>
          <w:szCs w:val="22"/>
        </w:rPr>
      </w:pPr>
      <w:r w:rsidRPr="003753C7">
        <w:rPr>
          <w:rFonts w:ascii="Times New Roman" w:hAnsi="Times New Roman" w:cs="Times New Roman"/>
          <w:sz w:val="24"/>
          <w:szCs w:val="22"/>
        </w:rPr>
        <w:t>The adoption of organic farming has gained significant attention worldwide due to its potential to enhance environmental sustainability, improve soil health, and provide safe food products (Reganold &amp; Wachter, 2016). Despite these benefits, the transition from conventional to organic farming remains slow in many regions, often due to farmers’ hesitation, perceived complexity, and lack of adequate support (Pugliese et al., 2018). Understanding the factors that influence farmers’ adoption decisions is critical for designing effective policies and extension programs that encourage sustainable agricultural practices. Technology Acceptance Model (TAM) has been widely employed to explain the adoption of new technologies and innovations in diverse sectors, highlighting the role of perceived usefulness and perceived ease of use in shaping user intention (Davis, 1989). However, when applied to agriculture, particularly organic farming, TAM requires extension to incorporate socio-environmental and policy-related factors that influence farmers’ behavior (Ajzen, 1991; Venkatesh &amp; Bala, 2008). Studies suggest that constructs such as social influence, environmental awareness, government incentives, and perceived economic benefits play a significant role in bridging the gap between intention and actual adoption (Sharma et al., 2020; Bhatia &amp; Singh, 2021). Despite these insights, limited empirical research has examined the combined effects of technological, social, and policy-related factors on the intention and practice of organic farming adoption. This study seeks to fill this gap by developing an extended Technology Acceptance Model that integrates environmental, social, and institutional variables to explain farmers’ adoption behavior more comprehensively. The findings are expected to provide actionable recommendations for policymakers, extension agencies, and agricultural stakeholders aiming to promote organic farming effectively.</w:t>
      </w:r>
    </w:p>
    <w:p w14:paraId="73E4F234" w14:textId="77777777" w:rsidR="00735A3E" w:rsidRPr="003753C7" w:rsidRDefault="00735A3E"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lastRenderedPageBreak/>
        <w:t>Literature Review</w:t>
      </w:r>
    </w:p>
    <w:p w14:paraId="312CB7CB" w14:textId="77777777" w:rsidR="00735A3E" w:rsidRPr="003753C7" w:rsidRDefault="00F81A7A" w:rsidP="00C4342F">
      <w:pPr>
        <w:jc w:val="both"/>
        <w:rPr>
          <w:rFonts w:ascii="Times New Roman" w:hAnsi="Times New Roman" w:cs="Times New Roman"/>
          <w:sz w:val="24"/>
          <w:szCs w:val="24"/>
        </w:rPr>
      </w:pPr>
      <w:r w:rsidRPr="003753C7">
        <w:rPr>
          <w:rFonts w:ascii="Times New Roman" w:hAnsi="Times New Roman" w:cs="Times New Roman"/>
          <w:sz w:val="24"/>
          <w:szCs w:val="24"/>
        </w:rPr>
        <w:t xml:space="preserve">Within the frameworks of sustainable agriculture, environmental preservation, and rural development, the use of organic farming practices has been thoroughly investigated. Organic farming, according to the literature, is more than just a technological advancement; it's a complicated social, economic, and behavioral shift that necessitates new ways of thinking and doing things for farmers (Lampkin, 2002). Although organic farming has many acknowledged health and environmental benefits, its acceptance rate is low owing to a number of interconnected factors, according to researchers </w:t>
      </w:r>
      <w:r w:rsidR="00735A3E" w:rsidRPr="003753C7">
        <w:rPr>
          <w:rFonts w:ascii="Times New Roman" w:hAnsi="Times New Roman" w:cs="Times New Roman"/>
          <w:sz w:val="24"/>
          <w:szCs w:val="24"/>
        </w:rPr>
        <w:t>(Reganold &amp; Wachter, 2016).</w:t>
      </w:r>
    </w:p>
    <w:p w14:paraId="1B93A6D0" w14:textId="77777777" w:rsidR="00735A3E" w:rsidRPr="003753C7" w:rsidRDefault="00735A3E"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Organic Farming Adoption: Determinants and Challenges</w:t>
      </w:r>
    </w:p>
    <w:p w14:paraId="0A7338A8" w14:textId="77777777" w:rsidR="00F81A7A" w:rsidRPr="003753C7" w:rsidRDefault="00F81A7A" w:rsidP="00C4342F">
      <w:pPr>
        <w:jc w:val="both"/>
        <w:rPr>
          <w:rFonts w:ascii="Times New Roman" w:hAnsi="Times New Roman" w:cs="Times New Roman"/>
          <w:sz w:val="24"/>
          <w:szCs w:val="24"/>
        </w:rPr>
      </w:pPr>
      <w:r w:rsidRPr="003753C7">
        <w:rPr>
          <w:rFonts w:ascii="Times New Roman" w:hAnsi="Times New Roman" w:cs="Times New Roman"/>
          <w:sz w:val="24"/>
          <w:szCs w:val="24"/>
        </w:rPr>
        <w:t xml:space="preserve">A number of studies have looked at what makes organic farming more appealing to farmers. Critical factors cited by Panel et al. (2006) include anticipated profitability, conversion costs, yield uncertainty, and access to premium markets. Because organic farming methods have a longer payoff period and reduce yields in the short term, many farmers are unwilling to implement them. Particularly for small and marginal farmers, there are additional obstacles to adoption, such as a shortage of organic inputs, complicated certification processes, and an inadequate market infrastructure </w:t>
      </w:r>
      <w:r w:rsidR="00735A3E" w:rsidRPr="003753C7">
        <w:rPr>
          <w:rFonts w:ascii="Times New Roman" w:hAnsi="Times New Roman" w:cs="Times New Roman"/>
          <w:sz w:val="24"/>
          <w:szCs w:val="24"/>
        </w:rPr>
        <w:t>(Kallas et al., 2010).</w:t>
      </w:r>
      <w:r w:rsidR="00E3286C" w:rsidRPr="003753C7">
        <w:rPr>
          <w:rFonts w:ascii="Times New Roman" w:hAnsi="Times New Roman" w:cs="Times New Roman"/>
          <w:sz w:val="24"/>
          <w:szCs w:val="24"/>
        </w:rPr>
        <w:t xml:space="preserve"> </w:t>
      </w:r>
      <w:r w:rsidRPr="003753C7">
        <w:rPr>
          <w:rFonts w:ascii="Times New Roman" w:hAnsi="Times New Roman" w:cs="Times New Roman"/>
          <w:sz w:val="24"/>
          <w:szCs w:val="24"/>
        </w:rPr>
        <w:t>The decisions that are made about adoption are also significantly influenced by issues of knowledge and awareness. Based on the findings of Knowler and Bradshaw (2007), it has been discovered that farmers' comprehension of organic techniques and their confidence in putting such techniques into practice are favorably influenced by extension services, training programs, and peer learning. According to a number of studies, farmers who have a better level of education and who have had a larger exposure to agricultural advances are more inclined to experiment with and embrace organic farming approaches.</w:t>
      </w:r>
    </w:p>
    <w:p w14:paraId="01513643"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Perceived Ease of Use and Behavioral Intention</w:t>
      </w:r>
    </w:p>
    <w:p w14:paraId="239B68C8"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Perceived Ease of Use (PEOU) refers to the degree to which farmers believe that organic farming technologies can be learned and implemented without excessive effort. According to the Technology Acceptance Model (TAM), ease of use significantly influences an individual’s intention to adopt a new technology, particularly in contexts where users have limited technical exposure (Davis, 1989). In agricultural settings, farmers are more likely to develop positive intentions toward new technologies when practices are simple, compatible with existing knowledge, and require minimal procedural complexity (Adrian et al., 2005). Empirical studies in sustainable agriculture suggest that complicated organic farming techniques, lack of clarity regarding input preparation, and labor-intensive processes often discourage farmers from forming adoption intentions (Knowler &amp; Bradshaw, 2007). Conversely, when organic technologies are perceived as manageable and farmer-friendly, behavioral intention increases.</w:t>
      </w:r>
    </w:p>
    <w:p w14:paraId="1C0F7C3A"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H1: Perceived Ease of Use has a significant positive effect on farmers’ behavioral intention to use organic farming technologies.</w:t>
      </w:r>
    </w:p>
    <w:p w14:paraId="191D8B8F"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Perceived Usefulness and Behavioral Intention</w:t>
      </w:r>
    </w:p>
    <w:p w14:paraId="1D7FBDE9"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Perceived Usefulness (PU) is defined as the extent to which farmers believe that organic farming technologies enhance farm performance, productivity, soil health, profitability, and long-term sustainability. TAM literature consistently identifies perceived usefulness as the strongest predictor of behavioral intention (Davis, 1989; Venkatesh &amp; Bala, 2008).</w:t>
      </w:r>
    </w:p>
    <w:p w14:paraId="48A56461"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 xml:space="preserve">In the context of organic farming, perceived usefulness includes expectations of reduced chemical input costs, improved soil fertility, better market prices, and resilience to climate variability. Studies have shown that farmers are more inclined to adopt organic practices when they perceive tangible agronomic and </w:t>
      </w:r>
      <w:r w:rsidRPr="003753C7">
        <w:rPr>
          <w:rFonts w:ascii="Times New Roman" w:hAnsi="Times New Roman" w:cs="Times New Roman"/>
          <w:sz w:val="24"/>
          <w:szCs w:val="22"/>
        </w:rPr>
        <w:lastRenderedPageBreak/>
        <w:t>economic benefits (Pannell et al., 2006; Reganold &amp; Wachter, 2016). Therefore, perceived usefulness plays a central role in shaping farmers’ willingness to engage with organic technologies.</w:t>
      </w:r>
    </w:p>
    <w:p w14:paraId="0C08BF6F"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H2: Perceived Usefulness has a significant positive effect on farmers’ behavioral intention to use organic farming technologies.</w:t>
      </w:r>
    </w:p>
    <w:p w14:paraId="46A4CD8E"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Perceived Risk and Behavioral Intention</w:t>
      </w:r>
    </w:p>
    <w:p w14:paraId="3B6E9E52"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Perceived Risk refers to farmers’ assessment of potential losses or uncertainties associated with adopting organic farming technologies, such as yield reduction during conversion, market instability, certification costs, and price volatility. Risk perception is a critical determinant of technology adoption in agriculture, where livelihood security is highly sensitive to production outcomes (Greiner &amp; Gregg, 2011).</w:t>
      </w:r>
    </w:p>
    <w:p w14:paraId="1DBC928C"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Several studies indicate that even when farmers recognize the long-term benefits of organic farming, high perceived risk can significantly weaken their intention to adopt such practices (Burton, 2014). In particular, uncertainty during the transition period discourages farmers from committing to organic technologies.</w:t>
      </w:r>
    </w:p>
    <w:p w14:paraId="664EC7C5"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H3: Perceived Risk has a significant negative effect on farmers’ behavioral intention to use organic farming technologies.</w:t>
      </w:r>
    </w:p>
    <w:p w14:paraId="7752B245"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Environmental Risk and Behavioral Intention</w:t>
      </w:r>
    </w:p>
    <w:p w14:paraId="3A8DFBE0"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Environmental Risk reflects farmers’ perception of ecological threats arising from conventional farming practices, including soil degradation, declining soil fertility, groundwater contamination, biodiversity loss, and climate-related stresses. Farmers who perceive higher environmental risks are more likely to seek alternative, sustainable farming solutions (Meemken &amp; Qaim, 2018).</w:t>
      </w:r>
    </w:p>
    <w:p w14:paraId="74048F1F"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Prior research suggests that awareness of environmental degradation increases farmers’ motivation to adopt environmentally friendly technologies, including organic farming (Sutherland et al., 2012). When environmental risks are perceived as severe, farmers are more inclined to form intentions that favor sustainable agricultural practices.</w:t>
      </w:r>
    </w:p>
    <w:p w14:paraId="6DF394CA"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H4: Environmental Risk has a significant positive effect on farmers’ behavioral intention to use organic farming technologies.</w:t>
      </w:r>
    </w:p>
    <w:p w14:paraId="34A00564"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Behavioral Intention and Actual Usage of Organic Farming Technologies</w:t>
      </w:r>
    </w:p>
    <w:p w14:paraId="79FB987A"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Behavioral Intention represents the motivational readiness of farmers to adopt organic farming technologies and is widely accepted as the most immediate predictor of actual behavior (Ajzen, 1991; Davis, 1989). In agricultural adoption studies, intention serves as a crucial link between perception and real-world practice.</w:t>
      </w:r>
    </w:p>
    <w:p w14:paraId="441587A4"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 xml:space="preserve">Empirical evidence confirms that farmers with strong behavioral intentions are significantly more likely to implement organic technologies, provided structural constraints do not completely inhibit action (Adrian et al., 2005). Thus, behavioral intention acts as a mediating mechanism through which perceptual factors influence actual usage. </w:t>
      </w:r>
    </w:p>
    <w:p w14:paraId="09017A38"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H5: Behavioral intention to use organic farming technologies has a significant positive effect on the actual usage of organic farming technologies.</w:t>
      </w:r>
    </w:p>
    <w:p w14:paraId="18BA6F71" w14:textId="77777777" w:rsidR="00735A3E" w:rsidRPr="003753C7" w:rsidRDefault="00735A3E"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Extended TAM and Organic Farming Adoption</w:t>
      </w:r>
    </w:p>
    <w:p w14:paraId="43520543" w14:textId="77777777" w:rsidR="00F81A7A" w:rsidRPr="003753C7" w:rsidRDefault="00F81A7A" w:rsidP="00C4342F">
      <w:pPr>
        <w:jc w:val="both"/>
        <w:rPr>
          <w:rFonts w:ascii="Times New Roman" w:hAnsi="Times New Roman" w:cs="Times New Roman"/>
          <w:sz w:val="24"/>
          <w:szCs w:val="24"/>
        </w:rPr>
      </w:pPr>
      <w:r w:rsidRPr="003753C7">
        <w:rPr>
          <w:rFonts w:ascii="Times New Roman" w:hAnsi="Times New Roman" w:cs="Times New Roman"/>
          <w:sz w:val="24"/>
          <w:szCs w:val="24"/>
        </w:rPr>
        <w:t xml:space="preserve">According to recent research that used extended TAM frameworks to sustainable and organic farming contexts, farmers' views about organic techniques are greatly impacted by their concern for the environment (Yadav &amp; Pathak, 2017). Both intentions and actions regarding adoption might be influenced by social </w:t>
      </w:r>
      <w:r w:rsidRPr="003753C7">
        <w:rPr>
          <w:rFonts w:ascii="Times New Roman" w:hAnsi="Times New Roman" w:cs="Times New Roman"/>
          <w:sz w:val="24"/>
          <w:szCs w:val="24"/>
        </w:rPr>
        <w:lastRenderedPageBreak/>
        <w:t>factors, such as peer farmers, community norms, and farmer networks (Sutherland et al., 2012). Government subsidies, extension services, and certification assistance are all examples of institutional support that can help lower perceived risk and make the change from intention to practice easier (Meemken &amp; Qaim, 2018). The number of empirical research that use an expanded TAM framework to examine the intention-to-practice transition in organic farming is still low, despite these advances. Much of the current literature ignores the processes that link intention and adoption outcomes in favor of studying one or the other. To fill this knowledge vacuum and provide a more thorough explanation for organic farming adoption, more all-encompassing models are required. These models should incorporate behavioral, social, and institutional components. Economic, behavioral, and institutional variables all have a role in organic farming's uptake, according to the research. To capture the complexity of organic farming decisions, it is needed to extend TAM to add context-specific factors, however TAM does provide a good framework for understanding farmers' adoption behavior. To further understand how farmers move from organic farming intentions to actual practices, this study adds to the existing literature by presenting and experimentally testing an expanded TAM.</w:t>
      </w:r>
    </w:p>
    <w:p w14:paraId="3CA0B28F" w14:textId="77777777" w:rsidR="00E3286C" w:rsidRPr="003753C7" w:rsidRDefault="00E3286C" w:rsidP="00C4342F">
      <w:pPr>
        <w:jc w:val="center"/>
        <w:rPr>
          <w:rFonts w:ascii="Times New Roman" w:hAnsi="Times New Roman" w:cs="Times New Roman"/>
          <w:b/>
          <w:bCs/>
          <w:sz w:val="24"/>
          <w:szCs w:val="24"/>
        </w:rPr>
      </w:pPr>
      <w:r w:rsidRPr="003753C7">
        <w:rPr>
          <w:rFonts w:ascii="Times New Roman" w:hAnsi="Times New Roman" w:cs="Times New Roman"/>
          <w:b/>
          <w:bCs/>
          <w:noProof/>
          <w:sz w:val="24"/>
          <w:szCs w:val="24"/>
          <w:lang w:val="en-IN" w:eastAsia="en-IN" w:bidi="ar-SA"/>
        </w:rPr>
        <w:drawing>
          <wp:inline distT="0" distB="0" distL="0" distR="0" wp14:anchorId="5F98D0FC" wp14:editId="04963901">
            <wp:extent cx="5732145" cy="2133045"/>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32145" cy="2133045"/>
                    </a:xfrm>
                    <a:prstGeom prst="rect">
                      <a:avLst/>
                    </a:prstGeom>
                    <a:noFill/>
                    <a:ln w="9525">
                      <a:noFill/>
                      <a:miter lim="800000"/>
                      <a:headEnd/>
                      <a:tailEnd/>
                    </a:ln>
                  </pic:spPr>
                </pic:pic>
              </a:graphicData>
            </a:graphic>
          </wp:inline>
        </w:drawing>
      </w:r>
    </w:p>
    <w:p w14:paraId="7BEEDBE8" w14:textId="77777777" w:rsidR="006241A2" w:rsidRPr="003753C7" w:rsidRDefault="006241A2" w:rsidP="00C4342F">
      <w:pPr>
        <w:jc w:val="center"/>
        <w:rPr>
          <w:rFonts w:ascii="Times New Roman" w:hAnsi="Times New Roman" w:cs="Times New Roman"/>
          <w:b/>
          <w:bCs/>
          <w:sz w:val="24"/>
          <w:szCs w:val="24"/>
        </w:rPr>
      </w:pPr>
      <w:r w:rsidRPr="003753C7">
        <w:rPr>
          <w:rFonts w:ascii="Times New Roman" w:hAnsi="Times New Roman" w:cs="Times New Roman"/>
          <w:b/>
          <w:bCs/>
          <w:sz w:val="24"/>
          <w:szCs w:val="24"/>
        </w:rPr>
        <w:t>Figure 1. Conceptual Framework</w:t>
      </w:r>
    </w:p>
    <w:p w14:paraId="157749D2" w14:textId="77777777" w:rsidR="006241A2" w:rsidRPr="003753C7" w:rsidRDefault="00F81A7A" w:rsidP="00C4342F">
      <w:pPr>
        <w:jc w:val="both"/>
        <w:rPr>
          <w:rFonts w:ascii="Times New Roman" w:hAnsi="Times New Roman" w:cs="Times New Roman"/>
          <w:sz w:val="24"/>
          <w:szCs w:val="24"/>
        </w:rPr>
      </w:pPr>
      <w:r w:rsidRPr="003753C7">
        <w:rPr>
          <w:rFonts w:ascii="Times New Roman" w:hAnsi="Times New Roman" w:cs="Times New Roman"/>
          <w:sz w:val="24"/>
          <w:szCs w:val="24"/>
        </w:rPr>
        <w:t>The Technology Acceptance Model (TAM) serves as the foundation for the conceptual framework (Figure 1), which has been expanded to describe the transition from the intention of farmers to the actual practice of organic farming</w:t>
      </w:r>
      <w:r w:rsidR="006241A2" w:rsidRPr="003753C7">
        <w:rPr>
          <w:rFonts w:ascii="Times New Roman" w:hAnsi="Times New Roman" w:cs="Times New Roman"/>
          <w:sz w:val="24"/>
          <w:szCs w:val="24"/>
        </w:rPr>
        <w:t>.</w:t>
      </w:r>
    </w:p>
    <w:p w14:paraId="1C57BE8E" w14:textId="77777777" w:rsidR="006241A2" w:rsidRPr="003753C7" w:rsidRDefault="006241A2" w:rsidP="00C4342F">
      <w:pPr>
        <w:jc w:val="both"/>
        <w:rPr>
          <w:rFonts w:ascii="Times New Roman" w:hAnsi="Times New Roman" w:cs="Times New Roman"/>
          <w:sz w:val="24"/>
          <w:szCs w:val="24"/>
        </w:rPr>
      </w:pPr>
      <w:r w:rsidRPr="003753C7">
        <w:rPr>
          <w:rFonts w:ascii="Times New Roman" w:hAnsi="Times New Roman" w:cs="Times New Roman"/>
          <w:sz w:val="24"/>
          <w:szCs w:val="24"/>
        </w:rPr>
        <w:t>At the core of the framework are the traditional TAM constructs:</w:t>
      </w:r>
    </w:p>
    <w:p w14:paraId="6D360914" w14:textId="77777777" w:rsidR="006241A2" w:rsidRPr="003753C7" w:rsidRDefault="006241A2"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 xml:space="preserve">Perceived Ease of Use (PEOU): </w:t>
      </w:r>
      <w:r w:rsidR="00FD0A44" w:rsidRPr="003753C7">
        <w:rPr>
          <w:rFonts w:ascii="Times New Roman" w:hAnsi="Times New Roman" w:cs="Times New Roman"/>
          <w:sz w:val="24"/>
          <w:szCs w:val="24"/>
        </w:rPr>
        <w:t>The extent to which farmers feel that organic agricultural methods are simple to learn and put into practice</w:t>
      </w:r>
      <w:r w:rsidRPr="003753C7">
        <w:rPr>
          <w:rFonts w:ascii="Times New Roman" w:hAnsi="Times New Roman" w:cs="Times New Roman"/>
          <w:sz w:val="24"/>
          <w:szCs w:val="24"/>
        </w:rPr>
        <w:t>.</w:t>
      </w:r>
    </w:p>
    <w:p w14:paraId="4D0726A5" w14:textId="77777777" w:rsidR="00FD0A44" w:rsidRPr="003753C7" w:rsidRDefault="006241A2"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 xml:space="preserve">Perceived Usefulness (PU): </w:t>
      </w:r>
      <w:r w:rsidR="00FD0A44" w:rsidRPr="003753C7">
        <w:rPr>
          <w:rFonts w:ascii="Times New Roman" w:hAnsi="Times New Roman" w:cs="Times New Roman"/>
          <w:sz w:val="24"/>
          <w:szCs w:val="24"/>
        </w:rPr>
        <w:t>The degree to which farmers believe that organic farming would be helpful in terms of increasing production, enhancing soil health, maintaining stable income, and ensuring long-term sustainability.</w:t>
      </w:r>
    </w:p>
    <w:p w14:paraId="266274D0" w14:textId="77777777" w:rsidR="00FD0A44" w:rsidRPr="003753C7" w:rsidRDefault="00FD0A44"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According to the hypothesis, both PEOU and PU have a direct impact on the attitude that farmers have toward organic farming. This attitude is a reflection of the farmers' overall opinion of whether or not they are in favor of adopting organic farming techniques.</w:t>
      </w:r>
    </w:p>
    <w:p w14:paraId="2A28267B" w14:textId="77777777" w:rsidR="006241A2" w:rsidRPr="003753C7" w:rsidRDefault="00FD0A44"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Additional context-specific factors that are particularly pertinent to the adoption of organic farming are incorporated into the framework, which results in increased functionality</w:t>
      </w:r>
      <w:r w:rsidR="006241A2" w:rsidRPr="003753C7">
        <w:rPr>
          <w:rFonts w:ascii="Times New Roman" w:hAnsi="Times New Roman" w:cs="Times New Roman"/>
          <w:sz w:val="24"/>
          <w:szCs w:val="24"/>
        </w:rPr>
        <w:t>:</w:t>
      </w:r>
    </w:p>
    <w:p w14:paraId="61590B22" w14:textId="77777777" w:rsidR="006241A2" w:rsidRPr="003753C7" w:rsidRDefault="006241A2"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 xml:space="preserve">Environmental Concern: </w:t>
      </w:r>
      <w:r w:rsidR="00FD0A44" w:rsidRPr="003753C7">
        <w:rPr>
          <w:rFonts w:ascii="Times New Roman" w:hAnsi="Times New Roman" w:cs="Times New Roman"/>
          <w:sz w:val="24"/>
          <w:szCs w:val="24"/>
        </w:rPr>
        <w:t>The farmers' knowledge of the destruction of the environment and their concern for the ecological sustainability, which influences their attitude toward organic farming</w:t>
      </w:r>
      <w:r w:rsidRPr="003753C7">
        <w:rPr>
          <w:rFonts w:ascii="Times New Roman" w:hAnsi="Times New Roman" w:cs="Times New Roman"/>
          <w:sz w:val="24"/>
          <w:szCs w:val="24"/>
        </w:rPr>
        <w:t>.</w:t>
      </w:r>
    </w:p>
    <w:p w14:paraId="300CF803" w14:textId="77777777" w:rsidR="006241A2" w:rsidRPr="003753C7" w:rsidRDefault="006241A2"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 xml:space="preserve">Perceived Risk: </w:t>
      </w:r>
      <w:r w:rsidR="00FD0A44" w:rsidRPr="003753C7">
        <w:rPr>
          <w:rFonts w:ascii="Times New Roman" w:hAnsi="Times New Roman" w:cs="Times New Roman"/>
          <w:sz w:val="24"/>
          <w:szCs w:val="24"/>
        </w:rPr>
        <w:t>The impression of yield unpredictability, market volatility, and conversion concerns among farmers, which has a detrimental impact on both their desire to adopt and their actual choice to do so</w:t>
      </w:r>
      <w:r w:rsidRPr="003753C7">
        <w:rPr>
          <w:rFonts w:ascii="Times New Roman" w:hAnsi="Times New Roman" w:cs="Times New Roman"/>
          <w:sz w:val="24"/>
          <w:szCs w:val="24"/>
        </w:rPr>
        <w:t>.</w:t>
      </w:r>
    </w:p>
    <w:p w14:paraId="7C934AB3" w14:textId="77777777" w:rsidR="00FD0A44" w:rsidRPr="003753C7" w:rsidRDefault="00FD0A44" w:rsidP="00C4342F">
      <w:pPr>
        <w:jc w:val="both"/>
        <w:rPr>
          <w:rFonts w:ascii="Times New Roman" w:hAnsi="Times New Roman" w:cs="Times New Roman"/>
          <w:sz w:val="24"/>
          <w:szCs w:val="24"/>
        </w:rPr>
      </w:pPr>
      <w:r w:rsidRPr="003753C7">
        <w:rPr>
          <w:rFonts w:ascii="Times New Roman" w:hAnsi="Times New Roman" w:cs="Times New Roman"/>
          <w:sz w:val="24"/>
          <w:szCs w:val="24"/>
        </w:rPr>
        <w:lastRenderedPageBreak/>
        <w:t xml:space="preserve">The farmers' preparedness and desire to embrace organic farming techniques is represented by their Behavioral Intention to embrace Organic Farming, which is directly influenced by their attitude toward organic farming. On the other hand, in contrast to the conventional TAM, the paradigm acknowledges unequivocally that intention does not necessarily result in acceptance. </w:t>
      </w:r>
    </w:p>
    <w:p w14:paraId="39A5BD66" w14:textId="77777777" w:rsidR="00FD0A44" w:rsidRPr="003753C7" w:rsidRDefault="00FD0A44" w:rsidP="00C4342F">
      <w:pPr>
        <w:jc w:val="both"/>
        <w:rPr>
          <w:rFonts w:ascii="Times New Roman" w:hAnsi="Times New Roman" w:cs="Times New Roman"/>
          <w:sz w:val="24"/>
          <w:szCs w:val="24"/>
        </w:rPr>
      </w:pPr>
      <w:r w:rsidRPr="003753C7">
        <w:rPr>
          <w:rFonts w:ascii="Times New Roman" w:hAnsi="Times New Roman" w:cs="Times New Roman"/>
          <w:sz w:val="24"/>
          <w:szCs w:val="24"/>
        </w:rPr>
        <w:t xml:space="preserve">As a result, there is a connection between Behavioral Intention and Actual Adoption of Organic Farming Practices. Institutional Support serves as a factor that facilitates this, while Perceived Risk serves as a factor that constrains this intention–practice relationship. </w:t>
      </w:r>
    </w:p>
    <w:p w14:paraId="265FBC03" w14:textId="77777777" w:rsidR="00FD0A44" w:rsidRPr="003753C7" w:rsidRDefault="00FD0A44" w:rsidP="00C4342F">
      <w:pPr>
        <w:jc w:val="both"/>
        <w:rPr>
          <w:rFonts w:ascii="Times New Roman" w:hAnsi="Times New Roman" w:cs="Times New Roman"/>
          <w:sz w:val="24"/>
          <w:szCs w:val="24"/>
        </w:rPr>
      </w:pPr>
      <w:r w:rsidRPr="003753C7">
        <w:rPr>
          <w:rFonts w:ascii="Times New Roman" w:hAnsi="Times New Roman" w:cs="Times New Roman"/>
          <w:sz w:val="24"/>
          <w:szCs w:val="24"/>
        </w:rPr>
        <w:t>In conclusion, the conceptual framework demonstrates that the adoption of organic farming is a multi-stage process. This process is characterized by the fact that technological perceptions, environmental ideals, social pressures, and institutional processes all work together to influence the migration of farmers from intention to sustained organic farming practice.</w:t>
      </w:r>
    </w:p>
    <w:p w14:paraId="41BC7D48" w14:textId="77777777" w:rsidR="006241A2" w:rsidRPr="003753C7" w:rsidRDefault="006241A2"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Hypotheses</w:t>
      </w:r>
    </w:p>
    <w:p w14:paraId="771F03DA"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H1: Perceived Ease of Use has a significant positive effect on farmers’ behavioral intention to use organic farming technologies.</w:t>
      </w:r>
    </w:p>
    <w:p w14:paraId="7BE3B415"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H2: Perceived Usefulness has a significant positive effect on farmers’ behavioral intention to use organic farming technologies.</w:t>
      </w:r>
    </w:p>
    <w:p w14:paraId="69808D6D"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H3: Perceived Risk has a significant negative effect on farmers’ behavioral intention to use organic farming technologies.</w:t>
      </w:r>
    </w:p>
    <w:p w14:paraId="03BE7BEC"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H4: Environmental Risk has a significant positive effect on farmers’ behavioral intention to use organic farming technologies.</w:t>
      </w:r>
    </w:p>
    <w:p w14:paraId="3DA4C0BC"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H5: Behavioral intention to use organic farming technologies has a significant positive effect on the actual usage of organic farming technologies.</w:t>
      </w:r>
    </w:p>
    <w:p w14:paraId="7482C862" w14:textId="77777777" w:rsidR="00445F84" w:rsidRPr="003753C7" w:rsidRDefault="00445F84"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METHODS:</w:t>
      </w:r>
    </w:p>
    <w:p w14:paraId="584E3A81" w14:textId="77777777" w:rsidR="00E3286C" w:rsidRPr="003753C7" w:rsidRDefault="00E3286C" w:rsidP="00E3286C">
      <w:pPr>
        <w:jc w:val="both"/>
        <w:rPr>
          <w:rFonts w:ascii="Times New Roman" w:hAnsi="Times New Roman" w:cs="Times New Roman"/>
          <w:b/>
          <w:bCs/>
          <w:sz w:val="24"/>
          <w:szCs w:val="24"/>
        </w:rPr>
      </w:pPr>
      <w:r w:rsidRPr="003753C7">
        <w:rPr>
          <w:rFonts w:ascii="Times New Roman" w:hAnsi="Times New Roman" w:cs="Times New Roman"/>
          <w:b/>
          <w:bCs/>
          <w:sz w:val="24"/>
          <w:szCs w:val="24"/>
        </w:rPr>
        <w:t>Population, Sample, and Data Collection</w:t>
      </w:r>
    </w:p>
    <w:p w14:paraId="4C275E13" w14:textId="77777777" w:rsidR="00E3286C" w:rsidRPr="003753C7" w:rsidRDefault="00E3286C" w:rsidP="00E3286C">
      <w:pPr>
        <w:jc w:val="both"/>
        <w:rPr>
          <w:rFonts w:ascii="Times New Roman" w:hAnsi="Times New Roman" w:cs="Times New Roman"/>
          <w:sz w:val="24"/>
          <w:szCs w:val="24"/>
        </w:rPr>
      </w:pPr>
      <w:r w:rsidRPr="003753C7">
        <w:rPr>
          <w:rFonts w:ascii="Times New Roman" w:hAnsi="Times New Roman" w:cs="Times New Roman"/>
          <w:sz w:val="24"/>
          <w:szCs w:val="24"/>
        </w:rPr>
        <w:t>The target population of the study comprised farmers residing in the hill regions of Uttarakhand, India. Data were collected using paper-based questionnaires that were distributed during regular farmer meetings across several districts of Uttarakhand between October 2024 and October 2025. A total of 450 questionnaires were administered, of which 287 were returned, resulting in a response rate of 76.22%. Among the returned questionnaires, 37 were excluded from further analysis due to incomplete responses or insufficient respondent engagement. Consequently, the remaining 250 valid questionnaires were administered for data analysis. This sample size was considered adequate for examining the proposed complex path model using Structural Equation Modelling (SEM). According to Kline (2010), a sample size of 200 or more is sufficient for SEM analysis, particularly when the research model involves multiple latent constructs and hypothesized relationships.</w:t>
      </w:r>
    </w:p>
    <w:p w14:paraId="1D50D85F" w14:textId="77777777" w:rsidR="00445F84" w:rsidRPr="003753C7" w:rsidRDefault="00445F84"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Measurement</w:t>
      </w:r>
    </w:p>
    <w:p w14:paraId="41896358" w14:textId="77777777" w:rsidR="00FD0A44" w:rsidRPr="003753C7" w:rsidRDefault="00FD0A44" w:rsidP="00C4342F">
      <w:pPr>
        <w:jc w:val="both"/>
        <w:rPr>
          <w:rFonts w:ascii="Times New Roman" w:hAnsi="Times New Roman" w:cs="Times New Roman"/>
          <w:sz w:val="24"/>
          <w:szCs w:val="24"/>
        </w:rPr>
      </w:pPr>
      <w:r w:rsidRPr="003753C7">
        <w:rPr>
          <w:rFonts w:ascii="Times New Roman" w:hAnsi="Times New Roman" w:cs="Times New Roman"/>
          <w:sz w:val="24"/>
          <w:szCs w:val="24"/>
        </w:rPr>
        <w:t>The instrument that was used for the investigation was broken up into three portions. The first part of the report provided an overview of the goals of the research as well as directions for filling out the questionnaires. Table I contains the demographic information that was acquired from the responses gathered in the second section. The primary research questions, which were derived from an earlier study and sho</w:t>
      </w:r>
      <w:r w:rsidR="005627A9" w:rsidRPr="003753C7">
        <w:rPr>
          <w:rFonts w:ascii="Times New Roman" w:hAnsi="Times New Roman" w:cs="Times New Roman"/>
          <w:sz w:val="24"/>
          <w:szCs w:val="24"/>
        </w:rPr>
        <w:t>\</w:t>
      </w:r>
      <w:r w:rsidRPr="003753C7">
        <w:rPr>
          <w:rFonts w:ascii="Times New Roman" w:hAnsi="Times New Roman" w:cs="Times New Roman"/>
          <w:sz w:val="24"/>
          <w:szCs w:val="24"/>
        </w:rPr>
        <w:t xml:space="preserve">wn in Table II, were included in the third part. We then asked the respondents to assess their responses using a </w:t>
      </w:r>
      <w:r w:rsidRPr="003753C7">
        <w:rPr>
          <w:rFonts w:ascii="Times New Roman" w:hAnsi="Times New Roman" w:cs="Times New Roman"/>
          <w:sz w:val="24"/>
          <w:szCs w:val="24"/>
        </w:rPr>
        <w:lastRenderedPageBreak/>
        <w:t>Likert scale with five points, ranging from one to five, where one indicated "strongly disagree" and five indicated "strongly agree."</w:t>
      </w:r>
    </w:p>
    <w:p w14:paraId="4EB4EE9A" w14:textId="77777777" w:rsidR="00445F84" w:rsidRPr="003753C7" w:rsidRDefault="00445F84" w:rsidP="00C4342F">
      <w:pPr>
        <w:jc w:val="center"/>
        <w:rPr>
          <w:rFonts w:ascii="Times New Roman" w:hAnsi="Times New Roman" w:cs="Times New Roman"/>
          <w:b/>
          <w:bCs/>
          <w:sz w:val="24"/>
          <w:szCs w:val="24"/>
        </w:rPr>
      </w:pPr>
      <w:r w:rsidRPr="003753C7">
        <w:rPr>
          <w:rFonts w:ascii="Times New Roman" w:hAnsi="Times New Roman" w:cs="Times New Roman"/>
          <w:b/>
          <w:bCs/>
          <w:sz w:val="24"/>
          <w:szCs w:val="24"/>
        </w:rPr>
        <w:t xml:space="preserve">Table I: </w:t>
      </w:r>
      <w:r w:rsidR="00FD0A44" w:rsidRPr="003753C7">
        <w:rPr>
          <w:rFonts w:ascii="Times New Roman" w:hAnsi="Times New Roman" w:cs="Times New Roman"/>
          <w:b/>
          <w:bCs/>
          <w:sz w:val="24"/>
          <w:szCs w:val="24"/>
        </w:rPr>
        <w:t>Characteristics of the respondents' socioeconomic backgrounds and distribution.</w:t>
      </w:r>
    </w:p>
    <w:tbl>
      <w:tblPr>
        <w:tblStyle w:val="TableGrid"/>
        <w:tblW w:w="9018" w:type="dxa"/>
        <w:tblLayout w:type="fixed"/>
        <w:tblLook w:val="01E0" w:firstRow="1" w:lastRow="1" w:firstColumn="1" w:lastColumn="1" w:noHBand="0" w:noVBand="0"/>
      </w:tblPr>
      <w:tblGrid>
        <w:gridCol w:w="3257"/>
        <w:gridCol w:w="2753"/>
        <w:gridCol w:w="3008"/>
      </w:tblGrid>
      <w:tr w:rsidR="00FF422E" w:rsidRPr="003753C7" w14:paraId="5420D207" w14:textId="77777777" w:rsidTr="00FF422E">
        <w:trPr>
          <w:trHeight w:val="263"/>
        </w:trPr>
        <w:tc>
          <w:tcPr>
            <w:tcW w:w="3257" w:type="dxa"/>
          </w:tcPr>
          <w:p w14:paraId="0E32564D"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Variable</w:t>
            </w:r>
          </w:p>
        </w:tc>
        <w:tc>
          <w:tcPr>
            <w:tcW w:w="2753" w:type="dxa"/>
          </w:tcPr>
          <w:p w14:paraId="3C257EF8"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Frequency</w:t>
            </w:r>
          </w:p>
        </w:tc>
        <w:tc>
          <w:tcPr>
            <w:tcW w:w="3008" w:type="dxa"/>
          </w:tcPr>
          <w:p w14:paraId="0584D660"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Percentage</w:t>
            </w:r>
          </w:p>
        </w:tc>
      </w:tr>
      <w:tr w:rsidR="00FF422E" w:rsidRPr="003753C7" w14:paraId="5F57CDCF" w14:textId="77777777" w:rsidTr="00FF422E">
        <w:trPr>
          <w:trHeight w:val="270"/>
        </w:trPr>
        <w:tc>
          <w:tcPr>
            <w:tcW w:w="3257" w:type="dxa"/>
          </w:tcPr>
          <w:p w14:paraId="0A263661" w14:textId="77777777" w:rsidR="00FF422E" w:rsidRPr="002F74B4" w:rsidRDefault="00FF422E" w:rsidP="00C4342F">
            <w:pPr>
              <w:spacing w:line="276" w:lineRule="auto"/>
              <w:rPr>
                <w:rFonts w:ascii="Times New Roman" w:hAnsi="Times New Roman" w:cs="Times New Roman"/>
                <w:b/>
                <w:bCs/>
                <w:sz w:val="24"/>
                <w:szCs w:val="24"/>
              </w:rPr>
            </w:pPr>
            <w:r w:rsidRPr="002F74B4">
              <w:rPr>
                <w:rFonts w:ascii="Times New Roman" w:hAnsi="Times New Roman" w:cs="Times New Roman"/>
                <w:b/>
                <w:bCs/>
                <w:sz w:val="24"/>
                <w:szCs w:val="24"/>
              </w:rPr>
              <w:t>Gender</w:t>
            </w:r>
          </w:p>
        </w:tc>
        <w:tc>
          <w:tcPr>
            <w:tcW w:w="2753" w:type="dxa"/>
          </w:tcPr>
          <w:p w14:paraId="7700E6ED"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78A7FB12"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59D394DD" w14:textId="77777777" w:rsidTr="00FF422E">
        <w:trPr>
          <w:trHeight w:val="264"/>
        </w:trPr>
        <w:tc>
          <w:tcPr>
            <w:tcW w:w="3257" w:type="dxa"/>
          </w:tcPr>
          <w:p w14:paraId="467F6A2C"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Male</w:t>
            </w:r>
          </w:p>
        </w:tc>
        <w:tc>
          <w:tcPr>
            <w:tcW w:w="2753" w:type="dxa"/>
          </w:tcPr>
          <w:p w14:paraId="2118EA0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160</w:t>
            </w:r>
          </w:p>
        </w:tc>
        <w:tc>
          <w:tcPr>
            <w:tcW w:w="3008" w:type="dxa"/>
          </w:tcPr>
          <w:p w14:paraId="53D62844"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64</w:t>
            </w:r>
          </w:p>
        </w:tc>
      </w:tr>
      <w:tr w:rsidR="00FF422E" w:rsidRPr="003753C7" w14:paraId="025EF3B2" w14:textId="77777777" w:rsidTr="00FF422E">
        <w:trPr>
          <w:trHeight w:val="257"/>
        </w:trPr>
        <w:tc>
          <w:tcPr>
            <w:tcW w:w="3257" w:type="dxa"/>
          </w:tcPr>
          <w:p w14:paraId="2502CC2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Female</w:t>
            </w:r>
          </w:p>
        </w:tc>
        <w:tc>
          <w:tcPr>
            <w:tcW w:w="2753" w:type="dxa"/>
          </w:tcPr>
          <w:p w14:paraId="775F0D9E"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90</w:t>
            </w:r>
          </w:p>
        </w:tc>
        <w:tc>
          <w:tcPr>
            <w:tcW w:w="3008" w:type="dxa"/>
          </w:tcPr>
          <w:p w14:paraId="149A669B"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36</w:t>
            </w:r>
          </w:p>
        </w:tc>
      </w:tr>
      <w:tr w:rsidR="00FF422E" w:rsidRPr="003753C7" w14:paraId="3465593E" w14:textId="77777777" w:rsidTr="00FF422E">
        <w:trPr>
          <w:trHeight w:val="272"/>
        </w:trPr>
        <w:tc>
          <w:tcPr>
            <w:tcW w:w="3257" w:type="dxa"/>
          </w:tcPr>
          <w:p w14:paraId="0FB7ADA9" w14:textId="77777777" w:rsidR="00FF422E" w:rsidRPr="002F74B4" w:rsidRDefault="00FF422E" w:rsidP="00C4342F">
            <w:pPr>
              <w:spacing w:line="276" w:lineRule="auto"/>
              <w:rPr>
                <w:rFonts w:ascii="Times New Roman" w:hAnsi="Times New Roman" w:cs="Times New Roman"/>
                <w:b/>
                <w:bCs/>
                <w:sz w:val="24"/>
                <w:szCs w:val="24"/>
              </w:rPr>
            </w:pPr>
            <w:r w:rsidRPr="002F74B4">
              <w:rPr>
                <w:rFonts w:ascii="Times New Roman" w:hAnsi="Times New Roman" w:cs="Times New Roman"/>
                <w:b/>
                <w:bCs/>
                <w:sz w:val="24"/>
                <w:szCs w:val="24"/>
              </w:rPr>
              <w:t>Age(years)</w:t>
            </w:r>
          </w:p>
        </w:tc>
        <w:tc>
          <w:tcPr>
            <w:tcW w:w="2753" w:type="dxa"/>
          </w:tcPr>
          <w:p w14:paraId="148DF681"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25366FA2"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7B8AFFF1" w14:textId="77777777" w:rsidTr="00FF422E">
        <w:trPr>
          <w:trHeight w:val="263"/>
        </w:trPr>
        <w:tc>
          <w:tcPr>
            <w:tcW w:w="3257" w:type="dxa"/>
          </w:tcPr>
          <w:p w14:paraId="2F1D6CA0"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18-30years</w:t>
            </w:r>
          </w:p>
        </w:tc>
        <w:tc>
          <w:tcPr>
            <w:tcW w:w="2753" w:type="dxa"/>
          </w:tcPr>
          <w:p w14:paraId="16DD0C72"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40</w:t>
            </w:r>
          </w:p>
        </w:tc>
        <w:tc>
          <w:tcPr>
            <w:tcW w:w="3008" w:type="dxa"/>
          </w:tcPr>
          <w:p w14:paraId="39332E7B"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16</w:t>
            </w:r>
          </w:p>
        </w:tc>
      </w:tr>
      <w:tr w:rsidR="00FF422E" w:rsidRPr="003753C7" w14:paraId="792C69FF" w14:textId="77777777" w:rsidTr="00FF422E">
        <w:trPr>
          <w:trHeight w:val="264"/>
        </w:trPr>
        <w:tc>
          <w:tcPr>
            <w:tcW w:w="3257" w:type="dxa"/>
          </w:tcPr>
          <w:p w14:paraId="1E89C9E6"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31-45years</w:t>
            </w:r>
          </w:p>
        </w:tc>
        <w:tc>
          <w:tcPr>
            <w:tcW w:w="2753" w:type="dxa"/>
          </w:tcPr>
          <w:p w14:paraId="27132E16"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90</w:t>
            </w:r>
          </w:p>
        </w:tc>
        <w:tc>
          <w:tcPr>
            <w:tcW w:w="3008" w:type="dxa"/>
          </w:tcPr>
          <w:p w14:paraId="25DBB7F1"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36</w:t>
            </w:r>
          </w:p>
        </w:tc>
      </w:tr>
      <w:tr w:rsidR="00FF422E" w:rsidRPr="003753C7" w14:paraId="445288CB" w14:textId="77777777" w:rsidTr="00FF422E">
        <w:trPr>
          <w:trHeight w:val="263"/>
        </w:trPr>
        <w:tc>
          <w:tcPr>
            <w:tcW w:w="3257" w:type="dxa"/>
          </w:tcPr>
          <w:p w14:paraId="37EB467C"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46-60years</w:t>
            </w:r>
          </w:p>
        </w:tc>
        <w:tc>
          <w:tcPr>
            <w:tcW w:w="2753" w:type="dxa"/>
          </w:tcPr>
          <w:p w14:paraId="57FBDDC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85</w:t>
            </w:r>
          </w:p>
        </w:tc>
        <w:tc>
          <w:tcPr>
            <w:tcW w:w="3008" w:type="dxa"/>
          </w:tcPr>
          <w:p w14:paraId="74784095"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34</w:t>
            </w:r>
          </w:p>
        </w:tc>
      </w:tr>
      <w:tr w:rsidR="00FF422E" w:rsidRPr="003753C7" w14:paraId="55185C8B" w14:textId="77777777" w:rsidTr="00FF422E">
        <w:trPr>
          <w:trHeight w:val="257"/>
        </w:trPr>
        <w:tc>
          <w:tcPr>
            <w:tcW w:w="3257" w:type="dxa"/>
          </w:tcPr>
          <w:p w14:paraId="2D56A68B"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60yearsandabove</w:t>
            </w:r>
          </w:p>
        </w:tc>
        <w:tc>
          <w:tcPr>
            <w:tcW w:w="2753" w:type="dxa"/>
          </w:tcPr>
          <w:p w14:paraId="703FF151"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35</w:t>
            </w:r>
          </w:p>
        </w:tc>
        <w:tc>
          <w:tcPr>
            <w:tcW w:w="3008" w:type="dxa"/>
          </w:tcPr>
          <w:p w14:paraId="6019B3EC"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14</w:t>
            </w:r>
          </w:p>
        </w:tc>
      </w:tr>
      <w:tr w:rsidR="00FF422E" w:rsidRPr="003753C7" w14:paraId="197D0D4F" w14:textId="77777777" w:rsidTr="00FF422E">
        <w:trPr>
          <w:trHeight w:val="271"/>
        </w:trPr>
        <w:tc>
          <w:tcPr>
            <w:tcW w:w="3257" w:type="dxa"/>
          </w:tcPr>
          <w:p w14:paraId="22A32B59" w14:textId="77777777" w:rsidR="00FF422E" w:rsidRPr="003753C7" w:rsidRDefault="00FF422E" w:rsidP="00C4342F">
            <w:pPr>
              <w:spacing w:line="276" w:lineRule="auto"/>
              <w:rPr>
                <w:rFonts w:ascii="Times New Roman" w:hAnsi="Times New Roman" w:cs="Times New Roman"/>
                <w:b/>
                <w:bCs/>
                <w:sz w:val="24"/>
                <w:szCs w:val="24"/>
              </w:rPr>
            </w:pPr>
            <w:r w:rsidRPr="003753C7">
              <w:rPr>
                <w:rFonts w:ascii="Times New Roman" w:hAnsi="Times New Roman" w:cs="Times New Roman"/>
                <w:b/>
                <w:bCs/>
                <w:sz w:val="24"/>
                <w:szCs w:val="24"/>
              </w:rPr>
              <w:t>GarhwalRegion</w:t>
            </w:r>
          </w:p>
        </w:tc>
        <w:tc>
          <w:tcPr>
            <w:tcW w:w="2753" w:type="dxa"/>
          </w:tcPr>
          <w:p w14:paraId="68C2A98E"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0EEF9D95"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065B15E1" w14:textId="77777777" w:rsidTr="00FF422E">
        <w:trPr>
          <w:trHeight w:val="263"/>
        </w:trPr>
        <w:tc>
          <w:tcPr>
            <w:tcW w:w="3257" w:type="dxa"/>
          </w:tcPr>
          <w:p w14:paraId="6D7461AB" w14:textId="77777777" w:rsidR="00FF422E" w:rsidRPr="003753C7" w:rsidRDefault="00304E81"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Almora</w:t>
            </w:r>
            <w:r w:rsidR="00FF422E" w:rsidRPr="003753C7">
              <w:rPr>
                <w:rFonts w:ascii="Times New Roman" w:hAnsi="Times New Roman" w:cs="Times New Roman"/>
                <w:sz w:val="24"/>
                <w:szCs w:val="24"/>
              </w:rPr>
              <w:t>:(18%)</w:t>
            </w:r>
          </w:p>
        </w:tc>
        <w:tc>
          <w:tcPr>
            <w:tcW w:w="2753" w:type="dxa"/>
          </w:tcPr>
          <w:p w14:paraId="24D3D26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45 farmers</w:t>
            </w:r>
          </w:p>
        </w:tc>
        <w:tc>
          <w:tcPr>
            <w:tcW w:w="3008" w:type="dxa"/>
          </w:tcPr>
          <w:p w14:paraId="6D3ADDC7"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18</w:t>
            </w:r>
          </w:p>
        </w:tc>
      </w:tr>
      <w:tr w:rsidR="00FF422E" w:rsidRPr="003753C7" w14:paraId="1F0C8173" w14:textId="77777777" w:rsidTr="00FF422E">
        <w:trPr>
          <w:trHeight w:val="263"/>
        </w:trPr>
        <w:tc>
          <w:tcPr>
            <w:tcW w:w="3257" w:type="dxa"/>
          </w:tcPr>
          <w:p w14:paraId="6F631281" w14:textId="77777777" w:rsidR="00FF422E" w:rsidRPr="003753C7" w:rsidRDefault="00304E81"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Bageshwar</w:t>
            </w:r>
            <w:r w:rsidR="00FF422E" w:rsidRPr="003753C7">
              <w:rPr>
                <w:rFonts w:ascii="Times New Roman" w:hAnsi="Times New Roman" w:cs="Times New Roman"/>
                <w:sz w:val="24"/>
                <w:szCs w:val="24"/>
              </w:rPr>
              <w:t>:(14%)</w:t>
            </w:r>
          </w:p>
        </w:tc>
        <w:tc>
          <w:tcPr>
            <w:tcW w:w="2753" w:type="dxa"/>
          </w:tcPr>
          <w:p w14:paraId="46C9E0CA"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35 farmers</w:t>
            </w:r>
          </w:p>
        </w:tc>
        <w:tc>
          <w:tcPr>
            <w:tcW w:w="3008" w:type="dxa"/>
          </w:tcPr>
          <w:p w14:paraId="49C17E06"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14</w:t>
            </w:r>
          </w:p>
        </w:tc>
      </w:tr>
      <w:tr w:rsidR="00FF422E" w:rsidRPr="003753C7" w14:paraId="2A466A46" w14:textId="77777777" w:rsidTr="00FF422E">
        <w:trPr>
          <w:trHeight w:val="264"/>
        </w:trPr>
        <w:tc>
          <w:tcPr>
            <w:tcW w:w="3257" w:type="dxa"/>
          </w:tcPr>
          <w:p w14:paraId="3DCEE761"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Rudraprayag:(12%)</w:t>
            </w:r>
          </w:p>
        </w:tc>
        <w:tc>
          <w:tcPr>
            <w:tcW w:w="2753" w:type="dxa"/>
          </w:tcPr>
          <w:p w14:paraId="458F3C78"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30 farmers</w:t>
            </w:r>
          </w:p>
        </w:tc>
        <w:tc>
          <w:tcPr>
            <w:tcW w:w="3008" w:type="dxa"/>
          </w:tcPr>
          <w:p w14:paraId="230FA555"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w:t>
            </w:r>
          </w:p>
        </w:tc>
      </w:tr>
      <w:tr w:rsidR="00FF422E" w:rsidRPr="003753C7" w14:paraId="6A9983E6" w14:textId="77777777" w:rsidTr="00FF422E">
        <w:trPr>
          <w:trHeight w:val="263"/>
        </w:trPr>
        <w:tc>
          <w:tcPr>
            <w:tcW w:w="3257" w:type="dxa"/>
          </w:tcPr>
          <w:p w14:paraId="6A67C257" w14:textId="77777777" w:rsidR="00FF422E" w:rsidRPr="003753C7" w:rsidRDefault="00FF422E" w:rsidP="00C4342F">
            <w:pPr>
              <w:spacing w:line="276" w:lineRule="auto"/>
              <w:rPr>
                <w:rFonts w:ascii="Times New Roman" w:hAnsi="Times New Roman" w:cs="Times New Roman"/>
                <w:b/>
                <w:bCs/>
                <w:sz w:val="24"/>
                <w:szCs w:val="24"/>
              </w:rPr>
            </w:pPr>
            <w:r w:rsidRPr="003753C7">
              <w:rPr>
                <w:rFonts w:ascii="Times New Roman" w:hAnsi="Times New Roman" w:cs="Times New Roman"/>
                <w:b/>
                <w:bCs/>
                <w:sz w:val="24"/>
                <w:szCs w:val="24"/>
              </w:rPr>
              <w:t>KumaonRegion</w:t>
            </w:r>
          </w:p>
        </w:tc>
        <w:tc>
          <w:tcPr>
            <w:tcW w:w="2753" w:type="dxa"/>
          </w:tcPr>
          <w:p w14:paraId="29976550"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30168282"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17449899" w14:textId="77777777" w:rsidTr="00FF422E">
        <w:trPr>
          <w:trHeight w:val="264"/>
        </w:trPr>
        <w:tc>
          <w:tcPr>
            <w:tcW w:w="3257" w:type="dxa"/>
          </w:tcPr>
          <w:p w14:paraId="1E66041F"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Nainital:(16%)</w:t>
            </w:r>
          </w:p>
        </w:tc>
        <w:tc>
          <w:tcPr>
            <w:tcW w:w="2753" w:type="dxa"/>
          </w:tcPr>
          <w:p w14:paraId="4AB8CC8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40 farmers</w:t>
            </w:r>
          </w:p>
        </w:tc>
        <w:tc>
          <w:tcPr>
            <w:tcW w:w="3008" w:type="dxa"/>
          </w:tcPr>
          <w:p w14:paraId="2E8AA0B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16</w:t>
            </w:r>
          </w:p>
        </w:tc>
      </w:tr>
      <w:tr w:rsidR="00FF422E" w:rsidRPr="003753C7" w14:paraId="272B563E" w14:textId="77777777" w:rsidTr="00FF422E">
        <w:trPr>
          <w:trHeight w:val="263"/>
        </w:trPr>
        <w:tc>
          <w:tcPr>
            <w:tcW w:w="3257" w:type="dxa"/>
          </w:tcPr>
          <w:p w14:paraId="3D9EF2AF"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Haldwani:(12%)</w:t>
            </w:r>
          </w:p>
        </w:tc>
        <w:tc>
          <w:tcPr>
            <w:tcW w:w="2753" w:type="dxa"/>
          </w:tcPr>
          <w:p w14:paraId="15D0F9E5"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30 farmers</w:t>
            </w:r>
          </w:p>
        </w:tc>
        <w:tc>
          <w:tcPr>
            <w:tcW w:w="3008" w:type="dxa"/>
          </w:tcPr>
          <w:p w14:paraId="0D0F834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w:t>
            </w:r>
          </w:p>
        </w:tc>
      </w:tr>
      <w:tr w:rsidR="00FF422E" w:rsidRPr="003753C7" w14:paraId="2264A057" w14:textId="77777777" w:rsidTr="00FF422E">
        <w:trPr>
          <w:trHeight w:val="264"/>
        </w:trPr>
        <w:tc>
          <w:tcPr>
            <w:tcW w:w="3257" w:type="dxa"/>
          </w:tcPr>
          <w:p w14:paraId="44984524"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UddhamSinghNagar:(16%)</w:t>
            </w:r>
          </w:p>
        </w:tc>
        <w:tc>
          <w:tcPr>
            <w:tcW w:w="2753" w:type="dxa"/>
          </w:tcPr>
          <w:p w14:paraId="20A14DE5"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40 farmers</w:t>
            </w:r>
          </w:p>
        </w:tc>
        <w:tc>
          <w:tcPr>
            <w:tcW w:w="3008" w:type="dxa"/>
          </w:tcPr>
          <w:p w14:paraId="67361F88"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16</w:t>
            </w:r>
          </w:p>
        </w:tc>
      </w:tr>
      <w:tr w:rsidR="00FF422E" w:rsidRPr="003753C7" w14:paraId="3A69821A" w14:textId="77777777" w:rsidTr="00FF422E">
        <w:trPr>
          <w:trHeight w:val="263"/>
        </w:trPr>
        <w:tc>
          <w:tcPr>
            <w:tcW w:w="3257" w:type="dxa"/>
          </w:tcPr>
          <w:p w14:paraId="0967EDB8" w14:textId="77777777" w:rsidR="00FF422E" w:rsidRPr="003753C7" w:rsidRDefault="00FF422E" w:rsidP="00C4342F">
            <w:pPr>
              <w:spacing w:line="276" w:lineRule="auto"/>
              <w:rPr>
                <w:rFonts w:ascii="Times New Roman" w:hAnsi="Times New Roman" w:cs="Times New Roman"/>
                <w:b/>
                <w:bCs/>
                <w:sz w:val="24"/>
                <w:szCs w:val="24"/>
              </w:rPr>
            </w:pPr>
            <w:r w:rsidRPr="003753C7">
              <w:rPr>
                <w:rFonts w:ascii="Times New Roman" w:hAnsi="Times New Roman" w:cs="Times New Roman"/>
                <w:b/>
                <w:bCs/>
                <w:sz w:val="24"/>
                <w:szCs w:val="24"/>
              </w:rPr>
              <w:t>JaunsarRegion</w:t>
            </w:r>
          </w:p>
        </w:tc>
        <w:tc>
          <w:tcPr>
            <w:tcW w:w="2753" w:type="dxa"/>
          </w:tcPr>
          <w:p w14:paraId="73176396"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63547716"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326A774C" w14:textId="77777777" w:rsidTr="00FF422E">
        <w:trPr>
          <w:trHeight w:val="521"/>
        </w:trPr>
        <w:tc>
          <w:tcPr>
            <w:tcW w:w="3257" w:type="dxa"/>
          </w:tcPr>
          <w:p w14:paraId="7CB0E3A0"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Uttarkashi:(12%)</w:t>
            </w:r>
          </w:p>
        </w:tc>
        <w:tc>
          <w:tcPr>
            <w:tcW w:w="2753" w:type="dxa"/>
          </w:tcPr>
          <w:p w14:paraId="29197C91"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30 farmers</w:t>
            </w:r>
          </w:p>
        </w:tc>
        <w:tc>
          <w:tcPr>
            <w:tcW w:w="3008" w:type="dxa"/>
          </w:tcPr>
          <w:p w14:paraId="51CCA1DD"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w:t>
            </w:r>
          </w:p>
        </w:tc>
      </w:tr>
      <w:tr w:rsidR="00FF422E" w:rsidRPr="003753C7" w14:paraId="12963387" w14:textId="77777777" w:rsidTr="00FF422E">
        <w:trPr>
          <w:trHeight w:val="270"/>
        </w:trPr>
        <w:tc>
          <w:tcPr>
            <w:tcW w:w="3257" w:type="dxa"/>
          </w:tcPr>
          <w:p w14:paraId="396F7A8C" w14:textId="77777777" w:rsidR="00FF422E" w:rsidRPr="003753C7" w:rsidRDefault="00FF422E" w:rsidP="00C4342F">
            <w:pPr>
              <w:spacing w:line="276" w:lineRule="auto"/>
              <w:rPr>
                <w:rFonts w:ascii="Times New Roman" w:hAnsi="Times New Roman" w:cs="Times New Roman"/>
                <w:b/>
                <w:bCs/>
                <w:sz w:val="24"/>
                <w:szCs w:val="24"/>
              </w:rPr>
            </w:pPr>
            <w:r w:rsidRPr="003753C7">
              <w:rPr>
                <w:rFonts w:ascii="Times New Roman" w:hAnsi="Times New Roman" w:cs="Times New Roman"/>
                <w:b/>
                <w:bCs/>
                <w:sz w:val="24"/>
                <w:szCs w:val="24"/>
              </w:rPr>
              <w:t>FarmSize</w:t>
            </w:r>
          </w:p>
        </w:tc>
        <w:tc>
          <w:tcPr>
            <w:tcW w:w="2753" w:type="dxa"/>
          </w:tcPr>
          <w:p w14:paraId="04BD21D5"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66C79B1A"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507775B0" w14:textId="77777777" w:rsidTr="00FF422E">
        <w:trPr>
          <w:trHeight w:val="264"/>
        </w:trPr>
        <w:tc>
          <w:tcPr>
            <w:tcW w:w="3257" w:type="dxa"/>
          </w:tcPr>
          <w:p w14:paraId="274377EB"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Smallfarms(lessthan2acres)</w:t>
            </w:r>
          </w:p>
        </w:tc>
        <w:tc>
          <w:tcPr>
            <w:tcW w:w="2753" w:type="dxa"/>
          </w:tcPr>
          <w:p w14:paraId="625C3CD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100 farmers</w:t>
            </w:r>
          </w:p>
        </w:tc>
        <w:tc>
          <w:tcPr>
            <w:tcW w:w="3008" w:type="dxa"/>
          </w:tcPr>
          <w:p w14:paraId="07973FCE"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40</w:t>
            </w:r>
          </w:p>
        </w:tc>
      </w:tr>
      <w:tr w:rsidR="00FF422E" w:rsidRPr="003753C7" w14:paraId="553279EE" w14:textId="77777777" w:rsidTr="00FF422E">
        <w:trPr>
          <w:trHeight w:val="257"/>
        </w:trPr>
        <w:tc>
          <w:tcPr>
            <w:tcW w:w="3257" w:type="dxa"/>
          </w:tcPr>
          <w:p w14:paraId="11EAAF17"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Mediumfarms(2-5acres)</w:t>
            </w:r>
          </w:p>
        </w:tc>
        <w:tc>
          <w:tcPr>
            <w:tcW w:w="2753" w:type="dxa"/>
          </w:tcPr>
          <w:p w14:paraId="734BCA2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120 farmers</w:t>
            </w:r>
          </w:p>
        </w:tc>
        <w:tc>
          <w:tcPr>
            <w:tcW w:w="3008" w:type="dxa"/>
          </w:tcPr>
          <w:p w14:paraId="3D96972D"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48</w:t>
            </w:r>
          </w:p>
        </w:tc>
      </w:tr>
      <w:tr w:rsidR="00FF422E" w:rsidRPr="003753C7" w14:paraId="4D686018" w14:textId="77777777" w:rsidTr="00FF422E">
        <w:trPr>
          <w:trHeight w:val="257"/>
        </w:trPr>
        <w:tc>
          <w:tcPr>
            <w:tcW w:w="3257" w:type="dxa"/>
          </w:tcPr>
          <w:p w14:paraId="0C7C7E7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Largefarms(above5acres)</w:t>
            </w:r>
          </w:p>
        </w:tc>
        <w:tc>
          <w:tcPr>
            <w:tcW w:w="2753" w:type="dxa"/>
          </w:tcPr>
          <w:p w14:paraId="1F0CA7B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30 farmers</w:t>
            </w:r>
          </w:p>
        </w:tc>
        <w:tc>
          <w:tcPr>
            <w:tcW w:w="3008" w:type="dxa"/>
          </w:tcPr>
          <w:p w14:paraId="438B2DC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w:t>
            </w:r>
          </w:p>
        </w:tc>
      </w:tr>
    </w:tbl>
    <w:p w14:paraId="383B5E06" w14:textId="77777777" w:rsidR="00FF422E" w:rsidRPr="003753C7" w:rsidRDefault="00FF422E" w:rsidP="00C4342F">
      <w:pPr>
        <w:jc w:val="center"/>
        <w:rPr>
          <w:rFonts w:ascii="Times New Roman" w:hAnsi="Times New Roman" w:cs="Times New Roman"/>
          <w:b/>
          <w:bCs/>
          <w:i/>
          <w:iCs/>
          <w:sz w:val="24"/>
          <w:szCs w:val="24"/>
        </w:rPr>
      </w:pPr>
    </w:p>
    <w:p w14:paraId="5892D5D5" w14:textId="77777777" w:rsidR="009600E9" w:rsidRPr="003753C7" w:rsidRDefault="009600E9" w:rsidP="009600E9">
      <w:pPr>
        <w:jc w:val="center"/>
        <w:rPr>
          <w:rFonts w:ascii="Times New Roman" w:hAnsi="Times New Roman" w:cs="Times New Roman"/>
          <w:b/>
          <w:bCs/>
          <w:sz w:val="24"/>
          <w:szCs w:val="24"/>
        </w:rPr>
      </w:pPr>
      <w:r w:rsidRPr="003753C7">
        <w:rPr>
          <w:rFonts w:ascii="Times New Roman" w:hAnsi="Times New Roman" w:cs="Times New Roman"/>
          <w:b/>
          <w:bCs/>
          <w:sz w:val="24"/>
          <w:szCs w:val="24"/>
        </w:rPr>
        <w:t>Table II: Measurement Instruments Used in the Study</w:t>
      </w:r>
    </w:p>
    <w:tbl>
      <w:tblPr>
        <w:tblStyle w:val="TableGrid"/>
        <w:tblW w:w="0" w:type="auto"/>
        <w:tblLook w:val="04A0" w:firstRow="1" w:lastRow="0" w:firstColumn="1" w:lastColumn="0" w:noHBand="0" w:noVBand="1"/>
      </w:tblPr>
      <w:tblGrid>
        <w:gridCol w:w="2161"/>
        <w:gridCol w:w="5217"/>
        <w:gridCol w:w="1011"/>
        <w:gridCol w:w="2294"/>
      </w:tblGrid>
      <w:tr w:rsidR="009600E9" w:rsidRPr="003753C7" w14:paraId="44642E3B" w14:textId="77777777" w:rsidTr="009600E9">
        <w:tc>
          <w:tcPr>
            <w:tcW w:w="0" w:type="auto"/>
            <w:hideMark/>
          </w:tcPr>
          <w:p w14:paraId="14223B6D"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Variable</w:t>
            </w:r>
          </w:p>
        </w:tc>
        <w:tc>
          <w:tcPr>
            <w:tcW w:w="0" w:type="auto"/>
            <w:hideMark/>
          </w:tcPr>
          <w:p w14:paraId="004E7F6C"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Description</w:t>
            </w:r>
          </w:p>
        </w:tc>
        <w:tc>
          <w:tcPr>
            <w:tcW w:w="0" w:type="auto"/>
            <w:hideMark/>
          </w:tcPr>
          <w:p w14:paraId="5E7AF5E6"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No. of Items</w:t>
            </w:r>
          </w:p>
        </w:tc>
        <w:tc>
          <w:tcPr>
            <w:tcW w:w="0" w:type="auto"/>
            <w:hideMark/>
          </w:tcPr>
          <w:p w14:paraId="2E386414"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Source</w:t>
            </w:r>
          </w:p>
        </w:tc>
      </w:tr>
      <w:tr w:rsidR="009600E9" w:rsidRPr="003753C7" w14:paraId="0091769A" w14:textId="77777777" w:rsidTr="009600E9">
        <w:tc>
          <w:tcPr>
            <w:tcW w:w="0" w:type="auto"/>
            <w:hideMark/>
          </w:tcPr>
          <w:p w14:paraId="524E548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Perceived Ease of Use (PEOU)</w:t>
            </w:r>
          </w:p>
        </w:tc>
        <w:tc>
          <w:tcPr>
            <w:tcW w:w="0" w:type="auto"/>
            <w:hideMark/>
          </w:tcPr>
          <w:p w14:paraId="220E1A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Degree to which farmers believe that using organic farming technologies requires minimal effort</w:t>
            </w:r>
          </w:p>
        </w:tc>
        <w:tc>
          <w:tcPr>
            <w:tcW w:w="0" w:type="auto"/>
            <w:hideMark/>
          </w:tcPr>
          <w:p w14:paraId="1218E82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4</w:t>
            </w:r>
          </w:p>
        </w:tc>
        <w:tc>
          <w:tcPr>
            <w:tcW w:w="0" w:type="auto"/>
            <w:hideMark/>
          </w:tcPr>
          <w:p w14:paraId="608F9D4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Davis (1989)</w:t>
            </w:r>
          </w:p>
        </w:tc>
      </w:tr>
      <w:tr w:rsidR="009600E9" w:rsidRPr="003753C7" w14:paraId="49A9EC46" w14:textId="77777777" w:rsidTr="009600E9">
        <w:tc>
          <w:tcPr>
            <w:tcW w:w="0" w:type="auto"/>
            <w:hideMark/>
          </w:tcPr>
          <w:p w14:paraId="677FA23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Perceived Usefulness (PU)</w:t>
            </w:r>
          </w:p>
        </w:tc>
        <w:tc>
          <w:tcPr>
            <w:tcW w:w="0" w:type="auto"/>
            <w:hideMark/>
          </w:tcPr>
          <w:p w14:paraId="267E577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Degree to which farmers believe that organic farming technologies enhance farming performance and productivity</w:t>
            </w:r>
          </w:p>
        </w:tc>
        <w:tc>
          <w:tcPr>
            <w:tcW w:w="0" w:type="auto"/>
            <w:hideMark/>
          </w:tcPr>
          <w:p w14:paraId="57EE6CD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4</w:t>
            </w:r>
          </w:p>
        </w:tc>
        <w:tc>
          <w:tcPr>
            <w:tcW w:w="0" w:type="auto"/>
            <w:hideMark/>
          </w:tcPr>
          <w:p w14:paraId="70D22A3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Davis (1989)</w:t>
            </w:r>
          </w:p>
        </w:tc>
      </w:tr>
      <w:tr w:rsidR="009600E9" w:rsidRPr="003753C7" w14:paraId="17621293" w14:textId="77777777" w:rsidTr="009600E9">
        <w:tc>
          <w:tcPr>
            <w:tcW w:w="0" w:type="auto"/>
            <w:hideMark/>
          </w:tcPr>
          <w:p w14:paraId="16DA1C1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Perceived Risk (PR)</w:t>
            </w:r>
          </w:p>
        </w:tc>
        <w:tc>
          <w:tcPr>
            <w:tcW w:w="0" w:type="auto"/>
            <w:hideMark/>
          </w:tcPr>
          <w:p w14:paraId="4875407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Farmers’ perception of potential economic, production, and market risks associated with adopting organic farming technologies</w:t>
            </w:r>
          </w:p>
        </w:tc>
        <w:tc>
          <w:tcPr>
            <w:tcW w:w="0" w:type="auto"/>
            <w:hideMark/>
          </w:tcPr>
          <w:p w14:paraId="55376E2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5</w:t>
            </w:r>
          </w:p>
        </w:tc>
        <w:tc>
          <w:tcPr>
            <w:tcW w:w="0" w:type="auto"/>
            <w:hideMark/>
          </w:tcPr>
          <w:p w14:paraId="4A897BE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Featherman and Pavlou (2003)</w:t>
            </w:r>
          </w:p>
        </w:tc>
      </w:tr>
      <w:tr w:rsidR="009600E9" w:rsidRPr="003753C7" w14:paraId="7E11F576" w14:textId="77777777" w:rsidTr="009600E9">
        <w:tc>
          <w:tcPr>
            <w:tcW w:w="0" w:type="auto"/>
            <w:hideMark/>
          </w:tcPr>
          <w:p w14:paraId="286F4ED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Environmental Risk (ER)</w:t>
            </w:r>
          </w:p>
        </w:tc>
        <w:tc>
          <w:tcPr>
            <w:tcW w:w="0" w:type="auto"/>
            <w:hideMark/>
          </w:tcPr>
          <w:p w14:paraId="51308C3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Perceived environmental uncertainty related to climate variability, soil degradation, and pest incidence affecting organic farming</w:t>
            </w:r>
          </w:p>
        </w:tc>
        <w:tc>
          <w:tcPr>
            <w:tcW w:w="0" w:type="auto"/>
            <w:hideMark/>
          </w:tcPr>
          <w:p w14:paraId="4E7FC1F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4</w:t>
            </w:r>
          </w:p>
        </w:tc>
        <w:tc>
          <w:tcPr>
            <w:tcW w:w="0" w:type="auto"/>
            <w:hideMark/>
          </w:tcPr>
          <w:p w14:paraId="164206F7"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adapted from Stone and Grønhaug (1993)</w:t>
            </w:r>
          </w:p>
        </w:tc>
      </w:tr>
      <w:tr w:rsidR="009600E9" w:rsidRPr="003753C7" w14:paraId="59411A0C" w14:textId="77777777" w:rsidTr="009600E9">
        <w:tc>
          <w:tcPr>
            <w:tcW w:w="0" w:type="auto"/>
            <w:hideMark/>
          </w:tcPr>
          <w:p w14:paraId="1202B7D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Behavioural Intention (BI)</w:t>
            </w:r>
          </w:p>
        </w:tc>
        <w:tc>
          <w:tcPr>
            <w:tcW w:w="0" w:type="auto"/>
            <w:hideMark/>
          </w:tcPr>
          <w:p w14:paraId="0D5466D7"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Farmers’ intention to adopt and continue using organic farming technologies</w:t>
            </w:r>
          </w:p>
        </w:tc>
        <w:tc>
          <w:tcPr>
            <w:tcW w:w="0" w:type="auto"/>
            <w:hideMark/>
          </w:tcPr>
          <w:p w14:paraId="79F9F98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4</w:t>
            </w:r>
          </w:p>
        </w:tc>
        <w:tc>
          <w:tcPr>
            <w:tcW w:w="0" w:type="auto"/>
            <w:hideMark/>
          </w:tcPr>
          <w:p w14:paraId="05E5BAE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Davis (1989)</w:t>
            </w:r>
          </w:p>
        </w:tc>
      </w:tr>
      <w:tr w:rsidR="009600E9" w:rsidRPr="003753C7" w14:paraId="244D379D" w14:textId="77777777" w:rsidTr="009600E9">
        <w:tc>
          <w:tcPr>
            <w:tcW w:w="0" w:type="auto"/>
            <w:hideMark/>
          </w:tcPr>
          <w:p w14:paraId="3191132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Actual Usage (AU)</w:t>
            </w:r>
          </w:p>
        </w:tc>
        <w:tc>
          <w:tcPr>
            <w:tcW w:w="0" w:type="auto"/>
            <w:hideMark/>
          </w:tcPr>
          <w:p w14:paraId="259996D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 xml:space="preserve">Extent of actual adoption and application of organic </w:t>
            </w:r>
            <w:r w:rsidRPr="003753C7">
              <w:rPr>
                <w:rFonts w:ascii="Times New Roman" w:hAnsi="Times New Roman" w:cs="Times New Roman"/>
                <w:sz w:val="24"/>
                <w:szCs w:val="24"/>
              </w:rPr>
              <w:lastRenderedPageBreak/>
              <w:t>farming technologies in farming practices</w:t>
            </w:r>
          </w:p>
        </w:tc>
        <w:tc>
          <w:tcPr>
            <w:tcW w:w="0" w:type="auto"/>
            <w:hideMark/>
          </w:tcPr>
          <w:p w14:paraId="103D7D3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lastRenderedPageBreak/>
              <w:t>3</w:t>
            </w:r>
          </w:p>
        </w:tc>
        <w:tc>
          <w:tcPr>
            <w:tcW w:w="0" w:type="auto"/>
            <w:hideMark/>
          </w:tcPr>
          <w:p w14:paraId="21FA8F0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 xml:space="preserve">Venkatesh et al. </w:t>
            </w:r>
            <w:r w:rsidRPr="003753C7">
              <w:rPr>
                <w:rFonts w:ascii="Times New Roman" w:hAnsi="Times New Roman" w:cs="Times New Roman"/>
                <w:sz w:val="24"/>
                <w:szCs w:val="24"/>
              </w:rPr>
              <w:lastRenderedPageBreak/>
              <w:t>(2003)</w:t>
            </w:r>
          </w:p>
        </w:tc>
      </w:tr>
    </w:tbl>
    <w:p w14:paraId="415B4D7D" w14:textId="77777777" w:rsidR="00FD0A44" w:rsidRPr="003753C7" w:rsidRDefault="00FD0A44" w:rsidP="009600E9">
      <w:pPr>
        <w:jc w:val="both"/>
        <w:rPr>
          <w:rFonts w:ascii="Times New Roman" w:hAnsi="Times New Roman" w:cs="Times New Roman"/>
          <w:b/>
          <w:bCs/>
          <w:sz w:val="24"/>
          <w:szCs w:val="24"/>
        </w:rPr>
      </w:pPr>
    </w:p>
    <w:p w14:paraId="66B88AE0" w14:textId="77777777" w:rsidR="00FF422E" w:rsidRPr="003753C7" w:rsidRDefault="00531E9B" w:rsidP="009600E9">
      <w:pPr>
        <w:jc w:val="both"/>
        <w:rPr>
          <w:rFonts w:ascii="Times New Roman" w:hAnsi="Times New Roman" w:cs="Times New Roman"/>
          <w:b/>
          <w:bCs/>
          <w:sz w:val="24"/>
          <w:szCs w:val="24"/>
        </w:rPr>
      </w:pPr>
      <w:r w:rsidRPr="003753C7">
        <w:rPr>
          <w:rFonts w:ascii="Times New Roman" w:hAnsi="Times New Roman" w:cs="Times New Roman"/>
          <w:b/>
          <w:bCs/>
          <w:sz w:val="24"/>
          <w:szCs w:val="24"/>
        </w:rPr>
        <w:t>Data Analysis Procedure</w:t>
      </w:r>
    </w:p>
    <w:p w14:paraId="50B4A4BE" w14:textId="77777777" w:rsidR="00FD0A44" w:rsidRPr="003753C7" w:rsidRDefault="00FD0A44" w:rsidP="009600E9">
      <w:pPr>
        <w:jc w:val="both"/>
        <w:rPr>
          <w:rFonts w:ascii="Times New Roman" w:hAnsi="Times New Roman" w:cs="Times New Roman"/>
          <w:sz w:val="24"/>
          <w:szCs w:val="24"/>
        </w:rPr>
      </w:pPr>
      <w:r w:rsidRPr="003753C7">
        <w:rPr>
          <w:rFonts w:ascii="Times New Roman" w:hAnsi="Times New Roman" w:cs="Times New Roman"/>
          <w:sz w:val="24"/>
          <w:szCs w:val="24"/>
        </w:rPr>
        <w:t>For the purpose of analyzing the data and estimating structure equation models, the partial least squares-structural equation models (PLS-SEM) technique was utilized. To do this, the Smart PLS program was utilized, and the process was carried out in two steps. According to Hair et al. (2016), PLS-SEM is an excellent method for analyzing complicated models, and it does not require a big sample size or certain assumptions on the distribution of data. According to Hair et al. (2016), the suggested sample size for PLS-SEM is at least ten times the number of arrows that point to a particular construct. As a result, it is an excellent choice for the ongoing study. In this particular investigation, thirteen arrows are pointing to the structures, and the sample size is 225, which is greater than the minimum quantity necessary.</w:t>
      </w:r>
    </w:p>
    <w:p w14:paraId="3D20E00B" w14:textId="77777777" w:rsidR="00531E9B" w:rsidRPr="003753C7" w:rsidRDefault="00531E9B" w:rsidP="009600E9">
      <w:pPr>
        <w:jc w:val="both"/>
        <w:rPr>
          <w:rFonts w:ascii="Times New Roman" w:hAnsi="Times New Roman" w:cs="Times New Roman"/>
          <w:b/>
          <w:bCs/>
          <w:sz w:val="24"/>
          <w:szCs w:val="24"/>
        </w:rPr>
      </w:pPr>
      <w:r w:rsidRPr="003753C7">
        <w:rPr>
          <w:rFonts w:ascii="Times New Roman" w:hAnsi="Times New Roman" w:cs="Times New Roman"/>
          <w:b/>
          <w:bCs/>
          <w:sz w:val="24"/>
          <w:szCs w:val="24"/>
        </w:rPr>
        <w:t>RESULT AND DISCUSSION</w:t>
      </w:r>
    </w:p>
    <w:p w14:paraId="313FE9BA" w14:textId="77777777" w:rsidR="00531E9B" w:rsidRPr="003753C7" w:rsidRDefault="00531E9B" w:rsidP="009600E9">
      <w:pPr>
        <w:jc w:val="both"/>
        <w:rPr>
          <w:rFonts w:ascii="Times New Roman" w:hAnsi="Times New Roman" w:cs="Times New Roman"/>
          <w:b/>
          <w:bCs/>
          <w:i/>
          <w:iCs/>
          <w:sz w:val="24"/>
          <w:szCs w:val="24"/>
        </w:rPr>
      </w:pPr>
      <w:r w:rsidRPr="003753C7">
        <w:rPr>
          <w:rFonts w:ascii="Times New Roman" w:hAnsi="Times New Roman" w:cs="Times New Roman"/>
          <w:b/>
          <w:bCs/>
          <w:sz w:val="24"/>
          <w:szCs w:val="24"/>
        </w:rPr>
        <w:t>Common Method Bias</w:t>
      </w:r>
    </w:p>
    <w:p w14:paraId="7BF65557" w14:textId="77777777" w:rsidR="00FD0A44" w:rsidRPr="003753C7" w:rsidRDefault="00FD0A44" w:rsidP="009600E9">
      <w:pPr>
        <w:jc w:val="both"/>
        <w:rPr>
          <w:rFonts w:ascii="Times New Roman" w:hAnsi="Times New Roman" w:cs="Times New Roman"/>
          <w:sz w:val="24"/>
          <w:szCs w:val="24"/>
        </w:rPr>
      </w:pPr>
      <w:r w:rsidRPr="003753C7">
        <w:rPr>
          <w:rFonts w:ascii="Times New Roman" w:hAnsi="Times New Roman" w:cs="Times New Roman"/>
          <w:sz w:val="24"/>
          <w:szCs w:val="24"/>
        </w:rPr>
        <w:t>Prior to moving further with analysis, it is advised that common technique bias be evaluated, as suggested by previous research. According to the recommendation made by Kock (2015), a Variance Inflation Factor (VIF) value that is more than 3.3 suggests the presence of possible bias concerns. All of the VIFs in the internal model fell within the range of 1.460 to 2.760, which is significantly lower than the threshold of 3.3. Given that the VIF values of all items are summarized in Table 2, this indicates that there are no worries regarding the common technique bias involved.</w:t>
      </w:r>
    </w:p>
    <w:p w14:paraId="3434E377" w14:textId="77777777" w:rsidR="00FD0A44" w:rsidRPr="003753C7" w:rsidRDefault="00FD0A44" w:rsidP="009600E9">
      <w:pPr>
        <w:jc w:val="both"/>
        <w:rPr>
          <w:rFonts w:ascii="Times New Roman" w:hAnsi="Times New Roman" w:cs="Times New Roman"/>
          <w:b/>
          <w:bCs/>
          <w:sz w:val="24"/>
          <w:szCs w:val="24"/>
        </w:rPr>
      </w:pPr>
      <w:r w:rsidRPr="003753C7">
        <w:rPr>
          <w:rFonts w:ascii="Times New Roman" w:hAnsi="Times New Roman" w:cs="Times New Roman"/>
          <w:b/>
          <w:bCs/>
          <w:sz w:val="24"/>
          <w:szCs w:val="24"/>
        </w:rPr>
        <w:t>Assessment of Measurement Models</w:t>
      </w:r>
    </w:p>
    <w:p w14:paraId="6C07259E" w14:textId="77777777" w:rsidR="00FD0A44" w:rsidRPr="003753C7" w:rsidRDefault="00FD0A44" w:rsidP="009600E9">
      <w:pPr>
        <w:jc w:val="both"/>
        <w:rPr>
          <w:rFonts w:ascii="Times New Roman" w:hAnsi="Times New Roman" w:cs="Times New Roman"/>
          <w:sz w:val="24"/>
          <w:szCs w:val="24"/>
        </w:rPr>
      </w:pPr>
      <w:r w:rsidRPr="003753C7">
        <w:rPr>
          <w:rFonts w:ascii="Times New Roman" w:hAnsi="Times New Roman" w:cs="Times New Roman"/>
          <w:sz w:val="24"/>
          <w:szCs w:val="24"/>
        </w:rPr>
        <w:t>Internal consistency (reliability) and validity (convergent and divergent) were the primary foci of the evaluation of the measurement model. The connections between constructs and the indicator variables that measure them were examined in order to do this. According to Vinzi et al. (2010), factor loadings should preferably be more than 0.7, with a minimum acceptable threshold of 0.50. Reliability and validity were enhanced by removing items OB3 and CP1 due to low loading. A Cronbach's alpha and rho score between 0.70 to.95 are deemed good in terms of dependability. In addition, while evaluating convergent validity, we take AVE values into account. The validity and reliability are established by the values in Table III.</w:t>
      </w:r>
    </w:p>
    <w:p w14:paraId="693B12FC" w14:textId="77777777" w:rsidR="009600E9" w:rsidRPr="003753C7" w:rsidRDefault="009600E9" w:rsidP="009600E9">
      <w:pPr>
        <w:jc w:val="center"/>
        <w:rPr>
          <w:rFonts w:ascii="Times New Roman" w:hAnsi="Times New Roman" w:cs="Times New Roman"/>
          <w:b/>
          <w:bCs/>
          <w:sz w:val="24"/>
          <w:szCs w:val="24"/>
        </w:rPr>
      </w:pPr>
      <w:r w:rsidRPr="003753C7">
        <w:rPr>
          <w:rFonts w:ascii="Times New Roman" w:hAnsi="Times New Roman" w:cs="Times New Roman"/>
          <w:b/>
          <w:bCs/>
          <w:sz w:val="24"/>
          <w:szCs w:val="24"/>
        </w:rPr>
        <w:t>Table III: Reliability and Convergent Validity Assessment</w:t>
      </w:r>
    </w:p>
    <w:tbl>
      <w:tblPr>
        <w:tblStyle w:val="TableGrid"/>
        <w:tblW w:w="0" w:type="auto"/>
        <w:tblLook w:val="04A0" w:firstRow="1" w:lastRow="0" w:firstColumn="1" w:lastColumn="0" w:noHBand="0" w:noVBand="1"/>
      </w:tblPr>
      <w:tblGrid>
        <w:gridCol w:w="2753"/>
        <w:gridCol w:w="963"/>
        <w:gridCol w:w="1587"/>
        <w:gridCol w:w="1849"/>
        <w:gridCol w:w="2019"/>
        <w:gridCol w:w="756"/>
        <w:gridCol w:w="756"/>
      </w:tblGrid>
      <w:tr w:rsidR="009600E9" w:rsidRPr="003753C7" w14:paraId="0755D09E" w14:textId="77777777" w:rsidTr="009600E9">
        <w:tc>
          <w:tcPr>
            <w:tcW w:w="0" w:type="auto"/>
            <w:hideMark/>
          </w:tcPr>
          <w:p w14:paraId="1A543FAA"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Construct</w:t>
            </w:r>
          </w:p>
        </w:tc>
        <w:tc>
          <w:tcPr>
            <w:tcW w:w="0" w:type="auto"/>
            <w:hideMark/>
          </w:tcPr>
          <w:p w14:paraId="2D1B28BD"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Items</w:t>
            </w:r>
          </w:p>
        </w:tc>
        <w:tc>
          <w:tcPr>
            <w:tcW w:w="0" w:type="auto"/>
            <w:hideMark/>
          </w:tcPr>
          <w:p w14:paraId="05F6952F"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Outer Loadings</w:t>
            </w:r>
          </w:p>
        </w:tc>
        <w:tc>
          <w:tcPr>
            <w:tcW w:w="0" w:type="auto"/>
            <w:hideMark/>
          </w:tcPr>
          <w:p w14:paraId="5FC5DA3A"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Cronbach’s Alpha</w:t>
            </w:r>
          </w:p>
        </w:tc>
        <w:tc>
          <w:tcPr>
            <w:tcW w:w="0" w:type="auto"/>
            <w:hideMark/>
          </w:tcPr>
          <w:p w14:paraId="4451DF14"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Composite Reliability</w:t>
            </w:r>
          </w:p>
        </w:tc>
        <w:tc>
          <w:tcPr>
            <w:tcW w:w="0" w:type="auto"/>
            <w:hideMark/>
          </w:tcPr>
          <w:p w14:paraId="13E7CD59"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AVE</w:t>
            </w:r>
          </w:p>
        </w:tc>
        <w:tc>
          <w:tcPr>
            <w:tcW w:w="0" w:type="auto"/>
            <w:hideMark/>
          </w:tcPr>
          <w:p w14:paraId="3EBD82F5"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VIF</w:t>
            </w:r>
          </w:p>
        </w:tc>
      </w:tr>
      <w:tr w:rsidR="009600E9" w:rsidRPr="003753C7" w14:paraId="6210FAFB" w14:textId="77777777" w:rsidTr="009600E9">
        <w:tc>
          <w:tcPr>
            <w:tcW w:w="0" w:type="auto"/>
            <w:hideMark/>
          </w:tcPr>
          <w:p w14:paraId="0230E830"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Behavioural Intention (BI)</w:t>
            </w:r>
          </w:p>
        </w:tc>
        <w:tc>
          <w:tcPr>
            <w:tcW w:w="0" w:type="auto"/>
            <w:hideMark/>
          </w:tcPr>
          <w:p w14:paraId="2948220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BI1</w:t>
            </w:r>
          </w:p>
        </w:tc>
        <w:tc>
          <w:tcPr>
            <w:tcW w:w="0" w:type="auto"/>
            <w:hideMark/>
          </w:tcPr>
          <w:p w14:paraId="4F4F11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0.842</w:t>
            </w:r>
          </w:p>
        </w:tc>
        <w:tc>
          <w:tcPr>
            <w:tcW w:w="0" w:type="auto"/>
            <w:hideMark/>
          </w:tcPr>
          <w:p w14:paraId="275CAF7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0.846</w:t>
            </w:r>
          </w:p>
        </w:tc>
        <w:tc>
          <w:tcPr>
            <w:tcW w:w="0" w:type="auto"/>
            <w:hideMark/>
          </w:tcPr>
          <w:p w14:paraId="29C3F71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0.897</w:t>
            </w:r>
          </w:p>
        </w:tc>
        <w:tc>
          <w:tcPr>
            <w:tcW w:w="0" w:type="auto"/>
            <w:hideMark/>
          </w:tcPr>
          <w:p w14:paraId="5DEA1FA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0.687</w:t>
            </w:r>
          </w:p>
        </w:tc>
        <w:tc>
          <w:tcPr>
            <w:tcW w:w="0" w:type="auto"/>
            <w:hideMark/>
          </w:tcPr>
          <w:p w14:paraId="79CDAA7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1.912</w:t>
            </w:r>
          </w:p>
        </w:tc>
      </w:tr>
      <w:tr w:rsidR="009600E9" w:rsidRPr="003753C7" w14:paraId="1ED50C4B" w14:textId="77777777" w:rsidTr="009600E9">
        <w:tc>
          <w:tcPr>
            <w:tcW w:w="0" w:type="auto"/>
            <w:hideMark/>
          </w:tcPr>
          <w:p w14:paraId="40795D1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AF59A3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BI2</w:t>
            </w:r>
          </w:p>
        </w:tc>
        <w:tc>
          <w:tcPr>
            <w:tcW w:w="0" w:type="auto"/>
            <w:hideMark/>
          </w:tcPr>
          <w:p w14:paraId="0B292B4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0.809</w:t>
            </w:r>
          </w:p>
        </w:tc>
        <w:tc>
          <w:tcPr>
            <w:tcW w:w="0" w:type="auto"/>
            <w:hideMark/>
          </w:tcPr>
          <w:p w14:paraId="456E4F0F"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3DBCD7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267027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4D7333B"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1.634</w:t>
            </w:r>
          </w:p>
        </w:tc>
      </w:tr>
      <w:tr w:rsidR="009600E9" w:rsidRPr="003753C7" w14:paraId="7E5EAA4D" w14:textId="77777777" w:rsidTr="009600E9">
        <w:tc>
          <w:tcPr>
            <w:tcW w:w="0" w:type="auto"/>
            <w:hideMark/>
          </w:tcPr>
          <w:p w14:paraId="6E455303"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48E9C0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BI3</w:t>
            </w:r>
          </w:p>
        </w:tc>
        <w:tc>
          <w:tcPr>
            <w:tcW w:w="0" w:type="auto"/>
            <w:hideMark/>
          </w:tcPr>
          <w:p w14:paraId="1E041E1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0.858</w:t>
            </w:r>
          </w:p>
        </w:tc>
        <w:tc>
          <w:tcPr>
            <w:tcW w:w="0" w:type="auto"/>
            <w:hideMark/>
          </w:tcPr>
          <w:p w14:paraId="1F03541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DBCBF6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D06D6B6"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A67E23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2.041</w:t>
            </w:r>
          </w:p>
        </w:tc>
      </w:tr>
      <w:tr w:rsidR="009600E9" w:rsidRPr="003753C7" w14:paraId="724788AF" w14:textId="77777777" w:rsidTr="009600E9">
        <w:tc>
          <w:tcPr>
            <w:tcW w:w="0" w:type="auto"/>
            <w:hideMark/>
          </w:tcPr>
          <w:p w14:paraId="10B8471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88BB4E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BI4</w:t>
            </w:r>
          </w:p>
        </w:tc>
        <w:tc>
          <w:tcPr>
            <w:tcW w:w="0" w:type="auto"/>
            <w:hideMark/>
          </w:tcPr>
          <w:p w14:paraId="72A7548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0.801</w:t>
            </w:r>
          </w:p>
        </w:tc>
        <w:tc>
          <w:tcPr>
            <w:tcW w:w="0" w:type="auto"/>
            <w:hideMark/>
          </w:tcPr>
          <w:p w14:paraId="1861FC96"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223B5A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EFB784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041AAF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1.778</w:t>
            </w:r>
          </w:p>
        </w:tc>
      </w:tr>
      <w:tr w:rsidR="009600E9" w:rsidRPr="003753C7" w14:paraId="55076162" w14:textId="77777777" w:rsidTr="009600E9">
        <w:tc>
          <w:tcPr>
            <w:tcW w:w="0" w:type="auto"/>
            <w:hideMark/>
          </w:tcPr>
          <w:p w14:paraId="3D539710"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Ease of Use (PEOU)</w:t>
            </w:r>
          </w:p>
        </w:tc>
        <w:tc>
          <w:tcPr>
            <w:tcW w:w="0" w:type="auto"/>
            <w:hideMark/>
          </w:tcPr>
          <w:p w14:paraId="4AD721D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PEOU1</w:t>
            </w:r>
          </w:p>
        </w:tc>
        <w:tc>
          <w:tcPr>
            <w:tcW w:w="0" w:type="auto"/>
            <w:hideMark/>
          </w:tcPr>
          <w:p w14:paraId="3A3A3DE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0.812</w:t>
            </w:r>
          </w:p>
        </w:tc>
        <w:tc>
          <w:tcPr>
            <w:tcW w:w="0" w:type="auto"/>
            <w:hideMark/>
          </w:tcPr>
          <w:p w14:paraId="67667A7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0.829</w:t>
            </w:r>
          </w:p>
        </w:tc>
        <w:tc>
          <w:tcPr>
            <w:tcW w:w="0" w:type="auto"/>
            <w:hideMark/>
          </w:tcPr>
          <w:p w14:paraId="61764C5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0.886</w:t>
            </w:r>
          </w:p>
        </w:tc>
        <w:tc>
          <w:tcPr>
            <w:tcW w:w="0" w:type="auto"/>
            <w:hideMark/>
          </w:tcPr>
          <w:p w14:paraId="125B0577"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0.662</w:t>
            </w:r>
          </w:p>
        </w:tc>
        <w:tc>
          <w:tcPr>
            <w:tcW w:w="0" w:type="auto"/>
            <w:hideMark/>
          </w:tcPr>
          <w:p w14:paraId="48ED5CA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1.521</w:t>
            </w:r>
          </w:p>
        </w:tc>
      </w:tr>
      <w:tr w:rsidR="009600E9" w:rsidRPr="003753C7" w14:paraId="1D49C099" w14:textId="77777777" w:rsidTr="009600E9">
        <w:tc>
          <w:tcPr>
            <w:tcW w:w="0" w:type="auto"/>
            <w:hideMark/>
          </w:tcPr>
          <w:p w14:paraId="172FBEB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DB49C0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PEOU2</w:t>
            </w:r>
          </w:p>
        </w:tc>
        <w:tc>
          <w:tcPr>
            <w:tcW w:w="0" w:type="auto"/>
            <w:hideMark/>
          </w:tcPr>
          <w:p w14:paraId="34D32DD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0.845</w:t>
            </w:r>
          </w:p>
        </w:tc>
        <w:tc>
          <w:tcPr>
            <w:tcW w:w="0" w:type="auto"/>
            <w:hideMark/>
          </w:tcPr>
          <w:p w14:paraId="24931EE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B1620F2"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AFABC4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014E95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1.873</w:t>
            </w:r>
          </w:p>
        </w:tc>
      </w:tr>
      <w:tr w:rsidR="009600E9" w:rsidRPr="003753C7" w14:paraId="4E700C9D" w14:textId="77777777" w:rsidTr="009600E9">
        <w:tc>
          <w:tcPr>
            <w:tcW w:w="0" w:type="auto"/>
            <w:hideMark/>
          </w:tcPr>
          <w:p w14:paraId="316E745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5710CE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PEOU3</w:t>
            </w:r>
          </w:p>
        </w:tc>
        <w:tc>
          <w:tcPr>
            <w:tcW w:w="0" w:type="auto"/>
            <w:hideMark/>
          </w:tcPr>
          <w:p w14:paraId="0D08228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0.798</w:t>
            </w:r>
          </w:p>
        </w:tc>
        <w:tc>
          <w:tcPr>
            <w:tcW w:w="0" w:type="auto"/>
            <w:hideMark/>
          </w:tcPr>
          <w:p w14:paraId="0C225D28"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D5C8A8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23AD2A2"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5AF3AD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1.694</w:t>
            </w:r>
          </w:p>
        </w:tc>
      </w:tr>
      <w:tr w:rsidR="009600E9" w:rsidRPr="003753C7" w14:paraId="483B211D" w14:textId="77777777" w:rsidTr="009600E9">
        <w:tc>
          <w:tcPr>
            <w:tcW w:w="0" w:type="auto"/>
            <w:hideMark/>
          </w:tcPr>
          <w:p w14:paraId="3BA0C5B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1CDDFC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PEOU4</w:t>
            </w:r>
          </w:p>
        </w:tc>
        <w:tc>
          <w:tcPr>
            <w:tcW w:w="0" w:type="auto"/>
            <w:hideMark/>
          </w:tcPr>
          <w:p w14:paraId="720F07D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0.826</w:t>
            </w:r>
          </w:p>
        </w:tc>
        <w:tc>
          <w:tcPr>
            <w:tcW w:w="0" w:type="auto"/>
            <w:hideMark/>
          </w:tcPr>
          <w:p w14:paraId="45ACE3E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4AFE74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B47E71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078E02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1.604</w:t>
            </w:r>
          </w:p>
        </w:tc>
      </w:tr>
      <w:tr w:rsidR="009600E9" w:rsidRPr="003753C7" w14:paraId="1BACAF09" w14:textId="77777777" w:rsidTr="009600E9">
        <w:tc>
          <w:tcPr>
            <w:tcW w:w="0" w:type="auto"/>
            <w:hideMark/>
          </w:tcPr>
          <w:p w14:paraId="1F72282F"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Usefulness (PU)</w:t>
            </w:r>
          </w:p>
        </w:tc>
        <w:tc>
          <w:tcPr>
            <w:tcW w:w="0" w:type="auto"/>
            <w:hideMark/>
          </w:tcPr>
          <w:p w14:paraId="797C53F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PU1</w:t>
            </w:r>
          </w:p>
        </w:tc>
        <w:tc>
          <w:tcPr>
            <w:tcW w:w="0" w:type="auto"/>
            <w:hideMark/>
          </w:tcPr>
          <w:p w14:paraId="31ADE9B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0.861</w:t>
            </w:r>
          </w:p>
        </w:tc>
        <w:tc>
          <w:tcPr>
            <w:tcW w:w="0" w:type="auto"/>
            <w:hideMark/>
          </w:tcPr>
          <w:p w14:paraId="77ED151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0.862</w:t>
            </w:r>
          </w:p>
        </w:tc>
        <w:tc>
          <w:tcPr>
            <w:tcW w:w="0" w:type="auto"/>
            <w:hideMark/>
          </w:tcPr>
          <w:p w14:paraId="5D4EB88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0.905</w:t>
            </w:r>
          </w:p>
        </w:tc>
        <w:tc>
          <w:tcPr>
            <w:tcW w:w="0" w:type="auto"/>
            <w:hideMark/>
          </w:tcPr>
          <w:p w14:paraId="3009A3C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0.704</w:t>
            </w:r>
          </w:p>
        </w:tc>
        <w:tc>
          <w:tcPr>
            <w:tcW w:w="0" w:type="auto"/>
            <w:hideMark/>
          </w:tcPr>
          <w:p w14:paraId="7CDBE9F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2.117</w:t>
            </w:r>
          </w:p>
        </w:tc>
      </w:tr>
      <w:tr w:rsidR="009600E9" w:rsidRPr="003753C7" w14:paraId="0EA4F0DF" w14:textId="77777777" w:rsidTr="009600E9">
        <w:tc>
          <w:tcPr>
            <w:tcW w:w="0" w:type="auto"/>
            <w:hideMark/>
          </w:tcPr>
          <w:p w14:paraId="4AC3A63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ECB68F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PU2</w:t>
            </w:r>
          </w:p>
        </w:tc>
        <w:tc>
          <w:tcPr>
            <w:tcW w:w="0" w:type="auto"/>
            <w:hideMark/>
          </w:tcPr>
          <w:p w14:paraId="6C858F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0.834</w:t>
            </w:r>
          </w:p>
        </w:tc>
        <w:tc>
          <w:tcPr>
            <w:tcW w:w="0" w:type="auto"/>
            <w:hideMark/>
          </w:tcPr>
          <w:p w14:paraId="5ADC83C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8B7EC8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2F9568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27932F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1.942</w:t>
            </w:r>
          </w:p>
        </w:tc>
      </w:tr>
      <w:tr w:rsidR="009600E9" w:rsidRPr="003753C7" w14:paraId="5C05BA80" w14:textId="77777777" w:rsidTr="009600E9">
        <w:tc>
          <w:tcPr>
            <w:tcW w:w="0" w:type="auto"/>
            <w:hideMark/>
          </w:tcPr>
          <w:p w14:paraId="68B944E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694F3A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PU3</w:t>
            </w:r>
          </w:p>
        </w:tc>
        <w:tc>
          <w:tcPr>
            <w:tcW w:w="0" w:type="auto"/>
            <w:hideMark/>
          </w:tcPr>
          <w:p w14:paraId="3B53840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0.872</w:t>
            </w:r>
          </w:p>
        </w:tc>
        <w:tc>
          <w:tcPr>
            <w:tcW w:w="0" w:type="auto"/>
            <w:hideMark/>
          </w:tcPr>
          <w:p w14:paraId="0DFC521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3E5FE8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961F6B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E422EA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2.284</w:t>
            </w:r>
          </w:p>
        </w:tc>
      </w:tr>
      <w:tr w:rsidR="009600E9" w:rsidRPr="003753C7" w14:paraId="21E415B1" w14:textId="77777777" w:rsidTr="009600E9">
        <w:tc>
          <w:tcPr>
            <w:tcW w:w="0" w:type="auto"/>
            <w:hideMark/>
          </w:tcPr>
          <w:p w14:paraId="62D0B2E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B6CA2DB"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PU4</w:t>
            </w:r>
          </w:p>
        </w:tc>
        <w:tc>
          <w:tcPr>
            <w:tcW w:w="0" w:type="auto"/>
            <w:hideMark/>
          </w:tcPr>
          <w:p w14:paraId="11B0A25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0.801</w:t>
            </w:r>
          </w:p>
        </w:tc>
        <w:tc>
          <w:tcPr>
            <w:tcW w:w="0" w:type="auto"/>
            <w:hideMark/>
          </w:tcPr>
          <w:p w14:paraId="404FF9E2"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73221A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940DEC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8AE4D9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1.766</w:t>
            </w:r>
          </w:p>
        </w:tc>
      </w:tr>
      <w:tr w:rsidR="009600E9" w:rsidRPr="003753C7" w14:paraId="3C651D04" w14:textId="77777777" w:rsidTr="009600E9">
        <w:tc>
          <w:tcPr>
            <w:tcW w:w="0" w:type="auto"/>
            <w:hideMark/>
          </w:tcPr>
          <w:p w14:paraId="4620EDBC"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Risk (PR)</w:t>
            </w:r>
          </w:p>
        </w:tc>
        <w:tc>
          <w:tcPr>
            <w:tcW w:w="0" w:type="auto"/>
            <w:hideMark/>
          </w:tcPr>
          <w:p w14:paraId="784D153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PR1</w:t>
            </w:r>
          </w:p>
        </w:tc>
        <w:tc>
          <w:tcPr>
            <w:tcW w:w="0" w:type="auto"/>
            <w:hideMark/>
          </w:tcPr>
          <w:p w14:paraId="4034E47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0.786</w:t>
            </w:r>
          </w:p>
        </w:tc>
        <w:tc>
          <w:tcPr>
            <w:tcW w:w="0" w:type="auto"/>
            <w:hideMark/>
          </w:tcPr>
          <w:p w14:paraId="482D3CF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0.804</w:t>
            </w:r>
          </w:p>
        </w:tc>
        <w:tc>
          <w:tcPr>
            <w:tcW w:w="0" w:type="auto"/>
            <w:hideMark/>
          </w:tcPr>
          <w:p w14:paraId="0A87944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0.872</w:t>
            </w:r>
          </w:p>
        </w:tc>
        <w:tc>
          <w:tcPr>
            <w:tcW w:w="0" w:type="auto"/>
            <w:hideMark/>
          </w:tcPr>
          <w:p w14:paraId="0E4F965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0.630</w:t>
            </w:r>
          </w:p>
        </w:tc>
        <w:tc>
          <w:tcPr>
            <w:tcW w:w="0" w:type="auto"/>
            <w:hideMark/>
          </w:tcPr>
          <w:p w14:paraId="1E479D2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1.489</w:t>
            </w:r>
          </w:p>
        </w:tc>
      </w:tr>
      <w:tr w:rsidR="009600E9" w:rsidRPr="003753C7" w14:paraId="2386303E" w14:textId="77777777" w:rsidTr="009600E9">
        <w:tc>
          <w:tcPr>
            <w:tcW w:w="0" w:type="auto"/>
            <w:hideMark/>
          </w:tcPr>
          <w:p w14:paraId="0E16E43E"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F3EE4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PR2</w:t>
            </w:r>
          </w:p>
        </w:tc>
        <w:tc>
          <w:tcPr>
            <w:tcW w:w="0" w:type="auto"/>
            <w:hideMark/>
          </w:tcPr>
          <w:p w14:paraId="4ACE3BDB"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0.822</w:t>
            </w:r>
          </w:p>
        </w:tc>
        <w:tc>
          <w:tcPr>
            <w:tcW w:w="0" w:type="auto"/>
            <w:hideMark/>
          </w:tcPr>
          <w:p w14:paraId="64DB2FF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7CC677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7AAB57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B00A9F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1.753</w:t>
            </w:r>
          </w:p>
        </w:tc>
      </w:tr>
      <w:tr w:rsidR="009600E9" w:rsidRPr="003753C7" w14:paraId="27DB3AC2" w14:textId="77777777" w:rsidTr="009600E9">
        <w:tc>
          <w:tcPr>
            <w:tcW w:w="0" w:type="auto"/>
            <w:hideMark/>
          </w:tcPr>
          <w:p w14:paraId="6DF5927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101A8B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PR3</w:t>
            </w:r>
          </w:p>
        </w:tc>
        <w:tc>
          <w:tcPr>
            <w:tcW w:w="0" w:type="auto"/>
            <w:hideMark/>
          </w:tcPr>
          <w:p w14:paraId="37B15BB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0.791</w:t>
            </w:r>
          </w:p>
        </w:tc>
        <w:tc>
          <w:tcPr>
            <w:tcW w:w="0" w:type="auto"/>
            <w:hideMark/>
          </w:tcPr>
          <w:p w14:paraId="2A17D43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F3546C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9E82ED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B5A722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1.668</w:t>
            </w:r>
          </w:p>
        </w:tc>
      </w:tr>
      <w:tr w:rsidR="009600E9" w:rsidRPr="003753C7" w14:paraId="3BE1FE61" w14:textId="77777777" w:rsidTr="009600E9">
        <w:tc>
          <w:tcPr>
            <w:tcW w:w="0" w:type="auto"/>
            <w:hideMark/>
          </w:tcPr>
          <w:p w14:paraId="2069FB78"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CE1000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PR4</w:t>
            </w:r>
          </w:p>
        </w:tc>
        <w:tc>
          <w:tcPr>
            <w:tcW w:w="0" w:type="auto"/>
            <w:hideMark/>
          </w:tcPr>
          <w:p w14:paraId="7ECA4F9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0.805</w:t>
            </w:r>
          </w:p>
        </w:tc>
        <w:tc>
          <w:tcPr>
            <w:tcW w:w="0" w:type="auto"/>
            <w:hideMark/>
          </w:tcPr>
          <w:p w14:paraId="325D937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AEF8DF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325B34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85BFC1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1.594</w:t>
            </w:r>
          </w:p>
        </w:tc>
      </w:tr>
      <w:tr w:rsidR="009600E9" w:rsidRPr="003753C7" w14:paraId="0E9B7596" w14:textId="77777777" w:rsidTr="009600E9">
        <w:tc>
          <w:tcPr>
            <w:tcW w:w="0" w:type="auto"/>
            <w:hideMark/>
          </w:tcPr>
          <w:p w14:paraId="67E89FC9"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Environmental Risk (ER)</w:t>
            </w:r>
          </w:p>
        </w:tc>
        <w:tc>
          <w:tcPr>
            <w:tcW w:w="0" w:type="auto"/>
            <w:hideMark/>
          </w:tcPr>
          <w:p w14:paraId="6246C5F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ER1</w:t>
            </w:r>
          </w:p>
        </w:tc>
        <w:tc>
          <w:tcPr>
            <w:tcW w:w="0" w:type="auto"/>
            <w:hideMark/>
          </w:tcPr>
          <w:p w14:paraId="5025C72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0.794</w:t>
            </w:r>
          </w:p>
        </w:tc>
        <w:tc>
          <w:tcPr>
            <w:tcW w:w="0" w:type="auto"/>
            <w:hideMark/>
          </w:tcPr>
          <w:p w14:paraId="54554FD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0.817</w:t>
            </w:r>
          </w:p>
        </w:tc>
        <w:tc>
          <w:tcPr>
            <w:tcW w:w="0" w:type="auto"/>
            <w:hideMark/>
          </w:tcPr>
          <w:p w14:paraId="67E5124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0.879</w:t>
            </w:r>
          </w:p>
        </w:tc>
        <w:tc>
          <w:tcPr>
            <w:tcW w:w="0" w:type="auto"/>
            <w:hideMark/>
          </w:tcPr>
          <w:p w14:paraId="59FAC41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0.646</w:t>
            </w:r>
          </w:p>
        </w:tc>
        <w:tc>
          <w:tcPr>
            <w:tcW w:w="0" w:type="auto"/>
            <w:hideMark/>
          </w:tcPr>
          <w:p w14:paraId="0442B80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1.832</w:t>
            </w:r>
          </w:p>
        </w:tc>
      </w:tr>
      <w:tr w:rsidR="009600E9" w:rsidRPr="003753C7" w14:paraId="7C1C758F" w14:textId="77777777" w:rsidTr="009600E9">
        <w:tc>
          <w:tcPr>
            <w:tcW w:w="0" w:type="auto"/>
            <w:hideMark/>
          </w:tcPr>
          <w:p w14:paraId="7CFAAB1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781B87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ER2</w:t>
            </w:r>
          </w:p>
        </w:tc>
        <w:tc>
          <w:tcPr>
            <w:tcW w:w="0" w:type="auto"/>
            <w:hideMark/>
          </w:tcPr>
          <w:p w14:paraId="068F83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0.821</w:t>
            </w:r>
          </w:p>
        </w:tc>
        <w:tc>
          <w:tcPr>
            <w:tcW w:w="0" w:type="auto"/>
            <w:hideMark/>
          </w:tcPr>
          <w:p w14:paraId="4AB1DBA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44403C3"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05119DE"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25A452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2.006</w:t>
            </w:r>
          </w:p>
        </w:tc>
      </w:tr>
      <w:tr w:rsidR="009600E9" w:rsidRPr="003753C7" w14:paraId="7DF633F7" w14:textId="77777777" w:rsidTr="009600E9">
        <w:tc>
          <w:tcPr>
            <w:tcW w:w="0" w:type="auto"/>
            <w:hideMark/>
          </w:tcPr>
          <w:p w14:paraId="6AD6E136"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08AD4F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ER3</w:t>
            </w:r>
          </w:p>
        </w:tc>
        <w:tc>
          <w:tcPr>
            <w:tcW w:w="0" w:type="auto"/>
            <w:hideMark/>
          </w:tcPr>
          <w:p w14:paraId="79190DC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0.835</w:t>
            </w:r>
          </w:p>
        </w:tc>
        <w:tc>
          <w:tcPr>
            <w:tcW w:w="0" w:type="auto"/>
            <w:hideMark/>
          </w:tcPr>
          <w:p w14:paraId="51326368"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51C7E0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11A8B1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256909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2.134</w:t>
            </w:r>
          </w:p>
        </w:tc>
      </w:tr>
      <w:tr w:rsidR="009600E9" w:rsidRPr="003753C7" w14:paraId="66E366A1" w14:textId="77777777" w:rsidTr="009600E9">
        <w:tc>
          <w:tcPr>
            <w:tcW w:w="0" w:type="auto"/>
            <w:hideMark/>
          </w:tcPr>
          <w:p w14:paraId="6934962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171F12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ER4</w:t>
            </w:r>
          </w:p>
        </w:tc>
        <w:tc>
          <w:tcPr>
            <w:tcW w:w="0" w:type="auto"/>
            <w:hideMark/>
          </w:tcPr>
          <w:p w14:paraId="2B3E00F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0.778</w:t>
            </w:r>
          </w:p>
        </w:tc>
        <w:tc>
          <w:tcPr>
            <w:tcW w:w="0" w:type="auto"/>
            <w:hideMark/>
          </w:tcPr>
          <w:p w14:paraId="04B9129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B0A665F"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906239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B90A3A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1.691</w:t>
            </w:r>
          </w:p>
        </w:tc>
      </w:tr>
      <w:tr w:rsidR="009600E9" w:rsidRPr="003753C7" w14:paraId="281827B1" w14:textId="77777777" w:rsidTr="009600E9">
        <w:tc>
          <w:tcPr>
            <w:tcW w:w="0" w:type="auto"/>
            <w:hideMark/>
          </w:tcPr>
          <w:p w14:paraId="3CE51F55"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Actual Usage (AU)</w:t>
            </w:r>
          </w:p>
        </w:tc>
        <w:tc>
          <w:tcPr>
            <w:tcW w:w="0" w:type="auto"/>
            <w:hideMark/>
          </w:tcPr>
          <w:p w14:paraId="3CEFC87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AU1</w:t>
            </w:r>
          </w:p>
        </w:tc>
        <w:tc>
          <w:tcPr>
            <w:tcW w:w="0" w:type="auto"/>
            <w:hideMark/>
          </w:tcPr>
          <w:p w14:paraId="55EB174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0.865</w:t>
            </w:r>
          </w:p>
        </w:tc>
        <w:tc>
          <w:tcPr>
            <w:tcW w:w="0" w:type="auto"/>
            <w:hideMark/>
          </w:tcPr>
          <w:p w14:paraId="36E8337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0.798</w:t>
            </w:r>
          </w:p>
        </w:tc>
        <w:tc>
          <w:tcPr>
            <w:tcW w:w="0" w:type="auto"/>
            <w:hideMark/>
          </w:tcPr>
          <w:p w14:paraId="050C2D9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0.881</w:t>
            </w:r>
          </w:p>
        </w:tc>
        <w:tc>
          <w:tcPr>
            <w:tcW w:w="0" w:type="auto"/>
            <w:hideMark/>
          </w:tcPr>
          <w:p w14:paraId="3F3C970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0.712</w:t>
            </w:r>
          </w:p>
        </w:tc>
        <w:tc>
          <w:tcPr>
            <w:tcW w:w="0" w:type="auto"/>
            <w:hideMark/>
          </w:tcPr>
          <w:p w14:paraId="127B87D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1.427</w:t>
            </w:r>
          </w:p>
        </w:tc>
      </w:tr>
      <w:tr w:rsidR="009600E9" w:rsidRPr="003753C7" w14:paraId="4EFDC8E4" w14:textId="77777777" w:rsidTr="009600E9">
        <w:tc>
          <w:tcPr>
            <w:tcW w:w="0" w:type="auto"/>
            <w:hideMark/>
          </w:tcPr>
          <w:p w14:paraId="41B7753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6177BA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AU2</w:t>
            </w:r>
          </w:p>
        </w:tc>
        <w:tc>
          <w:tcPr>
            <w:tcW w:w="0" w:type="auto"/>
            <w:hideMark/>
          </w:tcPr>
          <w:p w14:paraId="3DEF2E2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0.841</w:t>
            </w:r>
          </w:p>
        </w:tc>
        <w:tc>
          <w:tcPr>
            <w:tcW w:w="0" w:type="auto"/>
            <w:hideMark/>
          </w:tcPr>
          <w:p w14:paraId="1BCB47E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091E3F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7E3A1BF"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2C0F18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1.562</w:t>
            </w:r>
          </w:p>
        </w:tc>
      </w:tr>
      <w:tr w:rsidR="009600E9" w:rsidRPr="003753C7" w14:paraId="361C59D8" w14:textId="77777777" w:rsidTr="009600E9">
        <w:tc>
          <w:tcPr>
            <w:tcW w:w="0" w:type="auto"/>
            <w:hideMark/>
          </w:tcPr>
          <w:p w14:paraId="7910A34C"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E559DF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AU3</w:t>
            </w:r>
          </w:p>
        </w:tc>
        <w:tc>
          <w:tcPr>
            <w:tcW w:w="0" w:type="auto"/>
            <w:hideMark/>
          </w:tcPr>
          <w:p w14:paraId="0599A9E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0.823</w:t>
            </w:r>
          </w:p>
        </w:tc>
        <w:tc>
          <w:tcPr>
            <w:tcW w:w="0" w:type="auto"/>
            <w:hideMark/>
          </w:tcPr>
          <w:p w14:paraId="7316E976"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1075412"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131084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117B8E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1.489</w:t>
            </w:r>
          </w:p>
        </w:tc>
      </w:tr>
    </w:tbl>
    <w:p w14:paraId="78AF7FAB" w14:textId="77777777" w:rsidR="009600E9" w:rsidRPr="003753C7" w:rsidRDefault="009600E9" w:rsidP="009600E9">
      <w:pPr>
        <w:jc w:val="both"/>
        <w:rPr>
          <w:rFonts w:ascii="Times New Roman" w:hAnsi="Times New Roman" w:cs="Times New Roman"/>
          <w:b/>
          <w:bCs/>
          <w:sz w:val="24"/>
          <w:szCs w:val="24"/>
        </w:rPr>
      </w:pPr>
    </w:p>
    <w:p w14:paraId="7FC1B8E8" w14:textId="77777777" w:rsidR="00531E9B" w:rsidRPr="003753C7" w:rsidRDefault="00531E9B" w:rsidP="009600E9">
      <w:pPr>
        <w:jc w:val="both"/>
        <w:rPr>
          <w:rFonts w:ascii="Times New Roman" w:hAnsi="Times New Roman" w:cs="Times New Roman"/>
          <w:b/>
          <w:bCs/>
          <w:sz w:val="24"/>
          <w:szCs w:val="24"/>
        </w:rPr>
      </w:pPr>
      <w:r w:rsidRPr="003753C7">
        <w:rPr>
          <w:rFonts w:ascii="Times New Roman" w:hAnsi="Times New Roman" w:cs="Times New Roman"/>
          <w:b/>
          <w:bCs/>
          <w:sz w:val="24"/>
          <w:szCs w:val="24"/>
        </w:rPr>
        <w:t>Assessment of Discriminant Validity</w:t>
      </w:r>
    </w:p>
    <w:p w14:paraId="45DF8ACD" w14:textId="77777777" w:rsidR="00C4342F" w:rsidRPr="003753C7" w:rsidRDefault="00C4342F" w:rsidP="009600E9">
      <w:pPr>
        <w:jc w:val="both"/>
        <w:rPr>
          <w:rFonts w:ascii="Times New Roman" w:hAnsi="Times New Roman" w:cs="Times New Roman"/>
          <w:sz w:val="24"/>
          <w:szCs w:val="24"/>
        </w:rPr>
      </w:pPr>
      <w:r w:rsidRPr="003753C7">
        <w:rPr>
          <w:rFonts w:ascii="Times New Roman" w:hAnsi="Times New Roman" w:cs="Times New Roman"/>
          <w:sz w:val="24"/>
          <w:szCs w:val="24"/>
        </w:rPr>
        <w:t>We then tested the model to see whether it could discriminate correctly. The goal was to exclude any possibility of a correlation between the measurements of different constructs. You can use the Heterotrait-Monotrait ratio of correlations (HTMT) method, the criteria of Fornell and Larcker (1981), or cross-loadings to examine this. We used the HTMT criterion to achieve this objective. According to Henseler et al. (2015), a cautious cutoff for the HRMT ratio should be 0.90 or below in order to identify the presence of discriminant validity. As shown in Table IV, discriminant validity was achieved since no HTMT value was higher than the threshold value of 0.90.</w:t>
      </w:r>
    </w:p>
    <w:p w14:paraId="2BDCB151" w14:textId="77777777" w:rsidR="009600E9" w:rsidRPr="003753C7" w:rsidRDefault="009600E9" w:rsidP="009600E9">
      <w:pPr>
        <w:jc w:val="center"/>
        <w:rPr>
          <w:rFonts w:ascii="Times New Roman" w:hAnsi="Times New Roman" w:cs="Times New Roman"/>
          <w:b/>
          <w:bCs/>
          <w:sz w:val="24"/>
          <w:szCs w:val="24"/>
        </w:rPr>
      </w:pPr>
      <w:r w:rsidRPr="003753C7">
        <w:rPr>
          <w:rFonts w:ascii="Times New Roman" w:hAnsi="Times New Roman" w:cs="Times New Roman"/>
          <w:b/>
          <w:bCs/>
          <w:sz w:val="24"/>
          <w:szCs w:val="24"/>
        </w:rPr>
        <w:t>Table IV: Heterotrait–Monotrait Ratio (HTMT) Values</w:t>
      </w:r>
    </w:p>
    <w:tbl>
      <w:tblPr>
        <w:tblStyle w:val="TableGrid"/>
        <w:tblW w:w="0" w:type="auto"/>
        <w:jc w:val="center"/>
        <w:tblLook w:val="04A0" w:firstRow="1" w:lastRow="0" w:firstColumn="1" w:lastColumn="0" w:noHBand="0" w:noVBand="1"/>
      </w:tblPr>
      <w:tblGrid>
        <w:gridCol w:w="3336"/>
        <w:gridCol w:w="756"/>
        <w:gridCol w:w="883"/>
        <w:gridCol w:w="756"/>
        <w:gridCol w:w="756"/>
        <w:gridCol w:w="756"/>
        <w:gridCol w:w="563"/>
      </w:tblGrid>
      <w:tr w:rsidR="009600E9" w:rsidRPr="003753C7" w14:paraId="5094131A" w14:textId="77777777" w:rsidTr="009600E9">
        <w:trPr>
          <w:jc w:val="center"/>
        </w:trPr>
        <w:tc>
          <w:tcPr>
            <w:tcW w:w="0" w:type="auto"/>
            <w:hideMark/>
          </w:tcPr>
          <w:p w14:paraId="4C8B37E8"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Constructs</w:t>
            </w:r>
          </w:p>
        </w:tc>
        <w:tc>
          <w:tcPr>
            <w:tcW w:w="0" w:type="auto"/>
            <w:hideMark/>
          </w:tcPr>
          <w:p w14:paraId="13ECA410"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BI</w:t>
            </w:r>
          </w:p>
        </w:tc>
        <w:tc>
          <w:tcPr>
            <w:tcW w:w="0" w:type="auto"/>
            <w:hideMark/>
          </w:tcPr>
          <w:p w14:paraId="785EB90D"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PEOU</w:t>
            </w:r>
          </w:p>
        </w:tc>
        <w:tc>
          <w:tcPr>
            <w:tcW w:w="0" w:type="auto"/>
            <w:hideMark/>
          </w:tcPr>
          <w:p w14:paraId="64EE0D40"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PU</w:t>
            </w:r>
          </w:p>
        </w:tc>
        <w:tc>
          <w:tcPr>
            <w:tcW w:w="0" w:type="auto"/>
            <w:hideMark/>
          </w:tcPr>
          <w:p w14:paraId="1B7F2EE3"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PR</w:t>
            </w:r>
          </w:p>
        </w:tc>
        <w:tc>
          <w:tcPr>
            <w:tcW w:w="0" w:type="auto"/>
            <w:hideMark/>
          </w:tcPr>
          <w:p w14:paraId="79367DBF"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ER</w:t>
            </w:r>
          </w:p>
        </w:tc>
        <w:tc>
          <w:tcPr>
            <w:tcW w:w="0" w:type="auto"/>
            <w:hideMark/>
          </w:tcPr>
          <w:p w14:paraId="3A830CEF"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AU</w:t>
            </w:r>
          </w:p>
        </w:tc>
      </w:tr>
      <w:tr w:rsidR="009600E9" w:rsidRPr="003753C7" w14:paraId="341967C7" w14:textId="77777777" w:rsidTr="009600E9">
        <w:trPr>
          <w:jc w:val="center"/>
        </w:trPr>
        <w:tc>
          <w:tcPr>
            <w:tcW w:w="0" w:type="auto"/>
            <w:hideMark/>
          </w:tcPr>
          <w:p w14:paraId="5BADA3F6"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Behavioural Intention (BI)</w:t>
            </w:r>
          </w:p>
        </w:tc>
        <w:tc>
          <w:tcPr>
            <w:tcW w:w="0" w:type="auto"/>
            <w:hideMark/>
          </w:tcPr>
          <w:p w14:paraId="2F77F43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27E02E9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E67CCB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F265AD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D78687E"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F4D5096"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2F3530C9" w14:textId="77777777" w:rsidTr="009600E9">
        <w:trPr>
          <w:jc w:val="center"/>
        </w:trPr>
        <w:tc>
          <w:tcPr>
            <w:tcW w:w="0" w:type="auto"/>
            <w:hideMark/>
          </w:tcPr>
          <w:p w14:paraId="4DAF1C9A"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Ease of Use (PEOU)</w:t>
            </w:r>
          </w:p>
        </w:tc>
        <w:tc>
          <w:tcPr>
            <w:tcW w:w="0" w:type="auto"/>
            <w:hideMark/>
          </w:tcPr>
          <w:p w14:paraId="51E91B9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0.612</w:t>
            </w:r>
          </w:p>
        </w:tc>
        <w:tc>
          <w:tcPr>
            <w:tcW w:w="0" w:type="auto"/>
            <w:hideMark/>
          </w:tcPr>
          <w:p w14:paraId="76D4029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3E741E1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7B2497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DB94B8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8931FBC"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571F6682" w14:textId="77777777" w:rsidTr="009600E9">
        <w:trPr>
          <w:jc w:val="center"/>
        </w:trPr>
        <w:tc>
          <w:tcPr>
            <w:tcW w:w="0" w:type="auto"/>
            <w:hideMark/>
          </w:tcPr>
          <w:p w14:paraId="269D5F6B"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Usefulness (PU)</w:t>
            </w:r>
          </w:p>
        </w:tc>
        <w:tc>
          <w:tcPr>
            <w:tcW w:w="0" w:type="auto"/>
            <w:hideMark/>
          </w:tcPr>
          <w:p w14:paraId="7E6261E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0.684</w:t>
            </w:r>
          </w:p>
        </w:tc>
        <w:tc>
          <w:tcPr>
            <w:tcW w:w="0" w:type="auto"/>
            <w:hideMark/>
          </w:tcPr>
          <w:p w14:paraId="1F522F6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0.531</w:t>
            </w:r>
          </w:p>
        </w:tc>
        <w:tc>
          <w:tcPr>
            <w:tcW w:w="0" w:type="auto"/>
            <w:hideMark/>
          </w:tcPr>
          <w:p w14:paraId="2EF0AE6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62604DAF"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391145C"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FC6C279"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021CDAF8" w14:textId="77777777" w:rsidTr="009600E9">
        <w:trPr>
          <w:jc w:val="center"/>
        </w:trPr>
        <w:tc>
          <w:tcPr>
            <w:tcW w:w="0" w:type="auto"/>
            <w:hideMark/>
          </w:tcPr>
          <w:p w14:paraId="6AAC7F29"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Risk (PR)</w:t>
            </w:r>
          </w:p>
        </w:tc>
        <w:tc>
          <w:tcPr>
            <w:tcW w:w="0" w:type="auto"/>
            <w:hideMark/>
          </w:tcPr>
          <w:p w14:paraId="7697445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0.398</w:t>
            </w:r>
          </w:p>
        </w:tc>
        <w:tc>
          <w:tcPr>
            <w:tcW w:w="0" w:type="auto"/>
            <w:hideMark/>
          </w:tcPr>
          <w:p w14:paraId="2425FF3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0.276</w:t>
            </w:r>
          </w:p>
        </w:tc>
        <w:tc>
          <w:tcPr>
            <w:tcW w:w="0" w:type="auto"/>
            <w:hideMark/>
          </w:tcPr>
          <w:p w14:paraId="60BCEEF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0.344</w:t>
            </w:r>
          </w:p>
        </w:tc>
        <w:tc>
          <w:tcPr>
            <w:tcW w:w="0" w:type="auto"/>
            <w:hideMark/>
          </w:tcPr>
          <w:p w14:paraId="4B2881F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6C0E29A8"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660FED3"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463DE60B" w14:textId="77777777" w:rsidTr="009600E9">
        <w:trPr>
          <w:jc w:val="center"/>
        </w:trPr>
        <w:tc>
          <w:tcPr>
            <w:tcW w:w="0" w:type="auto"/>
            <w:hideMark/>
          </w:tcPr>
          <w:p w14:paraId="28090861"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Environmental Risk (ER)</w:t>
            </w:r>
          </w:p>
        </w:tc>
        <w:tc>
          <w:tcPr>
            <w:tcW w:w="0" w:type="auto"/>
            <w:hideMark/>
          </w:tcPr>
          <w:p w14:paraId="7D93322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0.421</w:t>
            </w:r>
          </w:p>
        </w:tc>
        <w:tc>
          <w:tcPr>
            <w:tcW w:w="0" w:type="auto"/>
            <w:hideMark/>
          </w:tcPr>
          <w:p w14:paraId="12F6F20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0.315</w:t>
            </w:r>
          </w:p>
        </w:tc>
        <w:tc>
          <w:tcPr>
            <w:tcW w:w="0" w:type="auto"/>
            <w:hideMark/>
          </w:tcPr>
          <w:p w14:paraId="26AEFE4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0.362</w:t>
            </w:r>
          </w:p>
        </w:tc>
        <w:tc>
          <w:tcPr>
            <w:tcW w:w="0" w:type="auto"/>
            <w:hideMark/>
          </w:tcPr>
          <w:p w14:paraId="225DFBE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0.589</w:t>
            </w:r>
          </w:p>
        </w:tc>
        <w:tc>
          <w:tcPr>
            <w:tcW w:w="0" w:type="auto"/>
            <w:hideMark/>
          </w:tcPr>
          <w:p w14:paraId="0A95AE67"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2B5064F5"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4F654977" w14:textId="77777777" w:rsidTr="009600E9">
        <w:trPr>
          <w:jc w:val="center"/>
        </w:trPr>
        <w:tc>
          <w:tcPr>
            <w:tcW w:w="0" w:type="auto"/>
            <w:hideMark/>
          </w:tcPr>
          <w:p w14:paraId="4FAF0212"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Actual Usage (AU)</w:t>
            </w:r>
          </w:p>
        </w:tc>
        <w:tc>
          <w:tcPr>
            <w:tcW w:w="0" w:type="auto"/>
            <w:hideMark/>
          </w:tcPr>
          <w:p w14:paraId="07EF50B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0.739</w:t>
            </w:r>
          </w:p>
        </w:tc>
        <w:tc>
          <w:tcPr>
            <w:tcW w:w="0" w:type="auto"/>
            <w:hideMark/>
          </w:tcPr>
          <w:p w14:paraId="02F8771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0.602</w:t>
            </w:r>
          </w:p>
        </w:tc>
        <w:tc>
          <w:tcPr>
            <w:tcW w:w="0" w:type="auto"/>
            <w:hideMark/>
          </w:tcPr>
          <w:p w14:paraId="10FC80F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0.658</w:t>
            </w:r>
          </w:p>
        </w:tc>
        <w:tc>
          <w:tcPr>
            <w:tcW w:w="0" w:type="auto"/>
            <w:hideMark/>
          </w:tcPr>
          <w:p w14:paraId="41EB9F7B"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0.417</w:t>
            </w:r>
          </w:p>
        </w:tc>
        <w:tc>
          <w:tcPr>
            <w:tcW w:w="0" w:type="auto"/>
            <w:hideMark/>
          </w:tcPr>
          <w:p w14:paraId="0751FAD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0.439</w:t>
            </w:r>
          </w:p>
        </w:tc>
        <w:tc>
          <w:tcPr>
            <w:tcW w:w="0" w:type="auto"/>
            <w:hideMark/>
          </w:tcPr>
          <w:p w14:paraId="6F0FE23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r>
    </w:tbl>
    <w:p w14:paraId="7BC04826" w14:textId="77777777" w:rsidR="009600E9" w:rsidRPr="003753C7" w:rsidRDefault="009600E9" w:rsidP="00C4342F">
      <w:pPr>
        <w:jc w:val="both"/>
        <w:rPr>
          <w:rFonts w:ascii="Times New Roman" w:hAnsi="Times New Roman" w:cs="Times New Roman"/>
          <w:b/>
          <w:bCs/>
          <w:sz w:val="24"/>
          <w:szCs w:val="24"/>
        </w:rPr>
      </w:pPr>
    </w:p>
    <w:p w14:paraId="1A9CC58E" w14:textId="77777777" w:rsidR="00C4342F" w:rsidRPr="003753C7" w:rsidRDefault="00C4342F"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Evaluating Structural Models</w:t>
      </w:r>
    </w:p>
    <w:p w14:paraId="0B5393DC" w14:textId="77777777" w:rsidR="00C4342F" w:rsidRPr="003753C7" w:rsidRDefault="00C4342F" w:rsidP="00C4342F">
      <w:pPr>
        <w:jc w:val="both"/>
        <w:rPr>
          <w:rFonts w:ascii="Times New Roman" w:hAnsi="Times New Roman" w:cs="Times New Roman"/>
          <w:sz w:val="24"/>
          <w:szCs w:val="24"/>
        </w:rPr>
      </w:pPr>
      <w:r w:rsidRPr="003753C7">
        <w:rPr>
          <w:rFonts w:ascii="Times New Roman" w:hAnsi="Times New Roman" w:cs="Times New Roman"/>
          <w:sz w:val="24"/>
          <w:szCs w:val="24"/>
        </w:rPr>
        <w:t>We followed the advice of experts and assessed the structural model once we had confirmed the validity and reliability of the measurement model (Hair et al., 2022). According to Hair et al. (2016), the structural model illustrates the interrelationships between the study's constructs. According to Hair et al. (2022), it is essential to check for collinearity across variables before testing hypotheses. One popular tool for detecting collinearity is the Variance Inflation Factor (VIF), which should be kept to a minimum of five (Hair Jr et al., 2014). All of the VIF values are less than 5, as shown in Table 3, which means that there is no collinearity among the variables.</w:t>
      </w:r>
    </w:p>
    <w:p w14:paraId="205C0609" w14:textId="77777777" w:rsidR="00531E9B" w:rsidRPr="003753C7" w:rsidRDefault="00531E9B" w:rsidP="00C4342F">
      <w:pPr>
        <w:jc w:val="both"/>
        <w:rPr>
          <w:rFonts w:ascii="Times New Roman" w:hAnsi="Times New Roman" w:cs="Times New Roman"/>
          <w:b/>
          <w:bCs/>
          <w:i/>
          <w:iCs/>
          <w:sz w:val="24"/>
          <w:szCs w:val="24"/>
        </w:rPr>
      </w:pPr>
      <w:r w:rsidRPr="003753C7">
        <w:rPr>
          <w:rFonts w:ascii="Times New Roman" w:hAnsi="Times New Roman" w:cs="Times New Roman"/>
          <w:b/>
          <w:bCs/>
          <w:sz w:val="24"/>
          <w:szCs w:val="24"/>
        </w:rPr>
        <w:t>Hypothesis Testing</w:t>
      </w:r>
    </w:p>
    <w:p w14:paraId="05605A12" w14:textId="77777777" w:rsidR="00C4342F" w:rsidRPr="003753C7" w:rsidRDefault="00C4342F" w:rsidP="00C4342F">
      <w:pPr>
        <w:jc w:val="both"/>
        <w:rPr>
          <w:rFonts w:ascii="Times New Roman" w:hAnsi="Times New Roman" w:cs="Times New Roman"/>
          <w:sz w:val="24"/>
          <w:szCs w:val="24"/>
        </w:rPr>
      </w:pPr>
      <w:r w:rsidRPr="003753C7">
        <w:rPr>
          <w:rFonts w:ascii="Times New Roman" w:hAnsi="Times New Roman" w:cs="Times New Roman"/>
          <w:sz w:val="24"/>
          <w:szCs w:val="24"/>
        </w:rPr>
        <w:lastRenderedPageBreak/>
        <w:t>In this study, we looked at the direct correlations between the constructs using the bootstrapping method using 5,000 subsamples. After examining beta values, standard errors, t-statistics, and p-values, we determined if the direct effects of the exogenous constructions on the endogenous constructs were statistically significant. According to Hair et al. (2011), crucial t-values for two-tailed tests were 1.65 at the 10% level of significance, 1.96 at the 5% level of significance, and 2.58 at the 1% level to follow. Except for one, all of the major hypotheses were accepted according to the study's results. Testing compatibility and intent to use is what H1 is all about. We reject H5 since the findings show that compatibility has a substantial influence on the intention to use (Ώ= 0.401, t=5.223, p0.05). You may find a summary of the results in Table V.</w:t>
      </w:r>
    </w:p>
    <w:p w14:paraId="5C6C0D00" w14:textId="77777777" w:rsidR="00531E9B" w:rsidRPr="003753C7" w:rsidRDefault="00531E9B" w:rsidP="00C4342F">
      <w:pPr>
        <w:jc w:val="center"/>
        <w:rPr>
          <w:rFonts w:ascii="Times New Roman" w:hAnsi="Times New Roman" w:cs="Times New Roman"/>
          <w:b/>
          <w:bCs/>
          <w:i/>
          <w:iCs/>
          <w:sz w:val="24"/>
          <w:szCs w:val="24"/>
        </w:rPr>
      </w:pPr>
      <w:r w:rsidRPr="003753C7">
        <w:rPr>
          <w:rFonts w:ascii="Times New Roman" w:hAnsi="Times New Roman" w:cs="Times New Roman"/>
          <w:b/>
          <w:bCs/>
          <w:sz w:val="24"/>
          <w:szCs w:val="24"/>
        </w:rPr>
        <w:t xml:space="preserve">Table V: </w:t>
      </w:r>
      <w:r w:rsidR="00C4342F" w:rsidRPr="003753C7">
        <w:rPr>
          <w:rFonts w:ascii="Times New Roman" w:hAnsi="Times New Roman" w:cs="Times New Roman"/>
          <w:b/>
          <w:bCs/>
          <w:sz w:val="24"/>
          <w:szCs w:val="24"/>
        </w:rPr>
        <w:t>Hypothesis Testing Path Coefficients</w:t>
      </w:r>
    </w:p>
    <w:tbl>
      <w:tblPr>
        <w:tblStyle w:val="TableGrid"/>
        <w:tblW w:w="0" w:type="auto"/>
        <w:jc w:val="center"/>
        <w:tblLook w:val="04A0" w:firstRow="1" w:lastRow="0" w:firstColumn="1" w:lastColumn="0" w:noHBand="0" w:noVBand="1"/>
      </w:tblPr>
      <w:tblGrid>
        <w:gridCol w:w="1243"/>
        <w:gridCol w:w="1341"/>
        <w:gridCol w:w="836"/>
        <w:gridCol w:w="925"/>
        <w:gridCol w:w="1200"/>
        <w:gridCol w:w="876"/>
        <w:gridCol w:w="1121"/>
      </w:tblGrid>
      <w:tr w:rsidR="00155A5E" w:rsidRPr="003753C7" w14:paraId="1A554AAA" w14:textId="77777777" w:rsidTr="00155A5E">
        <w:trPr>
          <w:jc w:val="center"/>
        </w:trPr>
        <w:tc>
          <w:tcPr>
            <w:tcW w:w="0" w:type="auto"/>
            <w:hideMark/>
          </w:tcPr>
          <w:p w14:paraId="383B9623"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Hypotheses</w:t>
            </w:r>
          </w:p>
        </w:tc>
        <w:tc>
          <w:tcPr>
            <w:tcW w:w="0" w:type="auto"/>
            <w:hideMark/>
          </w:tcPr>
          <w:p w14:paraId="60FB8E1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Path</w:t>
            </w:r>
          </w:p>
        </w:tc>
        <w:tc>
          <w:tcPr>
            <w:tcW w:w="0" w:type="auto"/>
            <w:hideMark/>
          </w:tcPr>
          <w:p w14:paraId="2D86C5E0"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β</w:t>
            </w:r>
          </w:p>
        </w:tc>
        <w:tc>
          <w:tcPr>
            <w:tcW w:w="0" w:type="auto"/>
            <w:hideMark/>
          </w:tcPr>
          <w:p w14:paraId="2661DAB9"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STDEV</w:t>
            </w:r>
          </w:p>
        </w:tc>
        <w:tc>
          <w:tcPr>
            <w:tcW w:w="0" w:type="auto"/>
            <w:hideMark/>
          </w:tcPr>
          <w:p w14:paraId="1310B577"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T Statistics</w:t>
            </w:r>
          </w:p>
        </w:tc>
        <w:tc>
          <w:tcPr>
            <w:tcW w:w="0" w:type="auto"/>
            <w:hideMark/>
          </w:tcPr>
          <w:p w14:paraId="030E49EF"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p-value</w:t>
            </w:r>
          </w:p>
        </w:tc>
        <w:tc>
          <w:tcPr>
            <w:tcW w:w="0" w:type="auto"/>
            <w:hideMark/>
          </w:tcPr>
          <w:p w14:paraId="56371609"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Result</w:t>
            </w:r>
          </w:p>
        </w:tc>
      </w:tr>
      <w:tr w:rsidR="00155A5E" w:rsidRPr="003753C7" w14:paraId="4F0DFBA2" w14:textId="77777777" w:rsidTr="00155A5E">
        <w:trPr>
          <w:jc w:val="center"/>
        </w:trPr>
        <w:tc>
          <w:tcPr>
            <w:tcW w:w="0" w:type="auto"/>
            <w:hideMark/>
          </w:tcPr>
          <w:p w14:paraId="551E1BBF"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H1</w:t>
            </w:r>
          </w:p>
        </w:tc>
        <w:tc>
          <w:tcPr>
            <w:tcW w:w="0" w:type="auto"/>
            <w:hideMark/>
          </w:tcPr>
          <w:p w14:paraId="7F1B4CD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PEOU → BI</w:t>
            </w:r>
          </w:p>
        </w:tc>
        <w:tc>
          <w:tcPr>
            <w:tcW w:w="0" w:type="auto"/>
            <w:hideMark/>
          </w:tcPr>
          <w:p w14:paraId="5560E2B9"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0.312</w:t>
            </w:r>
          </w:p>
        </w:tc>
        <w:tc>
          <w:tcPr>
            <w:tcW w:w="0" w:type="auto"/>
            <w:hideMark/>
          </w:tcPr>
          <w:p w14:paraId="00E6B9A3"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0.068</w:t>
            </w:r>
          </w:p>
        </w:tc>
        <w:tc>
          <w:tcPr>
            <w:tcW w:w="0" w:type="auto"/>
            <w:hideMark/>
          </w:tcPr>
          <w:p w14:paraId="2E6C614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4.588</w:t>
            </w:r>
          </w:p>
        </w:tc>
        <w:tc>
          <w:tcPr>
            <w:tcW w:w="0" w:type="auto"/>
            <w:hideMark/>
          </w:tcPr>
          <w:p w14:paraId="0EDDC4E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0.000</w:t>
            </w:r>
          </w:p>
        </w:tc>
        <w:tc>
          <w:tcPr>
            <w:tcW w:w="0" w:type="auto"/>
            <w:hideMark/>
          </w:tcPr>
          <w:p w14:paraId="6CD8AA6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r w:rsidR="00155A5E" w:rsidRPr="003753C7" w14:paraId="46D883F3" w14:textId="77777777" w:rsidTr="00155A5E">
        <w:trPr>
          <w:jc w:val="center"/>
        </w:trPr>
        <w:tc>
          <w:tcPr>
            <w:tcW w:w="0" w:type="auto"/>
            <w:hideMark/>
          </w:tcPr>
          <w:p w14:paraId="667B5FB9"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H2</w:t>
            </w:r>
          </w:p>
        </w:tc>
        <w:tc>
          <w:tcPr>
            <w:tcW w:w="0" w:type="auto"/>
            <w:hideMark/>
          </w:tcPr>
          <w:p w14:paraId="26142F4C"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PU → BI</w:t>
            </w:r>
          </w:p>
        </w:tc>
        <w:tc>
          <w:tcPr>
            <w:tcW w:w="0" w:type="auto"/>
            <w:hideMark/>
          </w:tcPr>
          <w:p w14:paraId="6F675072"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0.354</w:t>
            </w:r>
          </w:p>
        </w:tc>
        <w:tc>
          <w:tcPr>
            <w:tcW w:w="0" w:type="auto"/>
            <w:hideMark/>
          </w:tcPr>
          <w:p w14:paraId="69861D72"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0.071</w:t>
            </w:r>
          </w:p>
        </w:tc>
        <w:tc>
          <w:tcPr>
            <w:tcW w:w="0" w:type="auto"/>
            <w:hideMark/>
          </w:tcPr>
          <w:p w14:paraId="59249E51"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4.986</w:t>
            </w:r>
          </w:p>
        </w:tc>
        <w:tc>
          <w:tcPr>
            <w:tcW w:w="0" w:type="auto"/>
            <w:hideMark/>
          </w:tcPr>
          <w:p w14:paraId="6CDA659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0.000</w:t>
            </w:r>
          </w:p>
        </w:tc>
        <w:tc>
          <w:tcPr>
            <w:tcW w:w="0" w:type="auto"/>
            <w:hideMark/>
          </w:tcPr>
          <w:p w14:paraId="1178155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r w:rsidR="00155A5E" w:rsidRPr="003753C7" w14:paraId="52179B8E" w14:textId="77777777" w:rsidTr="00155A5E">
        <w:trPr>
          <w:jc w:val="center"/>
        </w:trPr>
        <w:tc>
          <w:tcPr>
            <w:tcW w:w="0" w:type="auto"/>
            <w:hideMark/>
          </w:tcPr>
          <w:p w14:paraId="7B4AE215"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H3</w:t>
            </w:r>
          </w:p>
        </w:tc>
        <w:tc>
          <w:tcPr>
            <w:tcW w:w="0" w:type="auto"/>
            <w:hideMark/>
          </w:tcPr>
          <w:p w14:paraId="02D0338C"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PR → BI</w:t>
            </w:r>
          </w:p>
        </w:tc>
        <w:tc>
          <w:tcPr>
            <w:tcW w:w="0" w:type="auto"/>
            <w:hideMark/>
          </w:tcPr>
          <w:p w14:paraId="08563557"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−0.221</w:t>
            </w:r>
          </w:p>
        </w:tc>
        <w:tc>
          <w:tcPr>
            <w:tcW w:w="0" w:type="auto"/>
            <w:hideMark/>
          </w:tcPr>
          <w:p w14:paraId="6E48F5EA"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0.064</w:t>
            </w:r>
          </w:p>
        </w:tc>
        <w:tc>
          <w:tcPr>
            <w:tcW w:w="0" w:type="auto"/>
            <w:hideMark/>
          </w:tcPr>
          <w:p w14:paraId="000F0265"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3.453</w:t>
            </w:r>
          </w:p>
        </w:tc>
        <w:tc>
          <w:tcPr>
            <w:tcW w:w="0" w:type="auto"/>
            <w:hideMark/>
          </w:tcPr>
          <w:p w14:paraId="5ADB92B7"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0.001</w:t>
            </w:r>
          </w:p>
        </w:tc>
        <w:tc>
          <w:tcPr>
            <w:tcW w:w="0" w:type="auto"/>
            <w:hideMark/>
          </w:tcPr>
          <w:p w14:paraId="34984EE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r w:rsidR="00155A5E" w:rsidRPr="003753C7" w14:paraId="3055B1CB" w14:textId="77777777" w:rsidTr="00155A5E">
        <w:trPr>
          <w:jc w:val="center"/>
        </w:trPr>
        <w:tc>
          <w:tcPr>
            <w:tcW w:w="0" w:type="auto"/>
            <w:hideMark/>
          </w:tcPr>
          <w:p w14:paraId="6EB773CB"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H4</w:t>
            </w:r>
          </w:p>
        </w:tc>
        <w:tc>
          <w:tcPr>
            <w:tcW w:w="0" w:type="auto"/>
            <w:hideMark/>
          </w:tcPr>
          <w:p w14:paraId="0EE23174"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ER → BI</w:t>
            </w:r>
          </w:p>
        </w:tc>
        <w:tc>
          <w:tcPr>
            <w:tcW w:w="0" w:type="auto"/>
            <w:hideMark/>
          </w:tcPr>
          <w:p w14:paraId="168FE89D"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−0.187</w:t>
            </w:r>
          </w:p>
        </w:tc>
        <w:tc>
          <w:tcPr>
            <w:tcW w:w="0" w:type="auto"/>
            <w:hideMark/>
          </w:tcPr>
          <w:p w14:paraId="29DB8EBA"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0.059</w:t>
            </w:r>
          </w:p>
        </w:tc>
        <w:tc>
          <w:tcPr>
            <w:tcW w:w="0" w:type="auto"/>
            <w:hideMark/>
          </w:tcPr>
          <w:p w14:paraId="66FF382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3.169</w:t>
            </w:r>
          </w:p>
        </w:tc>
        <w:tc>
          <w:tcPr>
            <w:tcW w:w="0" w:type="auto"/>
            <w:hideMark/>
          </w:tcPr>
          <w:p w14:paraId="681B28E8"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0.002</w:t>
            </w:r>
          </w:p>
        </w:tc>
        <w:tc>
          <w:tcPr>
            <w:tcW w:w="0" w:type="auto"/>
            <w:hideMark/>
          </w:tcPr>
          <w:p w14:paraId="74FD3135"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r w:rsidR="00155A5E" w:rsidRPr="003753C7" w14:paraId="0F28A9C4" w14:textId="77777777" w:rsidTr="00155A5E">
        <w:trPr>
          <w:jc w:val="center"/>
        </w:trPr>
        <w:tc>
          <w:tcPr>
            <w:tcW w:w="0" w:type="auto"/>
            <w:hideMark/>
          </w:tcPr>
          <w:p w14:paraId="6292962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H5</w:t>
            </w:r>
          </w:p>
        </w:tc>
        <w:tc>
          <w:tcPr>
            <w:tcW w:w="0" w:type="auto"/>
            <w:hideMark/>
          </w:tcPr>
          <w:p w14:paraId="2C984FF5"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BI → AU</w:t>
            </w:r>
          </w:p>
        </w:tc>
        <w:tc>
          <w:tcPr>
            <w:tcW w:w="0" w:type="auto"/>
            <w:hideMark/>
          </w:tcPr>
          <w:p w14:paraId="6A403D6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0.429</w:t>
            </w:r>
          </w:p>
        </w:tc>
        <w:tc>
          <w:tcPr>
            <w:tcW w:w="0" w:type="auto"/>
            <w:hideMark/>
          </w:tcPr>
          <w:p w14:paraId="3D805243"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0.073</w:t>
            </w:r>
          </w:p>
        </w:tc>
        <w:tc>
          <w:tcPr>
            <w:tcW w:w="0" w:type="auto"/>
            <w:hideMark/>
          </w:tcPr>
          <w:p w14:paraId="7EE0B6D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5.877</w:t>
            </w:r>
          </w:p>
        </w:tc>
        <w:tc>
          <w:tcPr>
            <w:tcW w:w="0" w:type="auto"/>
            <w:hideMark/>
          </w:tcPr>
          <w:p w14:paraId="0DD45D62"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0.000</w:t>
            </w:r>
          </w:p>
        </w:tc>
        <w:tc>
          <w:tcPr>
            <w:tcW w:w="0" w:type="auto"/>
            <w:hideMark/>
          </w:tcPr>
          <w:p w14:paraId="270F407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bl>
    <w:p w14:paraId="26056ED7" w14:textId="77777777" w:rsidR="00531E9B" w:rsidRPr="003753C7" w:rsidRDefault="00531E9B" w:rsidP="00C4342F">
      <w:pPr>
        <w:jc w:val="both"/>
        <w:rPr>
          <w:rFonts w:ascii="Times New Roman" w:hAnsi="Times New Roman" w:cs="Times New Roman"/>
          <w:b/>
          <w:bCs/>
          <w:sz w:val="24"/>
          <w:szCs w:val="24"/>
        </w:rPr>
      </w:pPr>
    </w:p>
    <w:p w14:paraId="3979EF25" w14:textId="77777777" w:rsidR="00531E9B" w:rsidRPr="003753C7" w:rsidRDefault="00531E9B"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Model Explanatory Power</w:t>
      </w:r>
    </w:p>
    <w:p w14:paraId="15D82B65" w14:textId="77777777" w:rsidR="00C4342F" w:rsidRPr="003753C7" w:rsidRDefault="00C4342F" w:rsidP="003753C7">
      <w:pPr>
        <w:jc w:val="both"/>
        <w:rPr>
          <w:rFonts w:ascii="Times New Roman" w:hAnsi="Times New Roman" w:cs="Times New Roman"/>
          <w:sz w:val="24"/>
          <w:szCs w:val="24"/>
        </w:rPr>
      </w:pPr>
      <w:r w:rsidRPr="003753C7">
        <w:rPr>
          <w:rFonts w:ascii="Times New Roman" w:hAnsi="Times New Roman" w:cs="Times New Roman"/>
          <w:sz w:val="24"/>
          <w:szCs w:val="24"/>
        </w:rPr>
        <w:t xml:space="preserve">The R-squared statistic is a statistical metric that is used to determine the degree to which a fluctuation in an endogenous variable can be explained by a variable or factors that are exogenous. All it does is demonstrate the degree to which differences in one or more independent variables might explain variations in the variable that is being studied (the dependent variable). It is possible to evaluate a model's capacity to explain or predict anything based on a sample by calculating its R Squared value. This number indicates the amount of variation that can be attributed to each endogenous construct. As an illustration of how Cohen (1988) suggested determining the R-squared values for endogenous latent variables, the following is an example: Significant at 0.26, moderate at 0.13, and weak at 0.02 are the various values. Cohen (1998) asserts that the model's capacity to explain phenomena is robust due to the fact that the data (table) show that the R Square value for all of the endogenous components is much higher than zero. It is possible that by calculating the predicted change in R Squared when we remove a particular exogenous construct, we will be able to acquire a more accurate understanding of the extent to which each exogenous variable contributes to the overall explanation provided by the model. We make use of the word "effect size" (f square) in order to measure this factor. The effect size is a measurement that may be used to determine the impact that each independent variable has on the dependent variable. When an independent variable is removed from the PLS path model, the fluctuation in squared correlation values is assessed. This is done in order to determine the extent of the change. It investigates whether the value of the dependent variable is significantly influenced by the independent variable that was left out of the analysis. At the structural level, an f-square value of 0.35 indicates that the predictor variable has a significant influence, while an f-square value of 0.15 indicates that the degree of influence is medium, and an f-square value of 0.02 shows that the level of influence is moderate (Cohen, 1998). The f-square effect size of the model provides insight into the degree to which an external latent variable influences the R-squared value of an internal latent variable. In the process of determining the extent of a connection between latent variables, effect size is a clear approach to express the phenomenon. The information presented in table 1 reveals that the f-square effect shows a substantial difference between the influence of IM on POS (0.930) and the impact of POS on OP (0.001, negligible). </w:t>
      </w:r>
      <w:r w:rsidRPr="003753C7">
        <w:rPr>
          <w:rFonts w:ascii="Times New Roman" w:hAnsi="Times New Roman" w:cs="Times New Roman"/>
          <w:sz w:val="24"/>
          <w:szCs w:val="24"/>
        </w:rPr>
        <w:lastRenderedPageBreak/>
        <w:t>Most importantly, endogenous constructs had Q Square values that were larger than zero, which demonstrated the predictive significance of these constructs.</w:t>
      </w:r>
    </w:p>
    <w:p w14:paraId="21058A13" w14:textId="77777777" w:rsidR="00531E9B" w:rsidRPr="003753C7" w:rsidRDefault="00531E9B"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DISCUSSION</w:t>
      </w:r>
    </w:p>
    <w:p w14:paraId="6C8EC035" w14:textId="77777777" w:rsidR="009600E9" w:rsidRPr="003753C7" w:rsidRDefault="009600E9" w:rsidP="003753C7">
      <w:pPr>
        <w:jc w:val="both"/>
        <w:rPr>
          <w:rFonts w:ascii="Times New Roman" w:hAnsi="Times New Roman" w:cs="Times New Roman"/>
        </w:rPr>
      </w:pPr>
      <w:r w:rsidRPr="003753C7">
        <w:rPr>
          <w:rFonts w:ascii="Times New Roman" w:hAnsi="Times New Roman" w:cs="Times New Roman"/>
        </w:rPr>
        <w:t>This study investigated the factors influencing farmers’ adoption of organic farming technologies using an extended Technology Acceptance Model. The findings provide strong empirical support for the applicability of TAM in the context of sustainable agriculture. The significant influence of Perceived Ease of Use on behavioural intention indicates that farmers are more inclined to adopt organic technologies when they perceive them as simple, practical, and compatible with their existing farming routines. This finding aligns with prior TAM-based agricultural studies, emphasizing the importance of usability in technology adoption decisions. Perceived Usefulness emerged as the strongest predictor of behavioural intention, highlighting that farmers prioritize technologies that enhance productivity, improve soil health, and ensure long-term economic viability. This result reinforces earlier findings that perceived performance benefits are central to farmers’ decision-making processes. The negative impact of Perceived Risk confirms that uncertainties related to yield variability, market instability, and conversion costs discourage adoption intentions. However, the positive influence of Environmental Risk suggests that farmers who recognize the ecological consequences of conventional farming are more motivated to consider organic alternatives. Most importantly, the strong relationship between Behavioural Intention and Actual Usage validates the mediating role of intention in translating perceptions into real adoption behavior. This finding confirms that intention is a critical psychological mechanism linking belief formation to actual practice.</w:t>
      </w:r>
    </w:p>
    <w:p w14:paraId="3B70B222" w14:textId="77777777" w:rsidR="00304E81" w:rsidRPr="003753C7" w:rsidRDefault="00304E81"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Theoretical Implications:</w:t>
      </w:r>
    </w:p>
    <w:p w14:paraId="6D6E8602" w14:textId="77777777" w:rsidR="00C4342F" w:rsidRPr="003753C7" w:rsidRDefault="00C4342F" w:rsidP="003753C7">
      <w:pPr>
        <w:jc w:val="both"/>
        <w:rPr>
          <w:rFonts w:ascii="Times New Roman" w:hAnsi="Times New Roman" w:cs="Times New Roman"/>
          <w:sz w:val="24"/>
          <w:szCs w:val="24"/>
        </w:rPr>
      </w:pPr>
      <w:r w:rsidRPr="003753C7">
        <w:rPr>
          <w:rFonts w:ascii="Times New Roman" w:hAnsi="Times New Roman" w:cs="Times New Roman"/>
          <w:sz w:val="24"/>
          <w:szCs w:val="24"/>
        </w:rPr>
        <w:t>Focusing on innovation traits outlined by the Diffusion of Innovations Theory (DIT), this study investigates why organic farmers embrace new technology. According to the research, the main criteria that determine adoption behavior are the perceived innovative qualities, which include relative benefit, compatibility, complexity, trialability, and observability. This research sets up a structured methodology to measure these features and see how these views affect the intent to use e-learning. This method does double duty: it adds to the existing body of research on e-learning and provides educational policymakers and providers with helpful pointers on how to enhance their adoption methods. In order to understand how organic farmers adopt new technologies, the study's results confirm the need of DIT. This study adds to what is already known by conducting an in-depth examination of characteristics of innovation adoption that have received little attention. Researchers drew on two foundational theories—the Diffusion Innovation Theory (perceived innovation attributes) and the Technology Acceptance Theory (behavioral intention)—to shed light on the theoretical and empirical factors that influence organic farmers' behavioral intentions to adopt technological interventions. From a theoretical standpoint, this work makes a substantial addition to the larger area of user adoption research. As antecedents of the adoption process, innovative traits are currently under-explored in most research pertaining to the agricultural industry. Additionally, the study's proposal of the IDT-TAM integrated model fills a crucial knowledge vacuum regarding farmers' adoption of technology. According to this study's findings, farmers are more likely to adopt technological interventions when they take into account the following factors: the relative advantage of using organic input over chemical fertilizer; the compatibility of using such technology with ancient practices; and the observability of others using the same and benefiting from its adoption. However, farmers' behavioral intention towards such technology is significantly impacted when they perceive its complexity. The findings provide credence to the notion that DIT variables might be employed as an independent variable to gauge the extent to which farmers have embraced technology.</w:t>
      </w:r>
    </w:p>
    <w:p w14:paraId="4417FBC1" w14:textId="77777777" w:rsidR="00304E81" w:rsidRPr="003753C7" w:rsidRDefault="00304E81"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Practical Implications:</w:t>
      </w:r>
    </w:p>
    <w:p w14:paraId="6721ECDC" w14:textId="77777777" w:rsidR="00C4342F" w:rsidRPr="003753C7" w:rsidRDefault="00C4342F" w:rsidP="003753C7">
      <w:pPr>
        <w:jc w:val="both"/>
        <w:rPr>
          <w:rFonts w:ascii="Times New Roman" w:hAnsi="Times New Roman" w:cs="Times New Roman"/>
          <w:sz w:val="24"/>
          <w:szCs w:val="24"/>
        </w:rPr>
      </w:pPr>
      <w:r w:rsidRPr="003753C7">
        <w:rPr>
          <w:rFonts w:ascii="Times New Roman" w:hAnsi="Times New Roman" w:cs="Times New Roman"/>
          <w:sz w:val="24"/>
          <w:szCs w:val="24"/>
        </w:rPr>
        <w:t xml:space="preserve">Among the many real-world consequences for the agricultural industry are suggestions for how lawmakers may best invest in farmers' technology adoption. Strategies to increase agricultural production and promote agricultural growth are primarily driven by technological change, which occurs as a result of the adoption of </w:t>
      </w:r>
      <w:r w:rsidRPr="003753C7">
        <w:rPr>
          <w:rFonts w:ascii="Times New Roman" w:hAnsi="Times New Roman" w:cs="Times New Roman"/>
          <w:sz w:val="24"/>
          <w:szCs w:val="24"/>
        </w:rPr>
        <w:lastRenderedPageBreak/>
        <w:t>new technology. In addition, by raising people's consciousness, we may encourage the creation of cooperative models in which different groups work together to educate farmers, offer analytical services, and promote sustainable farming methods. New developments in organic farming provide workable answers to the problems of increasing harvests while decreasing negative effects on the environment and strengthening long-term economic viability. Organic agricultural technology interventions aim to improve farmers' abilities, provide local resources, and increase the availability of organic products for marginal farmers. Organic farmers may benefit from increased technical literacy if policymakers make it a priority. Organic inputs may be more widely used in farming techniques with the help of training. Organic farmers can benefit from more education and understanding of their products (Michael, 2020). The results suggest that encouraging farmers to switch to organic farming practices and providing incentives for organic producers to keep up their organic production should be the primary goals of efforts to increase the use of technology in organic farming.</w:t>
      </w:r>
    </w:p>
    <w:p w14:paraId="1B889448" w14:textId="77777777" w:rsidR="00304E81" w:rsidRPr="003753C7" w:rsidRDefault="00304E81"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Limitations and Future Research:</w:t>
      </w:r>
    </w:p>
    <w:p w14:paraId="61AD5842" w14:textId="77777777" w:rsidR="00865870" w:rsidRPr="003753C7" w:rsidRDefault="00C4342F" w:rsidP="003753C7">
      <w:pPr>
        <w:jc w:val="both"/>
        <w:rPr>
          <w:rFonts w:ascii="Times New Roman" w:hAnsi="Times New Roman" w:cs="Times New Roman"/>
          <w:b/>
          <w:bCs/>
          <w:sz w:val="24"/>
          <w:szCs w:val="24"/>
        </w:rPr>
      </w:pPr>
      <w:r w:rsidRPr="003753C7">
        <w:rPr>
          <w:rFonts w:ascii="Times New Roman" w:hAnsi="Times New Roman" w:cs="Times New Roman"/>
          <w:sz w:val="24"/>
          <w:szCs w:val="24"/>
        </w:rPr>
        <w:t>The study isn't without its flaws. To begin, it is difficult to take into account other aspects of the theories mentioned since farmers in hilly areas have not yet investigated training and knowledge of organic farming technology. According to Gridis et al. (2020) and Kapser and Abdelrahman (2020), behavioral intention is the most direct predictor of technology adoption. However, this study just employed behavioral intention. Secondly, further research might expand the scope to include demographic characteristics such as age, gender, education level, agricultural experience, etc., while this one only focuses on examining perceived innovative traits. Additionally, the study used a cross-sectional technique, which may not provide a comprehensive view of how agricultural practitioners embrace new technologies. A more appropriate approach would be to use a longitudinal methodology. Researchers should use this model to experimentally study different types of links, whether they are direct or indirect. Social influence can also serve as an independent variable in a subsequent research. Our study laid the groundwork for several new lines of inquiry. Future study can assess farmers' attitude towards these technologies by include perceived simplicity of use and perceived utility instead of relative advantage and complexity, respectively, to understand technology adoption by farmers. It would be interesting to see what factors influence people's openness to using technology on farms in future studies.</w:t>
      </w:r>
    </w:p>
    <w:p w14:paraId="521FCE77" w14:textId="77777777" w:rsidR="00F5389F" w:rsidRPr="003753C7" w:rsidRDefault="00F5389F"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Conclusion</w:t>
      </w:r>
    </w:p>
    <w:p w14:paraId="29409A0D" w14:textId="77777777" w:rsidR="009600E9" w:rsidRPr="003753C7" w:rsidRDefault="009600E9" w:rsidP="003753C7">
      <w:pPr>
        <w:jc w:val="both"/>
        <w:rPr>
          <w:rFonts w:ascii="Times New Roman" w:hAnsi="Times New Roman" w:cs="Times New Roman"/>
          <w:sz w:val="24"/>
          <w:szCs w:val="24"/>
        </w:rPr>
      </w:pPr>
      <w:r w:rsidRPr="003753C7">
        <w:rPr>
          <w:rFonts w:ascii="Times New Roman" w:hAnsi="Times New Roman" w:cs="Times New Roman"/>
          <w:sz w:val="24"/>
          <w:szCs w:val="24"/>
        </w:rPr>
        <w:t xml:space="preserve">This study provides a comprehensive understanding of the factors influencing farmers’ adoption of organic farming through the lens of an extended Technology Acceptance Model (TAM). By integrating behavioral, cognitive, and environmental constructs into the traditional TAM framework, the research bridges the gap between farmers’ intentions and their actual adoption practices. The findings reveal that perceived usefulness and perceived ease of use remain significant determinants of farmers’ intention to adopt organic farming practices. However, the study also highlights the crucial roles of attitude towards organic farming, social influence, perceived behavioral control, and awareness of environmental and health benefits, which collectively shape adoption intentions and eventual practices. Notably, facilitating conditions such as access to training, technical support, and financial incentives significantly moderate the intention–practice relationship, indicating that even motivated farmers may face barriers without adequate support systems. From a practical perspective, these insights emphasize the importance of policy interventions and extension services tailored to farmers’ needs. Governments and agricultural organizations should focus on enhancing awareness, simplifying organic farming techniques, and providing financial and infrastructural support to encourage widespread adoption. Moreover, fostering community-level knowledge sharing and peer learning can further reinforce positive attitudes and social norms toward sustainable agriculture. The study also underscores that intentions alone are insufficient to guarantee adoption; bridging the intention–behavior gap requires addressing both psychological and structural barriers. Future research could explore longitudinal </w:t>
      </w:r>
      <w:r w:rsidRPr="003753C7">
        <w:rPr>
          <w:rFonts w:ascii="Times New Roman" w:hAnsi="Times New Roman" w:cs="Times New Roman"/>
          <w:sz w:val="24"/>
          <w:szCs w:val="24"/>
        </w:rPr>
        <w:lastRenderedPageBreak/>
        <w:t>patterns of organic farming adoption, the impact of regional and cultural differences, and the integration of emerging technologies such as precision agriculture to facilitate sustainable practices. In conclusion, this research contributes to the theoretical refinement of the TAM in the context of sustainable agriculture while offering actionable insights for policymakers, extension workers, and farmer communities. By understanding and addressing the multifaceted drivers of adoption, stakeholders can promote a more resilient, environmentally friendly, and economically viable agricultural sector.</w:t>
      </w:r>
    </w:p>
    <w:p w14:paraId="2E62B100" w14:textId="77777777" w:rsidR="00F5389F" w:rsidRPr="003753C7" w:rsidRDefault="00F5389F"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References</w:t>
      </w:r>
    </w:p>
    <w:p w14:paraId="1B2D2365" w14:textId="77777777" w:rsidR="00A167AB" w:rsidRPr="003753C7" w:rsidRDefault="00A167AB" w:rsidP="00A167AB">
      <w:pPr>
        <w:pStyle w:val="NormalWeb"/>
        <w:numPr>
          <w:ilvl w:val="0"/>
          <w:numId w:val="4"/>
        </w:numPr>
        <w:jc w:val="both"/>
      </w:pPr>
      <w:r w:rsidRPr="003753C7">
        <w:t xml:space="preserve">Ajzen, I. (1991). </w:t>
      </w:r>
      <w:r w:rsidRPr="003753C7">
        <w:rPr>
          <w:rStyle w:val="Emphasis"/>
        </w:rPr>
        <w:t>The theory of planned behavior</w:t>
      </w:r>
      <w:r w:rsidRPr="003753C7">
        <w:t>. Organizational Behavior and Human Decision Processes, 50(2), 179–211. https://doi.org/10.1016/0749-5978(91)90020-T</w:t>
      </w:r>
    </w:p>
    <w:p w14:paraId="2DB39DBA" w14:textId="77777777" w:rsidR="00A167AB" w:rsidRPr="003753C7" w:rsidRDefault="00A167AB" w:rsidP="00A167AB">
      <w:pPr>
        <w:pStyle w:val="NormalWeb"/>
        <w:numPr>
          <w:ilvl w:val="0"/>
          <w:numId w:val="4"/>
        </w:numPr>
        <w:jc w:val="both"/>
      </w:pPr>
      <w:r w:rsidRPr="003753C7">
        <w:t xml:space="preserve">Bhatia, A., &amp; Singh, R. (2021). Factors influencing farmers’ adoption of organic farming practices in India. </w:t>
      </w:r>
      <w:r w:rsidRPr="003753C7">
        <w:rPr>
          <w:rStyle w:val="Emphasis"/>
        </w:rPr>
        <w:t>Journal of Rural Studies, 87</w:t>
      </w:r>
      <w:r w:rsidRPr="003753C7">
        <w:t>, 52–63. https://doi.org/10.1016/j.jrurstud.2021.04.003</w:t>
      </w:r>
    </w:p>
    <w:p w14:paraId="5EB6BFB6" w14:textId="77777777" w:rsidR="00A167AB" w:rsidRPr="003753C7" w:rsidRDefault="00A167AB" w:rsidP="00A167AB">
      <w:pPr>
        <w:pStyle w:val="NormalWeb"/>
        <w:numPr>
          <w:ilvl w:val="0"/>
          <w:numId w:val="4"/>
        </w:numPr>
        <w:jc w:val="both"/>
      </w:pPr>
      <w:r w:rsidRPr="003753C7">
        <w:t xml:space="preserve">Davis, F. D. (1989). Perceived usefulness, perceived ease of use, and user acceptance of information technology. </w:t>
      </w:r>
      <w:r w:rsidRPr="003753C7">
        <w:rPr>
          <w:rStyle w:val="Emphasis"/>
        </w:rPr>
        <w:t>MIS Quarterly, 13</w:t>
      </w:r>
      <w:r w:rsidRPr="003753C7">
        <w:t xml:space="preserve">(3), 319–340. </w:t>
      </w:r>
      <w:hyperlink r:id="rId7" w:tgtFrame="_new" w:history="1">
        <w:r w:rsidRPr="003753C7">
          <w:rPr>
            <w:rStyle w:val="Hyperlink"/>
            <w:rFonts w:eastAsiaTheme="majorEastAsia"/>
          </w:rPr>
          <w:t>https://doi.org/10.2307/249008</w:t>
        </w:r>
      </w:hyperlink>
    </w:p>
    <w:p w14:paraId="23E58C79" w14:textId="77777777" w:rsidR="00A167AB" w:rsidRPr="003753C7" w:rsidRDefault="00A167AB" w:rsidP="00A167AB">
      <w:pPr>
        <w:pStyle w:val="NormalWeb"/>
        <w:numPr>
          <w:ilvl w:val="0"/>
          <w:numId w:val="4"/>
        </w:numPr>
        <w:jc w:val="both"/>
      </w:pPr>
      <w:r w:rsidRPr="003753C7">
        <w:t xml:space="preserve">Pugliese, P., Benedetti, R., &amp; Ragona, M. (2018). Understanding farmers’ behavior in adopting organic farming: Evidence from Europe. </w:t>
      </w:r>
      <w:r w:rsidRPr="003753C7">
        <w:rPr>
          <w:rStyle w:val="Emphasis"/>
        </w:rPr>
        <w:t>Agricultural Systems, 164</w:t>
      </w:r>
      <w:r w:rsidRPr="003753C7">
        <w:t xml:space="preserve">, 1–12. </w:t>
      </w:r>
      <w:hyperlink r:id="rId8" w:tgtFrame="_new" w:history="1">
        <w:r w:rsidRPr="003753C7">
          <w:rPr>
            <w:rStyle w:val="Hyperlink"/>
            <w:rFonts w:eastAsiaTheme="majorEastAsia"/>
          </w:rPr>
          <w:t>https://doi.org/10.1016/j.agsy.2018.03.002</w:t>
        </w:r>
      </w:hyperlink>
    </w:p>
    <w:p w14:paraId="384AD241" w14:textId="77777777" w:rsidR="00A167AB" w:rsidRPr="003753C7" w:rsidRDefault="00A167AB" w:rsidP="00A167AB">
      <w:pPr>
        <w:pStyle w:val="NormalWeb"/>
        <w:numPr>
          <w:ilvl w:val="0"/>
          <w:numId w:val="4"/>
        </w:numPr>
        <w:jc w:val="both"/>
      </w:pPr>
      <w:r w:rsidRPr="003753C7">
        <w:t xml:space="preserve">Reganold, J. P., &amp; Wachter, J. M. (2016). Organic agriculture in the twenty-first century. </w:t>
      </w:r>
      <w:r w:rsidRPr="003753C7">
        <w:rPr>
          <w:rStyle w:val="Emphasis"/>
        </w:rPr>
        <w:t>Nature Plants, 2</w:t>
      </w:r>
      <w:r w:rsidRPr="003753C7">
        <w:t xml:space="preserve">, 15221. </w:t>
      </w:r>
      <w:hyperlink r:id="rId9" w:tgtFrame="_new" w:history="1">
        <w:r w:rsidRPr="003753C7">
          <w:rPr>
            <w:rStyle w:val="Hyperlink"/>
            <w:rFonts w:eastAsiaTheme="majorEastAsia"/>
          </w:rPr>
          <w:t>https://doi.org/10.1038/nplants.2015.221</w:t>
        </w:r>
      </w:hyperlink>
    </w:p>
    <w:p w14:paraId="2970C85A" w14:textId="77777777" w:rsidR="00A167AB" w:rsidRPr="003753C7" w:rsidRDefault="00A167AB" w:rsidP="00A167AB">
      <w:pPr>
        <w:pStyle w:val="NormalWeb"/>
        <w:numPr>
          <w:ilvl w:val="0"/>
          <w:numId w:val="4"/>
        </w:numPr>
        <w:jc w:val="both"/>
      </w:pPr>
      <w:r w:rsidRPr="003753C7">
        <w:t xml:space="preserve">Sharma, S., Kumar, V., &amp; Singh, S. (2020). Role of social influence and incentives in promoting organic farming: Evidence from India. </w:t>
      </w:r>
      <w:r w:rsidRPr="003753C7">
        <w:rPr>
          <w:rStyle w:val="Emphasis"/>
        </w:rPr>
        <w:t>Sustainable Agriculture Research, 9</w:t>
      </w:r>
      <w:r w:rsidRPr="003753C7">
        <w:t>(2), 45–56. https://doi.org/10.5539/sar.v9n2p45</w:t>
      </w:r>
    </w:p>
    <w:p w14:paraId="66C2FC22" w14:textId="77777777" w:rsidR="00A167AB" w:rsidRPr="003753C7" w:rsidRDefault="00A167AB" w:rsidP="00A167AB">
      <w:pPr>
        <w:pStyle w:val="NormalWeb"/>
        <w:numPr>
          <w:ilvl w:val="0"/>
          <w:numId w:val="4"/>
        </w:numPr>
        <w:jc w:val="both"/>
      </w:pPr>
      <w:r w:rsidRPr="003753C7">
        <w:t xml:space="preserve">Venkatesh, V., &amp; Bala, H. (2008). Technology Acceptance Model 3 and a research agenda on interventions. </w:t>
      </w:r>
      <w:r w:rsidRPr="003753C7">
        <w:rPr>
          <w:rStyle w:val="Emphasis"/>
        </w:rPr>
        <w:t>Decision Sciences, 39</w:t>
      </w:r>
      <w:r w:rsidRPr="003753C7">
        <w:t xml:space="preserve">(2), 273–315. </w:t>
      </w:r>
      <w:hyperlink r:id="rId10" w:tgtFrame="_new" w:history="1">
        <w:r w:rsidRPr="003753C7">
          <w:rPr>
            <w:rStyle w:val="Hyperlink"/>
            <w:rFonts w:eastAsiaTheme="majorEastAsia"/>
          </w:rPr>
          <w:t>https://doi.org/10.1111/j.1540-5915.2008.00192.x</w:t>
        </w:r>
      </w:hyperlink>
    </w:p>
    <w:p w14:paraId="614FA394" w14:textId="77777777" w:rsidR="00A167AB" w:rsidRPr="003753C7" w:rsidRDefault="00A167AB" w:rsidP="00A167AB">
      <w:pPr>
        <w:pStyle w:val="ListParagraph"/>
        <w:jc w:val="both"/>
        <w:rPr>
          <w:rFonts w:ascii="Times New Roman" w:hAnsi="Times New Roman" w:cs="Times New Roman"/>
          <w:sz w:val="24"/>
          <w:szCs w:val="24"/>
        </w:rPr>
      </w:pPr>
    </w:p>
    <w:p w14:paraId="47434EF0"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Adrian, A. M., Norwood, S. H., &amp; Mask, P. L. (2005). Producers’ perceptions and attitudes toward precision agriculture technologies. Computers and Electronics in Agriculture, 48(3), 256–271.</w:t>
      </w:r>
    </w:p>
    <w:p w14:paraId="7C3835C9"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Agarwal, R., &amp; Prasad, J. (1999). Are individual differences germane to the acceptance of new information technologies? Decision Sciences, 30(2), 361–391.</w:t>
      </w:r>
    </w:p>
    <w:p w14:paraId="13744FBE"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Burton, R. J. F. (2014). The influence of farmer demographic characteristics on environmental behaviour: A review. Journal of Environmental Management, 135, 19–26.</w:t>
      </w:r>
    </w:p>
    <w:p w14:paraId="7023D8E7"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Davis, F. D. (1989). Perceived usefulness, perceived ease of use, and user acceptance of information technology. MIS Quarterly, 13(3), 319–340.</w:t>
      </w:r>
    </w:p>
    <w:p w14:paraId="2A450E8E"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Greiner, R., &amp; Gregg, D. (2011). Farmers’ intrinsic motivations, barriers to the adoption of conservation practices and effectiveness of policy instruments: Empirical evidence from northern Australia. Land Use Policy, 28(1), 257–265.</w:t>
      </w:r>
    </w:p>
    <w:p w14:paraId="364C2225"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Kallas, Z., Serra, T., &amp; Gil, J. M. (2010). Farmers’ objectives as determinants of organic farming adoption: The case of Catalonian vineyard production. Agricultural Economics, 41(5), 409–423.</w:t>
      </w:r>
    </w:p>
    <w:p w14:paraId="21C6C700"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Knowler, D., &amp; Bradshaw, B. (2007). Farmers’ adoption of conservation agriculture: A review and synthesis of recent research. Food Policy, 32(1), 25–48.</w:t>
      </w:r>
    </w:p>
    <w:p w14:paraId="61CD1181"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Lampkin, N. (2002). Organic farming. Old Pond Publishing.</w:t>
      </w:r>
    </w:p>
    <w:p w14:paraId="13257F25"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Meemken, E. M., &amp; Qaim, M. (2018). Organic agriculture, food security, and the environment. Annual Review of Resource Economics, 10, 39–63.</w:t>
      </w:r>
    </w:p>
    <w:p w14:paraId="208B7CE5"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Pannell, D. J., Marshall, G. R., Barr, N., Curtis, A., Vanclay, F., &amp; Wilkinson, R. (2006). Understanding and promoting adoption of conservation practices by rural landholders. Australian Journal of Experimental Agriculture, 46(11), 1407–1424.</w:t>
      </w:r>
    </w:p>
    <w:p w14:paraId="2243177D"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Reganold, J. P., &amp; Wachter, J. M. (2016). Organic agriculture in the twenty-first century. Nature Plants, 2, 15221.</w:t>
      </w:r>
    </w:p>
    <w:p w14:paraId="02E8D607"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lastRenderedPageBreak/>
        <w:t>Sutherland, L. A., Burton, R. J. F., Ingram, J., Blackstock, K., Slee, B., &amp; Gotts, N. (2012). Triggering change: Towards a conceptualisation of major change processes in farm decision-making. Journal of Environmental Management, 104, 142–151.</w:t>
      </w:r>
    </w:p>
    <w:p w14:paraId="39678630"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Venkatesh, V., &amp; Bala, H. (2008). Technology acceptance model 3 and a research agenda on interventions. Decision Sciences, 39(2), 273–315.</w:t>
      </w:r>
    </w:p>
    <w:p w14:paraId="5393A965"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Vinzi, V. E., Chin, W. W., Henseler, J., &amp; Wang, H. (2010). Handbook of partial least squares: Concepts. Springer Science &amp; Business Media: Methods and Applications.</w:t>
      </w:r>
    </w:p>
    <w:p w14:paraId="62D65CE2"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Fornell, C., &amp; Larcker, D. F. (1981). Evaluating structural equation models with unobservable variables and measurement error. Journal of marketing research, 18(1), 39-50.</w:t>
      </w:r>
    </w:p>
    <w:p w14:paraId="54B63818"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Henseler, J., Ringle, C.M. and Sarstedt, M. (2015), “A new criterion for assessing discriminant validity in variance-based structural equation modeling”, Journal of the Academy of Marketing Science, Vol. 43 No. 1, pp. 115-135.</w:t>
      </w:r>
    </w:p>
    <w:p w14:paraId="6D92E36E" w14:textId="77777777" w:rsidR="00865870" w:rsidRPr="003753C7" w:rsidRDefault="00865870" w:rsidP="00A167AB">
      <w:pPr>
        <w:pStyle w:val="ListParagraph"/>
        <w:numPr>
          <w:ilvl w:val="0"/>
          <w:numId w:val="4"/>
        </w:numPr>
        <w:jc w:val="both"/>
        <w:rPr>
          <w:rFonts w:ascii="Times New Roman" w:hAnsi="Times New Roman" w:cs="Times New Roman"/>
          <w:b/>
          <w:bCs/>
          <w:sz w:val="24"/>
          <w:szCs w:val="24"/>
        </w:rPr>
      </w:pPr>
      <w:r w:rsidRPr="003753C7">
        <w:rPr>
          <w:rFonts w:ascii="Times New Roman" w:hAnsi="Times New Roman" w:cs="Times New Roman"/>
          <w:sz w:val="24"/>
          <w:szCs w:val="24"/>
        </w:rPr>
        <w:t>Hair Jr, J. F., Hult, G. T. M., Ringle, C., &amp; Sarstedt, M. (2016). A Primer on Partial Least Squares Structural Equation Modeling (PLS-SEM). London, UK: Sage Publications. Hair</w:t>
      </w:r>
    </w:p>
    <w:p w14:paraId="372BF6B0" w14:textId="77777777" w:rsidR="00865870" w:rsidRPr="003753C7" w:rsidRDefault="00865870" w:rsidP="00A167AB">
      <w:pPr>
        <w:pStyle w:val="ListParagraph"/>
        <w:numPr>
          <w:ilvl w:val="0"/>
          <w:numId w:val="4"/>
        </w:numPr>
        <w:jc w:val="both"/>
        <w:rPr>
          <w:rFonts w:ascii="Times New Roman" w:hAnsi="Times New Roman" w:cs="Times New Roman"/>
          <w:b/>
          <w:bCs/>
          <w:sz w:val="24"/>
          <w:szCs w:val="24"/>
        </w:rPr>
      </w:pPr>
      <w:r w:rsidRPr="003753C7">
        <w:rPr>
          <w:rFonts w:ascii="Times New Roman" w:hAnsi="Times New Roman" w:cs="Times New Roman"/>
          <w:sz w:val="24"/>
          <w:szCs w:val="24"/>
        </w:rPr>
        <w:t>Hair Jr, J. F., Sarstedt, M., Hopkins, L., &amp;Kuppelwieser, V. G. (2014). Partial least squares structural equation modeling (PLS-SEM): An emerging tool in business research. European business review.</w:t>
      </w:r>
    </w:p>
    <w:p w14:paraId="2CA37E01"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Hair, J. F., Hult, G. T. M., Ringle, C. M., &amp; Sarstedt, M. (2022). A primer on partial least squares structural equation modeling (PLS-SEM) (3rd ed.). Thousand Oaks: Sage</w:t>
      </w:r>
    </w:p>
    <w:p w14:paraId="1725AB75"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Cohen, J. (1988): Statistical Power Analysis for the Behavioral Sciences, 2nd edition,Hillsdale, p. 413.</w:t>
      </w:r>
    </w:p>
    <w:p w14:paraId="1B2F58BC"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Al-Jabri, Ibrahim M, &amp; Sadiq, S. M. (2012). Mobile Banking Adoption: Application of Diffusion of Innovation Theory. Retrieved from Ssrn.com website: https://papers.ssrn.com/sol3/papers.cfm?abstract_id=2523623</w:t>
      </w:r>
    </w:p>
    <w:p w14:paraId="026BE4BD"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Kurosh Rezaei-Moghaddam, &amp; Salehi, S. (2010). Agricultural specialists’ intention toward precision agriculture technologies: Integrating innovation... African Journal of Agricultural Research, 5(11), 1191–1199. Retrieved from https://www.researchgate.net/profile/Saeid-Salehi/publication/228652680_Agricultural_specialists</w:t>
      </w:r>
    </w:p>
    <w:p w14:paraId="0032E23B"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Kolodinsky, J. M., Hogarth, J. M., &amp; Hilgert, M. A. (2004). The adoption of electronic banking technologies by US consumers. International Journal of Bank Marketing, 22(4), 238–259. https://doi.org/10.1108/02652320410542536</w:t>
      </w:r>
    </w:p>
    <w:p w14:paraId="3B1DB46C" w14:textId="3599864B" w:rsidR="00865870" w:rsidRPr="007F2D6D" w:rsidRDefault="00865870" w:rsidP="00A167AB">
      <w:pPr>
        <w:pStyle w:val="ListParagraph"/>
        <w:numPr>
          <w:ilvl w:val="0"/>
          <w:numId w:val="4"/>
        </w:numPr>
        <w:jc w:val="both"/>
        <w:rPr>
          <w:rFonts w:ascii="Times New Roman" w:hAnsi="Times New Roman" w:cs="Times New Roman"/>
          <w:b/>
          <w:bCs/>
          <w:sz w:val="24"/>
          <w:szCs w:val="24"/>
        </w:rPr>
      </w:pPr>
      <w:r w:rsidRPr="003753C7">
        <w:rPr>
          <w:rFonts w:ascii="Times New Roman" w:hAnsi="Times New Roman" w:cs="Times New Roman"/>
          <w:sz w:val="24"/>
          <w:szCs w:val="24"/>
        </w:rPr>
        <w:t>Michael, Grimm, and Nathalie Luck. “Can Training Enhance Adoption, Knowledge and Perception of Organic Farming Practices? Evidence from a Randomized Experiment in Indonesia.” Econstor.eu, 2020</w:t>
      </w:r>
    </w:p>
    <w:p w14:paraId="6D4293B5" w14:textId="77777777" w:rsidR="007F2D6D" w:rsidRDefault="007F2D6D" w:rsidP="007F2D6D">
      <w:pPr>
        <w:jc w:val="both"/>
        <w:rPr>
          <w:rFonts w:ascii="Times New Roman" w:hAnsi="Times New Roman" w:cs="Times New Roman"/>
          <w:b/>
          <w:bCs/>
          <w:sz w:val="24"/>
          <w:szCs w:val="24"/>
        </w:rPr>
      </w:pPr>
    </w:p>
    <w:p w14:paraId="0A95D0C1" w14:textId="77777777" w:rsidR="007F2D6D" w:rsidRDefault="007F2D6D" w:rsidP="007F2D6D">
      <w:pPr>
        <w:jc w:val="both"/>
        <w:rPr>
          <w:rFonts w:ascii="Times New Roman" w:hAnsi="Times New Roman" w:cs="Times New Roman"/>
          <w:b/>
          <w:bCs/>
          <w:sz w:val="24"/>
          <w:szCs w:val="24"/>
        </w:rPr>
      </w:pPr>
    </w:p>
    <w:p w14:paraId="3EB0E0B0" w14:textId="77777777" w:rsidR="007F2D6D" w:rsidRDefault="007F2D6D" w:rsidP="007F2D6D">
      <w:pPr>
        <w:jc w:val="both"/>
        <w:rPr>
          <w:rFonts w:ascii="Times New Roman" w:hAnsi="Times New Roman" w:cs="Times New Roman"/>
          <w:b/>
          <w:bCs/>
          <w:sz w:val="24"/>
          <w:szCs w:val="24"/>
        </w:rPr>
      </w:pPr>
    </w:p>
    <w:p w14:paraId="368556F8" w14:textId="77777777" w:rsidR="007F2D6D" w:rsidRDefault="007F2D6D" w:rsidP="007F2D6D">
      <w:pPr>
        <w:jc w:val="both"/>
        <w:rPr>
          <w:rFonts w:ascii="Times New Roman" w:hAnsi="Times New Roman" w:cs="Times New Roman"/>
          <w:b/>
          <w:bCs/>
          <w:sz w:val="24"/>
          <w:szCs w:val="24"/>
        </w:rPr>
      </w:pPr>
    </w:p>
    <w:p w14:paraId="51780572" w14:textId="77777777" w:rsidR="007F2D6D" w:rsidRDefault="007F2D6D" w:rsidP="007F2D6D">
      <w:pPr>
        <w:jc w:val="both"/>
        <w:rPr>
          <w:rFonts w:ascii="Times New Roman" w:hAnsi="Times New Roman" w:cs="Times New Roman"/>
          <w:b/>
          <w:bCs/>
          <w:sz w:val="24"/>
          <w:szCs w:val="24"/>
        </w:rPr>
      </w:pPr>
    </w:p>
    <w:p w14:paraId="33F5D3F1" w14:textId="77777777" w:rsidR="007F2D6D" w:rsidRDefault="007F2D6D" w:rsidP="007F2D6D">
      <w:pPr>
        <w:jc w:val="both"/>
        <w:rPr>
          <w:rFonts w:ascii="Times New Roman" w:hAnsi="Times New Roman" w:cs="Times New Roman"/>
          <w:b/>
          <w:bCs/>
          <w:sz w:val="24"/>
          <w:szCs w:val="24"/>
        </w:rPr>
      </w:pPr>
    </w:p>
    <w:p w14:paraId="75847D91" w14:textId="77777777" w:rsidR="007F2D6D" w:rsidRDefault="007F2D6D" w:rsidP="007F2D6D">
      <w:pPr>
        <w:jc w:val="both"/>
        <w:rPr>
          <w:rFonts w:ascii="Times New Roman" w:hAnsi="Times New Roman" w:cs="Times New Roman"/>
          <w:b/>
          <w:bCs/>
          <w:sz w:val="24"/>
          <w:szCs w:val="24"/>
        </w:rPr>
      </w:pPr>
    </w:p>
    <w:p w14:paraId="765B449F" w14:textId="77777777" w:rsidR="007F2D6D" w:rsidRDefault="007F2D6D" w:rsidP="007F2D6D">
      <w:pPr>
        <w:jc w:val="both"/>
        <w:rPr>
          <w:rFonts w:ascii="Times New Roman" w:hAnsi="Times New Roman" w:cs="Times New Roman"/>
          <w:b/>
          <w:bCs/>
          <w:sz w:val="24"/>
          <w:szCs w:val="24"/>
        </w:rPr>
      </w:pPr>
    </w:p>
    <w:p w14:paraId="7781FA57" w14:textId="77777777" w:rsidR="007F2D6D" w:rsidRDefault="007F2D6D" w:rsidP="007F2D6D">
      <w:pPr>
        <w:jc w:val="both"/>
        <w:rPr>
          <w:rFonts w:ascii="Times New Roman" w:hAnsi="Times New Roman" w:cs="Times New Roman"/>
          <w:b/>
          <w:bCs/>
          <w:sz w:val="24"/>
          <w:szCs w:val="24"/>
        </w:rPr>
      </w:pPr>
    </w:p>
    <w:p w14:paraId="1F999CEA" w14:textId="77777777" w:rsidR="007F2D6D" w:rsidRDefault="007F2D6D" w:rsidP="007F2D6D">
      <w:pPr>
        <w:jc w:val="both"/>
        <w:rPr>
          <w:rFonts w:ascii="Times New Roman" w:hAnsi="Times New Roman" w:cs="Times New Roman"/>
          <w:b/>
          <w:bCs/>
          <w:sz w:val="24"/>
          <w:szCs w:val="24"/>
        </w:rPr>
      </w:pPr>
    </w:p>
    <w:p w14:paraId="2BA41C88" w14:textId="77777777" w:rsidR="007F2D6D" w:rsidRDefault="007F2D6D" w:rsidP="007F2D6D">
      <w:pPr>
        <w:jc w:val="both"/>
        <w:rPr>
          <w:rFonts w:ascii="Times New Roman" w:hAnsi="Times New Roman" w:cs="Times New Roman"/>
          <w:b/>
          <w:bCs/>
          <w:sz w:val="24"/>
          <w:szCs w:val="24"/>
        </w:rPr>
      </w:pPr>
    </w:p>
    <w:p w14:paraId="307A26B9" w14:textId="77777777" w:rsidR="007F2D6D" w:rsidRDefault="007F2D6D" w:rsidP="007F2D6D">
      <w:pPr>
        <w:jc w:val="both"/>
        <w:rPr>
          <w:rFonts w:ascii="Times New Roman" w:hAnsi="Times New Roman" w:cs="Times New Roman"/>
          <w:b/>
          <w:bCs/>
          <w:sz w:val="24"/>
          <w:szCs w:val="24"/>
        </w:rPr>
      </w:pPr>
    </w:p>
    <w:p w14:paraId="1385FE36" w14:textId="77777777" w:rsidR="007F2D6D" w:rsidRDefault="007F2D6D" w:rsidP="007F2D6D">
      <w:pPr>
        <w:jc w:val="both"/>
        <w:rPr>
          <w:rFonts w:ascii="Times New Roman" w:hAnsi="Times New Roman" w:cs="Times New Roman"/>
          <w:b/>
          <w:bCs/>
          <w:sz w:val="24"/>
          <w:szCs w:val="24"/>
        </w:rPr>
      </w:pPr>
    </w:p>
    <w:p w14:paraId="6813EDDB" w14:textId="77777777" w:rsidR="00F5389F" w:rsidRPr="007F2D6D" w:rsidRDefault="00F5389F" w:rsidP="007F2D6D">
      <w:pPr>
        <w:spacing w:line="10" w:lineRule="atLeast"/>
        <w:jc w:val="both"/>
        <w:rPr>
          <w:rFonts w:ascii="Times New Roman" w:hAnsi="Times New Roman" w:cs="Times New Roman"/>
          <w:b/>
          <w:bCs/>
          <w:i/>
          <w:iCs/>
          <w:szCs w:val="22"/>
        </w:rPr>
      </w:pPr>
    </w:p>
    <w:sectPr w:rsidR="00F5389F" w:rsidRPr="007F2D6D" w:rsidSect="009732C7">
      <w:type w:val="continuous"/>
      <w:pgSz w:w="11907" w:h="16839" w:code="9"/>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242F7"/>
    <w:multiLevelType w:val="hybridMultilevel"/>
    <w:tmpl w:val="6EF0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C25AC7"/>
    <w:multiLevelType w:val="hybridMultilevel"/>
    <w:tmpl w:val="2FE009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2B86CEA"/>
    <w:multiLevelType w:val="multilevel"/>
    <w:tmpl w:val="1F0E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EB55C4"/>
    <w:multiLevelType w:val="multilevel"/>
    <w:tmpl w:val="A5A6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B91455"/>
    <w:multiLevelType w:val="hybridMultilevel"/>
    <w:tmpl w:val="458A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A1AE7"/>
    <w:rsid w:val="00062774"/>
    <w:rsid w:val="0006640A"/>
    <w:rsid w:val="001214F6"/>
    <w:rsid w:val="00135B70"/>
    <w:rsid w:val="00155A5E"/>
    <w:rsid w:val="001731DF"/>
    <w:rsid w:val="0018594D"/>
    <w:rsid w:val="001971B9"/>
    <w:rsid w:val="001B38E5"/>
    <w:rsid w:val="001D1A6D"/>
    <w:rsid w:val="001D28EC"/>
    <w:rsid w:val="001D7D7E"/>
    <w:rsid w:val="001F24B0"/>
    <w:rsid w:val="001F7B9A"/>
    <w:rsid w:val="002160BD"/>
    <w:rsid w:val="00254A9A"/>
    <w:rsid w:val="00273FAE"/>
    <w:rsid w:val="002921BD"/>
    <w:rsid w:val="002A0A49"/>
    <w:rsid w:val="002A4A80"/>
    <w:rsid w:val="002F74B4"/>
    <w:rsid w:val="00304E81"/>
    <w:rsid w:val="003240DF"/>
    <w:rsid w:val="00371FE1"/>
    <w:rsid w:val="003753C7"/>
    <w:rsid w:val="003835CA"/>
    <w:rsid w:val="003D5659"/>
    <w:rsid w:val="003E3601"/>
    <w:rsid w:val="003E60C5"/>
    <w:rsid w:val="00410DDD"/>
    <w:rsid w:val="0041308B"/>
    <w:rsid w:val="0042600F"/>
    <w:rsid w:val="00445F84"/>
    <w:rsid w:val="00491366"/>
    <w:rsid w:val="004934D4"/>
    <w:rsid w:val="004974BD"/>
    <w:rsid w:val="004A265B"/>
    <w:rsid w:val="004E59BD"/>
    <w:rsid w:val="00505C68"/>
    <w:rsid w:val="00531E9B"/>
    <w:rsid w:val="00536DDB"/>
    <w:rsid w:val="00542623"/>
    <w:rsid w:val="00554F71"/>
    <w:rsid w:val="005574F8"/>
    <w:rsid w:val="0056223D"/>
    <w:rsid w:val="005627A9"/>
    <w:rsid w:val="005724BA"/>
    <w:rsid w:val="005C4E36"/>
    <w:rsid w:val="005D2937"/>
    <w:rsid w:val="005E0F91"/>
    <w:rsid w:val="005E5B2C"/>
    <w:rsid w:val="005F4337"/>
    <w:rsid w:val="006241A2"/>
    <w:rsid w:val="00636024"/>
    <w:rsid w:val="00653687"/>
    <w:rsid w:val="006549B8"/>
    <w:rsid w:val="00674616"/>
    <w:rsid w:val="006B7030"/>
    <w:rsid w:val="006D5FA7"/>
    <w:rsid w:val="006E15B3"/>
    <w:rsid w:val="0070036E"/>
    <w:rsid w:val="0070257F"/>
    <w:rsid w:val="00707F5E"/>
    <w:rsid w:val="00721E1E"/>
    <w:rsid w:val="00735A3E"/>
    <w:rsid w:val="00745FC6"/>
    <w:rsid w:val="007862D0"/>
    <w:rsid w:val="00790F7E"/>
    <w:rsid w:val="007A5D14"/>
    <w:rsid w:val="007A635B"/>
    <w:rsid w:val="007A68A6"/>
    <w:rsid w:val="007C665F"/>
    <w:rsid w:val="007C743C"/>
    <w:rsid w:val="007D7B7E"/>
    <w:rsid w:val="007E1BFC"/>
    <w:rsid w:val="007F2D6D"/>
    <w:rsid w:val="008010AC"/>
    <w:rsid w:val="008148C1"/>
    <w:rsid w:val="00841B7F"/>
    <w:rsid w:val="008636BA"/>
    <w:rsid w:val="00865870"/>
    <w:rsid w:val="008A742A"/>
    <w:rsid w:val="008B3DEA"/>
    <w:rsid w:val="008B6966"/>
    <w:rsid w:val="008D01D3"/>
    <w:rsid w:val="008F056B"/>
    <w:rsid w:val="009600E9"/>
    <w:rsid w:val="009732C7"/>
    <w:rsid w:val="00980880"/>
    <w:rsid w:val="009872E4"/>
    <w:rsid w:val="00996260"/>
    <w:rsid w:val="009A0532"/>
    <w:rsid w:val="009B6434"/>
    <w:rsid w:val="00A14C88"/>
    <w:rsid w:val="00A167AB"/>
    <w:rsid w:val="00A56172"/>
    <w:rsid w:val="00A74E73"/>
    <w:rsid w:val="00AA33B9"/>
    <w:rsid w:val="00AA5466"/>
    <w:rsid w:val="00AC095D"/>
    <w:rsid w:val="00AD4410"/>
    <w:rsid w:val="00AF4E10"/>
    <w:rsid w:val="00B24729"/>
    <w:rsid w:val="00B37244"/>
    <w:rsid w:val="00B56E08"/>
    <w:rsid w:val="00B63550"/>
    <w:rsid w:val="00B73499"/>
    <w:rsid w:val="00B93224"/>
    <w:rsid w:val="00BA1AE7"/>
    <w:rsid w:val="00BC33FE"/>
    <w:rsid w:val="00C25F4B"/>
    <w:rsid w:val="00C4270E"/>
    <w:rsid w:val="00C4342F"/>
    <w:rsid w:val="00CA3595"/>
    <w:rsid w:val="00CC42EE"/>
    <w:rsid w:val="00D15CB5"/>
    <w:rsid w:val="00D3722C"/>
    <w:rsid w:val="00D5073D"/>
    <w:rsid w:val="00D57574"/>
    <w:rsid w:val="00D948AC"/>
    <w:rsid w:val="00DA06D6"/>
    <w:rsid w:val="00DA0785"/>
    <w:rsid w:val="00DB5837"/>
    <w:rsid w:val="00DC4F5E"/>
    <w:rsid w:val="00DD5F89"/>
    <w:rsid w:val="00E0051B"/>
    <w:rsid w:val="00E3286C"/>
    <w:rsid w:val="00EB0C1D"/>
    <w:rsid w:val="00EB34C9"/>
    <w:rsid w:val="00EF164E"/>
    <w:rsid w:val="00EF4980"/>
    <w:rsid w:val="00F01DD2"/>
    <w:rsid w:val="00F0233D"/>
    <w:rsid w:val="00F26646"/>
    <w:rsid w:val="00F348E4"/>
    <w:rsid w:val="00F463F6"/>
    <w:rsid w:val="00F5389F"/>
    <w:rsid w:val="00F61239"/>
    <w:rsid w:val="00F73FAF"/>
    <w:rsid w:val="00F81A7A"/>
    <w:rsid w:val="00FA73A5"/>
    <w:rsid w:val="00FA77DD"/>
    <w:rsid w:val="00FC483D"/>
    <w:rsid w:val="00FD0A44"/>
    <w:rsid w:val="00FF203F"/>
    <w:rsid w:val="00FF422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49"/>
  </w:style>
  <w:style w:type="paragraph" w:styleId="Heading2">
    <w:name w:val="heading 2"/>
    <w:basedOn w:val="Normal"/>
    <w:next w:val="Normal"/>
    <w:link w:val="Heading2Char"/>
    <w:uiPriority w:val="9"/>
    <w:semiHidden/>
    <w:unhideWhenUsed/>
    <w:qFormat/>
    <w:rsid w:val="00E3286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BA1A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35A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AE7"/>
    <w:rPr>
      <w:b/>
      <w:bCs/>
    </w:rPr>
  </w:style>
  <w:style w:type="character" w:customStyle="1" w:styleId="Heading3Char">
    <w:name w:val="Heading 3 Char"/>
    <w:basedOn w:val="DefaultParagraphFont"/>
    <w:link w:val="Heading3"/>
    <w:uiPriority w:val="9"/>
    <w:rsid w:val="00BA1AE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35A3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241A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241A2"/>
    <w:rPr>
      <w:rFonts w:ascii="Tahoma" w:hAnsi="Tahoma" w:cs="Mangal"/>
      <w:sz w:val="16"/>
      <w:szCs w:val="14"/>
    </w:rPr>
  </w:style>
  <w:style w:type="paragraph" w:styleId="ListParagraph">
    <w:name w:val="List Paragraph"/>
    <w:basedOn w:val="Normal"/>
    <w:uiPriority w:val="34"/>
    <w:qFormat/>
    <w:rsid w:val="006241A2"/>
    <w:pPr>
      <w:ind w:left="720"/>
      <w:contextualSpacing/>
    </w:pPr>
  </w:style>
  <w:style w:type="paragraph" w:customStyle="1" w:styleId="TableParagraph">
    <w:name w:val="Table Paragraph"/>
    <w:basedOn w:val="Normal"/>
    <w:uiPriority w:val="1"/>
    <w:qFormat/>
    <w:rsid w:val="00FF422E"/>
    <w:pPr>
      <w:widowControl w:val="0"/>
      <w:autoSpaceDE w:val="0"/>
      <w:autoSpaceDN w:val="0"/>
      <w:spacing w:after="0" w:line="238" w:lineRule="exact"/>
      <w:ind w:left="107"/>
    </w:pPr>
    <w:rPr>
      <w:rFonts w:ascii="Times New Roman" w:eastAsia="Times New Roman" w:hAnsi="Times New Roman" w:cs="Times New Roman"/>
      <w:szCs w:val="22"/>
      <w:lang w:bidi="ar-SA"/>
    </w:rPr>
  </w:style>
  <w:style w:type="table" w:styleId="TableGrid">
    <w:name w:val="Table Grid"/>
    <w:basedOn w:val="TableNormal"/>
    <w:uiPriority w:val="59"/>
    <w:rsid w:val="00FF42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5389F"/>
    <w:rPr>
      <w:i/>
      <w:iCs/>
    </w:rPr>
  </w:style>
  <w:style w:type="character" w:styleId="CommentReference">
    <w:name w:val="annotation reference"/>
    <w:basedOn w:val="DefaultParagraphFont"/>
    <w:uiPriority w:val="99"/>
    <w:semiHidden/>
    <w:unhideWhenUsed/>
    <w:rsid w:val="00790F7E"/>
    <w:rPr>
      <w:sz w:val="16"/>
      <w:szCs w:val="16"/>
    </w:rPr>
  </w:style>
  <w:style w:type="paragraph" w:styleId="CommentText">
    <w:name w:val="annotation text"/>
    <w:basedOn w:val="Normal"/>
    <w:link w:val="CommentTextChar"/>
    <w:uiPriority w:val="99"/>
    <w:unhideWhenUsed/>
    <w:rsid w:val="00790F7E"/>
    <w:pPr>
      <w:spacing w:line="240" w:lineRule="auto"/>
    </w:pPr>
    <w:rPr>
      <w:sz w:val="20"/>
      <w:szCs w:val="18"/>
    </w:rPr>
  </w:style>
  <w:style w:type="character" w:customStyle="1" w:styleId="CommentTextChar">
    <w:name w:val="Comment Text Char"/>
    <w:basedOn w:val="DefaultParagraphFont"/>
    <w:link w:val="CommentText"/>
    <w:uiPriority w:val="99"/>
    <w:rsid w:val="00790F7E"/>
    <w:rPr>
      <w:sz w:val="20"/>
      <w:szCs w:val="18"/>
    </w:rPr>
  </w:style>
  <w:style w:type="paragraph" w:styleId="CommentSubject">
    <w:name w:val="annotation subject"/>
    <w:basedOn w:val="CommentText"/>
    <w:next w:val="CommentText"/>
    <w:link w:val="CommentSubjectChar"/>
    <w:uiPriority w:val="99"/>
    <w:semiHidden/>
    <w:unhideWhenUsed/>
    <w:rsid w:val="00790F7E"/>
    <w:rPr>
      <w:b/>
      <w:bCs/>
    </w:rPr>
  </w:style>
  <w:style w:type="character" w:customStyle="1" w:styleId="CommentSubjectChar">
    <w:name w:val="Comment Subject Char"/>
    <w:basedOn w:val="CommentTextChar"/>
    <w:link w:val="CommentSubject"/>
    <w:uiPriority w:val="99"/>
    <w:semiHidden/>
    <w:rsid w:val="00790F7E"/>
    <w:rPr>
      <w:b/>
      <w:bCs/>
      <w:sz w:val="20"/>
      <w:szCs w:val="18"/>
    </w:rPr>
  </w:style>
  <w:style w:type="character" w:customStyle="1" w:styleId="Heading2Char">
    <w:name w:val="Heading 2 Char"/>
    <w:basedOn w:val="DefaultParagraphFont"/>
    <w:link w:val="Heading2"/>
    <w:uiPriority w:val="9"/>
    <w:semiHidden/>
    <w:rsid w:val="00E3286C"/>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semiHidden/>
    <w:unhideWhenUsed/>
    <w:rsid w:val="00A167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6870">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459686064">
      <w:bodyDiv w:val="1"/>
      <w:marLeft w:val="0"/>
      <w:marRight w:val="0"/>
      <w:marTop w:val="0"/>
      <w:marBottom w:val="0"/>
      <w:divBdr>
        <w:top w:val="none" w:sz="0" w:space="0" w:color="auto"/>
        <w:left w:val="none" w:sz="0" w:space="0" w:color="auto"/>
        <w:bottom w:val="none" w:sz="0" w:space="0" w:color="auto"/>
        <w:right w:val="none" w:sz="0" w:space="0" w:color="auto"/>
      </w:divBdr>
    </w:div>
    <w:div w:id="534733345">
      <w:bodyDiv w:val="1"/>
      <w:marLeft w:val="0"/>
      <w:marRight w:val="0"/>
      <w:marTop w:val="0"/>
      <w:marBottom w:val="0"/>
      <w:divBdr>
        <w:top w:val="none" w:sz="0" w:space="0" w:color="auto"/>
        <w:left w:val="none" w:sz="0" w:space="0" w:color="auto"/>
        <w:bottom w:val="none" w:sz="0" w:space="0" w:color="auto"/>
        <w:right w:val="none" w:sz="0" w:space="0" w:color="auto"/>
      </w:divBdr>
    </w:div>
    <w:div w:id="544877257">
      <w:bodyDiv w:val="1"/>
      <w:marLeft w:val="0"/>
      <w:marRight w:val="0"/>
      <w:marTop w:val="0"/>
      <w:marBottom w:val="0"/>
      <w:divBdr>
        <w:top w:val="none" w:sz="0" w:space="0" w:color="auto"/>
        <w:left w:val="none" w:sz="0" w:space="0" w:color="auto"/>
        <w:bottom w:val="none" w:sz="0" w:space="0" w:color="auto"/>
        <w:right w:val="none" w:sz="0" w:space="0" w:color="auto"/>
      </w:divBdr>
      <w:divsChild>
        <w:div w:id="696198060">
          <w:marLeft w:val="0"/>
          <w:marRight w:val="0"/>
          <w:marTop w:val="0"/>
          <w:marBottom w:val="0"/>
          <w:divBdr>
            <w:top w:val="none" w:sz="0" w:space="0" w:color="auto"/>
            <w:left w:val="none" w:sz="0" w:space="0" w:color="auto"/>
            <w:bottom w:val="none" w:sz="0" w:space="0" w:color="auto"/>
            <w:right w:val="none" w:sz="0" w:space="0" w:color="auto"/>
          </w:divBdr>
          <w:divsChild>
            <w:div w:id="106286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0010">
      <w:bodyDiv w:val="1"/>
      <w:marLeft w:val="0"/>
      <w:marRight w:val="0"/>
      <w:marTop w:val="0"/>
      <w:marBottom w:val="0"/>
      <w:divBdr>
        <w:top w:val="none" w:sz="0" w:space="0" w:color="auto"/>
        <w:left w:val="none" w:sz="0" w:space="0" w:color="auto"/>
        <w:bottom w:val="none" w:sz="0" w:space="0" w:color="auto"/>
        <w:right w:val="none" w:sz="0" w:space="0" w:color="auto"/>
      </w:divBdr>
    </w:div>
    <w:div w:id="570819048">
      <w:bodyDiv w:val="1"/>
      <w:marLeft w:val="0"/>
      <w:marRight w:val="0"/>
      <w:marTop w:val="0"/>
      <w:marBottom w:val="0"/>
      <w:divBdr>
        <w:top w:val="none" w:sz="0" w:space="0" w:color="auto"/>
        <w:left w:val="none" w:sz="0" w:space="0" w:color="auto"/>
        <w:bottom w:val="none" w:sz="0" w:space="0" w:color="auto"/>
        <w:right w:val="none" w:sz="0" w:space="0" w:color="auto"/>
      </w:divBdr>
    </w:div>
    <w:div w:id="652758579">
      <w:bodyDiv w:val="1"/>
      <w:marLeft w:val="0"/>
      <w:marRight w:val="0"/>
      <w:marTop w:val="0"/>
      <w:marBottom w:val="0"/>
      <w:divBdr>
        <w:top w:val="none" w:sz="0" w:space="0" w:color="auto"/>
        <w:left w:val="none" w:sz="0" w:space="0" w:color="auto"/>
        <w:bottom w:val="none" w:sz="0" w:space="0" w:color="auto"/>
        <w:right w:val="none" w:sz="0" w:space="0" w:color="auto"/>
      </w:divBdr>
    </w:div>
    <w:div w:id="684478399">
      <w:bodyDiv w:val="1"/>
      <w:marLeft w:val="0"/>
      <w:marRight w:val="0"/>
      <w:marTop w:val="0"/>
      <w:marBottom w:val="0"/>
      <w:divBdr>
        <w:top w:val="none" w:sz="0" w:space="0" w:color="auto"/>
        <w:left w:val="none" w:sz="0" w:space="0" w:color="auto"/>
        <w:bottom w:val="none" w:sz="0" w:space="0" w:color="auto"/>
        <w:right w:val="none" w:sz="0" w:space="0" w:color="auto"/>
      </w:divBdr>
    </w:div>
    <w:div w:id="686099219">
      <w:bodyDiv w:val="1"/>
      <w:marLeft w:val="0"/>
      <w:marRight w:val="0"/>
      <w:marTop w:val="0"/>
      <w:marBottom w:val="0"/>
      <w:divBdr>
        <w:top w:val="none" w:sz="0" w:space="0" w:color="auto"/>
        <w:left w:val="none" w:sz="0" w:space="0" w:color="auto"/>
        <w:bottom w:val="none" w:sz="0" w:space="0" w:color="auto"/>
        <w:right w:val="none" w:sz="0" w:space="0" w:color="auto"/>
      </w:divBdr>
    </w:div>
    <w:div w:id="832645209">
      <w:bodyDiv w:val="1"/>
      <w:marLeft w:val="0"/>
      <w:marRight w:val="0"/>
      <w:marTop w:val="0"/>
      <w:marBottom w:val="0"/>
      <w:divBdr>
        <w:top w:val="none" w:sz="0" w:space="0" w:color="auto"/>
        <w:left w:val="none" w:sz="0" w:space="0" w:color="auto"/>
        <w:bottom w:val="none" w:sz="0" w:space="0" w:color="auto"/>
        <w:right w:val="none" w:sz="0" w:space="0" w:color="auto"/>
      </w:divBdr>
    </w:div>
    <w:div w:id="990869386">
      <w:bodyDiv w:val="1"/>
      <w:marLeft w:val="0"/>
      <w:marRight w:val="0"/>
      <w:marTop w:val="0"/>
      <w:marBottom w:val="0"/>
      <w:divBdr>
        <w:top w:val="none" w:sz="0" w:space="0" w:color="auto"/>
        <w:left w:val="none" w:sz="0" w:space="0" w:color="auto"/>
        <w:bottom w:val="none" w:sz="0" w:space="0" w:color="auto"/>
        <w:right w:val="none" w:sz="0" w:space="0" w:color="auto"/>
      </w:divBdr>
      <w:divsChild>
        <w:div w:id="1537690721">
          <w:marLeft w:val="0"/>
          <w:marRight w:val="0"/>
          <w:marTop w:val="0"/>
          <w:marBottom w:val="0"/>
          <w:divBdr>
            <w:top w:val="none" w:sz="0" w:space="0" w:color="auto"/>
            <w:left w:val="none" w:sz="0" w:space="0" w:color="auto"/>
            <w:bottom w:val="none" w:sz="0" w:space="0" w:color="auto"/>
            <w:right w:val="none" w:sz="0" w:space="0" w:color="auto"/>
          </w:divBdr>
          <w:divsChild>
            <w:div w:id="1059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6512">
      <w:bodyDiv w:val="1"/>
      <w:marLeft w:val="0"/>
      <w:marRight w:val="0"/>
      <w:marTop w:val="0"/>
      <w:marBottom w:val="0"/>
      <w:divBdr>
        <w:top w:val="none" w:sz="0" w:space="0" w:color="auto"/>
        <w:left w:val="none" w:sz="0" w:space="0" w:color="auto"/>
        <w:bottom w:val="none" w:sz="0" w:space="0" w:color="auto"/>
        <w:right w:val="none" w:sz="0" w:space="0" w:color="auto"/>
      </w:divBdr>
    </w:div>
    <w:div w:id="1100636317">
      <w:bodyDiv w:val="1"/>
      <w:marLeft w:val="0"/>
      <w:marRight w:val="0"/>
      <w:marTop w:val="0"/>
      <w:marBottom w:val="0"/>
      <w:divBdr>
        <w:top w:val="none" w:sz="0" w:space="0" w:color="auto"/>
        <w:left w:val="none" w:sz="0" w:space="0" w:color="auto"/>
        <w:bottom w:val="none" w:sz="0" w:space="0" w:color="auto"/>
        <w:right w:val="none" w:sz="0" w:space="0" w:color="auto"/>
      </w:divBdr>
    </w:div>
    <w:div w:id="1349327203">
      <w:bodyDiv w:val="1"/>
      <w:marLeft w:val="0"/>
      <w:marRight w:val="0"/>
      <w:marTop w:val="0"/>
      <w:marBottom w:val="0"/>
      <w:divBdr>
        <w:top w:val="none" w:sz="0" w:space="0" w:color="auto"/>
        <w:left w:val="none" w:sz="0" w:space="0" w:color="auto"/>
        <w:bottom w:val="none" w:sz="0" w:space="0" w:color="auto"/>
        <w:right w:val="none" w:sz="0" w:space="0" w:color="auto"/>
      </w:divBdr>
    </w:div>
    <w:div w:id="1693024070">
      <w:bodyDiv w:val="1"/>
      <w:marLeft w:val="0"/>
      <w:marRight w:val="0"/>
      <w:marTop w:val="0"/>
      <w:marBottom w:val="0"/>
      <w:divBdr>
        <w:top w:val="none" w:sz="0" w:space="0" w:color="auto"/>
        <w:left w:val="none" w:sz="0" w:space="0" w:color="auto"/>
        <w:bottom w:val="none" w:sz="0" w:space="0" w:color="auto"/>
        <w:right w:val="none" w:sz="0" w:space="0" w:color="auto"/>
      </w:divBdr>
    </w:div>
    <w:div w:id="1929533798">
      <w:bodyDiv w:val="1"/>
      <w:marLeft w:val="0"/>
      <w:marRight w:val="0"/>
      <w:marTop w:val="0"/>
      <w:marBottom w:val="0"/>
      <w:divBdr>
        <w:top w:val="none" w:sz="0" w:space="0" w:color="auto"/>
        <w:left w:val="none" w:sz="0" w:space="0" w:color="auto"/>
        <w:bottom w:val="none" w:sz="0" w:space="0" w:color="auto"/>
        <w:right w:val="none" w:sz="0" w:space="0" w:color="auto"/>
      </w:divBdr>
    </w:div>
    <w:div w:id="2041975047">
      <w:bodyDiv w:val="1"/>
      <w:marLeft w:val="0"/>
      <w:marRight w:val="0"/>
      <w:marTop w:val="0"/>
      <w:marBottom w:val="0"/>
      <w:divBdr>
        <w:top w:val="none" w:sz="0" w:space="0" w:color="auto"/>
        <w:left w:val="none" w:sz="0" w:space="0" w:color="auto"/>
        <w:bottom w:val="none" w:sz="0" w:space="0" w:color="auto"/>
        <w:right w:val="none" w:sz="0" w:space="0" w:color="auto"/>
      </w:divBdr>
    </w:div>
    <w:div w:id="2049450785">
      <w:bodyDiv w:val="1"/>
      <w:marLeft w:val="0"/>
      <w:marRight w:val="0"/>
      <w:marTop w:val="0"/>
      <w:marBottom w:val="0"/>
      <w:divBdr>
        <w:top w:val="none" w:sz="0" w:space="0" w:color="auto"/>
        <w:left w:val="none" w:sz="0" w:space="0" w:color="auto"/>
        <w:bottom w:val="none" w:sz="0" w:space="0" w:color="auto"/>
        <w:right w:val="none" w:sz="0" w:space="0" w:color="auto"/>
      </w:divBdr>
      <w:divsChild>
        <w:div w:id="2041124909">
          <w:marLeft w:val="0"/>
          <w:marRight w:val="0"/>
          <w:marTop w:val="0"/>
          <w:marBottom w:val="0"/>
          <w:divBdr>
            <w:top w:val="none" w:sz="0" w:space="0" w:color="auto"/>
            <w:left w:val="none" w:sz="0" w:space="0" w:color="auto"/>
            <w:bottom w:val="none" w:sz="0" w:space="0" w:color="auto"/>
            <w:right w:val="none" w:sz="0" w:space="0" w:color="auto"/>
          </w:divBdr>
          <w:divsChild>
            <w:div w:id="9467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gsy.2018.03.002" TargetMode="External"/><Relationship Id="rId3" Type="http://schemas.microsoft.com/office/2007/relationships/stylesWithEffects" Target="stylesWithEffects.xml"/><Relationship Id="rId7" Type="http://schemas.openxmlformats.org/officeDocument/2006/relationships/hyperlink" Target="https://doi.org/10.2307/2490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11/j.1540-5915.2008.00192.x" TargetMode="External"/><Relationship Id="rId4" Type="http://schemas.openxmlformats.org/officeDocument/2006/relationships/settings" Target="settings.xml"/><Relationship Id="rId9" Type="http://schemas.openxmlformats.org/officeDocument/2006/relationships/hyperlink" Target="https://doi.org/10.1038/nplants.2015.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6471</Words>
  <Characters>36891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5</cp:revision>
  <cp:lastPrinted>2026-03-26T04:50:00Z</cp:lastPrinted>
  <dcterms:created xsi:type="dcterms:W3CDTF">2025-12-29T09:05:00Z</dcterms:created>
  <dcterms:modified xsi:type="dcterms:W3CDTF">2026-05-16T07:44:00Z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f76e23d2-8f19-4cae-bbf1-11479c0c62c4</vt:lpwstr>
  </property>
</Properties>
</file>