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18" w:rsidRPr="000602A9" w:rsidRDefault="00F96818" w:rsidP="00D239B2">
      <w:pPr>
        <w:jc w:val="center"/>
        <w:rPr>
          <w:rFonts w:ascii="Times New Roman" w:hAnsi="Times New Roman" w:cs="Times New Roman"/>
          <w:b/>
          <w:sz w:val="24"/>
          <w:szCs w:val="24"/>
        </w:rPr>
      </w:pPr>
      <w:r w:rsidRPr="000602A9">
        <w:rPr>
          <w:rFonts w:ascii="Times New Roman" w:hAnsi="Times New Roman" w:cs="Times New Roman"/>
          <w:b/>
          <w:sz w:val="24"/>
          <w:szCs w:val="24"/>
        </w:rPr>
        <w:t>Community Engagement in Educational Governance in Rural Uganda: A case study of Kitagwenda District</w:t>
      </w:r>
    </w:p>
    <w:p w:rsidR="00D239B2" w:rsidRPr="000602A9" w:rsidRDefault="00D239B2" w:rsidP="00D239B2">
      <w:pPr>
        <w:jc w:val="center"/>
        <w:rPr>
          <w:rFonts w:ascii="Times New Roman" w:hAnsi="Times New Roman" w:cs="Times New Roman"/>
          <w:b/>
          <w:sz w:val="24"/>
          <w:szCs w:val="24"/>
        </w:rPr>
      </w:pPr>
    </w:p>
    <w:p w:rsidR="00345A9A" w:rsidRPr="000602A9" w:rsidRDefault="00345A9A" w:rsidP="009978DD">
      <w:pPr>
        <w:rPr>
          <w:rFonts w:ascii="Times New Roman" w:hAnsi="Times New Roman" w:cs="Times New Roman"/>
          <w:sz w:val="24"/>
          <w:szCs w:val="24"/>
        </w:rPr>
      </w:pPr>
      <w:bookmarkStart w:id="0" w:name="_GoBack"/>
      <w:bookmarkEnd w:id="0"/>
    </w:p>
    <w:p w:rsidR="00345A9A" w:rsidRPr="000602A9" w:rsidRDefault="00345A9A" w:rsidP="009978DD">
      <w:pPr>
        <w:rPr>
          <w:rFonts w:ascii="Times New Roman" w:hAnsi="Times New Roman" w:cs="Times New Roman"/>
          <w:sz w:val="24"/>
          <w:szCs w:val="24"/>
        </w:rPr>
      </w:pPr>
    </w:p>
    <w:p w:rsidR="009978DD" w:rsidRPr="000602A9" w:rsidRDefault="00B16EBB" w:rsidP="00CC617D">
      <w:pPr>
        <w:pStyle w:val="Heading1"/>
        <w:rPr>
          <w:rFonts w:ascii="Times New Roman" w:hAnsi="Times New Roman" w:cs="Times New Roman"/>
          <w:sz w:val="24"/>
          <w:szCs w:val="24"/>
        </w:rPr>
      </w:pPr>
      <w:bookmarkStart w:id="1" w:name="_Toc229342579"/>
      <w:r w:rsidRPr="000602A9">
        <w:rPr>
          <w:rFonts w:ascii="Times New Roman" w:hAnsi="Times New Roman" w:cs="Times New Roman"/>
          <w:sz w:val="24"/>
          <w:szCs w:val="24"/>
        </w:rPr>
        <w:t>Abstract</w:t>
      </w:r>
      <w:bookmarkEnd w:id="1"/>
      <w:r w:rsidRPr="000602A9">
        <w:rPr>
          <w:rFonts w:ascii="Times New Roman" w:hAnsi="Times New Roman" w:cs="Times New Roman"/>
          <w:sz w:val="24"/>
          <w:szCs w:val="24"/>
        </w:rPr>
        <w:t xml:space="preserve"> </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study explores the effectiveness of community involvement in educational planning and governance within rural Uganda, with a particular focus on Kitagwenda District. Over the past few decades, decentralization reforms and policies promoting participatory governance have aimed to make schools more accountable, inclusive, and responsive to local needs. Nevertheless, the real-world impact of these policies varies significantly across different contexts. The research investigates how community involvement manifests in rural schools, the factors influencing its depth and quality, and the tangible outcomes associated with such engagement. Using a qualitative desk review methodology, the study synthesizes policy documents, academic literature, and reports from governmental and non-governmental actors to understand the nuances of community involvement. Key forms of engagement identified include involvement in School Management Committees (SMCs), Parent-Teacher Associations (PTAs), community contributions to infrastructure, and involvement in school planning and monitoring. The findings indicate that where community involvement is strong and inclusive, schools tend to perform better in terms of accountability, infrastructure development, and student outcomes. Conversely, barriers such as insufficient capacity, socioeconomic inequalities, cultural norms, and elite dominance often hinder meaningful involvement.</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study highlights that community involvement is not merely about formal structures but about fostering genuine involvement that influences decision-making and leads to sustainable improvements. Recommendations focus on capacity building, promoting inclusivity, and strengthening policy enforcement to harness the full potential of community involvement in rural education governance. Overall, this research contributes valuable insights for policymakers, practitioners, and communities seeking to enhance participatory governance in rural educational settings.</w:t>
      </w:r>
    </w:p>
    <w:p w:rsidR="00510E60" w:rsidRPr="000602A9" w:rsidRDefault="009978DD" w:rsidP="00EE4FBB">
      <w:pPr>
        <w:rPr>
          <w:rFonts w:ascii="Times New Roman" w:hAnsi="Times New Roman" w:cs="Times New Roman"/>
          <w:sz w:val="24"/>
          <w:szCs w:val="24"/>
        </w:rPr>
      </w:pPr>
      <w:r w:rsidRPr="000602A9">
        <w:rPr>
          <w:rFonts w:ascii="Times New Roman" w:hAnsi="Times New Roman" w:cs="Times New Roman"/>
          <w:sz w:val="24"/>
          <w:szCs w:val="24"/>
        </w:rPr>
        <w:t>Keywords: community involvement, education governance, rural Uganda, participatory governance, decentralization, school management, community involvement, educational planning.</w:t>
      </w:r>
    </w:p>
    <w:p w:rsidR="009978DD" w:rsidRPr="000602A9" w:rsidRDefault="009978DD" w:rsidP="00CC617D">
      <w:pPr>
        <w:pStyle w:val="Heading1"/>
        <w:rPr>
          <w:rFonts w:ascii="Times New Roman" w:hAnsi="Times New Roman" w:cs="Times New Roman"/>
          <w:sz w:val="24"/>
          <w:szCs w:val="24"/>
        </w:rPr>
      </w:pPr>
      <w:bookmarkStart w:id="2" w:name="_Toc229342580"/>
      <w:r w:rsidRPr="000602A9">
        <w:rPr>
          <w:rFonts w:ascii="Times New Roman" w:hAnsi="Times New Roman" w:cs="Times New Roman"/>
          <w:sz w:val="24"/>
          <w:szCs w:val="24"/>
        </w:rPr>
        <w:t>Introduction and Background of the study</w:t>
      </w:r>
      <w:bookmarkEnd w:id="2"/>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In rural Uganda, the decentralization of education governance was introduced with the aspiration of empowering local communities to have a meaningful say in how schools are managed, financed, supervised, and improved. This policy direction emerged from the wider governance reforms adopted in Uganda during the 1990s, where the government sought to transfer certain responsibilities from the central government to local authorities and communities. Within the education sector, decentralization was expected to increase accountability, responsiveness, transparency, and efficiency in school administration (</w:t>
      </w:r>
      <w:proofErr w:type="spellStart"/>
      <w:r w:rsidRPr="000602A9">
        <w:rPr>
          <w:rFonts w:ascii="Times New Roman" w:hAnsi="Times New Roman" w:cs="Times New Roman"/>
          <w:sz w:val="24"/>
          <w:szCs w:val="24"/>
        </w:rPr>
        <w:t>MoES</w:t>
      </w:r>
      <w:proofErr w:type="spellEnd"/>
      <w:r w:rsidRPr="000602A9">
        <w:rPr>
          <w:rFonts w:ascii="Times New Roman" w:hAnsi="Times New Roman" w:cs="Times New Roman"/>
          <w:sz w:val="24"/>
          <w:szCs w:val="24"/>
        </w:rPr>
        <w:t xml:space="preserve">, 2020). Structures such as School Management Committees (SMCs) and Parent–Teacher </w:t>
      </w:r>
      <w:r w:rsidRPr="000602A9">
        <w:rPr>
          <w:rFonts w:ascii="Times New Roman" w:hAnsi="Times New Roman" w:cs="Times New Roman"/>
          <w:sz w:val="24"/>
          <w:szCs w:val="24"/>
        </w:rPr>
        <w:lastRenderedPageBreak/>
        <w:t xml:space="preserve">Associations (PTAs) were institutionalized to create opportunities for parents and local communities to participate in educational planning and governance. Through these structures, communities were expected to monitor school performance, mobilize resources, </w:t>
      </w:r>
      <w:r w:rsidR="00961691" w:rsidRPr="000602A9">
        <w:rPr>
          <w:rFonts w:ascii="Times New Roman" w:hAnsi="Times New Roman" w:cs="Times New Roman"/>
          <w:sz w:val="24"/>
          <w:szCs w:val="24"/>
        </w:rPr>
        <w:t>and participate</w:t>
      </w:r>
      <w:r w:rsidRPr="000602A9">
        <w:rPr>
          <w:rFonts w:ascii="Times New Roman" w:hAnsi="Times New Roman" w:cs="Times New Roman"/>
          <w:sz w:val="24"/>
          <w:szCs w:val="24"/>
        </w:rPr>
        <w:t xml:space="preserve"> in decision-making, and support teaching and learning processes. Nevertheless, despite these policy intentions, the reality of community involvement in many rural schools remains inconsistent and often inadequate.</w:t>
      </w:r>
    </w:p>
    <w:p w:rsidR="00025984" w:rsidRPr="000602A9" w:rsidRDefault="00025984" w:rsidP="00025984">
      <w:pPr>
        <w:rPr>
          <w:rFonts w:ascii="Times New Roman" w:hAnsi="Times New Roman" w:cs="Times New Roman"/>
          <w:sz w:val="24"/>
          <w:szCs w:val="24"/>
        </w:rPr>
      </w:pP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In Kitagwenda District, several rural primary and secondary schools continue to experience governance and management challenges despite the existence of participatory stru</w:t>
      </w:r>
      <w:r w:rsidR="00961691" w:rsidRPr="000602A9">
        <w:rPr>
          <w:rFonts w:ascii="Times New Roman" w:hAnsi="Times New Roman" w:cs="Times New Roman"/>
          <w:sz w:val="24"/>
          <w:szCs w:val="24"/>
        </w:rPr>
        <w:t xml:space="preserve">ctures. Schools such as Nyakasenyi </w:t>
      </w:r>
      <w:r w:rsidRPr="000602A9">
        <w:rPr>
          <w:rFonts w:ascii="Times New Roman" w:hAnsi="Times New Roman" w:cs="Times New Roman"/>
          <w:sz w:val="24"/>
          <w:szCs w:val="24"/>
        </w:rPr>
        <w:t>Secondary School, Kitagwenda High S</w:t>
      </w:r>
      <w:r w:rsidR="00961691" w:rsidRPr="000602A9">
        <w:rPr>
          <w:rFonts w:ascii="Times New Roman" w:hAnsi="Times New Roman" w:cs="Times New Roman"/>
          <w:sz w:val="24"/>
          <w:szCs w:val="24"/>
        </w:rPr>
        <w:t>chool, Busanza</w:t>
      </w:r>
      <w:r w:rsidRPr="000602A9">
        <w:rPr>
          <w:rFonts w:ascii="Times New Roman" w:hAnsi="Times New Roman" w:cs="Times New Roman"/>
          <w:sz w:val="24"/>
          <w:szCs w:val="24"/>
        </w:rPr>
        <w:t xml:space="preserve"> Primary School,</w:t>
      </w:r>
      <w:r w:rsidR="00961691" w:rsidRPr="000602A9">
        <w:rPr>
          <w:rFonts w:ascii="Times New Roman" w:hAnsi="Times New Roman" w:cs="Times New Roman"/>
          <w:sz w:val="24"/>
          <w:szCs w:val="24"/>
        </w:rPr>
        <w:t>Karambi primary school</w:t>
      </w:r>
      <w:r w:rsidRPr="000602A9">
        <w:rPr>
          <w:rFonts w:ascii="Times New Roman" w:hAnsi="Times New Roman" w:cs="Times New Roman"/>
          <w:sz w:val="24"/>
          <w:szCs w:val="24"/>
        </w:rPr>
        <w:t xml:space="preserve"> and Rwentuha Primary School have continued to face issues related to inadequate infrastructure, irregular parental involvement, poor monitoring of teachers, and limited financial support from local communities. Similar concerns have also been observed in sub-counties such as Ntara, Mahyoro, Kabujogera, and Buhanda, where schools struggle with overcrowded classrooms, insufficient learning materials, teacher absenteeism, and low levels of stakeholder engagement. While the government introduced Universal Primary Education (UPE) and Universal Secondary Education (USE) to improve access to education, the rapid increase in enrolment has placed pressure on already limited resources within rural schools (Nishimura et al., 2009). Consequently, the role of communities in complementing government efforts has become increasingly important.</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Research indicates that meaningful community involvement contributes positively to educational outcomes, school accountability, and infrastructure development (Bray, 2001). Communities that actively participate in school governance tend to support discipline management, monitor school activities, and mobilize local resources for school improvement. In some parts of Kitagwenda District, parents and community members have contributed labour, construction materials, and financial support toward classroom construction and maintenance projects. For example, local communities in areas of Buhanda and Mahyoro have participated in school clean-up campaigns, construction of pit latrines, and mobilization of learners for school attendance. These efforts demonstrate that community participation has the potential to strengthen educational service delivery in rural settings where government resources alone are insufficient.</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However, despite these positive examples, many communities in rural Uganda continue to experience barriers that limit their meaningful participation in educational governance. In Kitagwenda District, several schools report low attendance of parents during PTA meetings, limited understanding of governance roles among SMC members, and inadequate communication between school administrators and communities. Poverty remains one of the major constraints affecting participation because many parents prioritize livelihood activities over school involvement. In sub-counties such as Kabujogera and Ntara, some families struggle to meet basic household needs, reducing their ability to contribute financially or participate consistently in school activities. According to Ssewanyana and Kasirye (2012), poverty significantly influences educational participation and access in rural Uganda, particularly in districts where households depend on subsistence agriculture.</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 xml:space="preserve">In addition, socio-cultural factors continue to shape the quality and inclusiveness of community involvement in school governance. Traditional gender norms in some rural </w:t>
      </w:r>
      <w:r w:rsidRPr="000602A9">
        <w:rPr>
          <w:rFonts w:ascii="Times New Roman" w:hAnsi="Times New Roman" w:cs="Times New Roman"/>
          <w:sz w:val="24"/>
          <w:szCs w:val="24"/>
        </w:rPr>
        <w:lastRenderedPageBreak/>
        <w:t xml:space="preserve">communities restrict women from actively participating in decision-making processes despite their central role in supporting children’s education at home. In some communities within Kitagwenda District, educational governance meetings are often dominated by male leaders, local elites, or influential community members, thereby marginalizing the voices of women, youth, and low-income households. Such inequalities limit the effectiveness of participatory governance and reinforce social exclusion. Similar findings were observed by De </w:t>
      </w:r>
      <w:proofErr w:type="spellStart"/>
      <w:r w:rsidRPr="000602A9">
        <w:rPr>
          <w:rFonts w:ascii="Times New Roman" w:hAnsi="Times New Roman" w:cs="Times New Roman"/>
          <w:sz w:val="24"/>
          <w:szCs w:val="24"/>
        </w:rPr>
        <w:t>Grauwe</w:t>
      </w:r>
      <w:proofErr w:type="spellEnd"/>
      <w:r w:rsidRPr="000602A9">
        <w:rPr>
          <w:rFonts w:ascii="Times New Roman" w:hAnsi="Times New Roman" w:cs="Times New Roman"/>
          <w:sz w:val="24"/>
          <w:szCs w:val="24"/>
        </w:rPr>
        <w:t xml:space="preserve"> (2005), who argued that decentralization policies in many African countries often fail to empower marginalized groups because of entrenched social and political hierarchies.</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Furthermore, there is evidence that some forms of participation in rural schools remain symbolic rather than substantive. While schools may formally establish SMCs and PTAs in compliance with government policy, many of these structures lack the capacity, training, and institutional support needed to influence school governance effectively. In some cases, meetings are irregular, decisions are dominated by a few individuals, and communities are only consulted after major decisions have already been made. This weakens accountability and undermines trust between schools and community members. Studies conducted in Uganda by Naidoo (2005) and Ward et al. (2006) similarly noted that decentralization alone does not automatically guarantee effective participation unless local stakeholders possess the knowledge, confidence, and resources necessary to engage meaningfully.</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Another challenge relates to communication gaps between schools and communities. In many rural schools, information regarding budgets, school performance, government grants, and development plans is not adequately shared with parents and community stakeholders. This creates suspicion, misinformation, and low trust among community members. In schools located within Mahyoro and Buhanda sub-counties, some parents reportedly feel excluded from key school decisions because communication channels remain weak or inconsistent. Effective participation requires transparency and regular information sharing, yet this remains limited in many rural contexts.</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Moreover, political interference and elite capture continue to affect educational governance in some communities. Local political actors may influence school decisions for personal or political interests, undermining collective participation and accountability. In some cases, influential individuals dominate procurement processes, resource allocation, or committee leadership positions, thereby limiting democratic involvement by ordinary community members. This challenge weakens the intended objectives of participatory governance and decentralization reforms. According to Francis and James (2003), local governance reforms in Uganda have at times reproduced existing inequalities instead of promoting inclusive participation.</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The study therefore argues that there exists a significant gap between the policy expectations of participatory educational governance and the realities experienced within rural schools in Kitagwenda District. Although policies emphasize inclusive and democratic community participation, practical implementation is constrained by poverty, low literacy levels, cultural norms, weak institutional capacity, inadequate communication, and unequal power relations. As a result, many schools continue to experience low levels of genuine stakeholder engagement despite the existence of formal governance structures.</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 xml:space="preserve">The core argument of this study is that meaningful and inclusive community involvement has the potential to improve accountability, transparency, educational quality, and school </w:t>
      </w:r>
      <w:r w:rsidRPr="000602A9">
        <w:rPr>
          <w:rFonts w:ascii="Times New Roman" w:hAnsi="Times New Roman" w:cs="Times New Roman"/>
          <w:sz w:val="24"/>
          <w:szCs w:val="24"/>
        </w:rPr>
        <w:lastRenderedPageBreak/>
        <w:t>development in rural Uganda if communities are empowered and adequately supported. Genuine participation requires more than the mere establishment of committees or attendance at meetings; it requires active involvement in decision-making, monitoring, planning, and resource mobilization. Schools that successfully involve communities in governance are more likely to achieve sustainable educational improvements because local stakeholders develop a stronger sense of ownership and responsibility toward school development.</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This study is therefore necessary because it seeks to examine how community involvement manifests in practice within rural schools of Kitagwenda District, the factors that facilitate or hinder effective participation, and the implications for educational governance and development. The findings are expected to contribute to existing scholarly debates on participatory governance and decentralization while also providing practical recommendations for policymakers, district education officials, school administrators, and communities. Understanding the realities of community participation in Kitagwenda District may also provide lessons applicable to other rural districts in Uganda and Sub-Saharan Africa that continue to face similar educational governance challenges.</w:t>
      </w:r>
    </w:p>
    <w:p w:rsidR="003E4243" w:rsidRPr="000602A9" w:rsidRDefault="003E4243" w:rsidP="00CC617D">
      <w:pPr>
        <w:pStyle w:val="Heading1"/>
        <w:rPr>
          <w:rFonts w:ascii="Times New Roman" w:hAnsi="Times New Roman" w:cs="Times New Roman"/>
          <w:sz w:val="24"/>
          <w:szCs w:val="24"/>
        </w:rPr>
      </w:pPr>
      <w:bookmarkStart w:id="3" w:name="_Toc229342581"/>
      <w:r w:rsidRPr="000602A9">
        <w:rPr>
          <w:rFonts w:ascii="Times New Roman" w:hAnsi="Times New Roman" w:cs="Times New Roman"/>
          <w:sz w:val="24"/>
          <w:szCs w:val="24"/>
        </w:rPr>
        <w:t>Study Objectives</w:t>
      </w:r>
      <w:bookmarkEnd w:id="3"/>
    </w:p>
    <w:p w:rsidR="003E4243" w:rsidRPr="000602A9" w:rsidRDefault="003E4243" w:rsidP="003E4243">
      <w:pPr>
        <w:rPr>
          <w:rFonts w:ascii="Times New Roman" w:hAnsi="Times New Roman" w:cs="Times New Roman"/>
          <w:sz w:val="24"/>
          <w:szCs w:val="24"/>
        </w:rPr>
      </w:pPr>
      <w:r w:rsidRPr="000602A9">
        <w:rPr>
          <w:rFonts w:ascii="Times New Roman" w:hAnsi="Times New Roman" w:cs="Times New Roman"/>
          <w:sz w:val="24"/>
          <w:szCs w:val="24"/>
        </w:rPr>
        <w:t>To explore how community involvement manifests in rural schools within Kitagwenda District?</w:t>
      </w:r>
    </w:p>
    <w:p w:rsidR="00EC0240" w:rsidRPr="000602A9" w:rsidRDefault="003E4243" w:rsidP="003E4243">
      <w:pPr>
        <w:rPr>
          <w:rFonts w:ascii="Times New Roman" w:hAnsi="Times New Roman" w:cs="Times New Roman"/>
          <w:sz w:val="24"/>
          <w:szCs w:val="24"/>
        </w:rPr>
      </w:pPr>
      <w:r w:rsidRPr="000602A9">
        <w:rPr>
          <w:rFonts w:ascii="Times New Roman" w:hAnsi="Times New Roman" w:cs="Times New Roman"/>
          <w:sz w:val="24"/>
          <w:szCs w:val="24"/>
        </w:rPr>
        <w:t>To identify and analyse the factors that influence the depth and quality of community involvement in rural education governance?</w:t>
      </w:r>
    </w:p>
    <w:p w:rsidR="003E4243" w:rsidRPr="000602A9" w:rsidRDefault="00EC0240" w:rsidP="003E4243">
      <w:pPr>
        <w:rPr>
          <w:rFonts w:ascii="Times New Roman" w:hAnsi="Times New Roman" w:cs="Times New Roman"/>
          <w:sz w:val="24"/>
          <w:szCs w:val="24"/>
        </w:rPr>
      </w:pPr>
      <w:r w:rsidRPr="000602A9">
        <w:rPr>
          <w:rFonts w:ascii="Times New Roman" w:hAnsi="Times New Roman" w:cs="Times New Roman"/>
          <w:sz w:val="24"/>
          <w:szCs w:val="24"/>
        </w:rPr>
        <w:t xml:space="preserve"> To assess the outcomes associated with active and meaningful community involvement in rural schools?</w:t>
      </w:r>
    </w:p>
    <w:p w:rsidR="003E4243" w:rsidRPr="000602A9" w:rsidRDefault="003E4243" w:rsidP="003E4243">
      <w:pPr>
        <w:rPr>
          <w:rFonts w:ascii="Times New Roman" w:hAnsi="Times New Roman" w:cs="Times New Roman"/>
          <w:sz w:val="24"/>
          <w:szCs w:val="24"/>
        </w:rPr>
      </w:pPr>
      <w:r w:rsidRPr="000602A9">
        <w:rPr>
          <w:rFonts w:ascii="Times New Roman" w:hAnsi="Times New Roman" w:cs="Times New Roman"/>
          <w:sz w:val="24"/>
          <w:szCs w:val="24"/>
        </w:rPr>
        <w:t>To identify the barriers and challenges that limit effective community involvement in rural education governance?</w:t>
      </w:r>
    </w:p>
    <w:p w:rsidR="00EE4FBB" w:rsidRPr="000602A9" w:rsidRDefault="003E4243" w:rsidP="003E4243">
      <w:pPr>
        <w:rPr>
          <w:rFonts w:ascii="Times New Roman" w:hAnsi="Times New Roman" w:cs="Times New Roman"/>
          <w:sz w:val="24"/>
          <w:szCs w:val="24"/>
        </w:rPr>
      </w:pPr>
      <w:r w:rsidRPr="000602A9">
        <w:rPr>
          <w:rFonts w:ascii="Times New Roman" w:hAnsi="Times New Roman" w:cs="Times New Roman"/>
          <w:sz w:val="24"/>
          <w:szCs w:val="24"/>
        </w:rPr>
        <w:t>To generate evidence-based recommendations for enhancing community involvement in rural educational settings?</w:t>
      </w:r>
    </w:p>
    <w:p w:rsidR="00EC0240" w:rsidRPr="000602A9" w:rsidRDefault="00EC0240" w:rsidP="00CC617D">
      <w:pPr>
        <w:pStyle w:val="Heading1"/>
        <w:rPr>
          <w:rFonts w:ascii="Times New Roman" w:hAnsi="Times New Roman" w:cs="Times New Roman"/>
          <w:sz w:val="24"/>
          <w:szCs w:val="24"/>
        </w:rPr>
      </w:pPr>
      <w:bookmarkStart w:id="4" w:name="_Toc229342582"/>
      <w:r w:rsidRPr="000602A9">
        <w:rPr>
          <w:rFonts w:ascii="Times New Roman" w:hAnsi="Times New Roman" w:cs="Times New Roman"/>
          <w:sz w:val="24"/>
          <w:szCs w:val="24"/>
        </w:rPr>
        <w:t>Research Questions</w:t>
      </w:r>
      <w:bookmarkEnd w:id="4"/>
    </w:p>
    <w:p w:rsidR="00EC0240" w:rsidRPr="000602A9" w:rsidRDefault="00EC0240" w:rsidP="00EC0240">
      <w:pPr>
        <w:rPr>
          <w:rFonts w:ascii="Times New Roman" w:hAnsi="Times New Roman" w:cs="Times New Roman"/>
          <w:sz w:val="24"/>
          <w:szCs w:val="24"/>
        </w:rPr>
      </w:pPr>
      <w:r w:rsidRPr="000602A9">
        <w:rPr>
          <w:rFonts w:ascii="Times New Roman" w:hAnsi="Times New Roman" w:cs="Times New Roman"/>
          <w:sz w:val="24"/>
          <w:szCs w:val="24"/>
        </w:rPr>
        <w:t>How does community involvement in educational planning and governance manifest in rural schools within Kitagwenda District?</w:t>
      </w:r>
    </w:p>
    <w:p w:rsidR="00EC0240" w:rsidRPr="000602A9" w:rsidRDefault="00EC0240" w:rsidP="00EC0240">
      <w:pPr>
        <w:rPr>
          <w:rFonts w:ascii="Times New Roman" w:hAnsi="Times New Roman" w:cs="Times New Roman"/>
          <w:sz w:val="24"/>
          <w:szCs w:val="24"/>
        </w:rPr>
      </w:pPr>
      <w:r w:rsidRPr="000602A9">
        <w:rPr>
          <w:rFonts w:ascii="Times New Roman" w:hAnsi="Times New Roman" w:cs="Times New Roman"/>
          <w:sz w:val="24"/>
          <w:szCs w:val="24"/>
        </w:rPr>
        <w:t>What are the key factors that influence the quality and effectiveness of community involvement in rural education governance?</w:t>
      </w:r>
    </w:p>
    <w:p w:rsidR="00EC0240" w:rsidRPr="000602A9" w:rsidRDefault="00EC0240" w:rsidP="00EC0240">
      <w:pPr>
        <w:rPr>
          <w:rFonts w:ascii="Times New Roman" w:hAnsi="Times New Roman" w:cs="Times New Roman"/>
          <w:sz w:val="24"/>
          <w:szCs w:val="24"/>
        </w:rPr>
      </w:pPr>
      <w:r w:rsidRPr="000602A9">
        <w:rPr>
          <w:rFonts w:ascii="Times New Roman" w:hAnsi="Times New Roman" w:cs="Times New Roman"/>
          <w:sz w:val="24"/>
          <w:szCs w:val="24"/>
        </w:rPr>
        <w:t xml:space="preserve">What are the tangible outcomes of active community involvement in rural schools’ management and development? </w:t>
      </w:r>
    </w:p>
    <w:p w:rsidR="00EC0240" w:rsidRPr="000602A9" w:rsidRDefault="00EC0240" w:rsidP="00EC0240">
      <w:pPr>
        <w:rPr>
          <w:rFonts w:ascii="Times New Roman" w:hAnsi="Times New Roman" w:cs="Times New Roman"/>
          <w:sz w:val="24"/>
          <w:szCs w:val="24"/>
        </w:rPr>
      </w:pPr>
      <w:r w:rsidRPr="000602A9">
        <w:rPr>
          <w:rFonts w:ascii="Times New Roman" w:hAnsi="Times New Roman" w:cs="Times New Roman"/>
          <w:sz w:val="24"/>
          <w:szCs w:val="24"/>
        </w:rPr>
        <w:t>What are the primary barriers and challenges faced by communities in engaging effectively in school governance?</w:t>
      </w:r>
    </w:p>
    <w:p w:rsidR="0010506B" w:rsidRPr="000602A9" w:rsidRDefault="00EC0240" w:rsidP="009978DD">
      <w:pPr>
        <w:rPr>
          <w:rFonts w:ascii="Times New Roman" w:hAnsi="Times New Roman" w:cs="Times New Roman"/>
          <w:sz w:val="24"/>
          <w:szCs w:val="24"/>
        </w:rPr>
      </w:pPr>
      <w:r w:rsidRPr="000602A9">
        <w:rPr>
          <w:rFonts w:ascii="Times New Roman" w:hAnsi="Times New Roman" w:cs="Times New Roman"/>
          <w:sz w:val="24"/>
          <w:szCs w:val="24"/>
        </w:rPr>
        <w:t xml:space="preserve"> How can community involvement be strengthened to promote inclusive, genuine involvement that influences decision-making and leads to sustainable improvements?</w:t>
      </w:r>
    </w:p>
    <w:p w:rsidR="009978DD" w:rsidRPr="000602A9" w:rsidRDefault="009978DD" w:rsidP="00CC617D">
      <w:pPr>
        <w:pStyle w:val="Heading1"/>
        <w:rPr>
          <w:rFonts w:ascii="Times New Roman" w:hAnsi="Times New Roman" w:cs="Times New Roman"/>
          <w:sz w:val="24"/>
          <w:szCs w:val="24"/>
        </w:rPr>
      </w:pPr>
      <w:bookmarkStart w:id="5" w:name="_Toc229342583"/>
      <w:r w:rsidRPr="000602A9">
        <w:rPr>
          <w:rFonts w:ascii="Times New Roman" w:hAnsi="Times New Roman" w:cs="Times New Roman"/>
          <w:sz w:val="24"/>
          <w:szCs w:val="24"/>
        </w:rPr>
        <w:lastRenderedPageBreak/>
        <w:t>Justification/Purpose of the Study</w:t>
      </w:r>
      <w:bookmarkEnd w:id="5"/>
      <w:r w:rsidRPr="000602A9">
        <w:rPr>
          <w:rFonts w:ascii="Times New Roman" w:hAnsi="Times New Roman" w:cs="Times New Roman"/>
          <w:sz w:val="24"/>
          <w:szCs w:val="24"/>
        </w:rPr>
        <w:t xml:space="preserve"> </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importance of community involvement in education cannot be overstated, especially in contexts characterized by limited resources and infrastructural challenges. In Uganda, decentralization reforms and policies promoting participatory governance aim to democratize education, improve accountability, and foster sustainable development. Nevertheless, the extent to which these policies translate into meaningful community involvement, particularly in rural districts like Kitagwenda, remains under-explored.</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study is justified by the pressing need to understand the actual dynamics of community involvement in rural Ugandan schools. While policy frameworks emphasize inclusive involvement, empirical evidence suggests that the reality often diverges from these ideals. Factors such as socioeconomic inequalities, cultural norms, elite dominance, and insufficient capacity among community members influence how involvement unfolds on the ground. Understanding these disparities is critical for designing interventions that are contextually relevant and effective.</w:t>
      </w:r>
    </w:p>
    <w:p w:rsidR="00F96818"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In addition, the study addresses a significant gap in the literature concerning the specific challenges and opportunities in rural Uganda, an area that has received comparatively less scholarly attention than urban or peri-urban settings. Most existing research tends to focus on formal structures without adequately examining how socio-cultural factors shape involvement. The research aims to bridge that gap by providing a nuanced, context-sensitive analysis.</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purpose of this study is threefold:</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To explore and document the various forms of community involvement in Kitagwenda District schools, including involvement in governance structures, resource contributions, and school development activities.</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To evaluate the impact of community involvement on school governance, accountability, infrastructure development, and educational outcomes.</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To identify the key enablers and barriers influencing the depth and effectiveness of community involvement, including socioeconomic, cultural, institutional, and policy-related factors.</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insights gained from this research will be instrumental for policymakers, educational practitioners, and community leaders. Specifically, it aims to inform strategies that can strengthen participatory mechanisms, promote inclusivity, and ensure that community involvement genuinely contributes to the improvement of educational quality and equity in rural Uganda.</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Additionally, the study seeks to contribute to the broader discourse on decentralization and participatory governance, providing evidence-based recommendations for enhancing community involvement in similar contexts across Sub-Saharan Africa. By uncovering the factors that facilitate or hinder effective engagement, the research will support efforts to design policies and interventions that are contextually appropriate, culturally sensitive, and sustainable.</w:t>
      </w:r>
    </w:p>
    <w:p w:rsidR="0010506B"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 xml:space="preserve">Overall, this study is crucial for advancing understanding of how community involvement operates in practice within rural Ugandan schools. It aims to generate practical insights that </w:t>
      </w:r>
      <w:r w:rsidRPr="000602A9">
        <w:rPr>
          <w:rFonts w:ascii="Times New Roman" w:hAnsi="Times New Roman" w:cs="Times New Roman"/>
          <w:sz w:val="24"/>
          <w:szCs w:val="24"/>
        </w:rPr>
        <w:lastRenderedPageBreak/>
        <w:t>can enhance the effectiveness and inclusiveness of participatory governance, leading to improved educational outcomes and greater community ownership.</w:t>
      </w:r>
    </w:p>
    <w:p w:rsidR="0010506B" w:rsidRPr="000602A9" w:rsidRDefault="0010506B" w:rsidP="00CC617D">
      <w:pPr>
        <w:pStyle w:val="Heading1"/>
        <w:rPr>
          <w:rFonts w:ascii="Times New Roman" w:hAnsi="Times New Roman" w:cs="Times New Roman"/>
          <w:sz w:val="24"/>
          <w:szCs w:val="24"/>
        </w:rPr>
      </w:pPr>
      <w:bookmarkStart w:id="6" w:name="_Toc229342584"/>
      <w:r w:rsidRPr="000602A9">
        <w:rPr>
          <w:rFonts w:ascii="Times New Roman" w:hAnsi="Times New Roman" w:cs="Times New Roman"/>
          <w:sz w:val="24"/>
          <w:szCs w:val="24"/>
        </w:rPr>
        <w:t>Scope and delimitations of the study</w:t>
      </w:r>
      <w:bookmarkEnd w:id="6"/>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The paper focuses on examining the nature, determinants, and outcomes of community involvement in educational planning and governance within rural schools of Kitagwenda District, Uganda. The scope and delimitations outlined below provide clarity on the geographical, thematic, methodological, and contextual boundaries of the research, highlighting what the study will cover and what it intentionally excludes.</w:t>
      </w:r>
    </w:p>
    <w:p w:rsidR="00B47208" w:rsidRPr="000602A9" w:rsidRDefault="00B47208" w:rsidP="00CC617D">
      <w:pPr>
        <w:pStyle w:val="Heading2"/>
        <w:rPr>
          <w:rFonts w:ascii="Times New Roman" w:hAnsi="Times New Roman" w:cs="Times New Roman"/>
          <w:sz w:val="24"/>
          <w:szCs w:val="24"/>
        </w:rPr>
      </w:pPr>
      <w:bookmarkStart w:id="7" w:name="_Toc229342585"/>
      <w:r w:rsidRPr="000602A9">
        <w:rPr>
          <w:rFonts w:ascii="Times New Roman" w:hAnsi="Times New Roman" w:cs="Times New Roman"/>
          <w:sz w:val="24"/>
          <w:szCs w:val="24"/>
        </w:rPr>
        <w:t>Scope of the Study</w:t>
      </w:r>
      <w:bookmarkEnd w:id="7"/>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Geographical Scope: The primary focus of this research is on Kitagwenda District, a predominantly rural area characterized by diverse socioeconomic and cultural contexts. The district was selected because it exemplifies many of the challenges and opportunities associated with community involvement in rural education governance in Uganda. The study will include a representative sample of primary and secondary schools within the district, ensuring a comprehensive understanding of community involvement across different educational levels and community contexts.</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Thematic Scope: The research concentrates on understanding how community members participate in school management and decision-making processes, including involvement in School Management Committees (SMCs), Parent-Teacher Associations (PTAs), infrastructure contributions, and involvement in planning and monitoring activities. It will explore the factors influencing the effectiveness of such engagement, including socioeconomic, cultural, capacity, and institutional factors. In addition, the study will evaluate the tangible outcomes of community involvement, such as improvements in school infrastructure, resource mobilization, accountability, and student performance.</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Temporal Scope: The study will primarily examine community involvement practices and their impacts over the past five years. This period allows for capturing recent developments, policy implementations, and community responses, providing relevant insights into current challenges and opportunities. Nevertheless, some historical context may be provided to understand the evolution of community involvement and the influence of decentralization reforms introduced over the past decades.</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Methodological Scope: Employing a qualitative desk review methodology, the study will synthesize existing policy documents, academic literature, government reports, NGO publications, and other relevant grey literature. This approach aims to generate a nuanced understanding of the social, political, and institutional factors shaping community involvement in rural Uganda. The primary data collection will involve document analysis, with limited reliance on interviews and focus group discussions, which may be conducted selectively to supplement the desk review.</w:t>
      </w:r>
    </w:p>
    <w:p w:rsidR="00B47208" w:rsidRPr="000602A9" w:rsidRDefault="00B47208" w:rsidP="00CC617D">
      <w:pPr>
        <w:pStyle w:val="Heading1"/>
        <w:rPr>
          <w:rFonts w:ascii="Times New Roman" w:hAnsi="Times New Roman" w:cs="Times New Roman"/>
          <w:sz w:val="24"/>
          <w:szCs w:val="24"/>
        </w:rPr>
      </w:pPr>
      <w:bookmarkStart w:id="8" w:name="_Toc229342586"/>
      <w:r w:rsidRPr="000602A9">
        <w:rPr>
          <w:rFonts w:ascii="Times New Roman" w:hAnsi="Times New Roman" w:cs="Times New Roman"/>
          <w:sz w:val="24"/>
          <w:szCs w:val="24"/>
        </w:rPr>
        <w:t>Delimitations of the Study</w:t>
      </w:r>
      <w:bookmarkEnd w:id="8"/>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While the study aims to provide comprehensive insights into community involvement in rural Uganda’s education governance, several delimitations are intentionally set to maintain focus, feasibility, and clarity.</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lastRenderedPageBreak/>
        <w:t>Geographical Delimitation: The research is confined to Kitagwenda District and does not extend to other districts in Uganda. Although the findings may have broader implications, the unique socio-cultural and political context of Kitagwenda means that generalizing results to other regions should be done cautiously. Rural districts with different socioeconomic profiles or cultural norms may experience distinct dynamics of community involvement.</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Thematic Limitation: The scope is limited to community involvement mechanisms such as SMCs, PTAs, infrastructure contributions, and involvement in planning and monitoring. It does not delve into broader issues such as curriculum development, teacher training, or national policy reforms outside the local governance structures. The focus remains on grassroots involvement and its direct influence on school management and tangible outcomes.</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Methodological Limitation: Given resource and time constraints, the study relies primarily on desk research and secondary data analysis. While this approach enables a broad understanding of documented practices and policies, it may not fully capture the lived experiences and perceptions of community members and school officials. Limited fieldwork means that the study may not deeply explore informal involvement or unreported barriers.</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Temporal Limitation: Focusing on the past five years ensures that the findings reflect recent practices and policy shifts. Nevertheless, this temporal boundary excludes an in-depth historical analysis of community involvement over longer periods, which might provide richer insights into the evolution of participatory governance in the district.</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Political and Cultural Context: The study recognizes that political and cultural norms significantly influence community involvement. Nevertheless, it does not aim to analyze these deeply or compare them across different cultural settings within Uganda. Instead, it will consider these factors as contextual influences relevant to Kitagwenda District specifically.</w:t>
      </w:r>
    </w:p>
    <w:p w:rsidR="00510E60" w:rsidRPr="000602A9" w:rsidRDefault="00B47208" w:rsidP="00EE4FBB">
      <w:pPr>
        <w:rPr>
          <w:rFonts w:ascii="Times New Roman" w:hAnsi="Times New Roman" w:cs="Times New Roman"/>
          <w:sz w:val="24"/>
          <w:szCs w:val="24"/>
        </w:rPr>
      </w:pPr>
      <w:r w:rsidRPr="000602A9">
        <w:rPr>
          <w:rFonts w:ascii="Times New Roman" w:hAnsi="Times New Roman" w:cs="Times New Roman"/>
          <w:sz w:val="24"/>
          <w:szCs w:val="24"/>
        </w:rPr>
        <w:t>Participant and Stakeholder Perspectives: The research will primarily analyze secondary data sources, limiting direct engagement with community members, school officials, policymakers, and local leaders. While this approach facilitates a broad review of documented practices, it may not fully capture the nuanced perspectives and subjective experiences of all stakeholders involved.</w:t>
      </w:r>
    </w:p>
    <w:p w:rsidR="00B47208" w:rsidRPr="000602A9" w:rsidRDefault="00B47208" w:rsidP="00CC617D">
      <w:pPr>
        <w:pStyle w:val="Heading1"/>
        <w:rPr>
          <w:rFonts w:ascii="Times New Roman" w:hAnsi="Times New Roman" w:cs="Times New Roman"/>
          <w:b/>
          <w:sz w:val="24"/>
          <w:szCs w:val="24"/>
        </w:rPr>
      </w:pPr>
      <w:bookmarkStart w:id="9" w:name="_Toc229342587"/>
      <w:r w:rsidRPr="000602A9">
        <w:rPr>
          <w:rFonts w:ascii="Times New Roman" w:hAnsi="Times New Roman" w:cs="Times New Roman"/>
          <w:sz w:val="24"/>
          <w:szCs w:val="24"/>
        </w:rPr>
        <w:t>Implications of the Delimitations</w:t>
      </w:r>
      <w:bookmarkEnd w:id="9"/>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These delimitations are designed to ensure that the study remains focused, manageable, and methodologically rigorous. By narrowing the geographical and thematic scope, the research can provide in-depth insights into the specific context of Kitagwenda District, which can serve as a basis for future comparative studies or targeted interventions. The reliance on secondary data allows for a comprehensive review of existing policies, reports, and literature but may limit the depth of stakeholder perspectives. Recognizing these boundaries is essential for interpreting the findings accurately and understanding their applicability.</w:t>
      </w:r>
    </w:p>
    <w:p w:rsidR="0010506B"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 xml:space="preserve">Overall, this study is delimited to understanding community involvement in rural schools within Kitagwenda District, Uganda, focusing on recent practices and their outcomes. It emphasizes formal involvement mechanisms and their effectiveness, drawing from policy documents and literature to analyze contextual factors and barriers. While the study provides valuable insights into the dynamics of participatory governance in a specific rural setting, its </w:t>
      </w:r>
      <w:r w:rsidRPr="000602A9">
        <w:rPr>
          <w:rFonts w:ascii="Times New Roman" w:hAnsi="Times New Roman" w:cs="Times New Roman"/>
          <w:sz w:val="24"/>
          <w:szCs w:val="24"/>
        </w:rPr>
        <w:lastRenderedPageBreak/>
        <w:t>scope is intentionally limited to ensure depth and clarity, acknowledging that broader generalizations or comprehensive fieldwork are beyond its current capacity. These delimitations will guide the research process and frame the interpretation of findings, emphasizing the importance of context-specific understanding in ad</w:t>
      </w:r>
    </w:p>
    <w:p w:rsidR="0010506B" w:rsidRPr="000602A9" w:rsidRDefault="00153D1F" w:rsidP="00CC617D">
      <w:pPr>
        <w:pStyle w:val="Heading1"/>
        <w:rPr>
          <w:rFonts w:ascii="Times New Roman" w:hAnsi="Times New Roman" w:cs="Times New Roman"/>
          <w:sz w:val="24"/>
          <w:szCs w:val="24"/>
        </w:rPr>
      </w:pPr>
      <w:bookmarkStart w:id="10" w:name="_Toc229342588"/>
      <w:r w:rsidRPr="000602A9">
        <w:rPr>
          <w:rFonts w:ascii="Times New Roman" w:hAnsi="Times New Roman" w:cs="Times New Roman"/>
          <w:sz w:val="24"/>
          <w:szCs w:val="24"/>
        </w:rPr>
        <w:t>Literature Review</w:t>
      </w:r>
      <w:bookmarkEnd w:id="10"/>
      <w:r w:rsidRPr="000602A9">
        <w:rPr>
          <w:rFonts w:ascii="Times New Roman" w:hAnsi="Times New Roman" w:cs="Times New Roman"/>
          <w:sz w:val="24"/>
          <w:szCs w:val="24"/>
        </w:rPr>
        <w:t xml:space="preserve"> </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Community involvement in education is widely recognized as a catalyst for improving accountability, transparency, and ownership of school initiatives. Over the years, numerous scholars have examined how participatory processes operate, their benefits, and the challenges they face, especially in rural and developing contexts.</w:t>
      </w:r>
    </w:p>
    <w:p w:rsidR="0010506B" w:rsidRPr="000602A9" w:rsidRDefault="0010506B" w:rsidP="00CC617D">
      <w:pPr>
        <w:pStyle w:val="Heading2"/>
        <w:rPr>
          <w:rFonts w:ascii="Times New Roman" w:hAnsi="Times New Roman" w:cs="Times New Roman"/>
          <w:sz w:val="24"/>
          <w:szCs w:val="24"/>
        </w:rPr>
      </w:pPr>
      <w:bookmarkStart w:id="11" w:name="_Toc229342589"/>
      <w:r w:rsidRPr="000602A9">
        <w:rPr>
          <w:rFonts w:ascii="Times New Roman" w:hAnsi="Times New Roman" w:cs="Times New Roman"/>
          <w:sz w:val="24"/>
          <w:szCs w:val="24"/>
        </w:rPr>
        <w:t>The Concept of Community Participation in Education</w:t>
      </w:r>
      <w:bookmarkEnd w:id="11"/>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Participation in education broadly refers to the active involvement of stakeholders—parents, community members, teachers, local leaders—in decision-making, resource mobilization, and oversight of schools. It is rooted in democratic ideals and the belief that local actors are best placed to identify their needs and mobilize resources effectively.</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Historically, the conceptualization of involvement has evolved from superficial involvement—such as attendance at meetings—to more substantive influence over policies and resource decisions. The UNICEF and UNESCO frameworks emphasize involvement as a right and a means to improve educational quality, equity, and sustainability.</w:t>
      </w:r>
    </w:p>
    <w:p w:rsidR="0010506B" w:rsidRPr="000602A9" w:rsidRDefault="0010506B" w:rsidP="00CC617D">
      <w:pPr>
        <w:pStyle w:val="Heading2"/>
        <w:rPr>
          <w:rFonts w:ascii="Times New Roman" w:hAnsi="Times New Roman" w:cs="Times New Roman"/>
          <w:sz w:val="24"/>
          <w:szCs w:val="24"/>
        </w:rPr>
      </w:pPr>
      <w:bookmarkStart w:id="12" w:name="_Toc229342590"/>
      <w:r w:rsidRPr="000602A9">
        <w:rPr>
          <w:rFonts w:ascii="Times New Roman" w:hAnsi="Times New Roman" w:cs="Times New Roman"/>
          <w:sz w:val="24"/>
          <w:szCs w:val="24"/>
        </w:rPr>
        <w:t>Forms and Dimensions of Participation</w:t>
      </w:r>
      <w:bookmarkEnd w:id="12"/>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Participation manifests in various forms, including consultative involvement, where stakeholders provide feedback; collaborative involvement, involving joint decision-making; and empowered involvement, where communities have control over resources and policies. These forms are influenced by contextual factors such as socioeconomic status, literacy levels, cultural norms, and institutional arrangements.</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In rural Uganda, formal structures like SMCs and PTAs are primary channels for involvement. SMCs are responsible for school management, resource mobilization, and liaising with government authorities. PTAs serve as platforms for parental involvement in school activities and decision-making.</w:t>
      </w:r>
    </w:p>
    <w:p w:rsidR="0010506B" w:rsidRPr="000602A9" w:rsidRDefault="0010506B" w:rsidP="00CC617D">
      <w:pPr>
        <w:pStyle w:val="Heading2"/>
        <w:rPr>
          <w:rFonts w:ascii="Times New Roman" w:hAnsi="Times New Roman" w:cs="Times New Roman"/>
          <w:sz w:val="24"/>
          <w:szCs w:val="24"/>
        </w:rPr>
      </w:pPr>
      <w:bookmarkStart w:id="13" w:name="_Toc229342591"/>
      <w:r w:rsidRPr="000602A9">
        <w:rPr>
          <w:rFonts w:ascii="Times New Roman" w:hAnsi="Times New Roman" w:cs="Times New Roman"/>
          <w:sz w:val="24"/>
          <w:szCs w:val="24"/>
        </w:rPr>
        <w:t>Benefits of Community Participation</w:t>
      </w:r>
      <w:bookmarkEnd w:id="13"/>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Research indicates that active community involvement results in numerous benefits. These include improved school infrastructure, increased accountability of teachers and administrators, enhanced student attendance and performance, and greater resource mobilization. Participation fosters a sense of ownership, motivating communities to sustain school development efforts.</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In Uganda, studies such as those by Ssewanyana (2009) and Tumwebwe (2012) have documented positive outcomes associated with vibrant community involvement, including infrastructure improvements, better student discipline, and heightened parental involvement.</w:t>
      </w:r>
    </w:p>
    <w:p w:rsidR="0010506B" w:rsidRPr="000602A9" w:rsidRDefault="0010506B" w:rsidP="00CC617D">
      <w:pPr>
        <w:pStyle w:val="Heading2"/>
        <w:rPr>
          <w:rFonts w:ascii="Times New Roman" w:hAnsi="Times New Roman" w:cs="Times New Roman"/>
          <w:sz w:val="24"/>
          <w:szCs w:val="24"/>
        </w:rPr>
      </w:pPr>
      <w:bookmarkStart w:id="14" w:name="_Toc229342592"/>
      <w:r w:rsidRPr="000602A9">
        <w:rPr>
          <w:rFonts w:ascii="Times New Roman" w:hAnsi="Times New Roman" w:cs="Times New Roman"/>
          <w:sz w:val="24"/>
          <w:szCs w:val="24"/>
        </w:rPr>
        <w:t>Challenges and Barriers to Effective Participation</w:t>
      </w:r>
      <w:bookmarkEnd w:id="14"/>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Despite the potential benefits, community involvement faces significant challenges. Many studies highlight the problem of superficial involvement, where involvement is tokenistic or dominated by elites. Such elite capture marginalizes marginalized groups, leading to unequal influence.</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lastRenderedPageBreak/>
        <w:t>Other barriers include insufficient capacity and knowledge among community members, poverty, and lack of resources to contribute financially or laboriously. Cultural norms and social hierarchies also influence who participates; for instance, women and marginalized groups often have limited voice due to traditional gender roles or social stratification.</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In rural Uganda, these issues are compounded by low literacy levels, social divisions, and limited awareness of rights and responsibilities. The work of Ngware et al. (2013) underscores that involvement often remains symbolic rather than transformative, especially where local elites dominate decision-making.</w:t>
      </w:r>
    </w:p>
    <w:p w:rsidR="0010506B" w:rsidRPr="000602A9" w:rsidRDefault="0010506B" w:rsidP="00CC617D">
      <w:pPr>
        <w:pStyle w:val="Heading2"/>
        <w:rPr>
          <w:rFonts w:ascii="Times New Roman" w:hAnsi="Times New Roman" w:cs="Times New Roman"/>
          <w:sz w:val="24"/>
          <w:szCs w:val="24"/>
        </w:rPr>
      </w:pPr>
      <w:bookmarkStart w:id="15" w:name="_Toc229342593"/>
      <w:r w:rsidRPr="000602A9">
        <w:rPr>
          <w:rFonts w:ascii="Times New Roman" w:hAnsi="Times New Roman" w:cs="Times New Roman"/>
          <w:sz w:val="24"/>
          <w:szCs w:val="24"/>
        </w:rPr>
        <w:t>The Role of Formal Structures</w:t>
      </w:r>
      <w:bookmarkEnd w:id="15"/>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Formal structures like SMCs and PTAs are designed to facilitate community involvement. Nevertheless, their effectiveness depends on clarity of roles, capacity, and legitimacy. Studies by Mukasa (2014) and Kisaakye (2016) reveal that these structures often suffer from weak enforcement, lack of training, and social divisions that limit their effectiveness.</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In some cases, SMCs and PTAs are controlled by elite groups, which limits broader community influence. Such dynamics undermine trust, transparency, and the potential for community-driven change.</w:t>
      </w:r>
    </w:p>
    <w:p w:rsidR="0010506B" w:rsidRPr="000602A9" w:rsidRDefault="0010506B" w:rsidP="00CC617D">
      <w:pPr>
        <w:pStyle w:val="Heading2"/>
        <w:rPr>
          <w:rFonts w:ascii="Times New Roman" w:hAnsi="Times New Roman" w:cs="Times New Roman"/>
          <w:sz w:val="24"/>
          <w:szCs w:val="24"/>
        </w:rPr>
      </w:pPr>
      <w:bookmarkStart w:id="16" w:name="_Toc229342594"/>
      <w:r w:rsidRPr="000602A9">
        <w:rPr>
          <w:rFonts w:ascii="Times New Roman" w:hAnsi="Times New Roman" w:cs="Times New Roman"/>
          <w:sz w:val="24"/>
          <w:szCs w:val="24"/>
        </w:rPr>
        <w:t>Socio-cultural Dynamics and Participation</w:t>
      </w:r>
      <w:bookmarkEnd w:id="16"/>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Cultural norms influence involvement significantly. In many rural Ugandan communities, deference to traditional authority and social hierarchies can inhibit marginalized groups from participating fully. Gender norms often restrict women’s involvement in decision-making processes related to education.</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Additionally, socioeconomic factors such as poverty and low literacy levels restrict the capacity of community members to engage meaningfully. As Ngware et al. (2013) note, without targeted capacity-building initiatives, involvement remains superficial and does not translate into substantive influence.</w:t>
      </w:r>
    </w:p>
    <w:p w:rsidR="0010506B" w:rsidRPr="000602A9" w:rsidRDefault="0010506B" w:rsidP="00CC617D">
      <w:pPr>
        <w:pStyle w:val="Heading2"/>
        <w:rPr>
          <w:rFonts w:ascii="Times New Roman" w:hAnsi="Times New Roman" w:cs="Times New Roman"/>
          <w:sz w:val="24"/>
          <w:szCs w:val="24"/>
        </w:rPr>
      </w:pPr>
      <w:bookmarkStart w:id="17" w:name="_Toc229342595"/>
      <w:r w:rsidRPr="000602A9">
        <w:rPr>
          <w:rFonts w:ascii="Times New Roman" w:hAnsi="Times New Roman" w:cs="Times New Roman"/>
          <w:sz w:val="24"/>
          <w:szCs w:val="24"/>
        </w:rPr>
        <w:t>Implications for Policy and Practice</w:t>
      </w:r>
      <w:bookmarkEnd w:id="17"/>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The literature underscores that for community involvement to be effective, it must be inclusive, capacitated, and supported by enabling policies. Strategies such as training, awareness campaigns, and fostering social cohesion are vital.</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In addition, participatory processes should be monitored and evaluated to ensure they lead to tangible outcomes. Addressing power imbalances and promoting gender equity are essential for inclusive involvement.</w:t>
      </w:r>
    </w:p>
    <w:p w:rsidR="0010506B" w:rsidRPr="000602A9" w:rsidRDefault="0010506B" w:rsidP="00CC617D">
      <w:pPr>
        <w:pStyle w:val="Heading1"/>
        <w:rPr>
          <w:rFonts w:ascii="Times New Roman" w:hAnsi="Times New Roman" w:cs="Times New Roman"/>
          <w:sz w:val="24"/>
          <w:szCs w:val="24"/>
        </w:rPr>
      </w:pPr>
      <w:bookmarkStart w:id="18" w:name="_Toc229342596"/>
      <w:r w:rsidRPr="000602A9">
        <w:rPr>
          <w:rFonts w:ascii="Times New Roman" w:hAnsi="Times New Roman" w:cs="Times New Roman"/>
          <w:sz w:val="24"/>
          <w:szCs w:val="24"/>
        </w:rPr>
        <w:t>Key Points of Departure</w:t>
      </w:r>
      <w:bookmarkEnd w:id="18"/>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While existing literature acknowledges the potential of community involvement to improve education governance, there remains a gap in understanding how these processes unfold in specific rural contexts like Kitagwenda. Many studies focus on urban or peri-urban settings, with limited attention to socio-cultural nuances that shape involvement in rural districts.</w:t>
      </w:r>
    </w:p>
    <w:p w:rsidR="0010506B" w:rsidRPr="000602A9" w:rsidRDefault="0010506B" w:rsidP="009978DD">
      <w:pPr>
        <w:rPr>
          <w:rFonts w:ascii="Times New Roman" w:hAnsi="Times New Roman" w:cs="Times New Roman"/>
          <w:sz w:val="24"/>
          <w:szCs w:val="24"/>
        </w:rPr>
      </w:pPr>
      <w:r w:rsidRPr="000602A9">
        <w:rPr>
          <w:rFonts w:ascii="Times New Roman" w:hAnsi="Times New Roman" w:cs="Times New Roman"/>
          <w:sz w:val="24"/>
          <w:szCs w:val="24"/>
        </w:rPr>
        <w:t>The research departs from prior work by providing an in-depth, context-specific analysis of the dynamics of involvement in Kitagwenda, emphasizing both formal structures and informal socio-cultural influences. It aims to bridge the gap between policy ideals and lived realities, offering nuanced insights into how community involvement can be strengthened to achieve meaningful outcomes</w:t>
      </w:r>
    </w:p>
    <w:p w:rsidR="009978DD" w:rsidRPr="000602A9" w:rsidRDefault="009978DD" w:rsidP="00CC617D">
      <w:pPr>
        <w:pStyle w:val="Heading1"/>
        <w:rPr>
          <w:rFonts w:ascii="Times New Roman" w:hAnsi="Times New Roman" w:cs="Times New Roman"/>
          <w:sz w:val="24"/>
          <w:szCs w:val="24"/>
        </w:rPr>
      </w:pPr>
      <w:bookmarkStart w:id="19" w:name="_Toc229342597"/>
      <w:r w:rsidRPr="000602A9">
        <w:rPr>
          <w:rFonts w:ascii="Times New Roman" w:hAnsi="Times New Roman" w:cs="Times New Roman"/>
          <w:sz w:val="24"/>
          <w:szCs w:val="24"/>
        </w:rPr>
        <w:lastRenderedPageBreak/>
        <w:t>Theoretical Framework</w:t>
      </w:r>
      <w:bookmarkEnd w:id="19"/>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study draws upon foundational principles from participatory governance and decentralization theories to understand the dynamics of community involvement in rural education in Uganda. While it does not employ a conceptual framework per se, it is guided by these theoretical insights that help contextualize the phenomena under investigation.</w:t>
      </w:r>
    </w:p>
    <w:p w:rsidR="009978DD" w:rsidRPr="000602A9" w:rsidRDefault="009978DD" w:rsidP="00CC617D">
      <w:pPr>
        <w:pStyle w:val="Heading2"/>
        <w:rPr>
          <w:rStyle w:val="Heading2Char"/>
          <w:rFonts w:ascii="Times New Roman" w:hAnsi="Times New Roman" w:cs="Times New Roman"/>
          <w:sz w:val="24"/>
          <w:szCs w:val="24"/>
        </w:rPr>
      </w:pPr>
      <w:bookmarkStart w:id="20" w:name="_Toc229342598"/>
      <w:r w:rsidRPr="000602A9">
        <w:rPr>
          <w:rFonts w:ascii="Times New Roman" w:hAnsi="Times New Roman" w:cs="Times New Roman"/>
          <w:sz w:val="24"/>
          <w:szCs w:val="24"/>
        </w:rPr>
        <w:t>Participatory Governance Theory</w:t>
      </w:r>
      <w:bookmarkEnd w:id="20"/>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Participatory governance emphasizes the importance of inclusive decision-making processes involving diverse stakeholders, especially marginalized groups, in the management of public affairs. It advocates for transparency, accountability, and shared ownership as mechanisms for achieving sustainable development. Within the context of education, participatory governance suggests that involving communities, parents, teachers, and local leaders in school management can lead to enhanced responsiveness, better resource utilization, and increased accountability.</w:t>
      </w:r>
    </w:p>
    <w:p w:rsidR="00153D1F"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This theory underscores that involvement is more than mere attendance at meetings; it involves genuine influence over decisions that affect the school’s functioning and development. Effective involvement requires that stakeholders have access to relevant information, possess decision-making capacity, and are empowered to influence outcomes. It also recognizes that involvement is a process embedded in social, cultural, and political contexts, which can either facilitate or impede genuine involvement.</w:t>
      </w:r>
    </w:p>
    <w:p w:rsidR="009978DD" w:rsidRPr="000602A9" w:rsidRDefault="009978DD" w:rsidP="00CC617D">
      <w:pPr>
        <w:pStyle w:val="Heading2"/>
        <w:rPr>
          <w:rFonts w:ascii="Times New Roman" w:hAnsi="Times New Roman" w:cs="Times New Roman"/>
          <w:sz w:val="24"/>
          <w:szCs w:val="24"/>
        </w:rPr>
      </w:pPr>
      <w:bookmarkStart w:id="21" w:name="_Toc229342599"/>
      <w:r w:rsidRPr="000602A9">
        <w:rPr>
          <w:rFonts w:ascii="Times New Roman" w:hAnsi="Times New Roman" w:cs="Times New Roman"/>
          <w:sz w:val="24"/>
          <w:szCs w:val="24"/>
        </w:rPr>
        <w:t>Decentralization Theory</w:t>
      </w:r>
      <w:bookmarkEnd w:id="21"/>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Decentralization advocates transferring authority, responsibility, and resources from central governments to local levels. It aims to make governance more responsive, accountable, and aligned with local needs. In education, decentralization entails empowering local school committees, parents, and community members to participate in planning, resource allocation, and monitoring.</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theory posits that decentralization can improve education quality by fostering local ownership and responsiveness. Nevertheless, it also highlights potential challenges such as capacity constraints, elite capture, and inequalities in involvement. The success of decentralization depends on the capacity of local institutions, political will, and the existence of supportive policies and mechanisms.</w:t>
      </w:r>
    </w:p>
    <w:p w:rsidR="009978DD" w:rsidRPr="000602A9" w:rsidRDefault="009978DD" w:rsidP="00CC617D">
      <w:pPr>
        <w:pStyle w:val="Heading2"/>
        <w:rPr>
          <w:rFonts w:ascii="Times New Roman" w:hAnsi="Times New Roman" w:cs="Times New Roman"/>
          <w:sz w:val="24"/>
          <w:szCs w:val="24"/>
        </w:rPr>
      </w:pPr>
      <w:bookmarkStart w:id="22" w:name="_Toc229342600"/>
      <w:r w:rsidRPr="000602A9">
        <w:rPr>
          <w:rFonts w:ascii="Times New Roman" w:hAnsi="Times New Roman" w:cs="Times New Roman"/>
          <w:sz w:val="24"/>
          <w:szCs w:val="24"/>
        </w:rPr>
        <w:t>Application to the Study Context</w:t>
      </w:r>
      <w:bookmarkEnd w:id="22"/>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In the context of Kitagwenda District, these theories help explain how community involvement is promoted through formal structures like SMCs and PTAs, as well as informal social norms. The theories suggest that for involvement to be effective, community members need to be empowered with knowledge, skills, and resources. They also highlight the importance of inclusive processes that involve marginalized groups to prevent elite dominance.</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tension between formal structures and socio-cultural realities is central to understanding involvement in rural Uganda. While policies may promote inclusive governance, social hierarchies, poverty, and cultural norms often influence who participates and how. These theories thus provide a lens for analysing the enabling factors and barriers affecting community involvement.</w:t>
      </w:r>
    </w:p>
    <w:p w:rsidR="009978DD" w:rsidRPr="000602A9" w:rsidRDefault="009978DD" w:rsidP="00CC617D">
      <w:pPr>
        <w:pStyle w:val="Heading2"/>
        <w:rPr>
          <w:rFonts w:ascii="Times New Roman" w:hAnsi="Times New Roman" w:cs="Times New Roman"/>
          <w:sz w:val="24"/>
          <w:szCs w:val="24"/>
        </w:rPr>
      </w:pPr>
      <w:bookmarkStart w:id="23" w:name="_Toc229342601"/>
      <w:r w:rsidRPr="000602A9">
        <w:rPr>
          <w:rFonts w:ascii="Times New Roman" w:hAnsi="Times New Roman" w:cs="Times New Roman"/>
          <w:sz w:val="24"/>
          <w:szCs w:val="24"/>
        </w:rPr>
        <w:lastRenderedPageBreak/>
        <w:t>Capacity and Empowerment</w:t>
      </w:r>
      <w:bookmarkEnd w:id="23"/>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A key aspect derived from these theories is the importance of capacity building. Empowered community members are more likely to participate actively and influence decision-making processes. Conversely, lack of capacity, information, or confidence can lead to superficial involvement or elite dominance.</w:t>
      </w:r>
    </w:p>
    <w:p w:rsidR="007D1225" w:rsidRPr="000602A9" w:rsidRDefault="009978DD" w:rsidP="00116C55">
      <w:pPr>
        <w:rPr>
          <w:rFonts w:ascii="Times New Roman" w:hAnsi="Times New Roman" w:cs="Times New Roman"/>
          <w:sz w:val="24"/>
          <w:szCs w:val="24"/>
        </w:rPr>
      </w:pPr>
      <w:r w:rsidRPr="000602A9">
        <w:rPr>
          <w:rFonts w:ascii="Times New Roman" w:hAnsi="Times New Roman" w:cs="Times New Roman"/>
          <w:sz w:val="24"/>
          <w:szCs w:val="24"/>
        </w:rPr>
        <w:t>The theoretical foundation underscores that community involvement in education is a complex process shaped by institutional arrangements, social norms, and power dynamics. For involvement to be meaningful and impactful, it must be inclusive, capacitated, and contextually appropriate. These principles guide the analysis of community involvement in Kitagwenda, helping identify strategies to enhance genuine involvement and improve education governance outcomes.</w:t>
      </w:r>
    </w:p>
    <w:p w:rsidR="00116C55" w:rsidRPr="000602A9" w:rsidRDefault="0010506B" w:rsidP="00CC617D">
      <w:pPr>
        <w:pStyle w:val="Heading1"/>
        <w:rPr>
          <w:rFonts w:ascii="Times New Roman" w:hAnsi="Times New Roman" w:cs="Times New Roman"/>
          <w:sz w:val="24"/>
          <w:szCs w:val="24"/>
        </w:rPr>
      </w:pPr>
      <w:bookmarkStart w:id="24" w:name="_Toc229342602"/>
      <w:r w:rsidRPr="000602A9">
        <w:rPr>
          <w:rFonts w:ascii="Times New Roman" w:hAnsi="Times New Roman" w:cs="Times New Roman"/>
          <w:sz w:val="24"/>
          <w:szCs w:val="24"/>
        </w:rPr>
        <w:t>Research Methodology</w:t>
      </w:r>
      <w:bookmarkEnd w:id="24"/>
    </w:p>
    <w:p w:rsidR="00116C55" w:rsidRPr="000602A9" w:rsidRDefault="00116C55" w:rsidP="00CC617D">
      <w:pPr>
        <w:pStyle w:val="Heading2"/>
        <w:rPr>
          <w:rFonts w:ascii="Times New Roman" w:hAnsi="Times New Roman" w:cs="Times New Roman"/>
          <w:sz w:val="24"/>
          <w:szCs w:val="24"/>
        </w:rPr>
      </w:pPr>
      <w:bookmarkStart w:id="25" w:name="_Toc229342603"/>
      <w:r w:rsidRPr="000602A9">
        <w:rPr>
          <w:rFonts w:ascii="Times New Roman" w:hAnsi="Times New Roman" w:cs="Times New Roman"/>
          <w:sz w:val="24"/>
          <w:szCs w:val="24"/>
        </w:rPr>
        <w:t>Research Approach</w:t>
      </w:r>
      <w:bookmarkEnd w:id="25"/>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study adopts a qualitative research approach, emphasizing an in-depth exploration of community involvement in educational planning and governance within Kitagwenda District. The qualitative paradigm is appropriate as it facilitates an understanding of complex social phenomena, including community perceptions, participatory practices, and contextual challenges that influence effective governance. This approach allows for rich, detailed insights into the lived experiences of stakeholders involved in school governance, thereby capturing the nuanced realities that quantitative methods might overlook.</w:t>
      </w:r>
    </w:p>
    <w:p w:rsidR="00116C55" w:rsidRPr="000602A9" w:rsidRDefault="00116C55" w:rsidP="00CC617D">
      <w:pPr>
        <w:pStyle w:val="Heading2"/>
        <w:rPr>
          <w:rFonts w:ascii="Times New Roman" w:hAnsi="Times New Roman" w:cs="Times New Roman"/>
          <w:sz w:val="24"/>
          <w:szCs w:val="24"/>
        </w:rPr>
      </w:pPr>
      <w:bookmarkStart w:id="26" w:name="_Toc229342604"/>
      <w:r w:rsidRPr="000602A9">
        <w:rPr>
          <w:rFonts w:ascii="Times New Roman" w:hAnsi="Times New Roman" w:cs="Times New Roman"/>
          <w:sz w:val="24"/>
          <w:szCs w:val="24"/>
        </w:rPr>
        <w:t>Research Paradigm</w:t>
      </w:r>
      <w:bookmarkEnd w:id="26"/>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study is anchored within an interpretivist paradigm, which recognizes that social realities are constructed through human interactions and perceptions. This paradigm emphasizes understanding the subjective meanings and cultural contexts shaping community involvement. By adopting an interpretivist stance, the research seeks to interpret stakeholders’ perspectives, attitudes, and motivations related to their engagement in school governance processes. This approach aligns with the aim of exploring how local socio-cultural norms, power dynamics, and institutional structures influence involvement.</w:t>
      </w:r>
    </w:p>
    <w:p w:rsidR="00116C55" w:rsidRPr="000602A9" w:rsidRDefault="00116C55" w:rsidP="00CC617D">
      <w:pPr>
        <w:pStyle w:val="Heading2"/>
        <w:rPr>
          <w:rFonts w:ascii="Times New Roman" w:hAnsi="Times New Roman" w:cs="Times New Roman"/>
          <w:sz w:val="24"/>
          <w:szCs w:val="24"/>
        </w:rPr>
      </w:pPr>
      <w:bookmarkStart w:id="27" w:name="_Toc229342605"/>
      <w:r w:rsidRPr="000602A9">
        <w:rPr>
          <w:rFonts w:ascii="Times New Roman" w:hAnsi="Times New Roman" w:cs="Times New Roman"/>
          <w:sz w:val="24"/>
          <w:szCs w:val="24"/>
        </w:rPr>
        <w:t>Research Design</w:t>
      </w:r>
      <w:bookmarkEnd w:id="27"/>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research employs a descriptive and exploratory qualitative design. Given the context-specific nature of community involvement, this design facilitates an in-depth examination of existing practices, perceptions, and barriers within Kitagwenda District. The descriptive aspect aims to document forms of involvement, while the exploratory component seeks to uncover underlying factors influencing the effectiveness of community involvement. The design emphasizes flexibility, allowing researchers to adapt data collection strategies based on emerging insights and contextual realities.</w:t>
      </w:r>
    </w:p>
    <w:p w:rsidR="00116C55" w:rsidRPr="000602A9" w:rsidRDefault="00116C55" w:rsidP="00CC617D">
      <w:pPr>
        <w:pStyle w:val="Heading2"/>
        <w:rPr>
          <w:rFonts w:ascii="Times New Roman" w:hAnsi="Times New Roman" w:cs="Times New Roman"/>
          <w:sz w:val="24"/>
          <w:szCs w:val="24"/>
        </w:rPr>
      </w:pPr>
      <w:bookmarkStart w:id="28" w:name="_Toc229342606"/>
      <w:r w:rsidRPr="000602A9">
        <w:rPr>
          <w:rFonts w:ascii="Times New Roman" w:hAnsi="Times New Roman" w:cs="Times New Roman"/>
          <w:sz w:val="24"/>
          <w:szCs w:val="24"/>
        </w:rPr>
        <w:t>Sampling Methods</w:t>
      </w:r>
      <w:bookmarkEnd w:id="28"/>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study employs purposive sampling to select participants who are directly involved or impacted by community involvement in school governance. The primary participants include school administrators, members of School Management Committees (SMCs), Parent-Teacher Association (PTA) members, community leaders, and representatives of local government authorities. Purposive sampling ensures that respondents possess relevant knowledge and experience regarding participatory processes.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lastRenderedPageBreak/>
        <w:t>To enhance diversity and capture contrasting experiences, the sampling also considers socioeconomic status, gender, and age. Approximately 15-20 participants are targeted to ensure depth of insight while maintaining manageability for qualitative analysis. The selection process involves identifying schools with varying levels of community involvement, as documented in secondary sources, to understand contextual differences.</w:t>
      </w:r>
    </w:p>
    <w:p w:rsidR="00116C55" w:rsidRPr="000602A9" w:rsidRDefault="00116C55" w:rsidP="00CC617D">
      <w:pPr>
        <w:pStyle w:val="Heading2"/>
        <w:rPr>
          <w:rFonts w:ascii="Times New Roman" w:hAnsi="Times New Roman" w:cs="Times New Roman"/>
          <w:sz w:val="24"/>
          <w:szCs w:val="24"/>
        </w:rPr>
      </w:pPr>
      <w:bookmarkStart w:id="29" w:name="_Toc229342607"/>
      <w:r w:rsidRPr="000602A9">
        <w:rPr>
          <w:rFonts w:ascii="Times New Roman" w:hAnsi="Times New Roman" w:cs="Times New Roman"/>
          <w:sz w:val="24"/>
          <w:szCs w:val="24"/>
        </w:rPr>
        <w:t>Data Collection Methods</w:t>
      </w:r>
      <w:bookmarkEnd w:id="29"/>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Data collection primarily involves semi-structured interviews and focus group discussions (FGDs). These methods facilitate open-ended dialogue, allowing participants to express their views freely and provide detailed accounts of their experiences.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Semi-Structured Interviews: Individual interviews are conducted with key informants such as school heads, SMC/PTA members, and community leaders. An interview guide with open-ended questions guides the conversations, covering topics like the nature of involvement, challenges faced, and perceived impacts. This method offers flexibility to probe deeper into specific issues raised by respondents.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Focus Group Discussions: FGDs are organized with groups of parents, teachers, and community members to explore collective perceptions, social norms, and community dynamics influencing involvement. FGDs encourage interaction among participants, revealing shared attitudes and contrasting opinions.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Additionally, document review of relevant policy frameworks, meeting minutes, and reports supplements primary data, providing contextual background and corroborating findings.</w:t>
      </w:r>
    </w:p>
    <w:p w:rsidR="00116C55" w:rsidRPr="000602A9" w:rsidRDefault="00116C55" w:rsidP="00CC617D">
      <w:pPr>
        <w:pStyle w:val="Heading2"/>
        <w:rPr>
          <w:rFonts w:ascii="Times New Roman" w:hAnsi="Times New Roman" w:cs="Times New Roman"/>
          <w:sz w:val="24"/>
          <w:szCs w:val="24"/>
        </w:rPr>
      </w:pPr>
      <w:bookmarkStart w:id="30" w:name="_Toc229342608"/>
      <w:r w:rsidRPr="000602A9">
        <w:rPr>
          <w:rFonts w:ascii="Times New Roman" w:hAnsi="Times New Roman" w:cs="Times New Roman"/>
          <w:sz w:val="24"/>
          <w:szCs w:val="24"/>
        </w:rPr>
        <w:t>Data Collection Instruments</w:t>
      </w:r>
      <w:bookmarkEnd w:id="30"/>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primary instruments used include:</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Interview Guides: Developed based on literature review and research questions, these guides ensure consistency across interviews while allowing flexibility for probing emergent themes.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FGD Guides: Structured to facilitate discussions around community involvement practices, barriers, and facilitators.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Document Review Protocols: Checklists and templates to extract relevant information from secondary sources, such as policy documents, school reports, and meeting summaries.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All instruments are pretested to ensure clarity and appropriateness for the local context. Translations into local languages are made where necessary to enhance understanding and involvement.</w:t>
      </w:r>
    </w:p>
    <w:p w:rsidR="00116C55" w:rsidRPr="000602A9" w:rsidRDefault="00116C55" w:rsidP="00CC617D">
      <w:pPr>
        <w:pStyle w:val="Heading2"/>
        <w:rPr>
          <w:rFonts w:ascii="Times New Roman" w:hAnsi="Times New Roman" w:cs="Times New Roman"/>
          <w:sz w:val="24"/>
          <w:szCs w:val="24"/>
        </w:rPr>
      </w:pPr>
      <w:bookmarkStart w:id="31" w:name="_Toc229342609"/>
      <w:r w:rsidRPr="000602A9">
        <w:rPr>
          <w:rFonts w:ascii="Times New Roman" w:hAnsi="Times New Roman" w:cs="Times New Roman"/>
          <w:sz w:val="24"/>
          <w:szCs w:val="24"/>
        </w:rPr>
        <w:t>Data Analysis</w:t>
      </w:r>
      <w:bookmarkEnd w:id="31"/>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Data analysis involves thematic analysis, a systematic process of identifying, coding, and interpreting patterns or themes within qualitative data. The steps include:</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Familiarization: Transcripts from interviews and FGDs are transcribed verbatim and read multiple times to gain immersion in the data.</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Coding: Relevant segments of text are coded manually or using qualitative data analysis software (e.g., NVivo or Atlas.ti). Codes are derived both deductively from the research questions and inductively from the data.</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Theme Development: Codes are grouped into broader themes representing key patterns, such as forms of involvement, barriers, enabling factors, and socio-cultural influences.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lastRenderedPageBreak/>
        <w:t>Interpretation: Themes are interpreted in relation to the theoretical frameworks and contextual understanding, providing nuanced insights into the effectiveness of community involvement.</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Reporting: Findings are presented with illustrative quotes, ensuring participants’ voices are embedded within the analysis.</w:t>
      </w:r>
    </w:p>
    <w:p w:rsidR="00116C55" w:rsidRPr="000602A9" w:rsidRDefault="00116C55" w:rsidP="00CC617D">
      <w:pPr>
        <w:pStyle w:val="Heading2"/>
        <w:rPr>
          <w:rFonts w:ascii="Times New Roman" w:hAnsi="Times New Roman" w:cs="Times New Roman"/>
          <w:sz w:val="24"/>
          <w:szCs w:val="24"/>
        </w:rPr>
      </w:pPr>
      <w:bookmarkStart w:id="32" w:name="_Toc229342610"/>
      <w:r w:rsidRPr="000602A9">
        <w:rPr>
          <w:rFonts w:ascii="Times New Roman" w:hAnsi="Times New Roman" w:cs="Times New Roman"/>
          <w:sz w:val="24"/>
          <w:szCs w:val="24"/>
        </w:rPr>
        <w:t>Ethical Considerations</w:t>
      </w:r>
      <w:bookmarkEnd w:id="32"/>
    </w:p>
    <w:p w:rsidR="00510E60" w:rsidRPr="000602A9" w:rsidRDefault="00116C55" w:rsidP="00D87F83">
      <w:pPr>
        <w:rPr>
          <w:rFonts w:ascii="Times New Roman" w:hAnsi="Times New Roman" w:cs="Times New Roman"/>
          <w:sz w:val="24"/>
          <w:szCs w:val="24"/>
        </w:rPr>
      </w:pPr>
      <w:r w:rsidRPr="000602A9">
        <w:rPr>
          <w:rFonts w:ascii="Times New Roman" w:hAnsi="Times New Roman" w:cs="Times New Roman"/>
          <w:sz w:val="24"/>
          <w:szCs w:val="24"/>
        </w:rPr>
        <w:t>The study adheres to ethical standards, including obtaining informed consent from all participants, ensuring confidentiality, and respecting cultural sensitivities. Participants are informed about the purpose of the research, their voluntary involvement, and their right to withdraw at any time</w:t>
      </w:r>
    </w:p>
    <w:p w:rsidR="00D87F83" w:rsidRPr="000602A9" w:rsidRDefault="00D87F83" w:rsidP="00CC617D">
      <w:pPr>
        <w:pStyle w:val="Heading1"/>
        <w:rPr>
          <w:rFonts w:ascii="Times New Roman" w:hAnsi="Times New Roman" w:cs="Times New Roman"/>
          <w:sz w:val="24"/>
          <w:szCs w:val="24"/>
        </w:rPr>
      </w:pPr>
      <w:bookmarkStart w:id="33" w:name="_Toc229342611"/>
      <w:r w:rsidRPr="000602A9">
        <w:rPr>
          <w:rFonts w:ascii="Times New Roman" w:hAnsi="Times New Roman" w:cs="Times New Roman"/>
          <w:sz w:val="24"/>
          <w:szCs w:val="24"/>
        </w:rPr>
        <w:t>Research Findings and Discussion</w:t>
      </w:r>
      <w:bookmarkEnd w:id="33"/>
      <w:r w:rsidRPr="000602A9">
        <w:rPr>
          <w:rFonts w:ascii="Times New Roman" w:hAnsi="Times New Roman" w:cs="Times New Roman"/>
          <w:sz w:val="24"/>
          <w:szCs w:val="24"/>
        </w:rPr>
        <w:t xml:space="preserve"> </w:t>
      </w:r>
    </w:p>
    <w:p w:rsidR="00D87F83" w:rsidRPr="000602A9" w:rsidRDefault="00D87F83" w:rsidP="00CC617D">
      <w:pPr>
        <w:pStyle w:val="Heading2"/>
        <w:rPr>
          <w:rFonts w:ascii="Times New Roman" w:hAnsi="Times New Roman" w:cs="Times New Roman"/>
          <w:sz w:val="24"/>
          <w:szCs w:val="24"/>
        </w:rPr>
      </w:pPr>
      <w:bookmarkStart w:id="34" w:name="_Toc229342612"/>
      <w:r w:rsidRPr="000602A9">
        <w:rPr>
          <w:rFonts w:ascii="Times New Roman" w:hAnsi="Times New Roman" w:cs="Times New Roman"/>
          <w:sz w:val="24"/>
          <w:szCs w:val="24"/>
        </w:rPr>
        <w:t>Introduction</w:t>
      </w:r>
      <w:bookmarkEnd w:id="34"/>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exploration of community involvement in Kitagwenda District reveals a complex picture marked by both promising practices and persistent challenges. The desk review of policy documents, academic studies, and reports paints a nuanced landscape where formal structures coexist with socio-cultural realities that shape involvement. The findings highlight various forms of community involvement, their tangible impacts on school governance, and the barriers that hinder meaningful engagement, aligning with the theoretical insights on participatory governance and decentralization.</w:t>
      </w:r>
    </w:p>
    <w:p w:rsidR="00D87F83" w:rsidRPr="000602A9" w:rsidRDefault="00D87F83" w:rsidP="00CC617D">
      <w:pPr>
        <w:pStyle w:val="Heading2"/>
        <w:rPr>
          <w:rFonts w:ascii="Times New Roman" w:hAnsi="Times New Roman" w:cs="Times New Roman"/>
          <w:sz w:val="24"/>
          <w:szCs w:val="24"/>
        </w:rPr>
      </w:pPr>
      <w:bookmarkStart w:id="35" w:name="_Toc229342613"/>
      <w:r w:rsidRPr="000602A9">
        <w:rPr>
          <w:rFonts w:ascii="Times New Roman" w:hAnsi="Times New Roman" w:cs="Times New Roman"/>
          <w:sz w:val="24"/>
          <w:szCs w:val="24"/>
        </w:rPr>
        <w:t>Forms of Community Engagement</w:t>
      </w:r>
      <w:bookmarkEnd w:id="35"/>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Community involvement in Kitagwenda manifests through multiple channels, each reflecting varying degrees of influence, inclusivity, and sustainability.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School Management Committees (SMCs): SMCs are the primary formal mechanism for community involvement, designed to oversee school operations, mobilize resources, and liaise with government authorities. In many schools, SMCs include parents, local leaders, teachers, and sometimes pupils. Their roles encompass infrastructural maintenance, resource mobilization, and governance oversight.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Parent-Teacher Associations (PTAs): PTAs serve as platforms for parental involvement in school activities, including meetings on curriculum, student discipline, and school development plans. In some schools, PTAs are active and well-organized, fostering a sense of ownership among parents.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Community Contributions: Communities often contribute labor, materials, or financial resources toward infrastructure projects such as classroom construction, repairs, and sanitation facilities. These contributions are crucial given the limited government funding.</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Monitoring and Supervision: Community members participate actively in monitoring teacher attendance, student performance, and school discipline. This form of oversight is often informal but impactful, especially where community members distrust school authorities.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Participation in Planning and Decision-Making: Some schools involve community members in development planning, either through formal meetings or informal gatherings. Nevertheless, the extent and quality of such involvement vary widely, often influenced by leadership and socioeconomic factors.</w:t>
      </w:r>
    </w:p>
    <w:p w:rsidR="00D87F83" w:rsidRPr="000602A9" w:rsidRDefault="00D87F83" w:rsidP="00CC617D">
      <w:pPr>
        <w:pStyle w:val="Heading2"/>
        <w:rPr>
          <w:rFonts w:ascii="Times New Roman" w:hAnsi="Times New Roman" w:cs="Times New Roman"/>
          <w:sz w:val="24"/>
          <w:szCs w:val="24"/>
        </w:rPr>
      </w:pPr>
      <w:bookmarkStart w:id="36" w:name="_Toc229342614"/>
      <w:r w:rsidRPr="000602A9">
        <w:rPr>
          <w:rFonts w:ascii="Times New Roman" w:hAnsi="Times New Roman" w:cs="Times New Roman"/>
          <w:sz w:val="24"/>
          <w:szCs w:val="24"/>
        </w:rPr>
        <w:lastRenderedPageBreak/>
        <w:t>Impacts of Community Engagement</w:t>
      </w:r>
      <w:bookmarkEnd w:id="36"/>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Where community involvement is vibrant and inclusive, multiple positive outcomes emerge, aligning with existing literature and theoretical expectations.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Enhanced Accountability and Governance: Active involvement fosters a sense of ownership, leading to increased accountability among teachers and school managers. Community members report more oversight and responsiveness from school authorities, reducing cases of neglect or mismanagement.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Infrastructure Development: Communities’ labor and material contributions significantly improve school facilities. Schools with active community involvement tend to have better-maintained classrooms, sanitation facilities, and playgrounds.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Improved Student Outcomes: There is evidence that active community involvement correlates with higher student attendance, retention, and discipline. Parents who participate in school activities tend to be more invested in their children's education.</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Resource Mobilization: Community contributions supplement limited government funding, enabling schools to undertake development projects that would otherwise be unfeasible.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Social Cohesion and Ownership: Participation enhances social cohesion, with communities perceiving schools as their own institutions. This shared ownership encourages ongoing engagement and sustainability.</w:t>
      </w:r>
    </w:p>
    <w:p w:rsidR="00D87F83" w:rsidRPr="000602A9" w:rsidRDefault="00D87F83" w:rsidP="00CC617D">
      <w:pPr>
        <w:pStyle w:val="Heading2"/>
        <w:rPr>
          <w:rFonts w:ascii="Times New Roman" w:hAnsi="Times New Roman" w:cs="Times New Roman"/>
          <w:sz w:val="24"/>
          <w:szCs w:val="24"/>
        </w:rPr>
      </w:pPr>
      <w:bookmarkStart w:id="37" w:name="_Toc229342615"/>
      <w:r w:rsidRPr="000602A9">
        <w:rPr>
          <w:rFonts w:ascii="Times New Roman" w:hAnsi="Times New Roman" w:cs="Times New Roman"/>
          <w:sz w:val="24"/>
          <w:szCs w:val="24"/>
        </w:rPr>
        <w:t>Barriers to Effective Community Engagement</w:t>
      </w:r>
      <w:bookmarkEnd w:id="37"/>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Despite these benefits, several barriers undermine the potential of community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Limited Capacity and Knowledge: Many community members lack sufficient literacy, technical knowledge, or awareness of their roles, limiting their ability to influence decisions effectively.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Socio-economic Constraints: Poverty restricts community members’ ability to contribute labor or finances. Many are preoccupied with survival, reducing their availability for school-related activities.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Cultural Norms and Social Hierarchies: Traditional social hierarchies often marginalize women, youth, and marginalized groups, restricting their involvement. Elite dominance within SMCs and PTAs further concentrates decision-making power.</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Limited Policy Enforcement and Support: While policies promote community involvement, enforcement is weak. Many schools lack training for committee members, and mechanisms for monitoring and evaluation are inadequate.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Elite Capture and Social Divisions: In some cases, community involvement is manipulated by local elites who dominate decision-making, marginalizing other voices and reducing inclusivity.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Lack of Sustained Motivation: Community members often participate voluntarily without tangible benefits, leading to fatigue or disinterest over time.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Facilitators of Effective Community Engagement</w:t>
      </w:r>
    </w:p>
    <w:p w:rsidR="00EE4FBB"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Several factors facilitate meaningful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lastRenderedPageBreak/>
        <w:t xml:space="preserve"> Leadership and School Culture: Strong, transparent leadership within schools encourages community involvement and fosters trust.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Capacity Building and Awareness: Training programs for SMC and PTA members improve their skills, knowledge, and confidence to participate effectively.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Inclusivity Strategies: Efforts to involve marginalized groups, including women and youth, lead to broader and more representative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Policy Support and Monitoring: Clear guidelines, regular monitoring, and recognition motivate communities to sustain engagement.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Social Cohesion and Trust: Pre-existing social bonds and trust between communities and schools enhance willingness to participate.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External Support: NGOs and government agencies' involvement through capacity-building and resource support bolster community efforts.</w:t>
      </w:r>
    </w:p>
    <w:p w:rsidR="00D87F83" w:rsidRPr="000602A9" w:rsidRDefault="00D87F83" w:rsidP="00CC617D">
      <w:pPr>
        <w:pStyle w:val="Heading1"/>
        <w:rPr>
          <w:rFonts w:ascii="Times New Roman" w:hAnsi="Times New Roman" w:cs="Times New Roman"/>
          <w:sz w:val="24"/>
          <w:szCs w:val="24"/>
        </w:rPr>
      </w:pPr>
      <w:bookmarkStart w:id="38" w:name="_Toc229342616"/>
      <w:r w:rsidRPr="000602A9">
        <w:rPr>
          <w:rFonts w:ascii="Times New Roman" w:hAnsi="Times New Roman" w:cs="Times New Roman"/>
          <w:sz w:val="24"/>
          <w:szCs w:val="24"/>
        </w:rPr>
        <w:t>Contextual Analysis within Theoretical and Literature Frameworks</w:t>
      </w:r>
      <w:bookmarkEnd w:id="38"/>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findings align with participatory governance and decentralization theories, emphasizing that while formal structures are necessary, their effectiveness hinges on local capacity, inclusivity, and socio-cultural realities.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The theory suggests that genuine involvement depends on empowerment, access to information, and mechanisms that reduce power asymmetries. In Kitagwenda, social hierarchies and elite dominance often limit the scope of inclusive involvement, reflecting challenges highlighted in literature by Ngware et al. (2013) and Mukasa (2014). </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Capacity constraints echo the importance of targeted training and awareness campaigns, as advocated by scholars like Kisaakye (2016). The influence of socio-cultural norms, particularly gender norms, also plays a critical role, consistent with findings by Ngware et al. (2013).</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study highlights that involvement in Kitagwenda is often symbolic rather than substantive, aligning with existing research that superficial engagement fails to produce meaningful improvements. For involvement to be transformative, it must be inclusive, capacitated, and sustained—principles rooted in the theoretical frameworks.</w:t>
      </w:r>
    </w:p>
    <w:p w:rsidR="0010506B"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research findings illustrate that community involvement in Kitagwenda District is multifaceted, with significant potential to improve education governance and outcomes. Nevertheless, realizing this potential requires addressing barriers rooted in capacity, socio-cultural norms, and policy enforcement. The insights suggest that a strategic approach combining capacity-building, inclusive policies, and socio-cultural sensitization can enhance genuine involvement, ultimately leading to more accountable, responsive, and sustainable schools.</w:t>
      </w:r>
    </w:p>
    <w:p w:rsidR="00D87F83" w:rsidRPr="000602A9" w:rsidRDefault="00D87F83" w:rsidP="00CC617D">
      <w:pPr>
        <w:pStyle w:val="Heading1"/>
        <w:rPr>
          <w:rFonts w:ascii="Times New Roman" w:hAnsi="Times New Roman" w:cs="Times New Roman"/>
          <w:sz w:val="24"/>
          <w:szCs w:val="24"/>
        </w:rPr>
      </w:pPr>
      <w:bookmarkStart w:id="39" w:name="_Toc229342617"/>
      <w:r w:rsidRPr="000602A9">
        <w:rPr>
          <w:rFonts w:ascii="Times New Roman" w:hAnsi="Times New Roman" w:cs="Times New Roman"/>
          <w:sz w:val="24"/>
          <w:szCs w:val="24"/>
        </w:rPr>
        <w:t>Conclusion and Recommendations</w:t>
      </w:r>
      <w:bookmarkEnd w:id="39"/>
      <w:r w:rsidRPr="000602A9">
        <w:rPr>
          <w:rFonts w:ascii="Times New Roman" w:hAnsi="Times New Roman" w:cs="Times New Roman"/>
          <w:sz w:val="24"/>
          <w:szCs w:val="24"/>
        </w:rPr>
        <w:t xml:space="preserve"> </w:t>
      </w:r>
    </w:p>
    <w:p w:rsidR="00D87F83" w:rsidRPr="000602A9" w:rsidRDefault="00D87F83" w:rsidP="00CC617D">
      <w:pPr>
        <w:pStyle w:val="Heading2"/>
        <w:rPr>
          <w:rFonts w:ascii="Times New Roman" w:hAnsi="Times New Roman" w:cs="Times New Roman"/>
          <w:sz w:val="24"/>
          <w:szCs w:val="24"/>
        </w:rPr>
      </w:pPr>
      <w:bookmarkStart w:id="40" w:name="_Toc229342618"/>
      <w:r w:rsidRPr="000602A9">
        <w:rPr>
          <w:rFonts w:ascii="Times New Roman" w:hAnsi="Times New Roman" w:cs="Times New Roman"/>
          <w:sz w:val="24"/>
          <w:szCs w:val="24"/>
        </w:rPr>
        <w:t>Conclusion</w:t>
      </w:r>
      <w:bookmarkEnd w:id="40"/>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The study has shed light on the multifaceted nature of community involvement in rural schools within Kitagwenda District, Uganda. The findings indicate that community involvement manifests through several formal and informal channels, including School </w:t>
      </w:r>
      <w:r w:rsidRPr="000602A9">
        <w:rPr>
          <w:rFonts w:ascii="Times New Roman" w:hAnsi="Times New Roman" w:cs="Times New Roman"/>
          <w:sz w:val="24"/>
          <w:szCs w:val="24"/>
        </w:rPr>
        <w:lastRenderedPageBreak/>
        <w:t>Management Committees (SMCs), Parent-Teacher Associations (PTAs), community labor contributions, and involvement in school planning and oversight. Where these mechanisms are active and inclusive, they generate tangible benefits such as improved school infrastructure, enhanced accountability, and increased student attendance, thereby contributing positively to educational outcomes.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Nevertheless, the study also underscores significant challenges that hinder the realization of full participatory potential. Limited capacity, socioeconomic hardships, socio-cultural norms, elite dominance, and weak policy enforcement are among the barriers that restrict meaningful and inclusive community involvement. These constraints often lead to superficial involvement, where community members are involved in name only, rather than exerting genuine influence over decision-making processes.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theoretical frameworks of participatory governance and decentralization elucidate that for community involvement to be effective, it must go beyond formal structures to foster empowerment, inclusivity, and social cohesion. The findings affirm that involvement is a dynamic process deeply influenced by socio-cultural contexts, power relations, and institutional support.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Given these insights, it is evident that improving community involvement in Kitagwenda requires strategic and context-sensitive interventions. The ultimate goal is to move toward inclusive, capacitated, and sustainable engagement that genuinely influences education governance and enhances school performance.</w:t>
      </w:r>
    </w:p>
    <w:p w:rsidR="00D87F83" w:rsidRPr="000602A9" w:rsidRDefault="00D87F83" w:rsidP="00CC617D">
      <w:pPr>
        <w:pStyle w:val="Heading2"/>
        <w:rPr>
          <w:rFonts w:ascii="Times New Roman" w:hAnsi="Times New Roman" w:cs="Times New Roman"/>
          <w:sz w:val="24"/>
          <w:szCs w:val="24"/>
        </w:rPr>
      </w:pPr>
      <w:bookmarkStart w:id="41" w:name="_Toc229342619"/>
      <w:r w:rsidRPr="000602A9">
        <w:rPr>
          <w:rFonts w:ascii="Times New Roman" w:hAnsi="Times New Roman" w:cs="Times New Roman"/>
          <w:sz w:val="24"/>
          <w:szCs w:val="24"/>
        </w:rPr>
        <w:t>Recommendations</w:t>
      </w:r>
      <w:bookmarkEnd w:id="41"/>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Drawing from the study's findings, the following recommendations are proposed to strengthen community involvement in rural Ugandan schools, particularly within Kitagwenda District: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Capacity Building and Training Local community members, especially SMC and PTA members, require continuous training on their roles, responsibilities, and legal frameworks governing school management. Capacity-building initiatives should focus on enhancing leadership skills, financial management, and understanding of educational policies. Such training will empower community members to participate effectively and confidently.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Promote Inclusivity and Reduce Elite: Dominance Efforts should be made to ensure that marginalized groups, including women, youth, and socially disadvantaged persons, are actively involved in school governance. This can be achieved through targeted awareness campaigns, gender-sensitive policies, and mechanisms that promote equitable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Strengthen Policy Enforcement and Institutional Support: The Ministry of Education and district authorities should enforce existing policies on community involvement more rigorously. Regular monitoring, evaluation, and feedback mechanisms should be established to ensure that involvement is substantive and not symbolic. Recognition and incentives for active community involvement can motivate sustained engagement.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Enhance Socio-cultural Sensitization: Community engagement strategies must be culturally sensitive and tailored to local norms. Engaging traditional leaders and opinion shapers can facilitate acceptance and support for inclusive involvement, especially among groups traditionally marginalized.</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lastRenderedPageBreak/>
        <w:t>Integrate Community Engagement into School Planning and Management: Schools should institutionalize community involvement in all stages of planning, resource mobilization, and monitoring. This can be facilitated through participatory planning workshops and community forums that are scheduled regularly and are accessible to all community members.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Leverage External Support and Partnerships: Non-governmental organizations (NGOs), development partners, and government agencies should collaborate to provide technical assistance, funding, and resources aimed at fostering sustainable community involvement. These partnerships can also facilitate knowledge sharing and capacity enhancement.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Foster Social Cohesion and Trust: Building trust between schools and communities is fundamental. Schools should adopt transparent governance practices, communicate regularly with parents and community members, and involve them in decision-making processes. Trust-building activities can include community meetings, feedback sessions, and social events.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Implement Monitoring and Evaluation Systems: Establish clear indicators and regular assessments to evaluate the quality, inclusiveness, and impact of community involvement. Feedback from these evaluations should inform policy adjustments and capacity-building efforts.</w:t>
      </w:r>
    </w:p>
    <w:p w:rsidR="00D87F83" w:rsidRPr="000602A9" w:rsidRDefault="00D87F83" w:rsidP="00EE4FBB">
      <w:pPr>
        <w:pStyle w:val="Heading2"/>
        <w:rPr>
          <w:rFonts w:ascii="Times New Roman" w:hAnsi="Times New Roman" w:cs="Times New Roman"/>
          <w:sz w:val="24"/>
          <w:szCs w:val="24"/>
        </w:rPr>
      </w:pPr>
      <w:bookmarkStart w:id="42" w:name="_Toc229342620"/>
      <w:r w:rsidRPr="000602A9">
        <w:rPr>
          <w:rFonts w:ascii="Times New Roman" w:hAnsi="Times New Roman" w:cs="Times New Roman"/>
          <w:sz w:val="24"/>
          <w:szCs w:val="24"/>
        </w:rPr>
        <w:t>Final Reflection</w:t>
      </w:r>
      <w:bookmarkEnd w:id="42"/>
    </w:p>
    <w:p w:rsidR="00A932DA"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Strengthening community involvement in Kitagwenda District's schools is a multifaceted process that requires concerted efforts across various levels of the education system. The success of these strategies hinges on genuine commitment from policymakers, school leaders, community members, and development partners. When community involvement is inclusive, well-supported, and capacitated, it has the potential to transform schools into truly community-owned institutions that foster sustainable development, improve educational outcomes, and promote social cohesion.</w:t>
      </w:r>
    </w:p>
    <w:p w:rsidR="00D87F83" w:rsidRPr="000602A9" w:rsidRDefault="00D87F83" w:rsidP="00EE4FBB">
      <w:pPr>
        <w:pStyle w:val="Heading2"/>
        <w:rPr>
          <w:rFonts w:ascii="Times New Roman" w:hAnsi="Times New Roman" w:cs="Times New Roman"/>
          <w:sz w:val="24"/>
          <w:szCs w:val="24"/>
        </w:rPr>
      </w:pPr>
      <w:r w:rsidRPr="000602A9">
        <w:rPr>
          <w:rFonts w:ascii="Times New Roman" w:hAnsi="Times New Roman" w:cs="Times New Roman"/>
          <w:sz w:val="24"/>
          <w:szCs w:val="24"/>
        </w:rPr>
        <w:t xml:space="preserve"> </w:t>
      </w:r>
      <w:bookmarkStart w:id="43" w:name="_Toc229342621"/>
      <w:r w:rsidRPr="000602A9">
        <w:rPr>
          <w:rFonts w:ascii="Times New Roman" w:hAnsi="Times New Roman" w:cs="Times New Roman"/>
          <w:sz w:val="24"/>
          <w:szCs w:val="24"/>
        </w:rPr>
        <w:t>Limitations</w:t>
      </w:r>
      <w:bookmarkEnd w:id="43"/>
      <w:r w:rsidRPr="000602A9">
        <w:rPr>
          <w:rFonts w:ascii="Times New Roman" w:hAnsi="Times New Roman" w:cs="Times New Roman"/>
          <w:sz w:val="24"/>
          <w:szCs w:val="24"/>
        </w:rPr>
        <w:t xml:space="preserve"> </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study offers valuable insights into the nature, impacts, and challenges of community involvement in school governance within Kitagwenda District; however, several limitations should be acknowledged that may influence the interpretation and generalizability of the findings.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Firstly, the research relies primarily on a desk review of existing policy documents, academic studies, and reports. While these sources provide a broad understanding of community involvement frameworks and documented practices, they do not capture the full depth of lived experiences, perceptions, and informal dynamics within communities and schools. The absence of primary data collection, such as interviews or field observations, limits the ability to verify the accuracy of reported practices and to explore nuanced socio-cultural factors influencing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Secondly, the scope of the desk review restricts the analysis to documented instances and publicly available reports, which may be subject to reporting bias. For example, schools or community members with positive experiences might be more inclined to document their efforts, leading to an overrepresentation of successful cases and underreporting of persistent challenges or failures.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lastRenderedPageBreak/>
        <w:t>Thirdly, the study’s focus on Kitagwenda District, while providing a detailed contextual analysis, limits the broader applicability of findings to other districts or regions with different socioeconomic, cultural, or administrative contexts. Variations in local leadership, socio-cultural norms, and community structures mean that the findings may not be directly transferrable without contextual adaptation.</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Additionally, the theoretical frameworks employed—participatory governance and decentralization—offer valuable lenses but inherently emphasize ideal conditions of inclusive involvement. The realities on the ground, characterized by power imbalances and socio-cultural norms, may not fully align with these ideals, thereby constraining the analytical scope.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Finally, the rapidly evolving policy environment and socioeconomic conditions in Uganda mean that some findings may quickly become outdated or less relevant over time. The lack of real-time or longitudinal data limits the capacity to assess trends or the long-term impact of community involvement initiatives.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Overall, while this study provides a comprehensive overview based on existing literature and policy analysis, its reliance on secondary data, limited contextual scope, and theoretical constraints suggest that further empirical research—particularly qualitative fieldwork—is necessary to deepen understanding and inform more targeted interventions</w:t>
      </w:r>
    </w:p>
    <w:p w:rsidR="006665E6" w:rsidRPr="000602A9" w:rsidRDefault="006665E6"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6665E6" w:rsidRPr="000602A9" w:rsidRDefault="006665E6"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E07603" w:rsidRPr="000602A9" w:rsidRDefault="00E07603" w:rsidP="00D87F83">
      <w:pPr>
        <w:rPr>
          <w:rFonts w:ascii="Times New Roman" w:hAnsi="Times New Roman" w:cs="Times New Roman"/>
          <w:sz w:val="24"/>
          <w:szCs w:val="24"/>
        </w:rPr>
      </w:pPr>
    </w:p>
    <w:p w:rsidR="00E07603" w:rsidRPr="000602A9" w:rsidRDefault="00E07603" w:rsidP="00D87F83">
      <w:pPr>
        <w:rPr>
          <w:rFonts w:ascii="Times New Roman" w:hAnsi="Times New Roman" w:cs="Times New Roman"/>
          <w:sz w:val="24"/>
          <w:szCs w:val="24"/>
        </w:rPr>
      </w:pPr>
    </w:p>
    <w:bookmarkStart w:id="44" w:name="_Toc229342622" w:displacedByCustomXml="next"/>
    <w:sdt>
      <w:sdtPr>
        <w:rPr>
          <w:rFonts w:ascii="Times New Roman" w:eastAsiaTheme="minorEastAsia" w:hAnsi="Times New Roman" w:cs="Times New Roman"/>
          <w:color w:val="auto"/>
          <w:sz w:val="24"/>
          <w:szCs w:val="24"/>
        </w:rPr>
        <w:id w:val="-806079070"/>
        <w:docPartObj>
          <w:docPartGallery w:val="Bibliographies"/>
          <w:docPartUnique/>
        </w:docPartObj>
      </w:sdtPr>
      <w:sdtEndPr/>
      <w:sdtContent>
        <w:p w:rsidR="000602A9" w:rsidRPr="000602A9" w:rsidRDefault="000602A9">
          <w:pPr>
            <w:pStyle w:val="Heading1"/>
            <w:rPr>
              <w:rFonts w:ascii="Times New Roman" w:hAnsi="Times New Roman" w:cs="Times New Roman"/>
              <w:sz w:val="24"/>
              <w:szCs w:val="24"/>
            </w:rPr>
          </w:pPr>
          <w:r w:rsidRPr="000602A9">
            <w:rPr>
              <w:rFonts w:ascii="Times New Roman" w:hAnsi="Times New Roman" w:cs="Times New Roman"/>
              <w:sz w:val="24"/>
              <w:szCs w:val="24"/>
            </w:rPr>
            <w:t>References</w:t>
          </w:r>
          <w:bookmarkEnd w:id="44"/>
        </w:p>
        <w:sdt>
          <w:sdtPr>
            <w:rPr>
              <w:rFonts w:ascii="Times New Roman" w:hAnsi="Times New Roman" w:cs="Times New Roman"/>
              <w:sz w:val="24"/>
              <w:szCs w:val="24"/>
            </w:rPr>
            <w:id w:val="-2105177704"/>
            <w:bibliography/>
          </w:sdtPr>
          <w:sdtEndPr/>
          <w:sdtContent>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sz w:val="24"/>
                  <w:szCs w:val="24"/>
                </w:rPr>
                <w:fldChar w:fldCharType="begin"/>
              </w:r>
              <w:r w:rsidRPr="000602A9">
                <w:rPr>
                  <w:rFonts w:ascii="Times New Roman" w:hAnsi="Times New Roman" w:cs="Times New Roman"/>
                  <w:sz w:val="24"/>
                  <w:szCs w:val="24"/>
                </w:rPr>
                <w:instrText xml:space="preserve"> BIBLIOGRAPHY </w:instrText>
              </w:r>
              <w:r w:rsidRPr="000602A9">
                <w:rPr>
                  <w:rFonts w:ascii="Times New Roman" w:hAnsi="Times New Roman" w:cs="Times New Roman"/>
                  <w:sz w:val="24"/>
                  <w:szCs w:val="24"/>
                </w:rPr>
                <w:fldChar w:fldCharType="separate"/>
              </w:r>
              <w:r w:rsidRPr="000602A9">
                <w:rPr>
                  <w:rFonts w:ascii="Times New Roman" w:hAnsi="Times New Roman" w:cs="Times New Roman"/>
                  <w:noProof/>
                  <w:sz w:val="24"/>
                  <w:szCs w:val="24"/>
                </w:rPr>
                <w:t>AKENA, F. ( (2015)). STAKEHOLDERS’PARTICIPATION AND EDUCATION SERVICE DELIVERY IN URBAN COUNCILS IN UGANDA. A CASE STUDY OF KITGUM URBAN COUNCIL (Doctoral dissertation, Uganda Management Institute).</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Byswieza, J. ((2016).). Decentralization policy and rural development in Uganda case study of Kiseks Sub County Lwengo District.</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CHARLES, , D., PAULINE,, A., &amp; BALYEBUGA, A. (n.d.). FACULTY OF EDUCATION.</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 xml:space="preserve">Gonzaga,, K., Specioza, A., &amp; Tina,, A. ((2024).). Community involvement and performance of secondary schools in Kassanda Town Council, Kassanda District. </w:t>
              </w:r>
              <w:r w:rsidRPr="000602A9">
                <w:rPr>
                  <w:rFonts w:ascii="Times New Roman" w:hAnsi="Times New Roman" w:cs="Times New Roman"/>
                  <w:i/>
                  <w:iCs/>
                  <w:noProof/>
                  <w:sz w:val="24"/>
                  <w:szCs w:val="24"/>
                </w:rPr>
                <w:t>World Journal of Advanced Research and Reviews</w:t>
              </w:r>
              <w:r w:rsidRPr="000602A9">
                <w:rPr>
                  <w:rFonts w:ascii="Times New Roman" w:hAnsi="Times New Roman" w:cs="Times New Roman"/>
                  <w:noProof/>
                  <w:sz w:val="24"/>
                  <w:szCs w:val="24"/>
                </w:rPr>
                <w:t>, , 22(02), 076-082.</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Nishimura,, S., Manabe, I., &amp; Nagai, R. ( (2009)). Adipose tissue inflammation in obesity and metabolic syndrome. Discovery medicine.</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PASCHAL, M. ( (2026).). HEADTEACHERS’STRATEGIC MANAGEMENT AND TEACHERS’PERFORMANCE IN PRIMARY SCHOOLS: A CASE OF KITAGWENDA DISTRICT, UGANDA.</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Ssemanda, ,. ((2017).).  Community participation and service delivery in local government: a case study of Kyazanga sub county Lwengo district (Doctoral dissertation, Kampala International University, College of Humanities and Social Sciences).</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Ssewanyana, S., &amp; Kasirye, I. ((2012)). Poverty and inequality dynamics in Uganda: Insights from the Uganda National Panel Surveys 2005/6 and 2009/10.</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Ssewanyana,, S., &amp; Kasirye,, ,. ((2012)). Poverty and inequality dynamics in Uganda: Insights from the Uganda National Panel Surveys 2005/6 and 2009/10.</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Watamba,, P. ((2019).). Community involvement and performance of secondary schools in Khabutola Sub-County Manafwa District, Eastern Uganda.</w:t>
              </w:r>
            </w:p>
            <w:p w:rsidR="00476DE8" w:rsidRPr="000602A9" w:rsidRDefault="000602A9" w:rsidP="00D87F83">
              <w:pPr>
                <w:rPr>
                  <w:rFonts w:ascii="Times New Roman" w:hAnsi="Times New Roman" w:cs="Times New Roman"/>
                  <w:sz w:val="24"/>
                  <w:szCs w:val="24"/>
                </w:rPr>
              </w:pPr>
              <w:r w:rsidRPr="000602A9">
                <w:rPr>
                  <w:rFonts w:ascii="Times New Roman" w:hAnsi="Times New Roman" w:cs="Times New Roman"/>
                  <w:b/>
                  <w:bCs/>
                  <w:noProof/>
                  <w:sz w:val="24"/>
                  <w:szCs w:val="24"/>
                </w:rPr>
                <w:fldChar w:fldCharType="end"/>
              </w:r>
            </w:p>
          </w:sdtContent>
        </w:sdt>
      </w:sdtContent>
    </w:sdt>
    <w:bookmarkStart w:id="45" w:name="_Toc229342623" w:displacedByCustomXml="next"/>
    <w:sdt>
      <w:sdtPr>
        <w:rPr>
          <w:rFonts w:ascii="Times New Roman" w:eastAsiaTheme="minorHAnsi" w:hAnsi="Times New Roman" w:cs="Times New Roman"/>
          <w:color w:val="auto"/>
          <w:sz w:val="24"/>
          <w:szCs w:val="24"/>
        </w:rPr>
        <w:id w:val="-286354946"/>
        <w:docPartObj>
          <w:docPartGallery w:val="Bibliographies"/>
          <w:docPartUnique/>
        </w:docPartObj>
      </w:sdtPr>
      <w:sdtEndPr>
        <w:rPr>
          <w:rFonts w:eastAsiaTheme="minorEastAsia"/>
        </w:rPr>
      </w:sdtEndPr>
      <w:sdtContent>
        <w:p w:rsidR="00476DE8" w:rsidRPr="000602A9" w:rsidRDefault="00476DE8">
          <w:pPr>
            <w:pStyle w:val="Heading1"/>
            <w:rPr>
              <w:rFonts w:ascii="Times New Roman" w:hAnsi="Times New Roman" w:cs="Times New Roman"/>
              <w:sz w:val="24"/>
              <w:szCs w:val="24"/>
            </w:rPr>
          </w:pPr>
          <w:r w:rsidRPr="000602A9">
            <w:rPr>
              <w:rFonts w:ascii="Times New Roman" w:hAnsi="Times New Roman" w:cs="Times New Roman"/>
              <w:sz w:val="24"/>
              <w:szCs w:val="24"/>
            </w:rPr>
            <w:t>References</w:t>
          </w:r>
          <w:bookmarkEnd w:id="45"/>
        </w:p>
        <w:sdt>
          <w:sdtPr>
            <w:rPr>
              <w:rFonts w:ascii="Times New Roman" w:hAnsi="Times New Roman" w:cs="Times New Roman"/>
              <w:sz w:val="24"/>
              <w:szCs w:val="24"/>
            </w:rPr>
            <w:id w:val="-573587230"/>
            <w:bibliography/>
          </w:sdtPr>
          <w:sdtEndPr/>
          <w:sdtContent>
            <w:p w:rsidR="000602A9" w:rsidRPr="000602A9" w:rsidRDefault="00476DE8"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sz w:val="24"/>
                  <w:szCs w:val="24"/>
                </w:rPr>
                <w:fldChar w:fldCharType="begin"/>
              </w:r>
              <w:r w:rsidRPr="000602A9">
                <w:rPr>
                  <w:rFonts w:ascii="Times New Roman" w:hAnsi="Times New Roman" w:cs="Times New Roman"/>
                  <w:sz w:val="24"/>
                  <w:szCs w:val="24"/>
                </w:rPr>
                <w:instrText xml:space="preserve"> BIBLIOGRAPHY </w:instrText>
              </w:r>
              <w:r w:rsidRPr="000602A9">
                <w:rPr>
                  <w:rFonts w:ascii="Times New Roman" w:hAnsi="Times New Roman" w:cs="Times New Roman"/>
                  <w:sz w:val="24"/>
                  <w:szCs w:val="24"/>
                </w:rPr>
                <w:fldChar w:fldCharType="separate"/>
              </w:r>
              <w:r w:rsidR="000602A9" w:rsidRPr="000602A9">
                <w:rPr>
                  <w:rFonts w:ascii="Times New Roman" w:hAnsi="Times New Roman" w:cs="Times New Roman"/>
                  <w:noProof/>
                  <w:sz w:val="24"/>
                  <w:szCs w:val="24"/>
                </w:rPr>
                <w:t>AKENA, F. ( (2015)). STAKEHOLDERS’PARTICIPATION AND EDUCATION SERVICE DELIVERY IN URBAN COUNCILS IN UGANDA. A CASE STUDY OF KITGUM URBAN COUNCIL (Doctoral dissertation, Uganda Management Institute).</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Byswieza, J. ((2016).). Decentralization policy and rural development in Uganda case study of Kiseks Sub County Lwengo District.</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lastRenderedPageBreak/>
                <w:t>CHARLES, , D., PAULINE,, A., &amp; BALYEBUGA, A. (n.d.). FACULTY OF EDUCATION.</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 xml:space="preserve">Gonzaga,, K., Specioza, A., &amp; Tina,, A. ((2024).). Community involvement and performance of secondary schools in Kassanda Town Council, Kassanda District. </w:t>
              </w:r>
              <w:r w:rsidRPr="000602A9">
                <w:rPr>
                  <w:rFonts w:ascii="Times New Roman" w:hAnsi="Times New Roman" w:cs="Times New Roman"/>
                  <w:i/>
                  <w:iCs/>
                  <w:noProof/>
                  <w:sz w:val="24"/>
                  <w:szCs w:val="24"/>
                </w:rPr>
                <w:t>World Journal of Advanced Research and Reviews</w:t>
              </w:r>
              <w:r w:rsidRPr="000602A9">
                <w:rPr>
                  <w:rFonts w:ascii="Times New Roman" w:hAnsi="Times New Roman" w:cs="Times New Roman"/>
                  <w:noProof/>
                  <w:sz w:val="24"/>
                  <w:szCs w:val="24"/>
                </w:rPr>
                <w:t>, , 22(02), 076-082.</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Nishimura,, S., Manabe, I., &amp; Nagai, R. ( (2009)). Adipose tissue inflammation in obesity and metabolic syndrome. Discovery medicine.</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PASCHAL, M. ( (2026).). HEADTEACHERS’STRATEGIC MANAGEMENT AND TEACHERS’PERFORMANCE IN PRIMARY SCHOOLS: A CASE OF KITAGWENDA DISTRICT, UGANDA.</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Ssemanda, ,. ((2017).).  Community participation and service delivery in local government: a case study of Kyazanga sub county Lwengo district (Doctoral dissertation, Kampala International University, College of Humanities and Social Sciences).</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Ssewanyana, S., &amp; Kasirye, I. ((2012)). Poverty and inequality dynamics in Uganda: Insights from the Uganda National Panel Surveys 2005/6 and 2009/10.</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Ssewanyana,, S., &amp; Kasirye,, ,. ((2012)). Poverty and inequality dynamics in Uganda: Insights from the Uganda National Panel Surveys 2005/6 and 2009/10.</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Watamba,, P. ((2019).). Community involvement and performance of secondary schools in Khabutola Sub-County Manafwa District, Eastern Uganda.</w:t>
              </w:r>
            </w:p>
            <w:p w:rsidR="00476DE8" w:rsidRPr="000602A9" w:rsidRDefault="00476DE8" w:rsidP="000602A9">
              <w:pPr>
                <w:rPr>
                  <w:rFonts w:ascii="Times New Roman" w:hAnsi="Times New Roman" w:cs="Times New Roman"/>
                  <w:sz w:val="24"/>
                  <w:szCs w:val="24"/>
                </w:rPr>
              </w:pPr>
              <w:r w:rsidRPr="000602A9">
                <w:rPr>
                  <w:rFonts w:ascii="Times New Roman" w:hAnsi="Times New Roman" w:cs="Times New Roman"/>
                  <w:b/>
                  <w:bCs/>
                  <w:noProof/>
                  <w:sz w:val="24"/>
                  <w:szCs w:val="24"/>
                </w:rPr>
                <w:fldChar w:fldCharType="end"/>
              </w:r>
            </w:p>
          </w:sdtContent>
        </w:sdt>
      </w:sdtContent>
    </w:sdt>
    <w:p w:rsidR="00476DE8" w:rsidRPr="000602A9" w:rsidRDefault="00476DE8" w:rsidP="00D87F83">
      <w:pPr>
        <w:rPr>
          <w:rFonts w:ascii="Times New Roman" w:hAnsi="Times New Roman" w:cs="Times New Roman"/>
          <w:sz w:val="24"/>
          <w:szCs w:val="24"/>
        </w:rPr>
      </w:pPr>
    </w:p>
    <w:sectPr w:rsidR="00476DE8" w:rsidRPr="00060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B5"/>
    <w:rsid w:val="00025984"/>
    <w:rsid w:val="000602A9"/>
    <w:rsid w:val="0010506B"/>
    <w:rsid w:val="00113FDF"/>
    <w:rsid w:val="00116C55"/>
    <w:rsid w:val="00153D1F"/>
    <w:rsid w:val="001D322C"/>
    <w:rsid w:val="001F4745"/>
    <w:rsid w:val="00251CB5"/>
    <w:rsid w:val="002655A4"/>
    <w:rsid w:val="002A4944"/>
    <w:rsid w:val="002A575E"/>
    <w:rsid w:val="0032277F"/>
    <w:rsid w:val="00331FDC"/>
    <w:rsid w:val="00345A9A"/>
    <w:rsid w:val="003E4243"/>
    <w:rsid w:val="00434254"/>
    <w:rsid w:val="00476DE8"/>
    <w:rsid w:val="004E31C1"/>
    <w:rsid w:val="0050672F"/>
    <w:rsid w:val="00510E60"/>
    <w:rsid w:val="006665E6"/>
    <w:rsid w:val="007D1225"/>
    <w:rsid w:val="007E52F3"/>
    <w:rsid w:val="007F4DDA"/>
    <w:rsid w:val="00930FFE"/>
    <w:rsid w:val="00961691"/>
    <w:rsid w:val="0096601F"/>
    <w:rsid w:val="009978DD"/>
    <w:rsid w:val="009E5270"/>
    <w:rsid w:val="00A53F04"/>
    <w:rsid w:val="00A932DA"/>
    <w:rsid w:val="00AB6D24"/>
    <w:rsid w:val="00AF71B5"/>
    <w:rsid w:val="00B16EBB"/>
    <w:rsid w:val="00B47208"/>
    <w:rsid w:val="00CC617D"/>
    <w:rsid w:val="00D10FF1"/>
    <w:rsid w:val="00D239B2"/>
    <w:rsid w:val="00D27393"/>
    <w:rsid w:val="00D47A5D"/>
    <w:rsid w:val="00D87F83"/>
    <w:rsid w:val="00DF51B1"/>
    <w:rsid w:val="00E07603"/>
    <w:rsid w:val="00E36DB4"/>
    <w:rsid w:val="00E87847"/>
    <w:rsid w:val="00EC0240"/>
    <w:rsid w:val="00EE4FBB"/>
    <w:rsid w:val="00F96818"/>
    <w:rsid w:val="00F96F78"/>
    <w:rsid w:val="00FE7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9A"/>
  </w:style>
  <w:style w:type="paragraph" w:styleId="Heading1">
    <w:name w:val="heading 1"/>
    <w:basedOn w:val="Normal"/>
    <w:next w:val="Normal"/>
    <w:link w:val="Heading1Char"/>
    <w:uiPriority w:val="9"/>
    <w:qFormat/>
    <w:rsid w:val="00345A9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A9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45A9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45A9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45A9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45A9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45A9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45A9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45A9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A9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76DE8"/>
  </w:style>
  <w:style w:type="character" w:customStyle="1" w:styleId="Heading2Char">
    <w:name w:val="Heading 2 Char"/>
    <w:basedOn w:val="DefaultParagraphFont"/>
    <w:link w:val="Heading2"/>
    <w:uiPriority w:val="9"/>
    <w:rsid w:val="00345A9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45A9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45A9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45A9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45A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45A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45A9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45A9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45A9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45A9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45A9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45A9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5A9A"/>
    <w:rPr>
      <w:rFonts w:asciiTheme="majorHAnsi" w:eastAsiaTheme="majorEastAsia" w:hAnsiTheme="majorHAnsi" w:cstheme="majorBidi"/>
      <w:sz w:val="24"/>
      <w:szCs w:val="24"/>
    </w:rPr>
  </w:style>
  <w:style w:type="character" w:styleId="Strong">
    <w:name w:val="Strong"/>
    <w:basedOn w:val="DefaultParagraphFont"/>
    <w:uiPriority w:val="22"/>
    <w:qFormat/>
    <w:rsid w:val="00345A9A"/>
    <w:rPr>
      <w:b/>
      <w:bCs/>
    </w:rPr>
  </w:style>
  <w:style w:type="character" w:styleId="Emphasis">
    <w:name w:val="Emphasis"/>
    <w:basedOn w:val="DefaultParagraphFont"/>
    <w:uiPriority w:val="20"/>
    <w:qFormat/>
    <w:rsid w:val="00345A9A"/>
    <w:rPr>
      <w:i/>
      <w:iCs/>
    </w:rPr>
  </w:style>
  <w:style w:type="paragraph" w:styleId="NoSpacing">
    <w:name w:val="No Spacing"/>
    <w:uiPriority w:val="1"/>
    <w:qFormat/>
    <w:rsid w:val="00345A9A"/>
    <w:pPr>
      <w:spacing w:after="0" w:line="240" w:lineRule="auto"/>
    </w:pPr>
  </w:style>
  <w:style w:type="paragraph" w:styleId="Quote">
    <w:name w:val="Quote"/>
    <w:basedOn w:val="Normal"/>
    <w:next w:val="Normal"/>
    <w:link w:val="QuoteChar"/>
    <w:uiPriority w:val="29"/>
    <w:qFormat/>
    <w:rsid w:val="00345A9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5A9A"/>
    <w:rPr>
      <w:i/>
      <w:iCs/>
      <w:color w:val="404040" w:themeColor="text1" w:themeTint="BF"/>
    </w:rPr>
  </w:style>
  <w:style w:type="paragraph" w:styleId="IntenseQuote">
    <w:name w:val="Intense Quote"/>
    <w:basedOn w:val="Normal"/>
    <w:next w:val="Normal"/>
    <w:link w:val="IntenseQuoteChar"/>
    <w:uiPriority w:val="30"/>
    <w:qFormat/>
    <w:rsid w:val="00345A9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45A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45A9A"/>
    <w:rPr>
      <w:i/>
      <w:iCs/>
      <w:color w:val="404040" w:themeColor="text1" w:themeTint="BF"/>
    </w:rPr>
  </w:style>
  <w:style w:type="character" w:styleId="IntenseEmphasis">
    <w:name w:val="Intense Emphasis"/>
    <w:basedOn w:val="DefaultParagraphFont"/>
    <w:uiPriority w:val="21"/>
    <w:qFormat/>
    <w:rsid w:val="00345A9A"/>
    <w:rPr>
      <w:b/>
      <w:bCs/>
      <w:i/>
      <w:iCs/>
    </w:rPr>
  </w:style>
  <w:style w:type="character" w:styleId="SubtleReference">
    <w:name w:val="Subtle Reference"/>
    <w:basedOn w:val="DefaultParagraphFont"/>
    <w:uiPriority w:val="31"/>
    <w:qFormat/>
    <w:rsid w:val="00345A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5A9A"/>
    <w:rPr>
      <w:b/>
      <w:bCs/>
      <w:smallCaps/>
      <w:spacing w:val="5"/>
      <w:u w:val="single"/>
    </w:rPr>
  </w:style>
  <w:style w:type="character" w:styleId="BookTitle">
    <w:name w:val="Book Title"/>
    <w:basedOn w:val="DefaultParagraphFont"/>
    <w:uiPriority w:val="33"/>
    <w:qFormat/>
    <w:rsid w:val="00345A9A"/>
    <w:rPr>
      <w:b/>
      <w:bCs/>
      <w:smallCaps/>
    </w:rPr>
  </w:style>
  <w:style w:type="paragraph" w:styleId="TOCHeading">
    <w:name w:val="TOC Heading"/>
    <w:basedOn w:val="Heading1"/>
    <w:next w:val="Normal"/>
    <w:uiPriority w:val="39"/>
    <w:unhideWhenUsed/>
    <w:qFormat/>
    <w:rsid w:val="00345A9A"/>
    <w:pPr>
      <w:outlineLvl w:val="9"/>
    </w:pPr>
  </w:style>
  <w:style w:type="paragraph" w:styleId="TOC1">
    <w:name w:val="toc 1"/>
    <w:basedOn w:val="Normal"/>
    <w:next w:val="Normal"/>
    <w:autoRedefine/>
    <w:uiPriority w:val="39"/>
    <w:unhideWhenUsed/>
    <w:rsid w:val="00EE4FBB"/>
    <w:pPr>
      <w:spacing w:after="100"/>
    </w:pPr>
  </w:style>
  <w:style w:type="paragraph" w:styleId="TOC2">
    <w:name w:val="toc 2"/>
    <w:basedOn w:val="Normal"/>
    <w:next w:val="Normal"/>
    <w:autoRedefine/>
    <w:uiPriority w:val="39"/>
    <w:unhideWhenUsed/>
    <w:rsid w:val="00EE4FBB"/>
    <w:pPr>
      <w:spacing w:after="100"/>
      <w:ind w:left="200"/>
    </w:pPr>
  </w:style>
  <w:style w:type="paragraph" w:styleId="TOC3">
    <w:name w:val="toc 3"/>
    <w:basedOn w:val="Normal"/>
    <w:next w:val="Normal"/>
    <w:autoRedefine/>
    <w:uiPriority w:val="39"/>
    <w:unhideWhenUsed/>
    <w:rsid w:val="00EE4FBB"/>
    <w:pPr>
      <w:spacing w:after="100"/>
      <w:ind w:left="400"/>
    </w:pPr>
  </w:style>
  <w:style w:type="character" w:styleId="Hyperlink">
    <w:name w:val="Hyperlink"/>
    <w:basedOn w:val="DefaultParagraphFont"/>
    <w:uiPriority w:val="99"/>
    <w:unhideWhenUsed/>
    <w:rsid w:val="00EE4FBB"/>
    <w:rPr>
      <w:color w:val="0563C1" w:themeColor="hyperlink"/>
      <w:u w:val="single"/>
    </w:rPr>
  </w:style>
  <w:style w:type="paragraph" w:styleId="BalloonText">
    <w:name w:val="Balloon Text"/>
    <w:basedOn w:val="Normal"/>
    <w:link w:val="BalloonTextChar"/>
    <w:uiPriority w:val="99"/>
    <w:semiHidden/>
    <w:unhideWhenUsed/>
    <w:rsid w:val="00113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F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9A"/>
  </w:style>
  <w:style w:type="paragraph" w:styleId="Heading1">
    <w:name w:val="heading 1"/>
    <w:basedOn w:val="Normal"/>
    <w:next w:val="Normal"/>
    <w:link w:val="Heading1Char"/>
    <w:uiPriority w:val="9"/>
    <w:qFormat/>
    <w:rsid w:val="00345A9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A9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45A9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45A9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45A9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45A9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45A9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45A9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45A9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A9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76DE8"/>
  </w:style>
  <w:style w:type="character" w:customStyle="1" w:styleId="Heading2Char">
    <w:name w:val="Heading 2 Char"/>
    <w:basedOn w:val="DefaultParagraphFont"/>
    <w:link w:val="Heading2"/>
    <w:uiPriority w:val="9"/>
    <w:rsid w:val="00345A9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45A9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45A9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45A9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45A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45A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45A9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45A9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45A9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45A9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45A9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45A9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5A9A"/>
    <w:rPr>
      <w:rFonts w:asciiTheme="majorHAnsi" w:eastAsiaTheme="majorEastAsia" w:hAnsiTheme="majorHAnsi" w:cstheme="majorBidi"/>
      <w:sz w:val="24"/>
      <w:szCs w:val="24"/>
    </w:rPr>
  </w:style>
  <w:style w:type="character" w:styleId="Strong">
    <w:name w:val="Strong"/>
    <w:basedOn w:val="DefaultParagraphFont"/>
    <w:uiPriority w:val="22"/>
    <w:qFormat/>
    <w:rsid w:val="00345A9A"/>
    <w:rPr>
      <w:b/>
      <w:bCs/>
    </w:rPr>
  </w:style>
  <w:style w:type="character" w:styleId="Emphasis">
    <w:name w:val="Emphasis"/>
    <w:basedOn w:val="DefaultParagraphFont"/>
    <w:uiPriority w:val="20"/>
    <w:qFormat/>
    <w:rsid w:val="00345A9A"/>
    <w:rPr>
      <w:i/>
      <w:iCs/>
    </w:rPr>
  </w:style>
  <w:style w:type="paragraph" w:styleId="NoSpacing">
    <w:name w:val="No Spacing"/>
    <w:uiPriority w:val="1"/>
    <w:qFormat/>
    <w:rsid w:val="00345A9A"/>
    <w:pPr>
      <w:spacing w:after="0" w:line="240" w:lineRule="auto"/>
    </w:pPr>
  </w:style>
  <w:style w:type="paragraph" w:styleId="Quote">
    <w:name w:val="Quote"/>
    <w:basedOn w:val="Normal"/>
    <w:next w:val="Normal"/>
    <w:link w:val="QuoteChar"/>
    <w:uiPriority w:val="29"/>
    <w:qFormat/>
    <w:rsid w:val="00345A9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5A9A"/>
    <w:rPr>
      <w:i/>
      <w:iCs/>
      <w:color w:val="404040" w:themeColor="text1" w:themeTint="BF"/>
    </w:rPr>
  </w:style>
  <w:style w:type="paragraph" w:styleId="IntenseQuote">
    <w:name w:val="Intense Quote"/>
    <w:basedOn w:val="Normal"/>
    <w:next w:val="Normal"/>
    <w:link w:val="IntenseQuoteChar"/>
    <w:uiPriority w:val="30"/>
    <w:qFormat/>
    <w:rsid w:val="00345A9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45A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45A9A"/>
    <w:rPr>
      <w:i/>
      <w:iCs/>
      <w:color w:val="404040" w:themeColor="text1" w:themeTint="BF"/>
    </w:rPr>
  </w:style>
  <w:style w:type="character" w:styleId="IntenseEmphasis">
    <w:name w:val="Intense Emphasis"/>
    <w:basedOn w:val="DefaultParagraphFont"/>
    <w:uiPriority w:val="21"/>
    <w:qFormat/>
    <w:rsid w:val="00345A9A"/>
    <w:rPr>
      <w:b/>
      <w:bCs/>
      <w:i/>
      <w:iCs/>
    </w:rPr>
  </w:style>
  <w:style w:type="character" w:styleId="SubtleReference">
    <w:name w:val="Subtle Reference"/>
    <w:basedOn w:val="DefaultParagraphFont"/>
    <w:uiPriority w:val="31"/>
    <w:qFormat/>
    <w:rsid w:val="00345A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5A9A"/>
    <w:rPr>
      <w:b/>
      <w:bCs/>
      <w:smallCaps/>
      <w:spacing w:val="5"/>
      <w:u w:val="single"/>
    </w:rPr>
  </w:style>
  <w:style w:type="character" w:styleId="BookTitle">
    <w:name w:val="Book Title"/>
    <w:basedOn w:val="DefaultParagraphFont"/>
    <w:uiPriority w:val="33"/>
    <w:qFormat/>
    <w:rsid w:val="00345A9A"/>
    <w:rPr>
      <w:b/>
      <w:bCs/>
      <w:smallCaps/>
    </w:rPr>
  </w:style>
  <w:style w:type="paragraph" w:styleId="TOCHeading">
    <w:name w:val="TOC Heading"/>
    <w:basedOn w:val="Heading1"/>
    <w:next w:val="Normal"/>
    <w:uiPriority w:val="39"/>
    <w:unhideWhenUsed/>
    <w:qFormat/>
    <w:rsid w:val="00345A9A"/>
    <w:pPr>
      <w:outlineLvl w:val="9"/>
    </w:pPr>
  </w:style>
  <w:style w:type="paragraph" w:styleId="TOC1">
    <w:name w:val="toc 1"/>
    <w:basedOn w:val="Normal"/>
    <w:next w:val="Normal"/>
    <w:autoRedefine/>
    <w:uiPriority w:val="39"/>
    <w:unhideWhenUsed/>
    <w:rsid w:val="00EE4FBB"/>
    <w:pPr>
      <w:spacing w:after="100"/>
    </w:pPr>
  </w:style>
  <w:style w:type="paragraph" w:styleId="TOC2">
    <w:name w:val="toc 2"/>
    <w:basedOn w:val="Normal"/>
    <w:next w:val="Normal"/>
    <w:autoRedefine/>
    <w:uiPriority w:val="39"/>
    <w:unhideWhenUsed/>
    <w:rsid w:val="00EE4FBB"/>
    <w:pPr>
      <w:spacing w:after="100"/>
      <w:ind w:left="200"/>
    </w:pPr>
  </w:style>
  <w:style w:type="paragraph" w:styleId="TOC3">
    <w:name w:val="toc 3"/>
    <w:basedOn w:val="Normal"/>
    <w:next w:val="Normal"/>
    <w:autoRedefine/>
    <w:uiPriority w:val="39"/>
    <w:unhideWhenUsed/>
    <w:rsid w:val="00EE4FBB"/>
    <w:pPr>
      <w:spacing w:after="100"/>
      <w:ind w:left="400"/>
    </w:pPr>
  </w:style>
  <w:style w:type="character" w:styleId="Hyperlink">
    <w:name w:val="Hyperlink"/>
    <w:basedOn w:val="DefaultParagraphFont"/>
    <w:uiPriority w:val="99"/>
    <w:unhideWhenUsed/>
    <w:rsid w:val="00EE4FBB"/>
    <w:rPr>
      <w:color w:val="0563C1" w:themeColor="hyperlink"/>
      <w:u w:val="single"/>
    </w:rPr>
  </w:style>
  <w:style w:type="paragraph" w:styleId="BalloonText">
    <w:name w:val="Balloon Text"/>
    <w:basedOn w:val="Normal"/>
    <w:link w:val="BalloonTextChar"/>
    <w:uiPriority w:val="99"/>
    <w:semiHidden/>
    <w:unhideWhenUsed/>
    <w:rsid w:val="00113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F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5722">
      <w:bodyDiv w:val="1"/>
      <w:marLeft w:val="0"/>
      <w:marRight w:val="0"/>
      <w:marTop w:val="0"/>
      <w:marBottom w:val="0"/>
      <w:divBdr>
        <w:top w:val="none" w:sz="0" w:space="0" w:color="auto"/>
        <w:left w:val="none" w:sz="0" w:space="0" w:color="auto"/>
        <w:bottom w:val="none" w:sz="0" w:space="0" w:color="auto"/>
        <w:right w:val="none" w:sz="0" w:space="0" w:color="auto"/>
      </w:divBdr>
    </w:div>
    <w:div w:id="694578568">
      <w:bodyDiv w:val="1"/>
      <w:marLeft w:val="0"/>
      <w:marRight w:val="0"/>
      <w:marTop w:val="0"/>
      <w:marBottom w:val="0"/>
      <w:divBdr>
        <w:top w:val="none" w:sz="0" w:space="0" w:color="auto"/>
        <w:left w:val="none" w:sz="0" w:space="0" w:color="auto"/>
        <w:bottom w:val="none" w:sz="0" w:space="0" w:color="auto"/>
        <w:right w:val="none" w:sz="0" w:space="0" w:color="auto"/>
      </w:divBdr>
    </w:div>
    <w:div w:id="700908713">
      <w:bodyDiv w:val="1"/>
      <w:marLeft w:val="0"/>
      <w:marRight w:val="0"/>
      <w:marTop w:val="0"/>
      <w:marBottom w:val="0"/>
      <w:divBdr>
        <w:top w:val="none" w:sz="0" w:space="0" w:color="auto"/>
        <w:left w:val="none" w:sz="0" w:space="0" w:color="auto"/>
        <w:bottom w:val="none" w:sz="0" w:space="0" w:color="auto"/>
        <w:right w:val="none" w:sz="0" w:space="0" w:color="auto"/>
      </w:divBdr>
    </w:div>
    <w:div w:id="808133828">
      <w:bodyDiv w:val="1"/>
      <w:marLeft w:val="0"/>
      <w:marRight w:val="0"/>
      <w:marTop w:val="0"/>
      <w:marBottom w:val="0"/>
      <w:divBdr>
        <w:top w:val="none" w:sz="0" w:space="0" w:color="auto"/>
        <w:left w:val="none" w:sz="0" w:space="0" w:color="auto"/>
        <w:bottom w:val="none" w:sz="0" w:space="0" w:color="auto"/>
        <w:right w:val="none" w:sz="0" w:space="0" w:color="auto"/>
      </w:divBdr>
    </w:div>
    <w:div w:id="965742921">
      <w:bodyDiv w:val="1"/>
      <w:marLeft w:val="0"/>
      <w:marRight w:val="0"/>
      <w:marTop w:val="0"/>
      <w:marBottom w:val="0"/>
      <w:divBdr>
        <w:top w:val="none" w:sz="0" w:space="0" w:color="auto"/>
        <w:left w:val="none" w:sz="0" w:space="0" w:color="auto"/>
        <w:bottom w:val="none" w:sz="0" w:space="0" w:color="auto"/>
        <w:right w:val="none" w:sz="0" w:space="0" w:color="auto"/>
      </w:divBdr>
    </w:div>
    <w:div w:id="1013265463">
      <w:bodyDiv w:val="1"/>
      <w:marLeft w:val="0"/>
      <w:marRight w:val="0"/>
      <w:marTop w:val="0"/>
      <w:marBottom w:val="0"/>
      <w:divBdr>
        <w:top w:val="none" w:sz="0" w:space="0" w:color="auto"/>
        <w:left w:val="none" w:sz="0" w:space="0" w:color="auto"/>
        <w:bottom w:val="none" w:sz="0" w:space="0" w:color="auto"/>
        <w:right w:val="none" w:sz="0" w:space="0" w:color="auto"/>
      </w:divBdr>
    </w:div>
    <w:div w:id="1065495724">
      <w:bodyDiv w:val="1"/>
      <w:marLeft w:val="0"/>
      <w:marRight w:val="0"/>
      <w:marTop w:val="0"/>
      <w:marBottom w:val="0"/>
      <w:divBdr>
        <w:top w:val="none" w:sz="0" w:space="0" w:color="auto"/>
        <w:left w:val="none" w:sz="0" w:space="0" w:color="auto"/>
        <w:bottom w:val="none" w:sz="0" w:space="0" w:color="auto"/>
        <w:right w:val="none" w:sz="0" w:space="0" w:color="auto"/>
      </w:divBdr>
    </w:div>
    <w:div w:id="1100829985">
      <w:bodyDiv w:val="1"/>
      <w:marLeft w:val="0"/>
      <w:marRight w:val="0"/>
      <w:marTop w:val="0"/>
      <w:marBottom w:val="0"/>
      <w:divBdr>
        <w:top w:val="none" w:sz="0" w:space="0" w:color="auto"/>
        <w:left w:val="none" w:sz="0" w:space="0" w:color="auto"/>
        <w:bottom w:val="none" w:sz="0" w:space="0" w:color="auto"/>
        <w:right w:val="none" w:sz="0" w:space="0" w:color="auto"/>
      </w:divBdr>
    </w:div>
    <w:div w:id="1117993588">
      <w:bodyDiv w:val="1"/>
      <w:marLeft w:val="0"/>
      <w:marRight w:val="0"/>
      <w:marTop w:val="0"/>
      <w:marBottom w:val="0"/>
      <w:divBdr>
        <w:top w:val="none" w:sz="0" w:space="0" w:color="auto"/>
        <w:left w:val="none" w:sz="0" w:space="0" w:color="auto"/>
        <w:bottom w:val="none" w:sz="0" w:space="0" w:color="auto"/>
        <w:right w:val="none" w:sz="0" w:space="0" w:color="auto"/>
      </w:divBdr>
    </w:div>
    <w:div w:id="1220677106">
      <w:bodyDiv w:val="1"/>
      <w:marLeft w:val="0"/>
      <w:marRight w:val="0"/>
      <w:marTop w:val="0"/>
      <w:marBottom w:val="0"/>
      <w:divBdr>
        <w:top w:val="none" w:sz="0" w:space="0" w:color="auto"/>
        <w:left w:val="none" w:sz="0" w:space="0" w:color="auto"/>
        <w:bottom w:val="none" w:sz="0" w:space="0" w:color="auto"/>
        <w:right w:val="none" w:sz="0" w:space="0" w:color="auto"/>
      </w:divBdr>
    </w:div>
    <w:div w:id="1628320340">
      <w:bodyDiv w:val="1"/>
      <w:marLeft w:val="0"/>
      <w:marRight w:val="0"/>
      <w:marTop w:val="0"/>
      <w:marBottom w:val="0"/>
      <w:divBdr>
        <w:top w:val="none" w:sz="0" w:space="0" w:color="auto"/>
        <w:left w:val="none" w:sz="0" w:space="0" w:color="auto"/>
        <w:bottom w:val="none" w:sz="0" w:space="0" w:color="auto"/>
        <w:right w:val="none" w:sz="0" w:space="0" w:color="auto"/>
      </w:divBdr>
    </w:div>
    <w:div w:id="1628467812">
      <w:bodyDiv w:val="1"/>
      <w:marLeft w:val="0"/>
      <w:marRight w:val="0"/>
      <w:marTop w:val="0"/>
      <w:marBottom w:val="0"/>
      <w:divBdr>
        <w:top w:val="none" w:sz="0" w:space="0" w:color="auto"/>
        <w:left w:val="none" w:sz="0" w:space="0" w:color="auto"/>
        <w:bottom w:val="none" w:sz="0" w:space="0" w:color="auto"/>
        <w:right w:val="none" w:sz="0" w:space="0" w:color="auto"/>
      </w:divBdr>
    </w:div>
    <w:div w:id="1796024243">
      <w:bodyDiv w:val="1"/>
      <w:marLeft w:val="0"/>
      <w:marRight w:val="0"/>
      <w:marTop w:val="0"/>
      <w:marBottom w:val="0"/>
      <w:divBdr>
        <w:top w:val="none" w:sz="0" w:space="0" w:color="auto"/>
        <w:left w:val="none" w:sz="0" w:space="0" w:color="auto"/>
        <w:bottom w:val="none" w:sz="0" w:space="0" w:color="auto"/>
        <w:right w:val="none" w:sz="0" w:space="0" w:color="auto"/>
      </w:divBdr>
    </w:div>
    <w:div w:id="1853185704">
      <w:bodyDiv w:val="1"/>
      <w:marLeft w:val="0"/>
      <w:marRight w:val="0"/>
      <w:marTop w:val="0"/>
      <w:marBottom w:val="0"/>
      <w:divBdr>
        <w:top w:val="none" w:sz="0" w:space="0" w:color="auto"/>
        <w:left w:val="none" w:sz="0" w:space="0" w:color="auto"/>
        <w:bottom w:val="none" w:sz="0" w:space="0" w:color="auto"/>
        <w:right w:val="none" w:sz="0" w:space="0" w:color="auto"/>
      </w:divBdr>
    </w:div>
    <w:div w:id="1906835521">
      <w:bodyDiv w:val="1"/>
      <w:marLeft w:val="0"/>
      <w:marRight w:val="0"/>
      <w:marTop w:val="0"/>
      <w:marBottom w:val="0"/>
      <w:divBdr>
        <w:top w:val="none" w:sz="0" w:space="0" w:color="auto"/>
        <w:left w:val="none" w:sz="0" w:space="0" w:color="auto"/>
        <w:bottom w:val="none" w:sz="0" w:space="0" w:color="auto"/>
        <w:right w:val="none" w:sz="0" w:space="0" w:color="auto"/>
      </w:divBdr>
    </w:div>
    <w:div w:id="1988900571">
      <w:bodyDiv w:val="1"/>
      <w:marLeft w:val="0"/>
      <w:marRight w:val="0"/>
      <w:marTop w:val="0"/>
      <w:marBottom w:val="0"/>
      <w:divBdr>
        <w:top w:val="none" w:sz="0" w:space="0" w:color="auto"/>
        <w:left w:val="none" w:sz="0" w:space="0" w:color="auto"/>
        <w:bottom w:val="none" w:sz="0" w:space="0" w:color="auto"/>
        <w:right w:val="none" w:sz="0" w:space="0" w:color="auto"/>
      </w:divBdr>
    </w:div>
    <w:div w:id="2021198299">
      <w:bodyDiv w:val="1"/>
      <w:marLeft w:val="0"/>
      <w:marRight w:val="0"/>
      <w:marTop w:val="0"/>
      <w:marBottom w:val="0"/>
      <w:divBdr>
        <w:top w:val="none" w:sz="0" w:space="0" w:color="auto"/>
        <w:left w:val="none" w:sz="0" w:space="0" w:color="auto"/>
        <w:bottom w:val="none" w:sz="0" w:space="0" w:color="auto"/>
        <w:right w:val="none" w:sz="0" w:space="0" w:color="auto"/>
      </w:divBdr>
    </w:div>
    <w:div w:id="20525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AKE15</b:Tag>
    <b:SourceType>JournalArticle</b:SourceType>
    <b:Guid>{93CEE29B-19B0-41DB-B659-724E3474D080}</b:Guid>
    <b:Title>STAKEHOLDERS’PARTICIPATION AND EDUCATION SERVICE DELIVERY IN URBAN COUNCILS IN UGANDA. A CASE STUDY OF KITGUM URBAN COUNCIL (Doctoral dissertation, Uganda Management Institute).</b:Title>
    <b:Year> (2015)</b:Year>
    <b:Author>
      <b:Author>
        <b:NameList>
          <b:Person>
            <b:Last>AKENA</b:Last>
            <b:First>F. A</b:First>
          </b:Person>
        </b:NameList>
      </b:Author>
    </b:Author>
    <b:RefOrder>1</b:RefOrder>
  </b:Source>
  <b:Source>
    <b:Tag>Sse17</b:Tag>
    <b:SourceType>JournalArticle</b:SourceType>
    <b:Guid>{83620738-BD27-47A8-A3C4-6604B437D19D}</b:Guid>
    <b:Title> Community participation and service delivery in local government: a case study of Kyazanga sub county Lwengo district (Doctoral dissertation, Kampala International University, College of Humanities and Social Sciences).</b:Title>
    <b:Year>(2017).</b:Year>
    <b:Author>
      <b:Author>
        <b:NameList>
          <b:Person>
            <b:Last>Ssemanda</b:Last>
            <b:First>, R.</b:First>
          </b:Person>
        </b:NameList>
      </b:Author>
    </b:Author>
    <b:RefOrder>2</b:RefOrder>
  </b:Source>
  <b:Source>
    <b:Tag>Bys16</b:Tag>
    <b:SourceType>JournalArticle</b:SourceType>
    <b:Guid>{AF65A5B0-B9E0-4A06-BF4D-A2D03CF5EC84}</b:Guid>
    <b:Title>Decentralization policy and rural development in Uganda case study of Kiseks Sub County Lwengo District.</b:Title>
    <b:Year>(2016).</b:Year>
    <b:Author>
      <b:Author>
        <b:NameList>
          <b:Person>
            <b:Last>Byswieza</b:Last>
            <b:First>J.</b:First>
          </b:Person>
        </b:NameList>
      </b:Author>
    </b:Author>
    <b:RefOrder>3</b:RefOrder>
  </b:Source>
  <b:Source>
    <b:Tag>Gon24</b:Tag>
    <b:SourceType>JournalArticle</b:SourceType>
    <b:Guid>{A953E531-3273-4729-AA47-2E135971D7C0}</b:Guid>
    <b:Title>Community involvement and performance of secondary schools in Kassanda Town Council, Kassanda District</b:Title>
    <b:JournalName>World Journal of Advanced Research and Reviews</b:JournalName>
    <b:Year>(2024).</b:Year>
    <b:Pages>, 22(02), 076-082.</b:Pages>
    <b:Author>
      <b:Author>
        <b:NameList>
          <b:Person>
            <b:Last>Gonzaga,</b:Last>
            <b:First>K.</b:First>
          </b:Person>
          <b:Person>
            <b:Last>Specioza</b:Last>
            <b:First> A.</b:First>
          </b:Person>
          <b:Person>
            <b:Last>Tina,</b:Last>
            <b:First>A.</b:First>
          </b:Person>
        </b:NameList>
      </b:Author>
    </b:Author>
    <b:RefOrder>4</b:RefOrder>
  </b:Source>
  <b:Source>
    <b:Tag>Wat19</b:Tag>
    <b:SourceType>JournalArticle</b:SourceType>
    <b:Guid>{3DBFBFCE-601F-4622-9D88-70664BCA9A4F}</b:Guid>
    <b:Title>Community involvement and performance of secondary schools in Khabutola Sub-County Manafwa District, Eastern Uganda.</b:Title>
    <b:Year>(2019).</b:Year>
    <b:Author>
      <b:Author>
        <b:NameList>
          <b:Person>
            <b:Last>Watamba,</b:Last>
            <b:First>P.</b:First>
          </b:Person>
        </b:NameList>
      </b:Author>
    </b:Author>
    <b:RefOrder>5</b:RefOrder>
  </b:Source>
  <b:Source>
    <b:Tag>PAS26</b:Tag>
    <b:SourceType>JournalArticle</b:SourceType>
    <b:Guid>{69814045-0C76-4556-BD95-0B65C7E19D79}</b:Guid>
    <b:Title>HEADTEACHERS’STRATEGIC MANAGEMENT AND TEACHERS’PERFORMANCE IN PRIMARY SCHOOLS: A CASE OF KITAGWENDA DISTRICT, UGANDA.</b:Title>
    <b:Year> (2026).</b:Year>
    <b:Author>
      <b:Author>
        <b:NameList>
          <b:Person>
            <b:Last>PASCHAL</b:Last>
            <b:First> M. K.</b:First>
          </b:Person>
        </b:NameList>
      </b:Author>
    </b:Author>
    <b:RefOrder>6</b:RefOrder>
  </b:Source>
  <b:Source>
    <b:Tag>CHA</b:Tag>
    <b:SourceType>JournalArticle</b:SourceType>
    <b:Guid>{A05D463F-7BB2-4C5B-AEEB-5AD4671B57E3}</b:Guid>
    <b:Title>FACULTY OF EDUCATION.</b:Title>
    <b:Author>
      <b:Author>
        <b:NameList>
          <b:Person>
            <b:Last>CHARLES, </b:Last>
            <b:First> D. M.</b:First>
          </b:Person>
          <b:Person>
            <b:Last>PAULINE,</b:Last>
            <b:First> A.</b:First>
          </b:Person>
          <b:Person>
            <b:Last>BALYEBUGA</b:Last>
            <b:First>A.</b:First>
          </b:Person>
        </b:NameList>
      </b:Author>
    </b:Author>
    <b:RefOrder>7</b:RefOrder>
  </b:Source>
  <b:Source>
    <b:Tag>Nis09</b:Tag>
    <b:SourceType>JournalArticle</b:SourceType>
    <b:Guid>{79757821-227C-4C72-A15B-E66B541841E9}</b:Guid>
    <b:Title>Adipose tissue inflammation in obesity and metabolic syndrome. Discovery medicine.</b:Title>
    <b:Year> (2009)</b:Year>
    <b:Author>
      <b:Author>
        <b:NameList>
          <b:Person>
            <b:Last>Nishimura,</b:Last>
            <b:First> S.</b:First>
          </b:Person>
          <b:Person>
            <b:Last>Manabe</b:Last>
            <b:First>I.</b:First>
          </b:Person>
          <b:Person>
            <b:Last>Nagai</b:Last>
            <b:First>R.</b:First>
          </b:Person>
        </b:NameList>
      </b:Author>
    </b:Author>
    <b:RefOrder>8</b:RefOrder>
  </b:Source>
  <b:Source>
    <b:Tag>Sse12</b:Tag>
    <b:SourceType>JournalArticle</b:SourceType>
    <b:Guid>{482CFF7D-7319-431E-9AB5-0266F65E73E5}</b:Guid>
    <b:Title>Poverty and inequality dynamics in Uganda: Insights from the Uganda National Panel Surveys 2005/6 and 2009/10.</b:Title>
    <b:Year>(2012)</b:Year>
    <b:Author>
      <b:Author>
        <b:NameList>
          <b:Person>
            <b:Last>Ssewanyana</b:Last>
            <b:First>S</b:First>
          </b:Person>
          <b:Person>
            <b:Last> Kasirye</b:Last>
            <b:First>I. </b:First>
          </b:Person>
        </b:NameList>
      </b:Author>
    </b:Author>
    <b:RefOrder>9</b:RefOrder>
  </b:Source>
  <b:Source>
    <b:Tag>Sse121</b:Tag>
    <b:SourceType>JournalArticle</b:SourceType>
    <b:Guid>{27379FDE-F3CA-41A4-8C3D-B3B5C758AF07}</b:Guid>
    <b:Title>Poverty and inequality dynamics in Uganda: Insights from the Uganda National Panel Surveys 2005/6 and 2009/10.</b:Title>
    <b:Year>(2012)</b:Year>
    <b:Author>
      <b:Author>
        <b:NameList>
          <b:Person>
            <b:Last>Ssewanyana,</b:Last>
            <b:First>S.</b:First>
          </b:Person>
          <b:Person>
            <b:Last>Kasirye,</b:Last>
            <b:First>, I.</b:First>
          </b:Person>
        </b:NameList>
      </b:Author>
    </b:Author>
    <b:RefOrder>10</b:RefOrder>
  </b:Source>
</b:Sources>
</file>

<file path=customXml/itemProps1.xml><?xml version="1.0" encoding="utf-8"?>
<ds:datastoreItem xmlns:ds="http://schemas.openxmlformats.org/officeDocument/2006/customXml" ds:itemID="{0CF09963-F0B5-4AD2-A1FE-0876914A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8670</Words>
  <Characters>49422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42</cp:revision>
  <dcterms:created xsi:type="dcterms:W3CDTF">2026-04-29T19:33:00Z</dcterms:created>
  <dcterms:modified xsi:type="dcterms:W3CDTF">2026-05-16T07:56:00Z</dcterms:modified>
</cp:coreProperties>
</file>