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92EF9" w14:textId="77777777" w:rsidR="00105F90" w:rsidRPr="00EC6393" w:rsidRDefault="00105F90" w:rsidP="00EE51C3">
      <w:pPr>
        <w:pStyle w:val="IEEEAuthorName"/>
        <w:spacing w:before="0" w:after="240"/>
        <w:ind w:left="720" w:hanging="720"/>
        <w:rPr>
          <w:rFonts w:eastAsia="SimSun"/>
          <w:b/>
          <w:bCs/>
          <w:sz w:val="24"/>
          <w:szCs w:val="20"/>
          <w:lang w:val="en-AU" w:eastAsia="zh-CN"/>
        </w:rPr>
      </w:pPr>
      <w:r w:rsidRPr="00EC6393">
        <w:rPr>
          <w:rFonts w:eastAsia="SimSun"/>
          <w:b/>
          <w:bCs/>
          <w:sz w:val="24"/>
          <w:szCs w:val="20"/>
          <w:lang w:val="en-AU" w:eastAsia="zh-CN"/>
        </w:rPr>
        <w:t>Online Security Behaviors as Predictors of Susceptibility to Simulated Phishing Attacks: A Quantitative Study Among Computer Studies Students at Quezon City University</w:t>
      </w:r>
    </w:p>
    <w:p w14:paraId="1D945935" w14:textId="77777777" w:rsidR="00EE51C3" w:rsidRDefault="00EE51C3" w:rsidP="00EE51C3">
      <w:pPr>
        <w:rPr>
          <w:sz w:val="20"/>
          <w:szCs w:val="20"/>
          <w:lang w:val="en-GB" w:eastAsia="en-GB"/>
        </w:rPr>
      </w:pPr>
      <w:bookmarkStart w:id="0" w:name="_GoBack"/>
      <w:bookmarkEnd w:id="0"/>
    </w:p>
    <w:p w14:paraId="7BA1FC6F" w14:textId="39BCDDC3" w:rsidR="00E01EC2" w:rsidRPr="00EC6393" w:rsidRDefault="00E01EC2" w:rsidP="00EE51C3">
      <w:pPr>
        <w:rPr>
          <w:sz w:val="20"/>
          <w:szCs w:val="20"/>
          <w:lang w:val="en-GB" w:eastAsia="en-GB"/>
        </w:rPr>
        <w:sectPr w:rsidR="00E01EC2" w:rsidRPr="00EC6393" w:rsidSect="00856D4D">
          <w:headerReference w:type="default" r:id="rId9"/>
          <w:footerReference w:type="default" r:id="rId10"/>
          <w:pgSz w:w="11907" w:h="16839" w:code="9"/>
          <w:pgMar w:top="809" w:right="605" w:bottom="605" w:left="605" w:header="288" w:footer="144" w:gutter="0"/>
          <w:cols w:space="238"/>
          <w:docGrid w:linePitch="360"/>
        </w:sectPr>
      </w:pPr>
    </w:p>
    <w:p w14:paraId="18370332" w14:textId="77777777" w:rsidR="0099657B" w:rsidRPr="00EC6393" w:rsidRDefault="0099657B" w:rsidP="0099657B">
      <w:pPr>
        <w:spacing w:after="240"/>
        <w:jc w:val="both"/>
        <w:rPr>
          <w:b/>
          <w:bCs/>
          <w:sz w:val="20"/>
          <w:szCs w:val="20"/>
        </w:rPr>
      </w:pPr>
      <w:r w:rsidRPr="00EC6393">
        <w:rPr>
          <w:b/>
          <w:bCs/>
          <w:sz w:val="20"/>
          <w:szCs w:val="20"/>
        </w:rPr>
        <w:lastRenderedPageBreak/>
        <w:t>ABSTRACT</w:t>
      </w:r>
    </w:p>
    <w:p w14:paraId="5FF9E3B7" w14:textId="17611A38" w:rsidR="00EC6393" w:rsidRDefault="0099657B" w:rsidP="00E01EC2">
      <w:pPr>
        <w:spacing w:after="240"/>
        <w:ind w:firstLine="360"/>
        <w:jc w:val="both"/>
        <w:rPr>
          <w:sz w:val="20"/>
          <w:szCs w:val="20"/>
        </w:rPr>
      </w:pPr>
      <w:r w:rsidRPr="00EC6393">
        <w:rPr>
          <w:sz w:val="20"/>
          <w:szCs w:val="20"/>
        </w:rPr>
        <w:t>Phishing attacks remain one of the most prevalent cybersecurity threats facing individuals and institutions, yet existing research suggests that security awareness alone does not reliably translate into phishing-resistant behavior. This study examined the relationship between online security behaviors and susceptibility to simulated phishing attacks among 100 Computer Studies students at Quezon City University, using a quantitative correlational research design. Data were collected through a structured 5-point Likert-scale behavioral questionnaire assessing four dimensions</w:t>
      </w:r>
      <w:r w:rsidR="00E01EC2">
        <w:rPr>
          <w:sz w:val="20"/>
          <w:szCs w:val="20"/>
        </w:rPr>
        <w:t>,</w:t>
      </w:r>
      <w:r w:rsidRPr="00EC6393">
        <w:rPr>
          <w:sz w:val="20"/>
          <w:szCs w:val="20"/>
        </w:rPr>
        <w:t xml:space="preserve"> Technical Verification Behavior, Visual Trust Behavior, Reporting Behavior, and General Cybersecurity Awareness and Practices</w:t>
      </w:r>
      <w:r w:rsidR="00E01EC2">
        <w:rPr>
          <w:sz w:val="20"/>
          <w:szCs w:val="20"/>
        </w:rPr>
        <w:t xml:space="preserve">, </w:t>
      </w:r>
      <w:r w:rsidRPr="00EC6393">
        <w:rPr>
          <w:sz w:val="20"/>
          <w:szCs w:val="20"/>
        </w:rPr>
        <w:t xml:space="preserve"> and a live phishing simulation deployed via the Gophish framework. Simulation results revealed that 21% of participants clicked the phishing link and 9% submitted their credentials, with zero students reporting the phishing email across all year levels. Willingness to submit credentials was significantly higher (p = 0.001, df = 3 and 96; ANOVA) for first-year college students than for all other year levels, as confirmed by post-hoc comparisons. Post-hoc comparisons confirmed that the willingness to submit credentials differed significantly by year level. Additionally, because the sample size used to compute the Pearson r correlations was small, we do not conclude that findings are devoid of an actual relationship between behaviour and individual vulnerability to submitting credentials; however, we do suggest these findings represent another form of the generally observed knowledge-behaviour gap and that awareness-only cybersecurity programs alone are inadequate. Implications for simulation-based cybersecurity training and future individual-level research designs are discussed. </w:t>
      </w:r>
    </w:p>
    <w:p w14:paraId="11825B73" w14:textId="7C944A78" w:rsidR="0099657B" w:rsidRPr="00EC6393" w:rsidRDefault="0099657B" w:rsidP="0099657B">
      <w:pPr>
        <w:spacing w:after="240"/>
        <w:jc w:val="both"/>
        <w:rPr>
          <w:sz w:val="20"/>
          <w:szCs w:val="20"/>
        </w:rPr>
      </w:pPr>
      <w:r w:rsidRPr="00EC6393">
        <w:rPr>
          <w:b/>
          <w:bCs/>
          <w:sz w:val="20"/>
          <w:szCs w:val="20"/>
        </w:rPr>
        <w:t xml:space="preserve">Keywords: </w:t>
      </w:r>
      <w:r w:rsidRPr="00EC6393">
        <w:rPr>
          <w:i/>
          <w:sz w:val="20"/>
          <w:szCs w:val="20"/>
        </w:rPr>
        <w:t>cybersecurity awareness, online security behavior, phishing simulation, phishing susceptibility, visual trust behavior</w:t>
      </w:r>
    </w:p>
    <w:p w14:paraId="4D948574" w14:textId="77777777" w:rsidR="0099657B" w:rsidRPr="00EC6393" w:rsidRDefault="0099657B" w:rsidP="00EC6393">
      <w:pPr>
        <w:pStyle w:val="IEEEParagraph"/>
        <w:ind w:firstLine="0"/>
        <w:rPr>
          <w:sz w:val="20"/>
          <w:szCs w:val="20"/>
        </w:rPr>
      </w:pPr>
    </w:p>
    <w:p w14:paraId="55D07FB7" w14:textId="77777777" w:rsidR="0099657B" w:rsidRPr="00EC6393" w:rsidRDefault="0099657B" w:rsidP="0099657B">
      <w:pPr>
        <w:pStyle w:val="IEEEHeading1"/>
        <w:numPr>
          <w:ilvl w:val="0"/>
          <w:numId w:val="0"/>
        </w:numPr>
        <w:spacing w:before="0" w:after="240"/>
        <w:jc w:val="both"/>
        <w:rPr>
          <w:b/>
          <w:szCs w:val="20"/>
        </w:rPr>
      </w:pPr>
      <w:r w:rsidRPr="00EC6393">
        <w:rPr>
          <w:b/>
          <w:szCs w:val="20"/>
        </w:rPr>
        <w:t>INTRODUCTION</w:t>
      </w:r>
    </w:p>
    <w:p w14:paraId="2B938463" w14:textId="77777777" w:rsidR="00EC6393" w:rsidRDefault="0099657B" w:rsidP="00EC6393">
      <w:pPr>
        <w:pStyle w:val="NormalWeb"/>
        <w:ind w:firstLine="360"/>
        <w:jc w:val="both"/>
        <w:rPr>
          <w:sz w:val="20"/>
          <w:szCs w:val="20"/>
          <w:lang w:val="en-AU"/>
        </w:rPr>
      </w:pPr>
      <w:r w:rsidRPr="00EC6393">
        <w:rPr>
          <w:sz w:val="20"/>
          <w:szCs w:val="20"/>
        </w:rPr>
        <w:t>​‍​‌‍​‍</w:t>
      </w:r>
      <w:bookmarkStart w:id="1" w:name="_Hlk229587750"/>
      <w:r w:rsidRPr="00EC6393">
        <w:rPr>
          <w:sz w:val="20"/>
          <w:szCs w:val="20"/>
          <w:lang w:val="en-AU"/>
        </w:rPr>
        <w:t>In the age of technology, cybersecurity has become one of the major concerns with rapid technological development changing the way people are interacting with technology. As technologies change how people connect, communicate, store data, and perform their day-to-day tasks, the increased complexity has led users to become vulnerable to an array of cyber threats which jeopardize data security, privacy and integrity of digital infrastructures (Green, 2022). Phishing attacks, among the most prevalent and threatening of the cybercrimes, targeted at stealing user data using misleading emails, messages and web pages. With the rapidly evolving technique used by Phishing attacks (Spear Phishing, Smishing, Whaling etc.), it has become more difficult for users to recognize such type of attack, which increases user exposure of risks (</w:t>
      </w:r>
      <w:r w:rsidR="007D353D" w:rsidRPr="00EC6393">
        <w:rPr>
          <w:sz w:val="20"/>
          <w:szCs w:val="20"/>
          <w:lang w:val="en-AU"/>
        </w:rPr>
        <w:t>Putra et al., 2024</w:t>
      </w:r>
      <w:r w:rsidRPr="00EC6393">
        <w:rPr>
          <w:sz w:val="20"/>
          <w:szCs w:val="20"/>
          <w:lang w:val="en-AU"/>
        </w:rPr>
        <w:t>).</w:t>
      </w:r>
    </w:p>
    <w:p w14:paraId="3AC081BF" w14:textId="28086F36" w:rsidR="0099657B" w:rsidRPr="00EC6393" w:rsidRDefault="0099657B" w:rsidP="00EC6393">
      <w:pPr>
        <w:pStyle w:val="NormalWeb"/>
        <w:ind w:firstLine="360"/>
        <w:jc w:val="both"/>
        <w:rPr>
          <w:sz w:val="20"/>
          <w:szCs w:val="20"/>
          <w:lang w:val="en-AU"/>
        </w:rPr>
      </w:pPr>
      <w:r w:rsidRPr="00EC6393">
        <w:rPr>
          <w:sz w:val="20"/>
          <w:szCs w:val="20"/>
          <w:lang w:val="en-AU"/>
        </w:rPr>
        <w:t>Even though technical tools (filtering, encryption, multi-factor authentication, and so on) are constantly updated, phishing attacks still persist due to the human factor, which studies consider to be the element with the greatest impact on cybersecurity incidents, as technologies fail when users’ awareness and behavior are poor (Senthilkumar et al., 2021). Particularly, students who regularly use digital devices for their studies and personal needs are susceptible to phishing attacks. Between the years of 2020 and 2021, research completed in many academic institutions ascertained that many students have fallen victim to phishing attacks. Many of these same victims reported that they were aware of such dangerous behaviors yet still engaged in clicking malicious website links (</w:t>
      </w:r>
      <w:r w:rsidR="007D353D" w:rsidRPr="00EC6393">
        <w:rPr>
          <w:sz w:val="20"/>
          <w:szCs w:val="20"/>
          <w:lang w:val="en-AU"/>
        </w:rPr>
        <w:t>Diaz et al., 2020</w:t>
      </w:r>
      <w:r w:rsidRPr="00EC6393">
        <w:rPr>
          <w:sz w:val="20"/>
          <w:szCs w:val="20"/>
          <w:lang w:val="en-AU"/>
        </w:rPr>
        <w:t>). Cybersecurity awareness and comprehension does not always equate to secure online behavior.</w:t>
      </w:r>
    </w:p>
    <w:p w14:paraId="7522A66F" w14:textId="77777777" w:rsidR="00EC6393" w:rsidRDefault="0099657B" w:rsidP="00EC6393">
      <w:pPr>
        <w:pStyle w:val="NormalWeb"/>
        <w:ind w:firstLine="360"/>
        <w:jc w:val="both"/>
        <w:rPr>
          <w:sz w:val="20"/>
          <w:szCs w:val="20"/>
          <w:lang w:val="en-AU"/>
        </w:rPr>
      </w:pPr>
      <w:r w:rsidRPr="00EC6393">
        <w:rPr>
          <w:sz w:val="20"/>
          <w:szCs w:val="20"/>
          <w:lang w:val="en-AU"/>
        </w:rPr>
        <w:t>Several studies indicate that cybersecurity behavior is one of the essential factors in protecting against cyber threats, yet studies have focused more on the organizational level than on individuals and students (Almansoori et al., 2023). Behavioral cybersecurity suggests that psychological variables, such as perceived severity, self-efficacy, and response to security cues, may affect how individuals respond to attacks (Gwenhure</w:t>
      </w:r>
      <w:r w:rsidR="007D353D" w:rsidRPr="00EC6393">
        <w:rPr>
          <w:sz w:val="20"/>
          <w:szCs w:val="20"/>
          <w:lang w:val="en-AU"/>
        </w:rPr>
        <w:t xml:space="preserve">, </w:t>
      </w:r>
      <w:r w:rsidRPr="00EC6393">
        <w:rPr>
          <w:sz w:val="20"/>
          <w:szCs w:val="20"/>
          <w:lang w:val="en-AU"/>
        </w:rPr>
        <w:t>2025). Contrary to expectations, research shows that users with knowledge about phishing might still be highly susceptible (Jayatilaka et al., 2024), and vulnerability is related not just to knowledge but to online behaviors.</w:t>
      </w:r>
      <w:r w:rsidRPr="00EC6393">
        <w:rPr>
          <w:sz w:val="20"/>
          <w:szCs w:val="20"/>
          <w:lang w:val="en-AU"/>
        </w:rPr>
        <w:br/>
      </w:r>
      <w:r w:rsidRPr="00EC6393">
        <w:rPr>
          <w:sz w:val="20"/>
          <w:szCs w:val="20"/>
          <w:lang w:val="en-AU"/>
        </w:rPr>
        <w:br/>
        <w:t>While phishing attacks and individual behavior have been analyzed separately, studies that examine the direct relationship between user behaviors and susceptibility to phishing attacks have not been deeply explored. This highlights the need for an empirical study showing how behaviors such as password management, email verification practices, and safe browsing practices affect users’ vulnerability to phishing attacks.</w:t>
      </w:r>
    </w:p>
    <w:bookmarkEnd w:id="1"/>
    <w:p w14:paraId="063E564E" w14:textId="42CFD010" w:rsidR="0099657B" w:rsidRPr="00EC6393" w:rsidRDefault="0099657B" w:rsidP="00EC6393">
      <w:pPr>
        <w:pStyle w:val="NormalWeb"/>
        <w:ind w:firstLine="360"/>
        <w:jc w:val="both"/>
        <w:rPr>
          <w:sz w:val="20"/>
          <w:szCs w:val="20"/>
          <w:lang w:val="en-AU"/>
        </w:rPr>
      </w:pPr>
      <w:r w:rsidRPr="00EC6393">
        <w:rPr>
          <w:sz w:val="20"/>
          <w:szCs w:val="20"/>
          <w:lang w:val="en-AU"/>
        </w:rPr>
        <w:t>Thus, the purpose of this study will evaluate the extent to which security online behaviors are correlated with the susceptibility of Quezon City University's College of Computer Studies students to phishing attacks. Additionally, the study will evaluate how user behavior correlates with the ability to be susceptible to phishing using the information gained through this study to assist in creating more user-focused recommendations and as an informational basis for the development of effective user awareness programs.</w:t>
      </w:r>
    </w:p>
    <w:p w14:paraId="2081A09D" w14:textId="77777777" w:rsidR="0099657B" w:rsidRPr="00EC6393" w:rsidRDefault="0099657B" w:rsidP="0099657B">
      <w:pPr>
        <w:pStyle w:val="NormalWeb"/>
        <w:jc w:val="both"/>
        <w:rPr>
          <w:sz w:val="20"/>
          <w:szCs w:val="20"/>
        </w:rPr>
      </w:pPr>
    </w:p>
    <w:p w14:paraId="2B9D8B58" w14:textId="5BF85476" w:rsidR="0099657B" w:rsidRPr="00EC6393" w:rsidRDefault="0099657B" w:rsidP="00EC6393">
      <w:pPr>
        <w:pStyle w:val="NormalWeb"/>
        <w:numPr>
          <w:ilvl w:val="0"/>
          <w:numId w:val="15"/>
        </w:numPr>
        <w:ind w:left="360"/>
        <w:jc w:val="both"/>
        <w:rPr>
          <w:b/>
          <w:i/>
          <w:sz w:val="20"/>
          <w:szCs w:val="20"/>
        </w:rPr>
      </w:pPr>
      <w:r w:rsidRPr="00EC6393">
        <w:rPr>
          <w:b/>
          <w:i/>
          <w:sz w:val="20"/>
          <w:szCs w:val="20"/>
        </w:rPr>
        <w:t>Statement of the Problem</w:t>
      </w:r>
    </w:p>
    <w:p w14:paraId="55F77985" w14:textId="6A1F48C5" w:rsidR="0099657B" w:rsidRPr="00EC6393" w:rsidRDefault="00EC6393" w:rsidP="00EC6393">
      <w:pPr>
        <w:ind w:firstLine="360"/>
        <w:jc w:val="both"/>
        <w:rPr>
          <w:sz w:val="20"/>
          <w:szCs w:val="20"/>
          <w:lang w:val="en-US"/>
        </w:rPr>
      </w:pPr>
      <w:r>
        <w:rPr>
          <w:sz w:val="20"/>
          <w:szCs w:val="20"/>
          <w:lang w:val="en-US"/>
        </w:rPr>
        <w:t>T</w:t>
      </w:r>
      <w:r w:rsidR="0099657B" w:rsidRPr="00EC6393">
        <w:rPr>
          <w:sz w:val="20"/>
          <w:szCs w:val="20"/>
          <w:lang w:val="en-US"/>
        </w:rPr>
        <w:t xml:space="preserve">he purpose of this study is to assess the impact of student patterns of online security behaviors on the nature of the students' susceptibility toward simulated phishing attempts amongst Computer Studies students from Quezon City University, by determining </w:t>
      </w:r>
      <w:r w:rsidR="0099657B" w:rsidRPr="00EC6393">
        <w:rPr>
          <w:sz w:val="20"/>
          <w:szCs w:val="20"/>
          <w:lang w:val="en-US"/>
        </w:rPr>
        <w:lastRenderedPageBreak/>
        <w:t xml:space="preserve">the relationship between technical verification behavior, visual-trust behavior, reporting behavior and general awareness of cyber security. </w:t>
      </w:r>
    </w:p>
    <w:p w14:paraId="11FDD942" w14:textId="77777777" w:rsidR="0099657B" w:rsidRPr="00EC6393" w:rsidRDefault="0099657B" w:rsidP="0099657B">
      <w:pPr>
        <w:rPr>
          <w:sz w:val="20"/>
          <w:szCs w:val="20"/>
          <w:lang w:val="en-US"/>
        </w:rPr>
      </w:pPr>
    </w:p>
    <w:p w14:paraId="528468B5" w14:textId="3BA215D0" w:rsidR="0099657B" w:rsidRPr="00EC6393" w:rsidRDefault="0099657B" w:rsidP="00E01EC2">
      <w:pPr>
        <w:ind w:firstLine="360"/>
        <w:rPr>
          <w:sz w:val="20"/>
          <w:szCs w:val="20"/>
          <w:lang w:val="en-US"/>
        </w:rPr>
      </w:pPr>
      <w:r w:rsidRPr="00EC6393">
        <w:rPr>
          <w:sz w:val="20"/>
          <w:szCs w:val="20"/>
          <w:lang w:val="en-US"/>
        </w:rPr>
        <w:t>To accomplish these research objectives, this study will address the following specific research questions</w:t>
      </w:r>
      <w:r w:rsidR="00E01EC2">
        <w:rPr>
          <w:sz w:val="20"/>
          <w:szCs w:val="20"/>
          <w:lang w:val="en-US"/>
        </w:rPr>
        <w:t>:</w:t>
      </w:r>
    </w:p>
    <w:p w14:paraId="3CB1B647" w14:textId="77777777" w:rsidR="0099657B" w:rsidRPr="00EC6393" w:rsidRDefault="0099657B" w:rsidP="0099657B">
      <w:pPr>
        <w:rPr>
          <w:sz w:val="20"/>
          <w:szCs w:val="20"/>
          <w:lang w:val="en-US"/>
        </w:rPr>
      </w:pPr>
    </w:p>
    <w:p w14:paraId="08AAA96C" w14:textId="77777777" w:rsidR="0099657B" w:rsidRPr="00EC6393" w:rsidRDefault="0099657B" w:rsidP="00E01EC2">
      <w:pPr>
        <w:ind w:left="360"/>
        <w:rPr>
          <w:sz w:val="20"/>
          <w:szCs w:val="20"/>
          <w:lang w:val="en-US"/>
        </w:rPr>
      </w:pPr>
      <w:r w:rsidRPr="00EC6393">
        <w:rPr>
          <w:sz w:val="20"/>
          <w:szCs w:val="20"/>
          <w:lang w:val="en-US"/>
        </w:rPr>
        <w:t xml:space="preserve">1) What is the demographic profile of respondents, as determined by year level? </w:t>
      </w:r>
    </w:p>
    <w:p w14:paraId="16324FBB" w14:textId="77777777" w:rsidR="0099657B" w:rsidRPr="00EC6393" w:rsidRDefault="0099657B" w:rsidP="00E01EC2">
      <w:pPr>
        <w:ind w:left="360"/>
        <w:rPr>
          <w:sz w:val="20"/>
          <w:szCs w:val="20"/>
          <w:lang w:val="en-US"/>
        </w:rPr>
      </w:pPr>
    </w:p>
    <w:p w14:paraId="232974F4" w14:textId="77777777" w:rsidR="0099657B" w:rsidRPr="00EC6393" w:rsidRDefault="0099657B" w:rsidP="00E01EC2">
      <w:pPr>
        <w:ind w:left="360"/>
        <w:rPr>
          <w:sz w:val="20"/>
          <w:szCs w:val="20"/>
          <w:lang w:val="en-US"/>
        </w:rPr>
      </w:pPr>
      <w:r w:rsidRPr="00EC6393">
        <w:rPr>
          <w:sz w:val="20"/>
          <w:szCs w:val="20"/>
          <w:lang w:val="en-US"/>
        </w:rPr>
        <w:t>2) What is the level of students’ online security behavior, with respect to the following categories?</w:t>
      </w:r>
    </w:p>
    <w:p w14:paraId="08787B14" w14:textId="36B76D4B" w:rsidR="0099657B" w:rsidRPr="00EC6393" w:rsidRDefault="0099657B" w:rsidP="00E01EC2">
      <w:pPr>
        <w:ind w:left="360"/>
        <w:rPr>
          <w:sz w:val="20"/>
          <w:szCs w:val="20"/>
          <w:lang w:val="en-US"/>
        </w:rPr>
      </w:pPr>
      <w:r w:rsidRPr="00EC6393">
        <w:rPr>
          <w:sz w:val="20"/>
          <w:szCs w:val="20"/>
          <w:lang w:val="en-US"/>
        </w:rPr>
        <w:t xml:space="preserve">     </w:t>
      </w:r>
      <w:r w:rsidR="00E01EC2">
        <w:rPr>
          <w:sz w:val="20"/>
          <w:szCs w:val="20"/>
          <w:lang w:val="en-US"/>
        </w:rPr>
        <w:t xml:space="preserve">a. </w:t>
      </w:r>
      <w:r w:rsidRPr="00EC6393">
        <w:rPr>
          <w:sz w:val="20"/>
          <w:szCs w:val="20"/>
          <w:lang w:val="en-US"/>
        </w:rPr>
        <w:t>Technical verification behavior;</w:t>
      </w:r>
    </w:p>
    <w:p w14:paraId="111657DB" w14:textId="0F088535" w:rsidR="0099657B" w:rsidRPr="00EC6393" w:rsidRDefault="0099657B" w:rsidP="00E01EC2">
      <w:pPr>
        <w:ind w:left="360"/>
        <w:rPr>
          <w:sz w:val="20"/>
          <w:szCs w:val="20"/>
          <w:lang w:val="en-US"/>
        </w:rPr>
      </w:pPr>
      <w:r w:rsidRPr="00EC6393">
        <w:rPr>
          <w:sz w:val="20"/>
          <w:szCs w:val="20"/>
          <w:lang w:val="en-US"/>
        </w:rPr>
        <w:t xml:space="preserve">     </w:t>
      </w:r>
      <w:r w:rsidR="00E01EC2">
        <w:rPr>
          <w:sz w:val="20"/>
          <w:szCs w:val="20"/>
          <w:lang w:val="en-US"/>
        </w:rPr>
        <w:t>b.</w:t>
      </w:r>
      <w:r w:rsidRPr="00EC6393">
        <w:rPr>
          <w:sz w:val="20"/>
          <w:szCs w:val="20"/>
          <w:lang w:val="en-US"/>
        </w:rPr>
        <w:t xml:space="preserve"> Visual-trust behavior;</w:t>
      </w:r>
    </w:p>
    <w:p w14:paraId="213518C5" w14:textId="4DBA5BF7" w:rsidR="0099657B" w:rsidRPr="00EC6393" w:rsidRDefault="0099657B" w:rsidP="00E01EC2">
      <w:pPr>
        <w:ind w:left="360"/>
        <w:rPr>
          <w:sz w:val="20"/>
          <w:szCs w:val="20"/>
          <w:lang w:val="en-US"/>
        </w:rPr>
      </w:pPr>
      <w:r w:rsidRPr="00EC6393">
        <w:rPr>
          <w:sz w:val="20"/>
          <w:szCs w:val="20"/>
          <w:lang w:val="en-US"/>
        </w:rPr>
        <w:t xml:space="preserve">     </w:t>
      </w:r>
      <w:r w:rsidR="00E01EC2">
        <w:rPr>
          <w:sz w:val="20"/>
          <w:szCs w:val="20"/>
          <w:lang w:val="en-US"/>
        </w:rPr>
        <w:t>c.</w:t>
      </w:r>
      <w:r w:rsidRPr="00EC6393">
        <w:rPr>
          <w:sz w:val="20"/>
          <w:szCs w:val="20"/>
          <w:lang w:val="en-US"/>
        </w:rPr>
        <w:t xml:space="preserve"> Reporting behavior;</w:t>
      </w:r>
    </w:p>
    <w:p w14:paraId="0D03F77D" w14:textId="32FE09CD" w:rsidR="0099657B" w:rsidRPr="00EC6393" w:rsidRDefault="0099657B" w:rsidP="00E01EC2">
      <w:pPr>
        <w:ind w:left="360"/>
        <w:rPr>
          <w:sz w:val="20"/>
          <w:szCs w:val="20"/>
          <w:lang w:val="en-US"/>
        </w:rPr>
      </w:pPr>
      <w:r w:rsidRPr="00EC6393">
        <w:rPr>
          <w:sz w:val="20"/>
          <w:szCs w:val="20"/>
          <w:lang w:val="en-US"/>
        </w:rPr>
        <w:t xml:space="preserve">     </w:t>
      </w:r>
      <w:r w:rsidR="00E01EC2">
        <w:rPr>
          <w:sz w:val="20"/>
          <w:szCs w:val="20"/>
          <w:lang w:val="en-US"/>
        </w:rPr>
        <w:t>d.</w:t>
      </w:r>
      <w:r w:rsidRPr="00EC6393">
        <w:rPr>
          <w:sz w:val="20"/>
          <w:szCs w:val="20"/>
          <w:lang w:val="en-US"/>
        </w:rPr>
        <w:t xml:space="preserve"> General cyber security awareness and practices? </w:t>
      </w:r>
    </w:p>
    <w:p w14:paraId="6C3A398B" w14:textId="77777777" w:rsidR="0099657B" w:rsidRPr="00EC6393" w:rsidRDefault="0099657B" w:rsidP="00E01EC2">
      <w:pPr>
        <w:ind w:left="360"/>
        <w:rPr>
          <w:sz w:val="20"/>
          <w:szCs w:val="20"/>
          <w:lang w:val="en-US"/>
        </w:rPr>
      </w:pPr>
    </w:p>
    <w:p w14:paraId="10BE801C" w14:textId="77777777" w:rsidR="0099657B" w:rsidRPr="00EC6393" w:rsidRDefault="0099657B" w:rsidP="00E01EC2">
      <w:pPr>
        <w:ind w:left="360"/>
        <w:rPr>
          <w:sz w:val="20"/>
          <w:szCs w:val="20"/>
          <w:lang w:val="en-US"/>
        </w:rPr>
      </w:pPr>
      <w:r w:rsidRPr="00EC6393">
        <w:rPr>
          <w:sz w:val="20"/>
          <w:szCs w:val="20"/>
          <w:lang w:val="en-US"/>
        </w:rPr>
        <w:t>3) What is the degree of susceptibility amongst students who have engaged in simulated phishing attempts with respect to:</w:t>
      </w:r>
    </w:p>
    <w:p w14:paraId="77457A53" w14:textId="08894450" w:rsidR="0099657B" w:rsidRPr="00EC6393" w:rsidRDefault="0099657B" w:rsidP="00E01EC2">
      <w:pPr>
        <w:ind w:left="360"/>
        <w:rPr>
          <w:sz w:val="20"/>
          <w:szCs w:val="20"/>
          <w:lang w:val="en-US"/>
        </w:rPr>
      </w:pPr>
      <w:r w:rsidRPr="00EC6393">
        <w:rPr>
          <w:sz w:val="20"/>
          <w:szCs w:val="20"/>
          <w:lang w:val="en-US"/>
        </w:rPr>
        <w:t xml:space="preserve">     </w:t>
      </w:r>
      <w:r w:rsidR="00E01EC2">
        <w:rPr>
          <w:sz w:val="20"/>
          <w:szCs w:val="20"/>
          <w:lang w:val="en-US"/>
        </w:rPr>
        <w:t>a.</w:t>
      </w:r>
      <w:r w:rsidRPr="00EC6393">
        <w:rPr>
          <w:sz w:val="20"/>
          <w:szCs w:val="20"/>
          <w:lang w:val="en-US"/>
        </w:rPr>
        <w:t xml:space="preserve"> Link click-rate; and</w:t>
      </w:r>
    </w:p>
    <w:p w14:paraId="3F72BF48" w14:textId="727D0A4C" w:rsidR="0099657B" w:rsidRPr="00EC6393" w:rsidRDefault="0099657B" w:rsidP="00E01EC2">
      <w:pPr>
        <w:ind w:left="360"/>
        <w:rPr>
          <w:sz w:val="20"/>
          <w:szCs w:val="20"/>
          <w:lang w:val="en-US"/>
        </w:rPr>
      </w:pPr>
      <w:r w:rsidRPr="00EC6393">
        <w:rPr>
          <w:sz w:val="20"/>
          <w:szCs w:val="20"/>
          <w:lang w:val="en-US"/>
        </w:rPr>
        <w:t xml:space="preserve">     </w:t>
      </w:r>
      <w:r w:rsidR="00E01EC2">
        <w:rPr>
          <w:sz w:val="20"/>
          <w:szCs w:val="20"/>
          <w:lang w:val="en-US"/>
        </w:rPr>
        <w:t>b.</w:t>
      </w:r>
      <w:r w:rsidRPr="00EC6393">
        <w:rPr>
          <w:sz w:val="20"/>
          <w:szCs w:val="20"/>
          <w:lang w:val="en-US"/>
        </w:rPr>
        <w:t xml:space="preserve"> Data/credential submission rates?</w:t>
      </w:r>
    </w:p>
    <w:p w14:paraId="3021142F" w14:textId="77777777" w:rsidR="0099657B" w:rsidRPr="00EC6393" w:rsidRDefault="0099657B" w:rsidP="00E01EC2">
      <w:pPr>
        <w:ind w:left="360"/>
        <w:rPr>
          <w:sz w:val="20"/>
          <w:szCs w:val="20"/>
          <w:lang w:val="en-US"/>
        </w:rPr>
      </w:pPr>
    </w:p>
    <w:p w14:paraId="00101F8D" w14:textId="77777777" w:rsidR="0099657B" w:rsidRPr="00EC6393" w:rsidRDefault="0099657B" w:rsidP="00E01EC2">
      <w:pPr>
        <w:ind w:left="360"/>
        <w:rPr>
          <w:sz w:val="20"/>
          <w:szCs w:val="20"/>
          <w:lang w:val="en-US"/>
        </w:rPr>
      </w:pPr>
      <w:r w:rsidRPr="00EC6393">
        <w:rPr>
          <w:sz w:val="20"/>
          <w:szCs w:val="20"/>
          <w:lang w:val="en-US"/>
        </w:rPr>
        <w:t xml:space="preserve">4) Is there a difference between demonstrated levels of susceptibility with regard to simulated phishing attempts amongst student year levels? </w:t>
      </w:r>
    </w:p>
    <w:p w14:paraId="05971AD9" w14:textId="77777777" w:rsidR="0099657B" w:rsidRPr="00EC6393" w:rsidRDefault="0099657B" w:rsidP="00E01EC2">
      <w:pPr>
        <w:ind w:left="360"/>
        <w:rPr>
          <w:sz w:val="20"/>
          <w:szCs w:val="20"/>
          <w:lang w:val="en-US"/>
        </w:rPr>
      </w:pPr>
    </w:p>
    <w:p w14:paraId="10EDBA46" w14:textId="77777777" w:rsidR="0099657B" w:rsidRPr="00EC6393" w:rsidRDefault="0099657B" w:rsidP="00E01EC2">
      <w:pPr>
        <w:ind w:left="360"/>
        <w:rPr>
          <w:b/>
          <w:bCs/>
          <w:color w:val="FF0000"/>
          <w:sz w:val="20"/>
          <w:szCs w:val="20"/>
        </w:rPr>
      </w:pPr>
      <w:r w:rsidRPr="00EC6393">
        <w:rPr>
          <w:sz w:val="20"/>
          <w:szCs w:val="20"/>
          <w:lang w:val="en-US"/>
        </w:rPr>
        <w:t>5) Is there a statistically significant relationship between students’ online security behaviors and their demonstrated levels of susceptibility towards simulated phishing attempts?</w:t>
      </w:r>
    </w:p>
    <w:p w14:paraId="0B0FBC7C" w14:textId="77777777" w:rsidR="0099657B" w:rsidRPr="00EC6393" w:rsidRDefault="0099657B" w:rsidP="0099657B">
      <w:pPr>
        <w:pStyle w:val="NormalWeb"/>
        <w:spacing w:before="0" w:beforeAutospacing="0" w:after="240" w:afterAutospacing="0"/>
        <w:jc w:val="both"/>
        <w:rPr>
          <w:b/>
          <w:bCs/>
          <w:sz w:val="20"/>
          <w:szCs w:val="20"/>
        </w:rPr>
      </w:pPr>
    </w:p>
    <w:p w14:paraId="6356A409" w14:textId="2DD2B8AA" w:rsidR="0099657B" w:rsidRPr="00EC6393" w:rsidRDefault="00E01EC2" w:rsidP="0099657B">
      <w:pPr>
        <w:pStyle w:val="NormalWeb"/>
        <w:spacing w:before="0" w:beforeAutospacing="0" w:after="240" w:afterAutospacing="0"/>
        <w:jc w:val="both"/>
        <w:rPr>
          <w:sz w:val="20"/>
          <w:szCs w:val="20"/>
        </w:rPr>
      </w:pPr>
      <w:r>
        <w:rPr>
          <w:b/>
          <w:bCs/>
          <w:sz w:val="20"/>
          <w:szCs w:val="20"/>
        </w:rPr>
        <w:t xml:space="preserve">RELATED STUDIES </w:t>
      </w:r>
    </w:p>
    <w:p w14:paraId="0EFFDBD0" w14:textId="77777777" w:rsidR="00A76FC7" w:rsidRPr="00EC6393" w:rsidRDefault="00A76FC7" w:rsidP="00E01EC2">
      <w:pPr>
        <w:pStyle w:val="BodyText"/>
        <w:spacing w:after="240"/>
        <w:ind w:right="67" w:firstLine="360"/>
        <w:jc w:val="both"/>
        <w:rPr>
          <w:sz w:val="20"/>
          <w:szCs w:val="20"/>
          <w:lang w:val="en-AU"/>
        </w:rPr>
      </w:pPr>
      <w:r w:rsidRPr="00EC6393">
        <w:rPr>
          <w:sz w:val="20"/>
          <w:szCs w:val="20"/>
          <w:lang w:val="en-AU"/>
        </w:rPr>
        <w:t>According to the literature reviewed, behavioral characteristics rather than solely knowledge deficiencies drive susceptibility to phishing attacks; many studies show that an individual’s habitual behavior when interacting with digital communications directly impacts their likelihood of falling prey to phishing attempts, and not the knowledge or awareness the individual has about cyber threats. The works of Asfoor et al. (2020), Vishwanath et al. (2016), and Shahbaznezhad et al. (2020) collectively demonstrate that several factors are predictive of whether a phishing attempt will succeed (the knowledge of the individual won’t determine whether they will be scammed) and are based on how individuals engage with digital communications (i.e., do individuals engage with email in an automated or systematic manner? Do they verify prior to clicking or do they rely upon surface level cues? Do their security practices derive from their habitual behavior or from convenience?). The work of Vishwanath et al. (2016) specifically highlights the role of habitual automaticity in driving security awareness deficits through their development of the SCAM model (Suspicion, Cognition and Automaticity). The SCAM model indicates that habitual engagement with digital media via automated means will completely override any training received. For example, an individual that attended a security training workshop could be the victim of a phishing scheme just hours following the completion of the workshop (Vishwanath et al., 2016). Similarly, the findings of Shahbaznezhad et al. (2020) provide confirmation of this assertion in that there was no effectiveness related to the provision of organizational procedural counter measures to phishing attacks without the inclusion of behavioral training towards employees. Asfoor et al. (2020), synthesizing 1,560 studies, further confirm that this pattern holds across 18 distinct behavioral and cognitive factors, underscoring that online security behavior is not a single variable but a cluster of interacting habits and appraisals — the same cluster this study measures across its four behavioral dimensions.</w:t>
      </w:r>
    </w:p>
    <w:p w14:paraId="5B1D8926" w14:textId="77777777" w:rsidR="00A76FC7" w:rsidRPr="00EC6393" w:rsidRDefault="00A76FC7" w:rsidP="00E01EC2">
      <w:pPr>
        <w:pStyle w:val="BodyText"/>
        <w:spacing w:after="240"/>
        <w:ind w:right="67" w:firstLine="360"/>
        <w:jc w:val="both"/>
        <w:rPr>
          <w:sz w:val="20"/>
          <w:szCs w:val="20"/>
          <w:lang w:val="en-AU"/>
        </w:rPr>
      </w:pPr>
      <w:r w:rsidRPr="00EC6393">
        <w:rPr>
          <w:sz w:val="20"/>
          <w:szCs w:val="20"/>
          <w:lang w:val="en-AU"/>
        </w:rPr>
        <w:t xml:space="preserve">What makes this behavioral account compelling is that it is consistently validated across experimental, simulation-based, and large-scale empirical designs, and it holds even when samples are technically literate. Harrison et al., (2017) noted that 47% of participants in their study inadvertently submitted their credentials to counterfeit links; however, those who were the most susceptible were those who paid close attention to the advertisement message, but not to the rest of the advertisement. This latter group demonstrated a pattern of responding to advertisements similar to the SCAM Automatic Processing System and SCAM Visual Trust Behavior. This study follows Gan et al., (2017) which had a similar methodology, and both have established that heuristic processing predicted that victims of Phishing would be likely to experience phishing. Conversely, systematic processes predicted individuals who were aware of Phishing would resit Phishing. Critically both studies demonstrated that individuals who have an understanding of Phishing likely click on Phishing emails but do so only after assurances were given that would motivate the individual to adopt preventative actions will ultimately leave an individual vulnerable to Phishings. Kshetri et al. (2023) created the demonstrated behaviour of students in the field of Computer science, that students are primarily utilising basic and simple security methods; despite their higher level of technical knowledge. </w:t>
      </w:r>
    </w:p>
    <w:p w14:paraId="02D6C90C" w14:textId="5FF0AEEC" w:rsidR="0099657B" w:rsidRPr="00EC6393" w:rsidRDefault="00AF0EC4" w:rsidP="00E01EC2">
      <w:pPr>
        <w:pStyle w:val="BodyText"/>
        <w:spacing w:after="240"/>
        <w:ind w:right="67" w:firstLine="360"/>
        <w:jc w:val="both"/>
        <w:rPr>
          <w:sz w:val="20"/>
          <w:szCs w:val="20"/>
        </w:rPr>
      </w:pPr>
      <w:r w:rsidRPr="00EC6393">
        <w:rPr>
          <w:sz w:val="20"/>
          <w:szCs w:val="20"/>
        </w:rPr>
        <w:t xml:space="preserve">Large-scale phishing simulations provide important evidence supporting this position as well as </w:t>
      </w:r>
      <w:r w:rsidR="00A76FC7" w:rsidRPr="00EC6393">
        <w:rPr>
          <w:sz w:val="20"/>
          <w:szCs w:val="20"/>
          <w:lang w:val="en-AU"/>
        </w:rPr>
        <w:t xml:space="preserve">Extensive phishing simulations yield substantial evidence towards the assertion above and illustrate the methodological shortcomings of self-reported security practices, nearly always overestimating actual resistance to unwanted contact. Kelley et al., (2018) showed that mouse-tracking data in real-time and multiple experimental approaches all yielded nearly chance-levels for detection rates regardless of whether participants were directly warned prior to participating in this experiment. In addition, tracking behavior using models based on the behaviour of participants (versus models using self-reported behaviour) exceeded the ability to identify valid phishing attempts. According to a recent collaborative research study conducted by Stalans et al. (2023) where 236 students participated, more than 50 percent clicked on the Phishing link; and that anxiety (OR = 4.02) and avoiding risky situations were both predictive variables of whether or not you were likely to be a victim of Phishing, regardless of how much participants knew about the appropriate ways to </w:t>
      </w:r>
      <w:r w:rsidR="00A76FC7" w:rsidRPr="00EC6393">
        <w:rPr>
          <w:sz w:val="20"/>
          <w:szCs w:val="20"/>
          <w:lang w:val="en-AU"/>
        </w:rPr>
        <w:lastRenderedPageBreak/>
        <w:t>act. Greitzer et al. (2021) completed the largest (N= 6938) Phishing study by conducting three groups/experiments with three separate simulations with individuals from the staff of a large state university during three consecutive years. They found that demographic characteristics of participants accounted for very little variance in the prediction of phishing success, with past behaviour (verification of links prior to clicking and risk consideration) accounting for the strongest ability to predict "successful" victimisation. Similar results were also found by Sutter et al. (2022) and Fan et al. (2024), who also used large sample sizes, that susceptibility to phishing is highly individualised, even after participants underwent repeated training, and that impulsivity and conscientiousness were the two most important individual-level predictors of susceptibility to phishing — rather than knowledge.</w:t>
      </w:r>
    </w:p>
    <w:p w14:paraId="76BF564B" w14:textId="77777777" w:rsidR="00A76FC7" w:rsidRPr="00EC6393" w:rsidRDefault="00A76FC7" w:rsidP="00E01EC2">
      <w:pPr>
        <w:pStyle w:val="BodyText"/>
        <w:spacing w:after="240"/>
        <w:ind w:right="67" w:firstLine="360"/>
        <w:jc w:val="both"/>
        <w:rPr>
          <w:sz w:val="20"/>
          <w:szCs w:val="20"/>
          <w:lang w:val="en-AU"/>
        </w:rPr>
      </w:pPr>
      <w:r w:rsidRPr="00EC6393">
        <w:rPr>
          <w:sz w:val="20"/>
          <w:szCs w:val="20"/>
          <w:lang w:val="en-AU"/>
        </w:rPr>
        <w:t>Taken together, these simulation studies establish two things simultaneously: that behavioral dimensions reliably predict phishing outcomes across populations, and that measuring those dimensions through self-report alone is insufficient — which is precisely why the present study pairs a behavioral questionnaire with a live Gophish simulation.</w:t>
      </w:r>
    </w:p>
    <w:p w14:paraId="1E3125B6" w14:textId="57B9ECC3" w:rsidR="0099657B" w:rsidRPr="00EC6393" w:rsidRDefault="00A76FC7" w:rsidP="00E01EC2">
      <w:pPr>
        <w:ind w:firstLine="360"/>
        <w:jc w:val="both"/>
        <w:rPr>
          <w:rFonts w:eastAsia="Times New Roman"/>
          <w:sz w:val="20"/>
          <w:szCs w:val="20"/>
          <w:lang w:val="en-PH" w:eastAsia="en-US"/>
        </w:rPr>
      </w:pPr>
      <w:r w:rsidRPr="00EC6393">
        <w:rPr>
          <w:rFonts w:eastAsia="Times New Roman"/>
          <w:sz w:val="20"/>
          <w:szCs w:val="20"/>
          <w:lang w:eastAsia="en-US"/>
        </w:rPr>
        <w:t>The behavioral dimensions that the literature identifies as most predictive map directly onto the four dimensions measured in this study. The technical verification behaviour (checking URLs, checking for sender address accuracy and HTTPS indicators) demonstrates the systematic processing type behaviour that (Harrison et al., 2016; Gan et al., 2024; Vishwanath et al., 2016) have identified as being protective. The visual trust behaviour (trusting logos, the professional design of websites and the look of a business' brand) illustrates the heuristic processing style vulnerability that (Gan et al., 2024; Gan et al, 2024; Harrison et al., 2016) have identified as the greatest channel of entry for phishing success. Reporting behaviour has been discussed by (Greitzer et al., 2021; Sutter et al., 2022), who agree that the failure to report a phishing attempt — even when already recognised as such — creates a behavioural gap that heightens both organisational and institutional risks.</w:t>
      </w:r>
    </w:p>
    <w:p w14:paraId="5E807E13" w14:textId="77777777" w:rsidR="0099657B" w:rsidRPr="00EC6393" w:rsidRDefault="0099657B" w:rsidP="0099657B">
      <w:pPr>
        <w:pStyle w:val="BodyText"/>
        <w:spacing w:after="240"/>
        <w:ind w:right="67"/>
        <w:jc w:val="both"/>
        <w:rPr>
          <w:sz w:val="20"/>
          <w:szCs w:val="20"/>
        </w:rPr>
      </w:pPr>
    </w:p>
    <w:p w14:paraId="3FA09F05" w14:textId="77777777" w:rsidR="0099657B" w:rsidRPr="00EC6393" w:rsidRDefault="0099657B" w:rsidP="0099657B">
      <w:pPr>
        <w:pStyle w:val="BodyText"/>
        <w:spacing w:after="240"/>
        <w:ind w:right="67"/>
        <w:jc w:val="both"/>
        <w:rPr>
          <w:sz w:val="20"/>
          <w:szCs w:val="20"/>
        </w:rPr>
      </w:pPr>
      <w:r w:rsidRPr="00EC6393">
        <w:rPr>
          <w:b/>
          <w:sz w:val="20"/>
          <w:szCs w:val="20"/>
        </w:rPr>
        <w:t>DESIGN AND METHODOLOGY</w:t>
      </w:r>
    </w:p>
    <w:p w14:paraId="10015158" w14:textId="77777777" w:rsidR="0099657B" w:rsidRPr="00E01EC2" w:rsidRDefault="0099657B" w:rsidP="0099657B">
      <w:pPr>
        <w:pStyle w:val="thesis"/>
        <w:spacing w:after="240" w:line="240" w:lineRule="auto"/>
        <w:rPr>
          <w:rFonts w:ascii="Times New Roman" w:hAnsi="Times New Roman"/>
          <w:b/>
          <w:i/>
          <w:iCs/>
          <w:sz w:val="20"/>
          <w:szCs w:val="20"/>
          <w:lang w:val="en-US"/>
        </w:rPr>
      </w:pPr>
      <w:r w:rsidRPr="00E01EC2">
        <w:rPr>
          <w:rFonts w:ascii="Times New Roman" w:hAnsi="Times New Roman"/>
          <w:b/>
          <w:i/>
          <w:iCs/>
          <w:sz w:val="20"/>
          <w:szCs w:val="20"/>
          <w:lang w:val="en-US"/>
        </w:rPr>
        <w:t>A. Research Design</w:t>
      </w:r>
    </w:p>
    <w:p w14:paraId="1D9A5E3C" w14:textId="0051BA56" w:rsidR="0099657B" w:rsidRPr="00EC6393" w:rsidRDefault="0099657B" w:rsidP="00E01EC2">
      <w:pPr>
        <w:pStyle w:val="NoSpacing"/>
        <w:ind w:firstLine="360"/>
        <w:jc w:val="both"/>
        <w:rPr>
          <w:sz w:val="20"/>
          <w:szCs w:val="20"/>
          <w:lang w:val="en-US"/>
        </w:rPr>
      </w:pPr>
      <w:r w:rsidRPr="00EC6393">
        <w:rPr>
          <w:sz w:val="20"/>
          <w:szCs w:val="20"/>
          <w:lang w:val="en-US"/>
        </w:rPr>
        <w:t>The research study used the quantitative correlational research design to determine the relationship between the online security practices and the susceptibility to phishing attacks of the Computer Studies students in Quezon City University</w:t>
      </w:r>
      <w:r w:rsidRPr="00EC6393">
        <w:rPr>
          <w:rFonts w:ascii="MS Mincho" w:eastAsia="MS Mincho" w:hAnsi="MS Mincho" w:cs="MS Mincho" w:hint="eastAsia"/>
          <w:sz w:val="20"/>
          <w:szCs w:val="20"/>
          <w:lang w:val="en-US"/>
        </w:rPr>
        <w:t>․</w:t>
      </w:r>
      <w:r w:rsidRPr="00EC6393">
        <w:rPr>
          <w:sz w:val="20"/>
          <w:szCs w:val="20"/>
          <w:lang w:val="en-US"/>
        </w:rPr>
        <w:t xml:space="preserve"> This design was appropriate because this type of design gave the researchers the ability to gather quantitative data </w:t>
      </w:r>
      <w:r w:rsidRPr="00EC6393">
        <w:rPr>
          <w:sz w:val="20"/>
          <w:szCs w:val="20"/>
        </w:rPr>
        <w:t xml:space="preserve">and to </w:t>
      </w:r>
      <w:r w:rsidR="00E01EC2" w:rsidRPr="00EC6393">
        <w:rPr>
          <w:sz w:val="20"/>
          <w:szCs w:val="20"/>
        </w:rPr>
        <w:t>analyse</w:t>
      </w:r>
      <w:r w:rsidRPr="00EC6393">
        <w:rPr>
          <w:sz w:val="20"/>
          <w:szCs w:val="20"/>
        </w:rPr>
        <w:t xml:space="preserve"> the relationship and differences between variables.</w:t>
      </w:r>
    </w:p>
    <w:p w14:paraId="461DDF4A" w14:textId="77777777" w:rsidR="0099657B" w:rsidRPr="00EC6393" w:rsidRDefault="0099657B" w:rsidP="00E01EC2">
      <w:pPr>
        <w:pStyle w:val="NoSpacing"/>
        <w:ind w:firstLine="360"/>
        <w:jc w:val="both"/>
        <w:rPr>
          <w:sz w:val="20"/>
          <w:szCs w:val="20"/>
          <w:lang w:val="en-US"/>
        </w:rPr>
      </w:pPr>
    </w:p>
    <w:p w14:paraId="030BFC45" w14:textId="77777777" w:rsidR="0099657B" w:rsidRPr="00EC6393" w:rsidRDefault="0099657B" w:rsidP="00E01EC2">
      <w:pPr>
        <w:pStyle w:val="NoSpacing"/>
        <w:ind w:firstLine="360"/>
        <w:jc w:val="both"/>
        <w:rPr>
          <w:sz w:val="20"/>
          <w:szCs w:val="20"/>
          <w:lang w:val="en-US"/>
        </w:rPr>
      </w:pPr>
      <w:r w:rsidRPr="00EC6393">
        <w:rPr>
          <w:sz w:val="20"/>
          <w:szCs w:val="20"/>
          <w:lang w:val="en-US"/>
        </w:rPr>
        <w:t xml:space="preserve">The primary objective of this study was to investigate </w:t>
      </w:r>
      <w:r w:rsidRPr="00EC6393">
        <w:rPr>
          <w:sz w:val="20"/>
          <w:szCs w:val="20"/>
        </w:rPr>
        <w:t>whether technical verification behavior, visual trust behavior, reporting behavior, and general cybersecurity awareness were significantly related to phishing susceptibility</w:t>
      </w:r>
      <w:r w:rsidRPr="00EC6393">
        <w:rPr>
          <w:sz w:val="20"/>
          <w:szCs w:val="20"/>
          <w:lang w:val="en-US"/>
        </w:rPr>
        <w:t>.  To accomplish this objective‚ a non-experimental correlational research design was employed to evaluate the statistical correlation and a comparative research design was employed to evaluate whether there were differences in respondents at different year levels.</w:t>
      </w:r>
    </w:p>
    <w:p w14:paraId="7DD98322" w14:textId="77777777" w:rsidR="0099657B" w:rsidRPr="00EC6393" w:rsidRDefault="0099657B" w:rsidP="00E01EC2">
      <w:pPr>
        <w:pStyle w:val="NoSpacing"/>
        <w:ind w:firstLine="360"/>
        <w:jc w:val="both"/>
        <w:rPr>
          <w:sz w:val="20"/>
          <w:szCs w:val="20"/>
          <w:lang w:val="en-US"/>
        </w:rPr>
      </w:pPr>
    </w:p>
    <w:p w14:paraId="770651C7" w14:textId="688888B6" w:rsidR="008523B2" w:rsidRPr="00EC6393" w:rsidRDefault="00D81E21" w:rsidP="00E01EC2">
      <w:pPr>
        <w:pStyle w:val="thesis"/>
        <w:spacing w:after="120" w:line="240" w:lineRule="auto"/>
        <w:ind w:firstLine="360"/>
        <w:rPr>
          <w:rFonts w:ascii="Times New Roman" w:eastAsia="SimSun" w:hAnsi="Times New Roman"/>
          <w:kern w:val="0"/>
          <w:sz w:val="20"/>
          <w:szCs w:val="20"/>
          <w:lang w:val="en-AU" w:eastAsia="zh-CN"/>
        </w:rPr>
      </w:pPr>
      <w:r w:rsidRPr="00EC6393">
        <w:rPr>
          <w:rFonts w:ascii="Times New Roman" w:eastAsia="SimSun" w:hAnsi="Times New Roman"/>
          <w:kern w:val="0"/>
          <w:sz w:val="20"/>
          <w:szCs w:val="20"/>
          <w:lang w:val="en-AU" w:eastAsia="zh-CN"/>
        </w:rPr>
        <w:t>In order to enhance the robustness of the study's results, data so far presented has included both participants’ self-reporting as well as data allowing comparisons with similar perceived security behaviours and reactions to phishing attempts.</w:t>
      </w:r>
    </w:p>
    <w:p w14:paraId="5684D90A" w14:textId="77777777" w:rsidR="00D81E21" w:rsidRPr="00EC6393" w:rsidRDefault="00D81E21" w:rsidP="008523B2">
      <w:pPr>
        <w:pStyle w:val="thesis"/>
        <w:spacing w:after="120" w:line="240" w:lineRule="auto"/>
        <w:ind w:firstLine="720"/>
        <w:rPr>
          <w:rFonts w:ascii="Times New Roman" w:hAnsi="Times New Roman"/>
          <w:sz w:val="20"/>
          <w:szCs w:val="20"/>
          <w:lang w:val="en-US"/>
        </w:rPr>
      </w:pPr>
    </w:p>
    <w:p w14:paraId="0ED81819" w14:textId="77777777" w:rsidR="0099657B" w:rsidRPr="00E01EC2" w:rsidRDefault="0099657B" w:rsidP="0099657B">
      <w:pPr>
        <w:pStyle w:val="thesis"/>
        <w:spacing w:after="120" w:line="240" w:lineRule="auto"/>
        <w:rPr>
          <w:rFonts w:ascii="Times New Roman" w:hAnsi="Times New Roman"/>
          <w:b/>
          <w:i/>
          <w:iCs/>
          <w:sz w:val="20"/>
          <w:szCs w:val="20"/>
          <w:lang w:val="en-US"/>
        </w:rPr>
      </w:pPr>
      <w:r w:rsidRPr="00E01EC2">
        <w:rPr>
          <w:rFonts w:ascii="Times New Roman" w:hAnsi="Times New Roman"/>
          <w:b/>
          <w:i/>
          <w:iCs/>
          <w:sz w:val="20"/>
          <w:szCs w:val="20"/>
          <w:lang w:val="en-US"/>
        </w:rPr>
        <w:t xml:space="preserve">B. Data Gathering </w:t>
      </w:r>
    </w:p>
    <w:p w14:paraId="70F36D93" w14:textId="77777777" w:rsidR="003F1241" w:rsidRPr="003F1241" w:rsidRDefault="003F1241" w:rsidP="003F1241">
      <w:pPr>
        <w:pStyle w:val="NoSpacing"/>
        <w:ind w:firstLine="360"/>
        <w:jc w:val="both"/>
        <w:rPr>
          <w:sz w:val="20"/>
          <w:szCs w:val="20"/>
        </w:rPr>
      </w:pPr>
      <w:r w:rsidRPr="003F1241">
        <w:rPr>
          <w:sz w:val="20"/>
          <w:szCs w:val="20"/>
        </w:rPr>
        <w:t>The researchers utilized a structured questionnaire and a phishing simulation adapted from the Gophish Framework as the primary data-gathering instruments for the study.</w:t>
      </w:r>
    </w:p>
    <w:p w14:paraId="45BF9331" w14:textId="77777777" w:rsidR="003F1241" w:rsidRPr="003F1241" w:rsidRDefault="003F1241" w:rsidP="003F1241">
      <w:pPr>
        <w:pStyle w:val="NoSpacing"/>
        <w:ind w:firstLine="360"/>
        <w:jc w:val="both"/>
        <w:rPr>
          <w:sz w:val="20"/>
          <w:szCs w:val="20"/>
        </w:rPr>
      </w:pPr>
    </w:p>
    <w:p w14:paraId="617EA321" w14:textId="77777777" w:rsidR="003F1241" w:rsidRPr="003F1241" w:rsidRDefault="003F1241" w:rsidP="003F1241">
      <w:pPr>
        <w:pStyle w:val="NoSpacing"/>
        <w:ind w:firstLine="360"/>
        <w:jc w:val="both"/>
        <w:rPr>
          <w:sz w:val="20"/>
          <w:szCs w:val="20"/>
        </w:rPr>
      </w:pPr>
      <w:r w:rsidRPr="003F1241">
        <w:rPr>
          <w:sz w:val="20"/>
          <w:szCs w:val="20"/>
        </w:rPr>
        <w:t>The survey questionnaire developed by the researchers focused on gathering the respondents’ demographic profile, behavioral assessment, acceptable internet practices through technical verification, visual trust evaluation, reporting behavior, and overall level of cybersecurity awareness. The questionnaire consisted of structured items designed to assess the participants’ awareness and behavioral responses toward phishing and cybersecurity-related threats.</w:t>
      </w:r>
    </w:p>
    <w:p w14:paraId="52450B25" w14:textId="77777777" w:rsidR="003F1241" w:rsidRPr="003F1241" w:rsidRDefault="003F1241" w:rsidP="003F1241">
      <w:pPr>
        <w:pStyle w:val="NoSpacing"/>
        <w:ind w:firstLine="360"/>
        <w:jc w:val="both"/>
        <w:rPr>
          <w:sz w:val="20"/>
          <w:szCs w:val="20"/>
        </w:rPr>
      </w:pPr>
    </w:p>
    <w:p w14:paraId="3DC96255" w14:textId="77777777" w:rsidR="003F1241" w:rsidRPr="003F1241" w:rsidRDefault="003F1241" w:rsidP="003F1241">
      <w:pPr>
        <w:pStyle w:val="NoSpacing"/>
        <w:ind w:firstLine="360"/>
        <w:jc w:val="both"/>
        <w:rPr>
          <w:sz w:val="20"/>
          <w:szCs w:val="20"/>
        </w:rPr>
      </w:pPr>
      <w:r w:rsidRPr="003F1241">
        <w:rPr>
          <w:sz w:val="20"/>
          <w:szCs w:val="20"/>
        </w:rPr>
        <w:t>The second data-gathering instrument was a phishing simulation conducted using the Gophish Phishing Simulation Framework. In this phase, all respondents received a phishing email containing a simulated fraudulent login page designed to replicate the mechanics of a real-world phishing attack. The simulation aimed to measure the respondents’ vulnerability and susceptibility to phishing attacks based on their click-through rate and credential submission rate. Specifically, the phishing email was distributed to 100 students from the initial sample group to evaluate their actual behavioral responses when exposed to a simulated cyber threat environment.</w:t>
      </w:r>
    </w:p>
    <w:p w14:paraId="71CE3330" w14:textId="77777777" w:rsidR="003F1241" w:rsidRPr="003F1241" w:rsidRDefault="003F1241" w:rsidP="003F1241">
      <w:pPr>
        <w:pStyle w:val="NoSpacing"/>
        <w:ind w:firstLine="360"/>
        <w:jc w:val="both"/>
        <w:rPr>
          <w:sz w:val="20"/>
          <w:szCs w:val="20"/>
        </w:rPr>
      </w:pPr>
    </w:p>
    <w:p w14:paraId="59C525C1" w14:textId="77777777" w:rsidR="003F1241" w:rsidRDefault="003F1241" w:rsidP="003F1241">
      <w:pPr>
        <w:pStyle w:val="NoSpacing"/>
        <w:ind w:firstLine="360"/>
        <w:jc w:val="both"/>
        <w:rPr>
          <w:sz w:val="20"/>
          <w:szCs w:val="20"/>
        </w:rPr>
      </w:pPr>
      <w:r w:rsidRPr="003F1241">
        <w:rPr>
          <w:sz w:val="20"/>
          <w:szCs w:val="20"/>
        </w:rPr>
        <w:t>The participants of the study consisted of students from the College of Computer Studies at Quezon City University. Convenience sampling was employed in selecting the respondents, wherein only students who were readily available and willing to participate were included in the study. All participants were informed about the purpose of the research, assured of complete confidentiality, and guaranteed anonymity throughout the data collection process. However, the researchers acknowledge that the use of convenience sampling may have resulted in the underrepresentation of students who are more susceptible to phishing attacks, as students with higher levels of cybersecurity awareness and interest may have been more inclined to participate in the study.</w:t>
      </w:r>
    </w:p>
    <w:p w14:paraId="52911F76" w14:textId="4889770E" w:rsidR="003F1241" w:rsidRDefault="003F1241" w:rsidP="003F1241">
      <w:pPr>
        <w:pStyle w:val="NoSpacing"/>
        <w:ind w:firstLine="360"/>
        <w:rPr>
          <w:sz w:val="20"/>
          <w:szCs w:val="20"/>
        </w:rPr>
      </w:pPr>
    </w:p>
    <w:p w14:paraId="5CA935DE" w14:textId="6284610F" w:rsidR="003F1241" w:rsidRDefault="003F1241" w:rsidP="003F1241">
      <w:pPr>
        <w:pStyle w:val="NoSpacing"/>
        <w:ind w:firstLine="360"/>
        <w:rPr>
          <w:sz w:val="20"/>
          <w:szCs w:val="20"/>
        </w:rPr>
      </w:pPr>
    </w:p>
    <w:p w14:paraId="0B8C6D5F" w14:textId="77777777" w:rsidR="003F1241" w:rsidRDefault="003F1241" w:rsidP="003F1241">
      <w:pPr>
        <w:pStyle w:val="NoSpacing"/>
        <w:ind w:firstLine="360"/>
        <w:rPr>
          <w:sz w:val="20"/>
          <w:szCs w:val="20"/>
        </w:rPr>
      </w:pPr>
    </w:p>
    <w:p w14:paraId="57D0A458" w14:textId="22E924D4" w:rsidR="003F1241" w:rsidRPr="00E01EC2" w:rsidRDefault="003F1241" w:rsidP="003F1241">
      <w:pPr>
        <w:pStyle w:val="thesis"/>
        <w:spacing w:after="120" w:line="240" w:lineRule="auto"/>
        <w:rPr>
          <w:rFonts w:ascii="Times New Roman" w:hAnsi="Times New Roman"/>
          <w:b/>
          <w:i/>
          <w:iCs/>
          <w:sz w:val="20"/>
          <w:szCs w:val="20"/>
          <w:lang w:val="en-US"/>
        </w:rPr>
      </w:pPr>
      <w:r>
        <w:rPr>
          <w:rFonts w:ascii="Times New Roman" w:hAnsi="Times New Roman"/>
          <w:b/>
          <w:i/>
          <w:iCs/>
          <w:sz w:val="20"/>
          <w:szCs w:val="20"/>
          <w:lang w:val="en-US"/>
        </w:rPr>
        <w:t>C</w:t>
      </w:r>
      <w:r w:rsidRPr="00E01EC2">
        <w:rPr>
          <w:rFonts w:ascii="Times New Roman" w:hAnsi="Times New Roman"/>
          <w:b/>
          <w:i/>
          <w:iCs/>
          <w:sz w:val="20"/>
          <w:szCs w:val="20"/>
          <w:lang w:val="en-US"/>
        </w:rPr>
        <w:t xml:space="preserve">. </w:t>
      </w:r>
      <w:r>
        <w:rPr>
          <w:rFonts w:ascii="Times New Roman" w:hAnsi="Times New Roman"/>
          <w:b/>
          <w:i/>
          <w:iCs/>
          <w:sz w:val="20"/>
          <w:szCs w:val="20"/>
          <w:lang w:val="en-US"/>
        </w:rPr>
        <w:t xml:space="preserve">Statistical </w:t>
      </w:r>
      <w:r w:rsidR="00DC33EC">
        <w:rPr>
          <w:rFonts w:ascii="Times New Roman" w:hAnsi="Times New Roman"/>
          <w:b/>
          <w:i/>
          <w:iCs/>
          <w:sz w:val="20"/>
          <w:szCs w:val="20"/>
          <w:lang w:val="en-US"/>
        </w:rPr>
        <w:t>Treatment</w:t>
      </w:r>
      <w:r>
        <w:rPr>
          <w:rFonts w:ascii="Times New Roman" w:hAnsi="Times New Roman"/>
          <w:b/>
          <w:i/>
          <w:iCs/>
          <w:sz w:val="20"/>
          <w:szCs w:val="20"/>
          <w:lang w:val="en-US"/>
        </w:rPr>
        <w:t xml:space="preserve"> of Data </w:t>
      </w:r>
    </w:p>
    <w:p w14:paraId="5B85CF3F" w14:textId="0F14C132" w:rsidR="003F1241" w:rsidRDefault="003F1241" w:rsidP="00DC33EC">
      <w:pPr>
        <w:pStyle w:val="NormalWeb"/>
        <w:ind w:firstLine="360"/>
        <w:jc w:val="both"/>
        <w:rPr>
          <w:sz w:val="20"/>
        </w:rPr>
      </w:pPr>
      <w:r w:rsidRPr="003F1241">
        <w:rPr>
          <w:sz w:val="20"/>
        </w:rPr>
        <w:lastRenderedPageBreak/>
        <w:t>The data gathered in this action research will be analyzed using appropriate descriptive and inferential statistical tools to determine the effectiveness of the intervention and assess the cybersecurity awareness and phishing susceptibility of the participants. All statistical analyses will be conducted at the 0.05 level of significance.</w:t>
      </w:r>
    </w:p>
    <w:p w14:paraId="2A4464F8" w14:textId="126CBF24" w:rsidR="003F1241" w:rsidRPr="003F1241" w:rsidRDefault="003F1241" w:rsidP="003F1241">
      <w:pPr>
        <w:pStyle w:val="NormalWeb"/>
        <w:numPr>
          <w:ilvl w:val="0"/>
          <w:numId w:val="17"/>
        </w:numPr>
        <w:rPr>
          <w:b/>
          <w:i/>
          <w:sz w:val="20"/>
        </w:rPr>
      </w:pPr>
      <w:r w:rsidRPr="003F1241">
        <w:rPr>
          <w:b/>
          <w:i/>
          <w:sz w:val="20"/>
        </w:rPr>
        <w:t xml:space="preserve">Frequency and Percentage </w:t>
      </w:r>
    </w:p>
    <w:p w14:paraId="58C3F2DF" w14:textId="77777777" w:rsidR="003F1241" w:rsidRPr="003F1241" w:rsidRDefault="003F1241" w:rsidP="00DC33EC">
      <w:pPr>
        <w:pStyle w:val="NormalWeb"/>
        <w:ind w:left="360" w:firstLine="360"/>
        <w:jc w:val="both"/>
        <w:rPr>
          <w:sz w:val="20"/>
          <w:szCs w:val="20"/>
        </w:rPr>
      </w:pPr>
      <w:r w:rsidRPr="003F1241">
        <w:rPr>
          <w:sz w:val="20"/>
          <w:szCs w:val="20"/>
        </w:rPr>
        <w:t>Frequency counts and percentages will be used to describe the demographic profile of the participants according to year level and program. These statistical tools will also be utilized to summarize the results of the phishing simulation, particularly the number and percentage of participants who opened the phishing email, clicked the malicious link, and submitted credentials through the simulated phishing page.</w:t>
      </w:r>
    </w:p>
    <w:p w14:paraId="704929AE" w14:textId="4916D3E3" w:rsidR="003F1241" w:rsidRDefault="003F1241" w:rsidP="003F1241">
      <w:pPr>
        <w:pStyle w:val="NormalWeb"/>
        <w:ind w:firstLine="720"/>
        <w:rPr>
          <w:sz w:val="20"/>
          <w:szCs w:val="20"/>
        </w:rPr>
      </w:pPr>
      <w:r w:rsidRPr="003F1241">
        <w:rPr>
          <w:sz w:val="20"/>
          <w:szCs w:val="20"/>
        </w:rPr>
        <w:t>The percentage will be computed using the formula:</w:t>
      </w:r>
    </w:p>
    <w:p w14:paraId="0BCB78F2" w14:textId="092EA8CB" w:rsidR="003423C7" w:rsidRPr="003423C7" w:rsidRDefault="003423C7" w:rsidP="003423C7">
      <w:pPr>
        <w:pStyle w:val="NormalWeb"/>
        <w:ind w:left="1170" w:firstLine="720"/>
        <w:rPr>
          <w:b/>
          <w:sz w:val="32"/>
          <w:szCs w:val="20"/>
        </w:rPr>
      </w:pPr>
      <m:oMathPara>
        <m:oMathParaPr>
          <m:jc m:val="left"/>
        </m:oMathParaPr>
        <m:oMath>
          <m:r>
            <m:rPr>
              <m:sty m:val="bi"/>
            </m:rPr>
            <w:rPr>
              <w:rFonts w:ascii="Cambria Math" w:hAnsi="Cambria Math"/>
              <w:sz w:val="32"/>
              <w:szCs w:val="20"/>
            </w:rPr>
            <m:t>%=</m:t>
          </m:r>
          <m:f>
            <m:fPr>
              <m:ctrlPr>
                <w:rPr>
                  <w:rFonts w:ascii="Cambria Math" w:hAnsi="Cambria Math"/>
                  <w:b/>
                  <w:i/>
                  <w:sz w:val="32"/>
                  <w:szCs w:val="20"/>
                </w:rPr>
              </m:ctrlPr>
            </m:fPr>
            <m:num>
              <m:r>
                <m:rPr>
                  <m:sty m:val="bi"/>
                </m:rPr>
                <w:rPr>
                  <w:rFonts w:ascii="Cambria Math" w:hAnsi="Cambria Math"/>
                  <w:sz w:val="32"/>
                  <w:szCs w:val="20"/>
                </w:rPr>
                <m:t>f</m:t>
              </m:r>
            </m:num>
            <m:den>
              <m:r>
                <m:rPr>
                  <m:sty m:val="bi"/>
                </m:rPr>
                <w:rPr>
                  <w:rFonts w:ascii="Cambria Math" w:hAnsi="Cambria Math"/>
                  <w:sz w:val="32"/>
                  <w:szCs w:val="20"/>
                </w:rPr>
                <m:t>N</m:t>
              </m:r>
            </m:den>
          </m:f>
          <m:r>
            <m:rPr>
              <m:sty m:val="bi"/>
            </m:rPr>
            <w:rPr>
              <w:rFonts w:ascii="Cambria Math" w:hAnsi="Cambria Math"/>
              <w:sz w:val="32"/>
              <w:szCs w:val="20"/>
            </w:rPr>
            <m:t>×100</m:t>
          </m:r>
        </m:oMath>
      </m:oMathPara>
    </w:p>
    <w:p w14:paraId="048CBDA9" w14:textId="15AE8D96" w:rsidR="003F1241" w:rsidRPr="00652CC8" w:rsidRDefault="003F1241" w:rsidP="00652CC8">
      <w:pPr>
        <w:pStyle w:val="NoSpacing"/>
        <w:ind w:left="1080" w:hanging="360"/>
        <w:rPr>
          <w:sz w:val="20"/>
          <w:szCs w:val="20"/>
        </w:rPr>
      </w:pPr>
      <w:r w:rsidRPr="00652CC8">
        <w:rPr>
          <w:sz w:val="20"/>
          <w:szCs w:val="20"/>
        </w:rPr>
        <w:t>Where:</w:t>
      </w:r>
      <w:r w:rsidRPr="00652CC8">
        <w:rPr>
          <w:sz w:val="20"/>
          <w:szCs w:val="20"/>
        </w:rPr>
        <w:br/>
      </w:r>
      <w:r w:rsidR="003423C7" w:rsidRPr="00652CC8">
        <w:rPr>
          <w:rStyle w:val="katex-mathml"/>
          <w:i/>
          <w:sz w:val="20"/>
          <w:szCs w:val="20"/>
        </w:rPr>
        <w:t>f</w:t>
      </w:r>
      <w:r w:rsidR="003423C7" w:rsidRPr="00652CC8">
        <w:rPr>
          <w:rStyle w:val="katex-mathml"/>
          <w:i/>
          <w:sz w:val="20"/>
          <w:szCs w:val="20"/>
        </w:rPr>
        <w:tab/>
        <w:t xml:space="preserve"> </w:t>
      </w:r>
      <w:r w:rsidR="003423C7" w:rsidRPr="00652CC8">
        <w:rPr>
          <w:sz w:val="20"/>
          <w:szCs w:val="20"/>
        </w:rPr>
        <w:t xml:space="preserve">- </w:t>
      </w:r>
      <w:r w:rsidRPr="00652CC8">
        <w:rPr>
          <w:sz w:val="20"/>
          <w:szCs w:val="20"/>
        </w:rPr>
        <w:t>frequency of responses</w:t>
      </w:r>
      <w:r w:rsidRPr="00652CC8">
        <w:rPr>
          <w:sz w:val="20"/>
          <w:szCs w:val="20"/>
        </w:rPr>
        <w:br/>
      </w:r>
      <w:r w:rsidR="003423C7" w:rsidRPr="00652CC8">
        <w:rPr>
          <w:rStyle w:val="katex-mathml"/>
          <w:i/>
          <w:sz w:val="20"/>
          <w:szCs w:val="20"/>
        </w:rPr>
        <w:t xml:space="preserve">N </w:t>
      </w:r>
      <w:r w:rsidR="003423C7" w:rsidRPr="00652CC8">
        <w:rPr>
          <w:rStyle w:val="katex-mathml"/>
          <w:i/>
          <w:sz w:val="20"/>
          <w:szCs w:val="20"/>
        </w:rPr>
        <w:tab/>
        <w:t xml:space="preserve">-  </w:t>
      </w:r>
      <w:r w:rsidRPr="00652CC8">
        <w:rPr>
          <w:sz w:val="20"/>
          <w:szCs w:val="20"/>
        </w:rPr>
        <w:t>total number of respondents</w:t>
      </w:r>
      <w:r w:rsidRPr="00652CC8">
        <w:rPr>
          <w:sz w:val="20"/>
          <w:szCs w:val="20"/>
        </w:rPr>
        <w:br/>
      </w:r>
      <w:r w:rsidR="003423C7" w:rsidRPr="00652CC8">
        <w:rPr>
          <w:rStyle w:val="katex-mathml"/>
          <w:i/>
          <w:sz w:val="20"/>
          <w:szCs w:val="20"/>
        </w:rPr>
        <w:t>%</w:t>
      </w:r>
      <w:r w:rsidR="003423C7" w:rsidRPr="00652CC8">
        <w:rPr>
          <w:rStyle w:val="katex-mathml"/>
          <w:i/>
          <w:sz w:val="20"/>
          <w:szCs w:val="20"/>
        </w:rPr>
        <w:tab/>
      </w:r>
      <w:r w:rsidR="003423C7" w:rsidRPr="00652CC8">
        <w:rPr>
          <w:sz w:val="20"/>
          <w:szCs w:val="20"/>
        </w:rPr>
        <w:t>-</w:t>
      </w:r>
      <w:r w:rsidRPr="00652CC8">
        <w:rPr>
          <w:sz w:val="20"/>
          <w:szCs w:val="20"/>
        </w:rPr>
        <w:t xml:space="preserve"> </w:t>
      </w:r>
      <w:r w:rsidR="003423C7" w:rsidRPr="00652CC8">
        <w:rPr>
          <w:sz w:val="20"/>
          <w:szCs w:val="20"/>
        </w:rPr>
        <w:t xml:space="preserve"> </w:t>
      </w:r>
      <w:r w:rsidRPr="00652CC8">
        <w:rPr>
          <w:sz w:val="20"/>
          <w:szCs w:val="20"/>
        </w:rPr>
        <w:t>percentage</w:t>
      </w:r>
    </w:p>
    <w:p w14:paraId="498D4A15" w14:textId="77777777" w:rsidR="003423C7" w:rsidRPr="00652CC8" w:rsidRDefault="003423C7" w:rsidP="00652CC8">
      <w:pPr>
        <w:pStyle w:val="NoSpacing"/>
        <w:ind w:left="1080"/>
        <w:rPr>
          <w:sz w:val="20"/>
          <w:szCs w:val="20"/>
        </w:rPr>
      </w:pPr>
      <w:r w:rsidRPr="00652CC8">
        <w:rPr>
          <w:sz w:val="20"/>
          <w:szCs w:val="20"/>
        </w:rPr>
        <w:t>(Ariola, 2006; Calmorin &amp; Calmorin, 2007)</w:t>
      </w:r>
    </w:p>
    <w:p w14:paraId="1B19A21B" w14:textId="18AF84AC" w:rsidR="003F1241" w:rsidRPr="003423C7" w:rsidRDefault="003423C7" w:rsidP="003F1241">
      <w:pPr>
        <w:pStyle w:val="NormalWeb"/>
        <w:numPr>
          <w:ilvl w:val="0"/>
          <w:numId w:val="17"/>
        </w:numPr>
        <w:tabs>
          <w:tab w:val="left" w:pos="720"/>
        </w:tabs>
        <w:rPr>
          <w:b/>
          <w:i/>
          <w:sz w:val="20"/>
          <w:szCs w:val="20"/>
        </w:rPr>
      </w:pPr>
      <w:r w:rsidRPr="003423C7">
        <w:rPr>
          <w:b/>
          <w:i/>
          <w:sz w:val="20"/>
          <w:szCs w:val="20"/>
        </w:rPr>
        <w:t xml:space="preserve">Weighted Mean </w:t>
      </w:r>
    </w:p>
    <w:p w14:paraId="416CB47C" w14:textId="77777777" w:rsidR="003F1241" w:rsidRPr="003F1241" w:rsidRDefault="003F1241" w:rsidP="003423C7">
      <w:pPr>
        <w:pStyle w:val="NormalWeb"/>
        <w:ind w:left="360" w:firstLine="360"/>
        <w:jc w:val="both"/>
        <w:rPr>
          <w:sz w:val="20"/>
          <w:szCs w:val="20"/>
        </w:rPr>
      </w:pPr>
      <w:r w:rsidRPr="003F1241">
        <w:rPr>
          <w:sz w:val="20"/>
          <w:szCs w:val="20"/>
        </w:rPr>
        <w:t>The weighted mean will be used to determine the participants’ level of cybersecurity awareness and online security behaviors across the dimensions of Technical Verification Behavior, Visual Trust Behavior, Reporting Behavior, and General Cybersecurity Awareness and Practices. This statistical measure will identify the average level of agreement of the respondents based on the 5-point Likert scale.</w:t>
      </w:r>
    </w:p>
    <w:p w14:paraId="0254C840" w14:textId="208185F0" w:rsidR="003F1241" w:rsidRDefault="003F1241" w:rsidP="003423C7">
      <w:pPr>
        <w:pStyle w:val="NormalWeb"/>
        <w:ind w:firstLine="720"/>
        <w:rPr>
          <w:sz w:val="20"/>
          <w:szCs w:val="20"/>
        </w:rPr>
      </w:pPr>
      <w:r w:rsidRPr="003F1241">
        <w:rPr>
          <w:sz w:val="20"/>
          <w:szCs w:val="20"/>
        </w:rPr>
        <w:t>The weighted mean will be computed using the formula:</w:t>
      </w:r>
    </w:p>
    <w:p w14:paraId="23FC1EA8" w14:textId="7F40952C" w:rsidR="003423C7" w:rsidRPr="0021485B" w:rsidRDefault="0021485B" w:rsidP="0021485B">
      <w:pPr>
        <w:pStyle w:val="NormalWeb"/>
        <w:ind w:left="1080" w:firstLine="720"/>
        <w:rPr>
          <w:i/>
          <w:sz w:val="20"/>
          <w:szCs w:val="20"/>
        </w:rPr>
      </w:pPr>
      <m:oMathPara>
        <m:oMathParaPr>
          <m:jc m:val="left"/>
        </m:oMathParaPr>
        <m:oMath>
          <m:r>
            <w:rPr>
              <w:rFonts w:ascii="Cambria Math" w:hAnsi="Cambria Math"/>
              <w:sz w:val="32"/>
              <w:szCs w:val="20"/>
            </w:rPr>
            <m:t>WM=</m:t>
          </m:r>
          <m:f>
            <m:fPr>
              <m:ctrlPr>
                <w:rPr>
                  <w:rFonts w:ascii="Cambria Math" w:hAnsi="Cambria Math"/>
                  <w:i/>
                  <w:sz w:val="32"/>
                  <w:szCs w:val="20"/>
                </w:rPr>
              </m:ctrlPr>
            </m:fPr>
            <m:num>
              <m:r>
                <w:rPr>
                  <w:rFonts w:ascii="Cambria Math" w:hAnsi="Cambria Math"/>
                  <w:sz w:val="32"/>
                  <w:szCs w:val="20"/>
                </w:rPr>
                <m:t>Σ(f×w)</m:t>
              </m:r>
            </m:num>
            <m:den>
              <m:r>
                <w:rPr>
                  <w:rFonts w:ascii="Cambria Math" w:hAnsi="Cambria Math"/>
                  <w:sz w:val="32"/>
                  <w:szCs w:val="20"/>
                </w:rPr>
                <m:t>N</m:t>
              </m:r>
            </m:den>
          </m:f>
        </m:oMath>
      </m:oMathPara>
    </w:p>
    <w:p w14:paraId="656DFBA1" w14:textId="7E424F66" w:rsidR="003F1241" w:rsidRPr="00652CC8" w:rsidRDefault="003F1241" w:rsidP="00652CC8">
      <w:pPr>
        <w:pStyle w:val="NoSpacing"/>
        <w:ind w:left="1080" w:hanging="360"/>
        <w:rPr>
          <w:sz w:val="20"/>
          <w:szCs w:val="20"/>
        </w:rPr>
      </w:pPr>
      <w:r w:rsidRPr="00652CC8">
        <w:rPr>
          <w:sz w:val="20"/>
          <w:szCs w:val="20"/>
        </w:rPr>
        <w:t>Where:</w:t>
      </w:r>
      <w:r w:rsidRPr="00652CC8">
        <w:rPr>
          <w:sz w:val="20"/>
          <w:szCs w:val="20"/>
        </w:rPr>
        <w:br/>
      </w:r>
      <w:r w:rsidRPr="00652CC8">
        <w:rPr>
          <w:rStyle w:val="katex-mathml"/>
          <w:i/>
          <w:sz w:val="20"/>
          <w:szCs w:val="20"/>
        </w:rPr>
        <w:t>WM</w:t>
      </w:r>
      <w:r w:rsidR="0021485B" w:rsidRPr="00652CC8">
        <w:rPr>
          <w:rStyle w:val="katex-mathml"/>
          <w:i/>
          <w:sz w:val="20"/>
          <w:szCs w:val="20"/>
        </w:rPr>
        <w:t xml:space="preserve"> -</w:t>
      </w:r>
      <w:r w:rsidRPr="00652CC8">
        <w:rPr>
          <w:sz w:val="20"/>
          <w:szCs w:val="20"/>
        </w:rPr>
        <w:t xml:space="preserve"> weighted mean</w:t>
      </w:r>
      <w:r w:rsidRPr="00652CC8">
        <w:rPr>
          <w:sz w:val="20"/>
          <w:szCs w:val="20"/>
        </w:rPr>
        <w:br/>
      </w:r>
      <w:r w:rsidR="0021485B" w:rsidRPr="00652CC8">
        <w:rPr>
          <w:rStyle w:val="katex-mathml"/>
          <w:i/>
          <w:sz w:val="20"/>
          <w:szCs w:val="20"/>
        </w:rPr>
        <w:t>f</w:t>
      </w:r>
      <w:r w:rsidRPr="00652CC8">
        <w:rPr>
          <w:sz w:val="20"/>
          <w:szCs w:val="20"/>
        </w:rPr>
        <w:t xml:space="preserve"> </w:t>
      </w:r>
      <w:r w:rsidR="0021485B" w:rsidRPr="00652CC8">
        <w:rPr>
          <w:sz w:val="20"/>
          <w:szCs w:val="20"/>
        </w:rPr>
        <w:tab/>
        <w:t>-</w:t>
      </w:r>
      <w:r w:rsidRPr="00652CC8">
        <w:rPr>
          <w:sz w:val="20"/>
          <w:szCs w:val="20"/>
        </w:rPr>
        <w:t xml:space="preserve"> frequency of responses</w:t>
      </w:r>
      <w:r w:rsidRPr="00652CC8">
        <w:rPr>
          <w:sz w:val="20"/>
          <w:szCs w:val="20"/>
        </w:rPr>
        <w:br/>
      </w:r>
      <w:r w:rsidR="0021485B" w:rsidRPr="00652CC8">
        <w:rPr>
          <w:rStyle w:val="katex-mathml"/>
          <w:i/>
          <w:sz w:val="20"/>
          <w:szCs w:val="20"/>
        </w:rPr>
        <w:t>w</w:t>
      </w:r>
      <w:r w:rsidRPr="00652CC8">
        <w:rPr>
          <w:sz w:val="20"/>
          <w:szCs w:val="20"/>
        </w:rPr>
        <w:t xml:space="preserve"> </w:t>
      </w:r>
      <w:r w:rsidR="0021485B" w:rsidRPr="00652CC8">
        <w:rPr>
          <w:sz w:val="20"/>
          <w:szCs w:val="20"/>
        </w:rPr>
        <w:tab/>
        <w:t xml:space="preserve">- </w:t>
      </w:r>
      <w:r w:rsidRPr="00652CC8">
        <w:rPr>
          <w:sz w:val="20"/>
          <w:szCs w:val="20"/>
        </w:rPr>
        <w:t>assigned weight of each response</w:t>
      </w:r>
      <w:r w:rsidRPr="00652CC8">
        <w:rPr>
          <w:sz w:val="20"/>
          <w:szCs w:val="20"/>
        </w:rPr>
        <w:br/>
      </w:r>
      <w:r w:rsidR="0021485B" w:rsidRPr="00652CC8">
        <w:rPr>
          <w:rStyle w:val="katex-mathml"/>
          <w:i/>
          <w:sz w:val="20"/>
          <w:szCs w:val="20"/>
        </w:rPr>
        <w:t>N</w:t>
      </w:r>
      <w:r w:rsidR="0021485B" w:rsidRPr="00652CC8">
        <w:rPr>
          <w:sz w:val="20"/>
          <w:szCs w:val="20"/>
        </w:rPr>
        <w:tab/>
        <w:t>-</w:t>
      </w:r>
      <w:r w:rsidRPr="00652CC8">
        <w:rPr>
          <w:sz w:val="20"/>
          <w:szCs w:val="20"/>
        </w:rPr>
        <w:t xml:space="preserve"> total number of respondents</w:t>
      </w:r>
    </w:p>
    <w:p w14:paraId="475B4C3C" w14:textId="77777777" w:rsidR="003F1241" w:rsidRPr="00652CC8" w:rsidRDefault="003F1241" w:rsidP="00652CC8">
      <w:pPr>
        <w:pStyle w:val="NoSpacing"/>
        <w:ind w:left="1080"/>
        <w:rPr>
          <w:sz w:val="20"/>
          <w:szCs w:val="20"/>
        </w:rPr>
      </w:pPr>
      <w:r w:rsidRPr="00652CC8">
        <w:rPr>
          <w:sz w:val="20"/>
          <w:szCs w:val="20"/>
        </w:rPr>
        <w:t>(León-Mantero et al., 2020)</w:t>
      </w:r>
    </w:p>
    <w:p w14:paraId="148874EA" w14:textId="6B602686" w:rsidR="003F1241" w:rsidRDefault="003F1241" w:rsidP="0021485B">
      <w:pPr>
        <w:pStyle w:val="NormalWeb"/>
        <w:ind w:firstLine="720"/>
        <w:rPr>
          <w:sz w:val="20"/>
          <w:szCs w:val="20"/>
        </w:rPr>
      </w:pPr>
      <w:r w:rsidRPr="003F1241">
        <w:rPr>
          <w:sz w:val="20"/>
          <w:szCs w:val="20"/>
        </w:rPr>
        <w:t>The following verbal interpretation will be used:</w:t>
      </w:r>
    </w:p>
    <w:p w14:paraId="62B2CFA0" w14:textId="487C02B5" w:rsidR="0021485B" w:rsidRPr="0021485B" w:rsidRDefault="0021485B" w:rsidP="0021485B">
      <w:pPr>
        <w:pStyle w:val="NoSpacing"/>
        <w:jc w:val="center"/>
        <w:rPr>
          <w:sz w:val="20"/>
          <w:szCs w:val="20"/>
        </w:rPr>
      </w:pPr>
      <w:r w:rsidRPr="0021485B">
        <w:rPr>
          <w:sz w:val="20"/>
          <w:szCs w:val="20"/>
        </w:rPr>
        <w:t>Table 1. 5-Point Likert Scale</w:t>
      </w:r>
    </w:p>
    <w:tbl>
      <w:tblPr>
        <w:tblStyle w:val="TableGrid"/>
        <w:tblW w:w="7684" w:type="dxa"/>
        <w:jc w:val="center"/>
        <w:tblLook w:val="04A0" w:firstRow="1" w:lastRow="0" w:firstColumn="1" w:lastColumn="0" w:noHBand="0" w:noVBand="1"/>
      </w:tblPr>
      <w:tblGrid>
        <w:gridCol w:w="2340"/>
        <w:gridCol w:w="5344"/>
      </w:tblGrid>
      <w:tr w:rsidR="0021485B" w14:paraId="321B7A0F" w14:textId="77777777" w:rsidTr="0021485B">
        <w:trPr>
          <w:jc w:val="center"/>
        </w:trPr>
        <w:tc>
          <w:tcPr>
            <w:tcW w:w="2340" w:type="dxa"/>
          </w:tcPr>
          <w:p w14:paraId="38D6CCC6" w14:textId="6F407D91" w:rsidR="0021485B" w:rsidRPr="0021485B" w:rsidRDefault="0021485B" w:rsidP="0021485B">
            <w:pPr>
              <w:pStyle w:val="NoSpacing"/>
              <w:jc w:val="center"/>
              <w:rPr>
                <w:b/>
                <w:sz w:val="20"/>
                <w:szCs w:val="20"/>
              </w:rPr>
            </w:pPr>
            <w:r w:rsidRPr="0021485B">
              <w:rPr>
                <w:b/>
                <w:sz w:val="20"/>
                <w:szCs w:val="20"/>
              </w:rPr>
              <w:t>Range</w:t>
            </w:r>
          </w:p>
        </w:tc>
        <w:tc>
          <w:tcPr>
            <w:tcW w:w="5344" w:type="dxa"/>
          </w:tcPr>
          <w:p w14:paraId="237A9E66" w14:textId="75CEFCF8" w:rsidR="0021485B" w:rsidRPr="0021485B" w:rsidRDefault="0021485B" w:rsidP="0021485B">
            <w:pPr>
              <w:pStyle w:val="NoSpacing"/>
              <w:jc w:val="center"/>
              <w:rPr>
                <w:b/>
                <w:sz w:val="20"/>
                <w:szCs w:val="20"/>
              </w:rPr>
            </w:pPr>
            <w:r w:rsidRPr="0021485B">
              <w:rPr>
                <w:b/>
                <w:sz w:val="20"/>
                <w:szCs w:val="20"/>
              </w:rPr>
              <w:t>Verbal Interpretation</w:t>
            </w:r>
          </w:p>
        </w:tc>
      </w:tr>
      <w:tr w:rsidR="0021485B" w14:paraId="5762C7ED" w14:textId="77777777" w:rsidTr="0021485B">
        <w:trPr>
          <w:jc w:val="center"/>
        </w:trPr>
        <w:tc>
          <w:tcPr>
            <w:tcW w:w="2340" w:type="dxa"/>
          </w:tcPr>
          <w:p w14:paraId="63266478" w14:textId="035443B9" w:rsidR="0021485B" w:rsidRPr="0021485B" w:rsidRDefault="0021485B" w:rsidP="0021485B">
            <w:pPr>
              <w:pStyle w:val="NoSpacing"/>
              <w:jc w:val="center"/>
              <w:rPr>
                <w:sz w:val="20"/>
                <w:szCs w:val="20"/>
              </w:rPr>
            </w:pPr>
            <w:r>
              <w:rPr>
                <w:sz w:val="20"/>
                <w:szCs w:val="20"/>
              </w:rPr>
              <w:t>4.</w:t>
            </w:r>
            <w:r w:rsidR="00652CC8">
              <w:rPr>
                <w:sz w:val="20"/>
                <w:szCs w:val="20"/>
              </w:rPr>
              <w:t>2</w:t>
            </w:r>
            <w:r>
              <w:rPr>
                <w:sz w:val="20"/>
                <w:szCs w:val="20"/>
              </w:rPr>
              <w:t>1 – 5.00</w:t>
            </w:r>
          </w:p>
        </w:tc>
        <w:tc>
          <w:tcPr>
            <w:tcW w:w="5344" w:type="dxa"/>
          </w:tcPr>
          <w:p w14:paraId="52E93353" w14:textId="0B2D2D20" w:rsidR="0021485B" w:rsidRPr="0021485B" w:rsidRDefault="0021485B" w:rsidP="0021485B">
            <w:pPr>
              <w:pStyle w:val="NoSpacing"/>
              <w:jc w:val="center"/>
              <w:rPr>
                <w:sz w:val="20"/>
                <w:szCs w:val="20"/>
              </w:rPr>
            </w:pPr>
            <w:r>
              <w:rPr>
                <w:sz w:val="20"/>
                <w:szCs w:val="20"/>
              </w:rPr>
              <w:t>Always</w:t>
            </w:r>
          </w:p>
        </w:tc>
      </w:tr>
      <w:tr w:rsidR="0021485B" w14:paraId="58A9D806" w14:textId="77777777" w:rsidTr="0021485B">
        <w:trPr>
          <w:jc w:val="center"/>
        </w:trPr>
        <w:tc>
          <w:tcPr>
            <w:tcW w:w="2340" w:type="dxa"/>
          </w:tcPr>
          <w:p w14:paraId="039CA199" w14:textId="574DF670" w:rsidR="0021485B" w:rsidRPr="0021485B" w:rsidRDefault="0021485B" w:rsidP="0021485B">
            <w:pPr>
              <w:pStyle w:val="NoSpacing"/>
              <w:jc w:val="center"/>
              <w:rPr>
                <w:sz w:val="20"/>
                <w:szCs w:val="20"/>
              </w:rPr>
            </w:pPr>
            <w:r>
              <w:rPr>
                <w:sz w:val="20"/>
                <w:szCs w:val="20"/>
              </w:rPr>
              <w:t>3.</w:t>
            </w:r>
            <w:r w:rsidR="00652CC8">
              <w:rPr>
                <w:sz w:val="20"/>
                <w:szCs w:val="20"/>
              </w:rPr>
              <w:t>4</w:t>
            </w:r>
            <w:r>
              <w:rPr>
                <w:sz w:val="20"/>
                <w:szCs w:val="20"/>
              </w:rPr>
              <w:t>1 – 4.</w:t>
            </w:r>
            <w:r w:rsidR="00652CC8">
              <w:rPr>
                <w:sz w:val="20"/>
                <w:szCs w:val="20"/>
              </w:rPr>
              <w:t>20</w:t>
            </w:r>
          </w:p>
        </w:tc>
        <w:tc>
          <w:tcPr>
            <w:tcW w:w="5344" w:type="dxa"/>
          </w:tcPr>
          <w:p w14:paraId="2AF01D89" w14:textId="3D378FA0" w:rsidR="0021485B" w:rsidRPr="0021485B" w:rsidRDefault="0021485B" w:rsidP="0021485B">
            <w:pPr>
              <w:pStyle w:val="NoSpacing"/>
              <w:jc w:val="center"/>
              <w:rPr>
                <w:sz w:val="20"/>
                <w:szCs w:val="20"/>
              </w:rPr>
            </w:pPr>
            <w:r>
              <w:rPr>
                <w:sz w:val="20"/>
                <w:szCs w:val="20"/>
              </w:rPr>
              <w:t xml:space="preserve">Often </w:t>
            </w:r>
          </w:p>
        </w:tc>
      </w:tr>
      <w:tr w:rsidR="0021485B" w14:paraId="4D6EFE5C" w14:textId="77777777" w:rsidTr="0021485B">
        <w:trPr>
          <w:jc w:val="center"/>
        </w:trPr>
        <w:tc>
          <w:tcPr>
            <w:tcW w:w="2340" w:type="dxa"/>
          </w:tcPr>
          <w:p w14:paraId="06D1546C" w14:textId="1A612411" w:rsidR="0021485B" w:rsidRPr="0021485B" w:rsidRDefault="0021485B" w:rsidP="0021485B">
            <w:pPr>
              <w:pStyle w:val="NoSpacing"/>
              <w:jc w:val="center"/>
              <w:rPr>
                <w:sz w:val="20"/>
                <w:szCs w:val="20"/>
              </w:rPr>
            </w:pPr>
            <w:r>
              <w:rPr>
                <w:sz w:val="20"/>
                <w:szCs w:val="20"/>
              </w:rPr>
              <w:t>2.</w:t>
            </w:r>
            <w:r w:rsidR="00652CC8">
              <w:rPr>
                <w:sz w:val="20"/>
                <w:szCs w:val="20"/>
              </w:rPr>
              <w:t>6</w:t>
            </w:r>
            <w:r>
              <w:rPr>
                <w:sz w:val="20"/>
                <w:szCs w:val="20"/>
              </w:rPr>
              <w:t>1 – 3.</w:t>
            </w:r>
            <w:r w:rsidR="00652CC8">
              <w:rPr>
                <w:sz w:val="20"/>
                <w:szCs w:val="20"/>
              </w:rPr>
              <w:t>4</w:t>
            </w:r>
            <w:r>
              <w:rPr>
                <w:sz w:val="20"/>
                <w:szCs w:val="20"/>
              </w:rPr>
              <w:t>0</w:t>
            </w:r>
          </w:p>
        </w:tc>
        <w:tc>
          <w:tcPr>
            <w:tcW w:w="5344" w:type="dxa"/>
          </w:tcPr>
          <w:p w14:paraId="27A0587A" w14:textId="1709ACCB" w:rsidR="0021485B" w:rsidRPr="0021485B" w:rsidRDefault="0021485B" w:rsidP="0021485B">
            <w:pPr>
              <w:pStyle w:val="NoSpacing"/>
              <w:jc w:val="center"/>
              <w:rPr>
                <w:sz w:val="20"/>
                <w:szCs w:val="20"/>
              </w:rPr>
            </w:pPr>
            <w:r>
              <w:rPr>
                <w:sz w:val="20"/>
                <w:szCs w:val="20"/>
              </w:rPr>
              <w:t xml:space="preserve">Sometimes </w:t>
            </w:r>
          </w:p>
        </w:tc>
      </w:tr>
      <w:tr w:rsidR="0021485B" w14:paraId="59FB8B2C" w14:textId="77777777" w:rsidTr="0021485B">
        <w:trPr>
          <w:jc w:val="center"/>
        </w:trPr>
        <w:tc>
          <w:tcPr>
            <w:tcW w:w="2340" w:type="dxa"/>
          </w:tcPr>
          <w:p w14:paraId="3620F88C" w14:textId="01E458C6" w:rsidR="0021485B" w:rsidRPr="0021485B" w:rsidRDefault="0021485B" w:rsidP="0021485B">
            <w:pPr>
              <w:pStyle w:val="NoSpacing"/>
              <w:jc w:val="center"/>
              <w:rPr>
                <w:sz w:val="20"/>
                <w:szCs w:val="20"/>
              </w:rPr>
            </w:pPr>
            <w:r>
              <w:rPr>
                <w:sz w:val="20"/>
                <w:szCs w:val="20"/>
              </w:rPr>
              <w:t>1.81 – 2.</w:t>
            </w:r>
            <w:r w:rsidR="00652CC8">
              <w:rPr>
                <w:sz w:val="20"/>
                <w:szCs w:val="20"/>
              </w:rPr>
              <w:t>60</w:t>
            </w:r>
          </w:p>
        </w:tc>
        <w:tc>
          <w:tcPr>
            <w:tcW w:w="5344" w:type="dxa"/>
          </w:tcPr>
          <w:p w14:paraId="29EBE6A2" w14:textId="20652F3D" w:rsidR="0021485B" w:rsidRPr="0021485B" w:rsidRDefault="0021485B" w:rsidP="0021485B">
            <w:pPr>
              <w:pStyle w:val="NoSpacing"/>
              <w:jc w:val="center"/>
              <w:rPr>
                <w:sz w:val="20"/>
                <w:szCs w:val="20"/>
              </w:rPr>
            </w:pPr>
            <w:r>
              <w:rPr>
                <w:sz w:val="20"/>
                <w:szCs w:val="20"/>
              </w:rPr>
              <w:t>Rarely</w:t>
            </w:r>
          </w:p>
        </w:tc>
      </w:tr>
      <w:tr w:rsidR="0021485B" w14:paraId="65286CF2" w14:textId="77777777" w:rsidTr="0021485B">
        <w:trPr>
          <w:jc w:val="center"/>
        </w:trPr>
        <w:tc>
          <w:tcPr>
            <w:tcW w:w="2340" w:type="dxa"/>
          </w:tcPr>
          <w:p w14:paraId="22170B46" w14:textId="4A86657B" w:rsidR="0021485B" w:rsidRPr="0021485B" w:rsidRDefault="0021485B" w:rsidP="0021485B">
            <w:pPr>
              <w:pStyle w:val="NoSpacing"/>
              <w:jc w:val="center"/>
              <w:rPr>
                <w:sz w:val="20"/>
                <w:szCs w:val="20"/>
              </w:rPr>
            </w:pPr>
            <w:r>
              <w:rPr>
                <w:sz w:val="20"/>
                <w:szCs w:val="20"/>
              </w:rPr>
              <w:t>1.00 – 1.80</w:t>
            </w:r>
          </w:p>
        </w:tc>
        <w:tc>
          <w:tcPr>
            <w:tcW w:w="5344" w:type="dxa"/>
          </w:tcPr>
          <w:p w14:paraId="691852AC" w14:textId="25E026BB" w:rsidR="0021485B" w:rsidRPr="0021485B" w:rsidRDefault="0021485B" w:rsidP="0021485B">
            <w:pPr>
              <w:pStyle w:val="NoSpacing"/>
              <w:jc w:val="center"/>
              <w:rPr>
                <w:sz w:val="20"/>
                <w:szCs w:val="20"/>
              </w:rPr>
            </w:pPr>
            <w:r>
              <w:rPr>
                <w:sz w:val="20"/>
                <w:szCs w:val="20"/>
              </w:rPr>
              <w:t>Never</w:t>
            </w:r>
          </w:p>
        </w:tc>
      </w:tr>
    </w:tbl>
    <w:p w14:paraId="36A86650" w14:textId="77777777" w:rsidR="0021485B" w:rsidRDefault="0021485B" w:rsidP="0021485B">
      <w:pPr>
        <w:pStyle w:val="NoSpacing"/>
        <w:ind w:firstLine="720"/>
        <w:rPr>
          <w:sz w:val="20"/>
          <w:szCs w:val="20"/>
        </w:rPr>
      </w:pPr>
    </w:p>
    <w:p w14:paraId="7BC822F0" w14:textId="7569ED97" w:rsidR="003F1241" w:rsidRDefault="003F1241" w:rsidP="0021485B">
      <w:pPr>
        <w:pStyle w:val="NoSpacing"/>
        <w:ind w:firstLine="720"/>
        <w:rPr>
          <w:sz w:val="20"/>
          <w:szCs w:val="20"/>
        </w:rPr>
      </w:pPr>
      <w:r w:rsidRPr="0021485B">
        <w:rPr>
          <w:sz w:val="20"/>
          <w:szCs w:val="20"/>
        </w:rPr>
        <w:t>The scale interval was determined using the formula:</w:t>
      </w:r>
    </w:p>
    <w:p w14:paraId="7BCCB496" w14:textId="7738CCB5" w:rsidR="0021485B" w:rsidRDefault="0021485B" w:rsidP="0021485B">
      <w:pPr>
        <w:pStyle w:val="NoSpacing"/>
        <w:ind w:firstLine="720"/>
        <w:rPr>
          <w:sz w:val="20"/>
          <w:szCs w:val="20"/>
        </w:rPr>
      </w:pPr>
    </w:p>
    <w:p w14:paraId="59124373" w14:textId="7175240E" w:rsidR="0021485B" w:rsidRPr="0021485B" w:rsidRDefault="0021485B" w:rsidP="00652CC8">
      <w:pPr>
        <w:pStyle w:val="NoSpacing"/>
        <w:ind w:left="1080" w:firstLine="720"/>
        <w:rPr>
          <w:sz w:val="32"/>
          <w:szCs w:val="32"/>
        </w:rPr>
      </w:pPr>
      <m:oMathPara>
        <m:oMathParaPr>
          <m:jc m:val="left"/>
        </m:oMathParaPr>
        <m:oMath>
          <m:r>
            <w:rPr>
              <w:rFonts w:ascii="Cambria Math" w:hAnsi="Cambria Math"/>
              <w:sz w:val="28"/>
              <w:szCs w:val="32"/>
            </w:rPr>
            <m:t>Range=</m:t>
          </m:r>
          <m:f>
            <m:fPr>
              <m:ctrlPr>
                <w:rPr>
                  <w:rFonts w:ascii="Cambria Math" w:hAnsi="Cambria Math"/>
                  <w:i/>
                  <w:sz w:val="28"/>
                  <w:szCs w:val="32"/>
                </w:rPr>
              </m:ctrlPr>
            </m:fPr>
            <m:num>
              <m:r>
                <w:rPr>
                  <w:rFonts w:ascii="Cambria Math" w:hAnsi="Cambria Math"/>
                  <w:sz w:val="28"/>
                  <w:szCs w:val="32"/>
                </w:rPr>
                <m:t>Highest Value-Lowest Value</m:t>
              </m:r>
            </m:num>
            <m:den>
              <m:r>
                <w:rPr>
                  <w:rFonts w:ascii="Cambria Math" w:hAnsi="Cambria Math"/>
                  <w:sz w:val="28"/>
                  <w:szCs w:val="32"/>
                </w:rPr>
                <m:t xml:space="preserve">Number of Categories </m:t>
              </m:r>
            </m:den>
          </m:f>
        </m:oMath>
      </m:oMathPara>
    </w:p>
    <w:p w14:paraId="0757C61B" w14:textId="52B6C136" w:rsidR="0021485B" w:rsidRDefault="0021485B" w:rsidP="0021485B">
      <w:pPr>
        <w:pStyle w:val="NoSpacing"/>
        <w:rPr>
          <w:sz w:val="20"/>
          <w:szCs w:val="20"/>
        </w:rPr>
      </w:pPr>
    </w:p>
    <w:p w14:paraId="481F0684" w14:textId="10948942" w:rsidR="00652CC8" w:rsidRDefault="00652CC8" w:rsidP="0021485B">
      <w:pPr>
        <w:pStyle w:val="NoSpacing"/>
        <w:rPr>
          <w:sz w:val="20"/>
          <w:szCs w:val="20"/>
        </w:rPr>
      </w:pPr>
      <w:r>
        <w:rPr>
          <w:sz w:val="20"/>
          <w:szCs w:val="20"/>
        </w:rPr>
        <w:tab/>
      </w:r>
    </w:p>
    <w:p w14:paraId="2D625C27" w14:textId="30677F10" w:rsidR="00652CC8" w:rsidRPr="00652CC8" w:rsidRDefault="00652CC8" w:rsidP="00652CC8">
      <w:pPr>
        <w:pStyle w:val="NoSpacing"/>
        <w:ind w:left="1080"/>
        <w:rPr>
          <w:sz w:val="20"/>
          <w:szCs w:val="20"/>
        </w:rPr>
      </w:pPr>
      <w:r>
        <w:rPr>
          <w:sz w:val="20"/>
          <w:szCs w:val="20"/>
        </w:rPr>
        <w:lastRenderedPageBreak/>
        <w:tab/>
      </w:r>
      <m:oMath>
        <m:r>
          <m:rPr>
            <m:sty m:val="p"/>
          </m:rPr>
          <w:rPr>
            <w:rFonts w:ascii="Cambria Math" w:hAnsi="Cambria Math"/>
            <w:sz w:val="28"/>
            <w:szCs w:val="32"/>
          </w:rPr>
          <w:br/>
        </m:r>
      </m:oMath>
      <m:oMathPara>
        <m:oMathParaPr>
          <m:jc m:val="left"/>
        </m:oMathParaPr>
        <m:oMath>
          <m:r>
            <w:rPr>
              <w:rFonts w:ascii="Cambria Math" w:hAnsi="Cambria Math"/>
              <w:sz w:val="28"/>
              <w:szCs w:val="32"/>
            </w:rPr>
            <w:lastRenderedPageBreak/>
            <m:t>Range=</m:t>
          </m:r>
          <m:f>
            <m:fPr>
              <m:ctrlPr>
                <w:rPr>
                  <w:rFonts w:ascii="Cambria Math" w:hAnsi="Cambria Math"/>
                  <w:i/>
                  <w:sz w:val="28"/>
                  <w:szCs w:val="32"/>
                </w:rPr>
              </m:ctrlPr>
            </m:fPr>
            <m:num>
              <m:r>
                <w:rPr>
                  <w:rFonts w:ascii="Cambria Math" w:hAnsi="Cambria Math"/>
                  <w:sz w:val="28"/>
                  <w:szCs w:val="32"/>
                </w:rPr>
                <m:t>5-1</m:t>
              </m:r>
            </m:num>
            <m:den>
              <m:r>
                <w:rPr>
                  <w:rFonts w:ascii="Cambria Math" w:hAnsi="Cambria Math"/>
                  <w:sz w:val="28"/>
                  <w:szCs w:val="32"/>
                </w:rPr>
                <m:t>5</m:t>
              </m:r>
            </m:den>
          </m:f>
        </m:oMath>
      </m:oMathPara>
    </w:p>
    <w:p w14:paraId="4B491BFF" w14:textId="77777777" w:rsidR="00652CC8" w:rsidRDefault="00652CC8" w:rsidP="0021485B">
      <w:pPr>
        <w:pStyle w:val="NoSpacing"/>
        <w:rPr>
          <w:sz w:val="20"/>
          <w:szCs w:val="20"/>
        </w:rPr>
      </w:pPr>
    </w:p>
    <w:p w14:paraId="4A6FA7DB" w14:textId="3388DF56" w:rsidR="00652CC8" w:rsidRPr="00652CC8" w:rsidRDefault="00652CC8" w:rsidP="00652CC8">
      <w:pPr>
        <w:pStyle w:val="NoSpacing"/>
        <w:ind w:left="1080"/>
        <w:rPr>
          <w:sz w:val="20"/>
          <w:szCs w:val="20"/>
        </w:rPr>
      </w:pPr>
      <m:oMathPara>
        <m:oMathParaPr>
          <m:jc m:val="left"/>
        </m:oMathParaPr>
        <m:oMath>
          <m:r>
            <w:rPr>
              <w:rFonts w:ascii="Cambria Math" w:hAnsi="Cambria Math"/>
              <w:sz w:val="28"/>
              <w:szCs w:val="32"/>
            </w:rPr>
            <m:t>Range=0.8</m:t>
          </m:r>
        </m:oMath>
      </m:oMathPara>
    </w:p>
    <w:p w14:paraId="3B1B97F4" w14:textId="77777777" w:rsidR="00652CC8" w:rsidRDefault="00652CC8" w:rsidP="0021485B">
      <w:pPr>
        <w:pStyle w:val="NoSpacing"/>
        <w:rPr>
          <w:sz w:val="20"/>
          <w:szCs w:val="20"/>
        </w:rPr>
      </w:pPr>
    </w:p>
    <w:p w14:paraId="0CCCBD89" w14:textId="24ECA2B6" w:rsidR="003F1241" w:rsidRPr="0021485B" w:rsidRDefault="0021485B" w:rsidP="0021485B">
      <w:pPr>
        <w:pStyle w:val="NoSpacing"/>
        <w:rPr>
          <w:sz w:val="20"/>
          <w:szCs w:val="20"/>
        </w:rPr>
      </w:pPr>
      <w:r w:rsidRPr="0021485B">
        <w:rPr>
          <w:sz w:val="20"/>
          <w:szCs w:val="20"/>
        </w:rPr>
        <w:t xml:space="preserve"> </w:t>
      </w:r>
      <w:r w:rsidR="00652CC8">
        <w:rPr>
          <w:sz w:val="20"/>
          <w:szCs w:val="20"/>
        </w:rPr>
        <w:tab/>
      </w:r>
      <w:r w:rsidR="003F1241" w:rsidRPr="0021485B">
        <w:rPr>
          <w:sz w:val="20"/>
          <w:szCs w:val="20"/>
        </w:rPr>
        <w:t>(Best &amp; Kahn, 2006; Calmorin &amp; Calmorin, 2007)</w:t>
      </w:r>
    </w:p>
    <w:p w14:paraId="7A5FB938" w14:textId="77777777" w:rsidR="00652CC8" w:rsidRDefault="00652CC8" w:rsidP="0021485B">
      <w:pPr>
        <w:pStyle w:val="NoSpacing"/>
        <w:rPr>
          <w:sz w:val="20"/>
          <w:szCs w:val="20"/>
        </w:rPr>
      </w:pPr>
    </w:p>
    <w:p w14:paraId="258FD796" w14:textId="6D1148C0" w:rsidR="003F1241" w:rsidRDefault="003F1241" w:rsidP="00652CC8">
      <w:pPr>
        <w:pStyle w:val="NoSpacing"/>
        <w:ind w:left="360" w:firstLine="360"/>
        <w:jc w:val="both"/>
        <w:rPr>
          <w:sz w:val="20"/>
          <w:szCs w:val="20"/>
        </w:rPr>
      </w:pPr>
      <w:r w:rsidRPr="0021485B">
        <w:rPr>
          <w:sz w:val="20"/>
          <w:szCs w:val="20"/>
        </w:rPr>
        <w:t>Item C5 (“I ignore suspicious messages instead of reporting them”) will be reverse-scored prior to analysis to ensure</w:t>
      </w:r>
      <w:r w:rsidR="00652CC8">
        <w:rPr>
          <w:sz w:val="20"/>
          <w:szCs w:val="20"/>
        </w:rPr>
        <w:t xml:space="preserve"> </w:t>
      </w:r>
      <w:r w:rsidRPr="0021485B">
        <w:rPr>
          <w:sz w:val="20"/>
          <w:szCs w:val="20"/>
        </w:rPr>
        <w:t>consistency in interpreting higher scores as more desirable cybersecurity behavior.</w:t>
      </w:r>
    </w:p>
    <w:p w14:paraId="65BBCA32" w14:textId="7048C11E" w:rsidR="00652CC8" w:rsidRDefault="00652CC8" w:rsidP="00652CC8">
      <w:pPr>
        <w:pStyle w:val="NoSpacing"/>
        <w:ind w:left="720"/>
        <w:rPr>
          <w:sz w:val="20"/>
          <w:szCs w:val="20"/>
        </w:rPr>
      </w:pPr>
    </w:p>
    <w:p w14:paraId="32259DC0" w14:textId="77777777" w:rsidR="00652CC8" w:rsidRPr="0021485B" w:rsidRDefault="00652CC8" w:rsidP="00652CC8">
      <w:pPr>
        <w:pStyle w:val="NoSpacing"/>
        <w:ind w:left="720"/>
        <w:rPr>
          <w:sz w:val="20"/>
          <w:szCs w:val="20"/>
        </w:rPr>
      </w:pPr>
    </w:p>
    <w:p w14:paraId="1A4E4C6B" w14:textId="3C4B96FB" w:rsidR="003F1241" w:rsidRPr="00652CC8" w:rsidRDefault="003F1241" w:rsidP="00652CC8">
      <w:pPr>
        <w:pStyle w:val="NoSpacing"/>
        <w:numPr>
          <w:ilvl w:val="0"/>
          <w:numId w:val="17"/>
        </w:numPr>
        <w:rPr>
          <w:b/>
          <w:i/>
          <w:sz w:val="20"/>
          <w:szCs w:val="20"/>
        </w:rPr>
      </w:pPr>
      <w:r w:rsidRPr="00652CC8">
        <w:rPr>
          <w:b/>
          <w:i/>
          <w:sz w:val="20"/>
          <w:szCs w:val="20"/>
        </w:rPr>
        <w:t>Pearson Product-Moment Correlation Coefficient (r)</w:t>
      </w:r>
    </w:p>
    <w:p w14:paraId="64073244" w14:textId="77777777" w:rsidR="00652CC8" w:rsidRDefault="00652CC8" w:rsidP="0021485B">
      <w:pPr>
        <w:pStyle w:val="NoSpacing"/>
        <w:rPr>
          <w:sz w:val="20"/>
          <w:szCs w:val="20"/>
        </w:rPr>
      </w:pPr>
    </w:p>
    <w:p w14:paraId="48D65DD1" w14:textId="03203406" w:rsidR="003F1241" w:rsidRDefault="003F1241" w:rsidP="00652CC8">
      <w:pPr>
        <w:pStyle w:val="NoSpacing"/>
        <w:ind w:left="360" w:firstLine="360"/>
        <w:jc w:val="both"/>
        <w:rPr>
          <w:sz w:val="20"/>
          <w:szCs w:val="20"/>
        </w:rPr>
      </w:pPr>
      <w:r w:rsidRPr="0021485B">
        <w:rPr>
          <w:sz w:val="20"/>
          <w:szCs w:val="20"/>
        </w:rPr>
        <w:t>Pearson Product-Moment Correlation Coefficient will be employed to determine whether a significant relationship exists between students’ online security behaviors and their susceptibility to phishing attacks. This statistical test will identify the strength and direction of the relationship between the variables.</w:t>
      </w:r>
    </w:p>
    <w:p w14:paraId="05786B14" w14:textId="77777777" w:rsidR="00652CC8" w:rsidRPr="0021485B" w:rsidRDefault="00652CC8" w:rsidP="00652CC8">
      <w:pPr>
        <w:pStyle w:val="NoSpacing"/>
        <w:ind w:left="360" w:firstLine="360"/>
        <w:rPr>
          <w:sz w:val="20"/>
          <w:szCs w:val="20"/>
        </w:rPr>
      </w:pPr>
    </w:p>
    <w:p w14:paraId="62D9F690" w14:textId="77B087C6" w:rsidR="003F1241" w:rsidRDefault="003F1241" w:rsidP="00652CC8">
      <w:pPr>
        <w:pStyle w:val="NoSpacing"/>
        <w:ind w:firstLine="720"/>
        <w:rPr>
          <w:sz w:val="20"/>
          <w:szCs w:val="20"/>
        </w:rPr>
      </w:pPr>
      <w:r w:rsidRPr="0021485B">
        <w:rPr>
          <w:sz w:val="20"/>
          <w:szCs w:val="20"/>
        </w:rPr>
        <w:t>The formula for Pearson’s r is:</w:t>
      </w:r>
    </w:p>
    <w:p w14:paraId="201DB455" w14:textId="77777777" w:rsidR="00652CC8" w:rsidRDefault="00652CC8" w:rsidP="0021485B">
      <w:pPr>
        <w:pStyle w:val="NoSpacing"/>
        <w:rPr>
          <w:rStyle w:val="katex-mathml"/>
          <w:sz w:val="20"/>
          <w:szCs w:val="20"/>
        </w:rPr>
      </w:pPr>
    </w:p>
    <w:p w14:paraId="2E47D50A" w14:textId="2B1A1993" w:rsidR="00652CC8" w:rsidRPr="00696904" w:rsidRDefault="00652CC8" w:rsidP="00696904">
      <w:pPr>
        <w:pStyle w:val="NoSpacing"/>
        <w:ind w:left="1080"/>
        <w:rPr>
          <w:sz w:val="32"/>
          <w:szCs w:val="32"/>
        </w:rPr>
      </w:pPr>
      <m:oMathPara>
        <m:oMathParaPr>
          <m:jc m:val="left"/>
        </m:oMathParaPr>
        <m:oMath>
          <m:r>
            <w:rPr>
              <w:rFonts w:ascii="Cambria Math" w:hAnsi="Cambria Math"/>
              <w:sz w:val="32"/>
              <w:szCs w:val="32"/>
            </w:rPr>
            <m:t>r=</m:t>
          </m:r>
          <m:f>
            <m:fPr>
              <m:ctrlPr>
                <w:rPr>
                  <w:rFonts w:ascii="Cambria Math" w:hAnsi="Cambria Math"/>
                  <w:i/>
                  <w:sz w:val="32"/>
                  <w:szCs w:val="32"/>
                </w:rPr>
              </m:ctrlPr>
            </m:fPr>
            <m:num>
              <m:r>
                <m:rPr>
                  <m:sty m:val="p"/>
                </m:rPr>
                <w:rPr>
                  <w:rFonts w:ascii="Cambria Math" w:hAnsi="Cambria Math"/>
                  <w:sz w:val="32"/>
                  <w:szCs w:val="32"/>
                </w:rPr>
                <m:t>Σ</m:t>
              </m:r>
              <m:d>
                <m:dPr>
                  <m:begChr m:val="["/>
                  <m:endChr m:val="]"/>
                  <m:ctrlPr>
                    <w:rPr>
                      <w:rFonts w:ascii="Cambria Math" w:hAnsi="Cambria Math"/>
                      <w:i/>
                      <w:sz w:val="32"/>
                      <w:szCs w:val="32"/>
                    </w:rPr>
                  </m:ctrlPr>
                </m:dPr>
                <m:e>
                  <m:d>
                    <m:dPr>
                      <m:ctrlPr>
                        <w:rPr>
                          <w:rFonts w:ascii="Cambria Math" w:hAnsi="Cambria Math"/>
                          <w:i/>
                          <w:sz w:val="32"/>
                          <w:szCs w:val="32"/>
                        </w:rPr>
                      </m:ctrlPr>
                    </m:dPr>
                    <m:e>
                      <m:r>
                        <w:rPr>
                          <w:rFonts w:ascii="Cambria Math" w:hAnsi="Cambria Math"/>
                          <w:sz w:val="32"/>
                          <w:szCs w:val="32"/>
                        </w:rPr>
                        <m:t>x-</m:t>
                      </m:r>
                      <m:bar>
                        <m:barPr>
                          <m:pos m:val="top"/>
                          <m:ctrlPr>
                            <w:rPr>
                              <w:rFonts w:ascii="Cambria Math" w:hAnsi="Cambria Math"/>
                              <w:i/>
                              <w:sz w:val="32"/>
                              <w:szCs w:val="32"/>
                            </w:rPr>
                          </m:ctrlPr>
                        </m:barPr>
                        <m:e>
                          <m:r>
                            <w:rPr>
                              <w:rFonts w:ascii="Cambria Math" w:hAnsi="Cambria Math"/>
                              <w:sz w:val="32"/>
                              <w:szCs w:val="32"/>
                            </w:rPr>
                            <m:t>x</m:t>
                          </m:r>
                        </m:e>
                      </m:bar>
                    </m:e>
                  </m:d>
                  <m:d>
                    <m:dPr>
                      <m:ctrlPr>
                        <w:rPr>
                          <w:rFonts w:ascii="Cambria Math" w:hAnsi="Cambria Math"/>
                          <w:i/>
                          <w:sz w:val="32"/>
                          <w:szCs w:val="32"/>
                        </w:rPr>
                      </m:ctrlPr>
                    </m:dPr>
                    <m:e>
                      <m:r>
                        <w:rPr>
                          <w:rFonts w:ascii="Cambria Math" w:hAnsi="Cambria Math"/>
                          <w:sz w:val="32"/>
                          <w:szCs w:val="32"/>
                        </w:rPr>
                        <m:t>y-</m:t>
                      </m:r>
                      <m:acc>
                        <m:accPr>
                          <m:chr m:val="̅"/>
                          <m:ctrlPr>
                            <w:rPr>
                              <w:rFonts w:ascii="Cambria Math" w:hAnsi="Cambria Math"/>
                              <w:i/>
                              <w:sz w:val="32"/>
                              <w:szCs w:val="32"/>
                            </w:rPr>
                          </m:ctrlPr>
                        </m:accPr>
                        <m:e>
                          <m:r>
                            <w:rPr>
                              <w:rFonts w:ascii="Cambria Math" w:hAnsi="Cambria Math"/>
                              <w:sz w:val="32"/>
                              <w:szCs w:val="32"/>
                            </w:rPr>
                            <m:t>y</m:t>
                          </m:r>
                        </m:e>
                      </m:acc>
                    </m:e>
                  </m:d>
                </m:e>
              </m:d>
            </m:num>
            <m:den>
              <m:rad>
                <m:radPr>
                  <m:degHide m:val="1"/>
                  <m:ctrlPr>
                    <w:rPr>
                      <w:rFonts w:ascii="Cambria Math" w:hAnsi="Cambria Math"/>
                      <w:i/>
                      <w:sz w:val="32"/>
                      <w:szCs w:val="32"/>
                    </w:rPr>
                  </m:ctrlPr>
                </m:radPr>
                <m:deg/>
                <m:e>
                  <m:nary>
                    <m:naryPr>
                      <m:chr m:val="∑"/>
                      <m:limLoc m:val="undOvr"/>
                      <m:subHide m:val="1"/>
                      <m:supHide m:val="1"/>
                      <m:ctrlPr>
                        <w:rPr>
                          <w:rFonts w:ascii="Cambria Math" w:hAnsi="Cambria Math"/>
                          <w:i/>
                          <w:sz w:val="32"/>
                          <w:szCs w:val="32"/>
                        </w:rPr>
                      </m:ctrlPr>
                    </m:naryPr>
                    <m:sub/>
                    <m:sup/>
                    <m:e>
                      <m:sSup>
                        <m:sSupPr>
                          <m:ctrlPr>
                            <w:rPr>
                              <w:rFonts w:ascii="Cambria Math" w:hAnsi="Cambria Math"/>
                              <w:i/>
                              <w:sz w:val="32"/>
                              <w:szCs w:val="32"/>
                            </w:rPr>
                          </m:ctrlPr>
                        </m:sSupPr>
                        <m:e>
                          <m:d>
                            <m:dPr>
                              <m:ctrlPr>
                                <w:rPr>
                                  <w:rFonts w:ascii="Cambria Math" w:hAnsi="Cambria Math"/>
                                  <w:i/>
                                  <w:sz w:val="32"/>
                                  <w:szCs w:val="32"/>
                                </w:rPr>
                              </m:ctrlPr>
                            </m:dPr>
                            <m:e>
                              <m:r>
                                <w:rPr>
                                  <w:rFonts w:ascii="Cambria Math" w:hAnsi="Cambria Math"/>
                                  <w:sz w:val="32"/>
                                  <w:szCs w:val="32"/>
                                </w:rPr>
                                <m:t>x-</m:t>
                              </m:r>
                              <m:acc>
                                <m:accPr>
                                  <m:chr m:val="̅"/>
                                  <m:ctrlPr>
                                    <w:rPr>
                                      <w:rFonts w:ascii="Cambria Math" w:hAnsi="Cambria Math"/>
                                      <w:i/>
                                      <w:sz w:val="32"/>
                                      <w:szCs w:val="32"/>
                                    </w:rPr>
                                  </m:ctrlPr>
                                </m:accPr>
                                <m:e>
                                  <m:r>
                                    <w:rPr>
                                      <w:rFonts w:ascii="Cambria Math" w:hAnsi="Cambria Math"/>
                                      <w:sz w:val="32"/>
                                      <w:szCs w:val="32"/>
                                    </w:rPr>
                                    <m:t>x</m:t>
                                  </m:r>
                                </m:e>
                              </m:acc>
                            </m:e>
                          </m:d>
                        </m:e>
                        <m:sup>
                          <m:r>
                            <w:rPr>
                              <w:rFonts w:ascii="Cambria Math" w:hAnsi="Cambria Math"/>
                              <w:sz w:val="32"/>
                              <w:szCs w:val="32"/>
                            </w:rPr>
                            <m:t>2</m:t>
                          </m:r>
                        </m:sup>
                      </m:sSup>
                    </m:e>
                  </m:nary>
                  <m:r>
                    <w:rPr>
                      <w:rFonts w:ascii="Cambria Math" w:hAnsi="Cambria Math"/>
                      <w:sz w:val="32"/>
                      <w:szCs w:val="32"/>
                    </w:rPr>
                    <m:t>×</m:t>
                  </m:r>
                  <m:nary>
                    <m:naryPr>
                      <m:chr m:val="∑"/>
                      <m:limLoc m:val="undOvr"/>
                      <m:subHide m:val="1"/>
                      <m:supHide m:val="1"/>
                      <m:ctrlPr>
                        <w:rPr>
                          <w:rFonts w:ascii="Cambria Math" w:hAnsi="Cambria Math"/>
                          <w:i/>
                          <w:sz w:val="32"/>
                          <w:szCs w:val="32"/>
                        </w:rPr>
                      </m:ctrlPr>
                    </m:naryPr>
                    <m:sub/>
                    <m:sup/>
                    <m:e>
                      <m:sSup>
                        <m:sSupPr>
                          <m:ctrlPr>
                            <w:rPr>
                              <w:rFonts w:ascii="Cambria Math" w:hAnsi="Cambria Math"/>
                              <w:i/>
                              <w:sz w:val="32"/>
                              <w:szCs w:val="32"/>
                            </w:rPr>
                          </m:ctrlPr>
                        </m:sSupPr>
                        <m:e>
                          <m:d>
                            <m:dPr>
                              <m:ctrlPr>
                                <w:rPr>
                                  <w:rFonts w:ascii="Cambria Math" w:hAnsi="Cambria Math"/>
                                  <w:i/>
                                  <w:sz w:val="32"/>
                                  <w:szCs w:val="32"/>
                                </w:rPr>
                              </m:ctrlPr>
                            </m:dPr>
                            <m:e>
                              <m:r>
                                <w:rPr>
                                  <w:rFonts w:ascii="Cambria Math" w:hAnsi="Cambria Math"/>
                                  <w:sz w:val="32"/>
                                  <w:szCs w:val="32"/>
                                </w:rPr>
                                <m:t>y-</m:t>
                              </m:r>
                              <m:acc>
                                <m:accPr>
                                  <m:chr m:val="̅"/>
                                  <m:ctrlPr>
                                    <w:rPr>
                                      <w:rFonts w:ascii="Cambria Math" w:hAnsi="Cambria Math"/>
                                      <w:i/>
                                      <w:sz w:val="32"/>
                                      <w:szCs w:val="32"/>
                                    </w:rPr>
                                  </m:ctrlPr>
                                </m:accPr>
                                <m:e>
                                  <m:r>
                                    <w:rPr>
                                      <w:rFonts w:ascii="Cambria Math" w:hAnsi="Cambria Math"/>
                                      <w:sz w:val="32"/>
                                      <w:szCs w:val="32"/>
                                    </w:rPr>
                                    <m:t>y</m:t>
                                  </m:r>
                                </m:e>
                              </m:acc>
                            </m:e>
                          </m:d>
                        </m:e>
                        <m:sup>
                          <m:r>
                            <w:rPr>
                              <w:rFonts w:ascii="Cambria Math" w:hAnsi="Cambria Math"/>
                              <w:sz w:val="32"/>
                              <w:szCs w:val="32"/>
                            </w:rPr>
                            <m:t>2</m:t>
                          </m:r>
                        </m:sup>
                      </m:sSup>
                    </m:e>
                  </m:nary>
                </m:e>
              </m:rad>
            </m:den>
          </m:f>
        </m:oMath>
      </m:oMathPara>
    </w:p>
    <w:p w14:paraId="5666F157" w14:textId="77777777" w:rsidR="00652CC8" w:rsidRDefault="00652CC8" w:rsidP="0021485B">
      <w:pPr>
        <w:pStyle w:val="NoSpacing"/>
        <w:rPr>
          <w:sz w:val="20"/>
          <w:szCs w:val="20"/>
        </w:rPr>
      </w:pPr>
    </w:p>
    <w:p w14:paraId="25805C24" w14:textId="1D00FC52" w:rsidR="003F1241" w:rsidRPr="0021485B" w:rsidRDefault="003F1241" w:rsidP="00DC33EC">
      <w:pPr>
        <w:pStyle w:val="NoSpacing"/>
        <w:ind w:left="1080" w:hanging="360"/>
        <w:rPr>
          <w:sz w:val="20"/>
          <w:szCs w:val="20"/>
        </w:rPr>
      </w:pPr>
      <w:r w:rsidRPr="0021485B">
        <w:rPr>
          <w:sz w:val="20"/>
          <w:szCs w:val="20"/>
        </w:rPr>
        <w:t>Where:</w:t>
      </w:r>
      <w:r w:rsidRPr="0021485B">
        <w:rPr>
          <w:sz w:val="20"/>
          <w:szCs w:val="20"/>
        </w:rPr>
        <w:br/>
      </w:r>
      <w:r w:rsidR="00696904" w:rsidRPr="00696904">
        <w:rPr>
          <w:rStyle w:val="katex-mathml"/>
          <w:i/>
          <w:sz w:val="20"/>
          <w:szCs w:val="20"/>
        </w:rPr>
        <w:t>r</w:t>
      </w:r>
      <w:r w:rsidRPr="0021485B">
        <w:rPr>
          <w:sz w:val="20"/>
          <w:szCs w:val="20"/>
        </w:rPr>
        <w:t xml:space="preserve"> = Pearson correlation coefficient</w:t>
      </w:r>
      <w:r w:rsidRPr="0021485B">
        <w:rPr>
          <w:sz w:val="20"/>
          <w:szCs w:val="20"/>
        </w:rPr>
        <w:br/>
      </w:r>
      <w:r w:rsidR="00696904" w:rsidRPr="00696904">
        <w:rPr>
          <w:rStyle w:val="katex-mathml"/>
          <w:i/>
          <w:sz w:val="20"/>
          <w:szCs w:val="20"/>
        </w:rPr>
        <w:t>x</w:t>
      </w:r>
      <w:r w:rsidRPr="0021485B">
        <w:rPr>
          <w:sz w:val="20"/>
          <w:szCs w:val="20"/>
        </w:rPr>
        <w:t xml:space="preserve"> = online security behavior score</w:t>
      </w:r>
      <w:r w:rsidRPr="0021485B">
        <w:rPr>
          <w:sz w:val="20"/>
          <w:szCs w:val="20"/>
        </w:rPr>
        <w:br/>
      </w:r>
      <w:r w:rsidR="00696904" w:rsidRPr="00696904">
        <w:rPr>
          <w:rStyle w:val="katex-mathml"/>
          <w:i/>
          <w:sz w:val="20"/>
          <w:szCs w:val="20"/>
        </w:rPr>
        <w:t>y</w:t>
      </w:r>
      <w:r w:rsidRPr="0021485B">
        <w:rPr>
          <w:sz w:val="20"/>
          <w:szCs w:val="20"/>
        </w:rPr>
        <w:t xml:space="preserve"> = phishing susceptibility score</w:t>
      </w:r>
      <w:r w:rsidRPr="0021485B">
        <w:rPr>
          <w:sz w:val="20"/>
          <w:szCs w:val="20"/>
        </w:rPr>
        <w:br/>
      </w:r>
      <w:r w:rsidR="00CB7585" w:rsidRPr="00CB7585">
        <w:rPr>
          <w:rStyle w:val="katex-mathml"/>
          <w:sz w:val="20"/>
          <w:szCs w:val="20"/>
        </w:rPr>
        <w:t>x̄</w:t>
      </w:r>
      <w:r w:rsidR="00696904">
        <w:rPr>
          <w:rStyle w:val="katex-mathml"/>
          <w:sz w:val="20"/>
          <w:szCs w:val="20"/>
        </w:rPr>
        <w:t xml:space="preserve"> </w:t>
      </w:r>
      <w:r w:rsidRPr="0021485B">
        <w:rPr>
          <w:sz w:val="20"/>
          <w:szCs w:val="20"/>
        </w:rPr>
        <w:t xml:space="preserve">and </w:t>
      </w:r>
      <w:r w:rsidRPr="0021485B">
        <w:rPr>
          <w:rStyle w:val="katex-mathml"/>
          <w:sz w:val="20"/>
          <w:szCs w:val="20"/>
        </w:rPr>
        <w:t>y</w:t>
      </w:r>
      <w:r w:rsidR="00696904">
        <w:rPr>
          <w:rStyle w:val="katex-mathml"/>
          <w:sz w:val="20"/>
          <w:szCs w:val="20"/>
        </w:rPr>
        <w:t xml:space="preserve"> </w:t>
      </w:r>
      <w:r w:rsidRPr="0021485B">
        <w:rPr>
          <w:sz w:val="20"/>
          <w:szCs w:val="20"/>
        </w:rPr>
        <w:t>= mean scores of the variables</w:t>
      </w:r>
    </w:p>
    <w:p w14:paraId="485BA84B" w14:textId="2353F4AC" w:rsidR="003F1241" w:rsidRDefault="003F1241" w:rsidP="00DC33EC">
      <w:pPr>
        <w:pStyle w:val="NoSpacing"/>
        <w:ind w:left="1080"/>
        <w:rPr>
          <w:sz w:val="20"/>
          <w:szCs w:val="20"/>
        </w:rPr>
      </w:pPr>
      <w:r w:rsidRPr="0021485B">
        <w:rPr>
          <w:sz w:val="20"/>
          <w:szCs w:val="20"/>
        </w:rPr>
        <w:t>(Pearson, 1895; as cited in Cohen et al., 2003)</w:t>
      </w:r>
    </w:p>
    <w:p w14:paraId="66DE1CE9" w14:textId="77777777" w:rsidR="00696904" w:rsidRPr="0021485B" w:rsidRDefault="00696904" w:rsidP="0021485B">
      <w:pPr>
        <w:pStyle w:val="NoSpacing"/>
        <w:rPr>
          <w:sz w:val="20"/>
          <w:szCs w:val="20"/>
        </w:rPr>
      </w:pPr>
    </w:p>
    <w:p w14:paraId="7F542F91" w14:textId="24AC291F" w:rsidR="003F1241" w:rsidRPr="00DC33EC" w:rsidRDefault="003F1241" w:rsidP="00DC33EC">
      <w:pPr>
        <w:pStyle w:val="NoSpacing"/>
        <w:numPr>
          <w:ilvl w:val="0"/>
          <w:numId w:val="17"/>
        </w:numPr>
        <w:rPr>
          <w:b/>
          <w:i/>
          <w:sz w:val="20"/>
          <w:szCs w:val="20"/>
        </w:rPr>
      </w:pPr>
      <w:r w:rsidRPr="00DC33EC">
        <w:rPr>
          <w:b/>
          <w:i/>
          <w:sz w:val="20"/>
          <w:szCs w:val="20"/>
        </w:rPr>
        <w:t>One-Way Analysis of Variance (ANOVA)</w:t>
      </w:r>
    </w:p>
    <w:p w14:paraId="0518F23C" w14:textId="77777777" w:rsidR="00DC33EC" w:rsidRDefault="00DC33EC" w:rsidP="0021485B">
      <w:pPr>
        <w:pStyle w:val="NoSpacing"/>
        <w:rPr>
          <w:sz w:val="20"/>
          <w:szCs w:val="20"/>
        </w:rPr>
      </w:pPr>
    </w:p>
    <w:p w14:paraId="5BB1C436" w14:textId="7BB25FFA" w:rsidR="003F1241" w:rsidRPr="0021485B" w:rsidRDefault="003F1241" w:rsidP="00DC33EC">
      <w:pPr>
        <w:pStyle w:val="NoSpacing"/>
        <w:ind w:left="360" w:firstLine="360"/>
        <w:jc w:val="both"/>
        <w:rPr>
          <w:sz w:val="20"/>
          <w:szCs w:val="20"/>
        </w:rPr>
      </w:pPr>
      <w:r w:rsidRPr="0021485B">
        <w:rPr>
          <w:sz w:val="20"/>
          <w:szCs w:val="20"/>
        </w:rPr>
        <w:t>One-Way Analysis of Variance (ANOVA) will be used to determine whether significant differences exist in phishing susceptibility when participants are grouped according to year level. If significant differences are identified, Tukey’s Honest Significant Difference (HSD) Test will be conducted as a post hoc analysis to determine which groups significantly differ from one another.</w:t>
      </w:r>
    </w:p>
    <w:p w14:paraId="7C05A96C" w14:textId="77777777" w:rsidR="00DC33EC" w:rsidRDefault="00DC33EC" w:rsidP="0021485B">
      <w:pPr>
        <w:pStyle w:val="NoSpacing"/>
        <w:rPr>
          <w:sz w:val="20"/>
          <w:szCs w:val="20"/>
        </w:rPr>
      </w:pPr>
    </w:p>
    <w:p w14:paraId="4DC1333E" w14:textId="00417DAA" w:rsidR="003F1241" w:rsidRDefault="003F1241" w:rsidP="00DC33EC">
      <w:pPr>
        <w:pStyle w:val="NoSpacing"/>
        <w:ind w:firstLine="720"/>
        <w:rPr>
          <w:sz w:val="20"/>
          <w:szCs w:val="20"/>
        </w:rPr>
      </w:pPr>
      <w:r w:rsidRPr="0021485B">
        <w:rPr>
          <w:sz w:val="20"/>
          <w:szCs w:val="20"/>
        </w:rPr>
        <w:t>The ANOVA formula is:</w:t>
      </w:r>
    </w:p>
    <w:p w14:paraId="6B7E85BF" w14:textId="6FDDE9EB" w:rsidR="00DC33EC" w:rsidRDefault="00DC33EC" w:rsidP="00DC33EC">
      <w:pPr>
        <w:pStyle w:val="NoSpacing"/>
        <w:ind w:firstLine="720"/>
        <w:rPr>
          <w:sz w:val="20"/>
          <w:szCs w:val="20"/>
        </w:rPr>
      </w:pPr>
    </w:p>
    <w:p w14:paraId="2F63DC6D" w14:textId="5F4614CC" w:rsidR="00DC33EC" w:rsidRPr="00DC33EC" w:rsidRDefault="00DC33EC" w:rsidP="00DC33EC">
      <w:pPr>
        <w:pStyle w:val="NoSpacing"/>
        <w:ind w:left="1080" w:firstLine="720"/>
        <w:rPr>
          <w:sz w:val="20"/>
          <w:szCs w:val="20"/>
        </w:rPr>
      </w:pPr>
      <m:oMathPara>
        <m:oMathParaPr>
          <m:jc m:val="left"/>
        </m:oMathParaPr>
        <m:oMath>
          <m:r>
            <w:rPr>
              <w:rFonts w:ascii="Cambria Math" w:hAnsi="Cambria Math"/>
              <w:sz w:val="32"/>
              <w:szCs w:val="20"/>
            </w:rPr>
            <m:t>F=</m:t>
          </m:r>
          <m:f>
            <m:fPr>
              <m:ctrlPr>
                <w:rPr>
                  <w:rFonts w:ascii="Cambria Math" w:hAnsi="Cambria Math"/>
                  <w:i/>
                  <w:sz w:val="32"/>
                  <w:szCs w:val="20"/>
                </w:rPr>
              </m:ctrlPr>
            </m:fPr>
            <m:num>
              <m:sSub>
                <m:sSubPr>
                  <m:ctrlPr>
                    <w:rPr>
                      <w:rFonts w:ascii="Cambria Math" w:hAnsi="Cambria Math"/>
                      <w:i/>
                      <w:sz w:val="32"/>
                      <w:szCs w:val="20"/>
                    </w:rPr>
                  </m:ctrlPr>
                </m:sSubPr>
                <m:e>
                  <m:r>
                    <w:rPr>
                      <w:rFonts w:ascii="Cambria Math" w:hAnsi="Cambria Math"/>
                      <w:sz w:val="32"/>
                      <w:szCs w:val="20"/>
                    </w:rPr>
                    <m:t>MS</m:t>
                  </m:r>
                </m:e>
                <m:sub>
                  <m:r>
                    <w:rPr>
                      <w:rFonts w:ascii="Cambria Math" w:hAnsi="Cambria Math"/>
                      <w:sz w:val="32"/>
                      <w:szCs w:val="20"/>
                    </w:rPr>
                    <m:t>d</m:t>
                  </m:r>
                </m:sub>
              </m:sSub>
            </m:num>
            <m:den>
              <m:sSub>
                <m:sSubPr>
                  <m:ctrlPr>
                    <w:rPr>
                      <w:rFonts w:ascii="Cambria Math" w:hAnsi="Cambria Math"/>
                      <w:i/>
                      <w:sz w:val="32"/>
                      <w:szCs w:val="20"/>
                    </w:rPr>
                  </m:ctrlPr>
                </m:sSubPr>
                <m:e>
                  <m:r>
                    <w:rPr>
                      <w:rFonts w:ascii="Cambria Math" w:hAnsi="Cambria Math"/>
                      <w:sz w:val="32"/>
                      <w:szCs w:val="20"/>
                    </w:rPr>
                    <m:t>MS</m:t>
                  </m:r>
                </m:e>
                <m:sub>
                  <m:r>
                    <w:rPr>
                      <w:rFonts w:ascii="Cambria Math" w:hAnsi="Cambria Math"/>
                      <w:sz w:val="32"/>
                      <w:szCs w:val="20"/>
                    </w:rPr>
                    <m:t>E</m:t>
                  </m:r>
                </m:sub>
              </m:sSub>
            </m:den>
          </m:f>
        </m:oMath>
      </m:oMathPara>
    </w:p>
    <w:p w14:paraId="07D7B362" w14:textId="7A7C2F6F" w:rsidR="003F1241" w:rsidRPr="0021485B" w:rsidRDefault="003F1241" w:rsidP="0021485B">
      <w:pPr>
        <w:pStyle w:val="NoSpacing"/>
        <w:rPr>
          <w:sz w:val="20"/>
          <w:szCs w:val="20"/>
        </w:rPr>
      </w:pPr>
    </w:p>
    <w:p w14:paraId="7909729E" w14:textId="671FF0C1" w:rsidR="003F1241" w:rsidRPr="0021485B" w:rsidRDefault="003F1241" w:rsidP="00DC33EC">
      <w:pPr>
        <w:pStyle w:val="NoSpacing"/>
        <w:ind w:left="1080" w:hanging="360"/>
        <w:rPr>
          <w:sz w:val="20"/>
          <w:szCs w:val="20"/>
        </w:rPr>
      </w:pPr>
      <w:r w:rsidRPr="0021485B">
        <w:rPr>
          <w:sz w:val="20"/>
          <w:szCs w:val="20"/>
        </w:rPr>
        <w:t>Where:</w:t>
      </w:r>
      <w:r w:rsidRPr="0021485B">
        <w:rPr>
          <w:sz w:val="20"/>
          <w:szCs w:val="20"/>
        </w:rPr>
        <w:br/>
      </w:r>
      <w:r w:rsidR="00216F61" w:rsidRPr="00216F61">
        <w:rPr>
          <w:rStyle w:val="katex-mathml"/>
          <w:i/>
          <w:sz w:val="20"/>
          <w:szCs w:val="20"/>
        </w:rPr>
        <w:t>F</w:t>
      </w:r>
      <w:r w:rsidRPr="0021485B">
        <w:rPr>
          <w:sz w:val="20"/>
          <w:szCs w:val="20"/>
        </w:rPr>
        <w:t xml:space="preserve"> = computed F-ratio</w:t>
      </w:r>
      <w:r w:rsidRPr="0021485B">
        <w:rPr>
          <w:sz w:val="20"/>
          <w:szCs w:val="20"/>
        </w:rPr>
        <w:br/>
      </w:r>
      <w:r w:rsidR="00216F61" w:rsidRPr="00216F61">
        <w:rPr>
          <w:rStyle w:val="katex-mathml"/>
          <w:i/>
          <w:sz w:val="20"/>
          <w:szCs w:val="20"/>
        </w:rPr>
        <w:t>MSd</w:t>
      </w:r>
      <w:r w:rsidRPr="0021485B">
        <w:rPr>
          <w:rStyle w:val="vlist-s"/>
          <w:sz w:val="20"/>
          <w:szCs w:val="20"/>
        </w:rPr>
        <w:t>​</w:t>
      </w:r>
      <w:r w:rsidRPr="0021485B">
        <w:rPr>
          <w:sz w:val="20"/>
          <w:szCs w:val="20"/>
        </w:rPr>
        <w:t xml:space="preserve"> = mean square between groups</w:t>
      </w:r>
      <w:r w:rsidRPr="0021485B">
        <w:rPr>
          <w:sz w:val="20"/>
          <w:szCs w:val="20"/>
        </w:rPr>
        <w:br/>
      </w:r>
      <w:r w:rsidRPr="00216F61">
        <w:rPr>
          <w:rStyle w:val="katex-mathml"/>
          <w:i/>
          <w:sz w:val="20"/>
          <w:szCs w:val="20"/>
        </w:rPr>
        <w:t>MSe</w:t>
      </w:r>
      <w:r w:rsidR="00216F61" w:rsidRPr="0021485B">
        <w:rPr>
          <w:rStyle w:val="vlist-s"/>
          <w:sz w:val="20"/>
          <w:szCs w:val="20"/>
        </w:rPr>
        <w:t xml:space="preserve"> </w:t>
      </w:r>
      <w:r w:rsidRPr="0021485B">
        <w:rPr>
          <w:rStyle w:val="vlist-s"/>
          <w:sz w:val="20"/>
          <w:szCs w:val="20"/>
        </w:rPr>
        <w:t>​</w:t>
      </w:r>
      <w:r w:rsidRPr="0021485B">
        <w:rPr>
          <w:sz w:val="20"/>
          <w:szCs w:val="20"/>
        </w:rPr>
        <w:t xml:space="preserve"> = mean square within groups</w:t>
      </w:r>
    </w:p>
    <w:p w14:paraId="7A7F0431" w14:textId="0934A2F3" w:rsidR="003F1241" w:rsidRDefault="003F1241" w:rsidP="00DC33EC">
      <w:pPr>
        <w:pStyle w:val="NoSpacing"/>
        <w:ind w:left="1080"/>
        <w:rPr>
          <w:sz w:val="20"/>
          <w:szCs w:val="20"/>
        </w:rPr>
      </w:pPr>
      <w:r w:rsidRPr="0021485B">
        <w:rPr>
          <w:sz w:val="20"/>
          <w:szCs w:val="20"/>
        </w:rPr>
        <w:t>(Fisher, 1925; as cited in Field, 2013)</w:t>
      </w:r>
    </w:p>
    <w:p w14:paraId="435BEDDD" w14:textId="77777777" w:rsidR="00DC33EC" w:rsidRPr="0021485B" w:rsidRDefault="00DC33EC" w:rsidP="0021485B">
      <w:pPr>
        <w:pStyle w:val="NoSpacing"/>
        <w:rPr>
          <w:sz w:val="20"/>
          <w:szCs w:val="20"/>
        </w:rPr>
      </w:pPr>
    </w:p>
    <w:p w14:paraId="75D0C21C" w14:textId="77777777" w:rsidR="003F1241" w:rsidRPr="0021485B" w:rsidRDefault="003F1241" w:rsidP="00DC33EC">
      <w:pPr>
        <w:pStyle w:val="NoSpacing"/>
        <w:ind w:firstLine="720"/>
        <w:rPr>
          <w:sz w:val="20"/>
          <w:szCs w:val="20"/>
        </w:rPr>
      </w:pPr>
      <w:r w:rsidRPr="0021485B">
        <w:rPr>
          <w:sz w:val="20"/>
          <w:szCs w:val="20"/>
        </w:rPr>
        <w:t>For post hoc analysis, Tukey’s HSD formula will be used:</w:t>
      </w:r>
    </w:p>
    <w:p w14:paraId="24C92D8F" w14:textId="77777777" w:rsidR="00DC33EC" w:rsidRDefault="00DC33EC" w:rsidP="0021485B">
      <w:pPr>
        <w:pStyle w:val="NoSpacing"/>
        <w:rPr>
          <w:rStyle w:val="katex-mathml"/>
          <w:sz w:val="20"/>
          <w:szCs w:val="20"/>
        </w:rPr>
      </w:pPr>
    </w:p>
    <w:p w14:paraId="05ACF5B5" w14:textId="7E8A6C17" w:rsidR="00DC33EC" w:rsidRPr="00216F61" w:rsidRDefault="00DC33EC" w:rsidP="0021485B">
      <w:pPr>
        <w:pStyle w:val="NoSpacing"/>
        <w:rPr>
          <w:rStyle w:val="katex-mathml"/>
          <w:b/>
          <w:sz w:val="20"/>
          <w:szCs w:val="20"/>
        </w:rPr>
      </w:pPr>
      <w:r>
        <w:rPr>
          <w:rStyle w:val="katex-mathml"/>
          <w:sz w:val="20"/>
          <w:szCs w:val="20"/>
        </w:rPr>
        <w:tab/>
      </w:r>
      <m:oMath>
        <m:r>
          <m:rPr>
            <m:sty m:val="bi"/>
          </m:rPr>
          <w:rPr>
            <w:rStyle w:val="katex-mathml"/>
            <w:rFonts w:ascii="Cambria Math" w:hAnsi="Cambria Math"/>
            <w:sz w:val="32"/>
            <w:szCs w:val="20"/>
          </w:rPr>
          <m:t>HSD=</m:t>
        </m:r>
        <m:sSup>
          <m:sSupPr>
            <m:ctrlPr>
              <w:rPr>
                <w:rStyle w:val="katex-mathml"/>
                <w:rFonts w:ascii="Cambria Math" w:hAnsi="Cambria Math"/>
                <w:b/>
                <w:i/>
                <w:sz w:val="32"/>
                <w:szCs w:val="20"/>
              </w:rPr>
            </m:ctrlPr>
          </m:sSupPr>
          <m:e>
            <m:r>
              <m:rPr>
                <m:sty m:val="bi"/>
              </m:rPr>
              <w:rPr>
                <w:rStyle w:val="katex-mathml"/>
                <w:rFonts w:ascii="Cambria Math" w:hAnsi="Cambria Math"/>
                <w:sz w:val="32"/>
                <w:szCs w:val="20"/>
              </w:rPr>
              <m:t>q</m:t>
            </m:r>
          </m:e>
          <m:sup>
            <m:r>
              <m:rPr>
                <m:sty m:val="bi"/>
              </m:rPr>
              <w:rPr>
                <w:rStyle w:val="katex-mathml"/>
                <w:rFonts w:ascii="Cambria Math" w:hAnsi="Cambria Math"/>
                <w:sz w:val="32"/>
                <w:szCs w:val="20"/>
              </w:rPr>
              <m:t>*</m:t>
            </m:r>
          </m:sup>
        </m:sSup>
        <m:r>
          <m:rPr>
            <m:sty m:val="bi"/>
          </m:rPr>
          <w:rPr>
            <w:rStyle w:val="katex-mathml"/>
            <w:rFonts w:ascii="Cambria Math" w:hAnsi="Cambria Math"/>
            <w:sz w:val="32"/>
            <w:szCs w:val="20"/>
          </w:rPr>
          <m:t>×</m:t>
        </m:r>
        <m:rad>
          <m:radPr>
            <m:degHide m:val="1"/>
            <m:ctrlPr>
              <w:rPr>
                <w:rStyle w:val="katex-mathml"/>
                <w:rFonts w:ascii="Cambria Math" w:hAnsi="Cambria Math"/>
                <w:b/>
                <w:i/>
                <w:sz w:val="32"/>
                <w:szCs w:val="20"/>
              </w:rPr>
            </m:ctrlPr>
          </m:radPr>
          <m:deg/>
          <m:e>
            <m:f>
              <m:fPr>
                <m:ctrlPr>
                  <w:rPr>
                    <w:rStyle w:val="katex-mathml"/>
                    <w:rFonts w:ascii="Cambria Math" w:hAnsi="Cambria Math"/>
                    <w:b/>
                    <w:i/>
                    <w:sz w:val="32"/>
                    <w:szCs w:val="20"/>
                  </w:rPr>
                </m:ctrlPr>
              </m:fPr>
              <m:num>
                <m:r>
                  <m:rPr>
                    <m:sty m:val="bi"/>
                  </m:rPr>
                  <w:rPr>
                    <w:rStyle w:val="katex-mathml"/>
                    <w:rFonts w:ascii="Cambria Math" w:hAnsi="Cambria Math"/>
                    <w:sz w:val="32"/>
                    <w:szCs w:val="20"/>
                  </w:rPr>
                  <m:t>MSE</m:t>
                </m:r>
              </m:num>
              <m:den>
                <m:r>
                  <m:rPr>
                    <m:sty m:val="bi"/>
                  </m:rPr>
                  <w:rPr>
                    <w:rStyle w:val="katex-mathml"/>
                    <w:rFonts w:ascii="Cambria Math" w:hAnsi="Cambria Math"/>
                    <w:sz w:val="32"/>
                    <w:szCs w:val="20"/>
                  </w:rPr>
                  <m:t>n</m:t>
                </m:r>
              </m:den>
            </m:f>
          </m:e>
        </m:rad>
      </m:oMath>
    </w:p>
    <w:p w14:paraId="551EEF7D" w14:textId="77777777" w:rsidR="00DC33EC" w:rsidRDefault="00DC33EC" w:rsidP="0021485B">
      <w:pPr>
        <w:pStyle w:val="NoSpacing"/>
        <w:rPr>
          <w:rStyle w:val="katex-mathml"/>
          <w:sz w:val="20"/>
          <w:szCs w:val="20"/>
        </w:rPr>
      </w:pPr>
    </w:p>
    <w:p w14:paraId="5AD4BD09" w14:textId="2E8028D8" w:rsidR="003F1241" w:rsidRPr="0021485B" w:rsidRDefault="003F1241" w:rsidP="00216F61">
      <w:pPr>
        <w:pStyle w:val="NoSpacing"/>
        <w:ind w:left="1080" w:hanging="360"/>
        <w:rPr>
          <w:sz w:val="20"/>
          <w:szCs w:val="20"/>
        </w:rPr>
      </w:pPr>
      <w:r w:rsidRPr="0021485B">
        <w:rPr>
          <w:sz w:val="20"/>
          <w:szCs w:val="20"/>
        </w:rPr>
        <w:t>Where:</w:t>
      </w:r>
      <w:r w:rsidRPr="0021485B">
        <w:rPr>
          <w:sz w:val="20"/>
          <w:szCs w:val="20"/>
        </w:rPr>
        <w:br/>
      </w:r>
      <w:r w:rsidR="00216F61" w:rsidRPr="00216F61">
        <w:rPr>
          <w:rStyle w:val="katex-mathml"/>
          <w:i/>
          <w:sz w:val="20"/>
          <w:szCs w:val="20"/>
        </w:rPr>
        <w:t>HSD</w:t>
      </w:r>
      <w:r w:rsidRPr="0021485B">
        <w:rPr>
          <w:sz w:val="20"/>
          <w:szCs w:val="20"/>
        </w:rPr>
        <w:t xml:space="preserve"> = minimum significant difference</w:t>
      </w:r>
      <w:r w:rsidRPr="0021485B">
        <w:rPr>
          <w:sz w:val="20"/>
          <w:szCs w:val="20"/>
        </w:rPr>
        <w:br/>
      </w:r>
      <w:r w:rsidRPr="00216F61">
        <w:rPr>
          <w:rStyle w:val="katex-mathml"/>
          <w:i/>
          <w:sz w:val="20"/>
          <w:szCs w:val="20"/>
        </w:rPr>
        <w:t>q</w:t>
      </w:r>
      <w:r w:rsidRPr="00216F61">
        <w:rPr>
          <w:rStyle w:val="katex-mathml"/>
          <w:rFonts w:ascii="Cambria Math" w:hAnsi="Cambria Math" w:cs="Cambria Math"/>
          <w:i/>
          <w:sz w:val="20"/>
          <w:szCs w:val="20"/>
        </w:rPr>
        <w:t>∗</w:t>
      </w:r>
      <w:r w:rsidRPr="0021485B">
        <w:rPr>
          <w:sz w:val="20"/>
          <w:szCs w:val="20"/>
        </w:rPr>
        <w:t xml:space="preserve"> = critical value from the studentized range distribution</w:t>
      </w:r>
      <w:r w:rsidRPr="0021485B">
        <w:rPr>
          <w:sz w:val="20"/>
          <w:szCs w:val="20"/>
        </w:rPr>
        <w:br/>
      </w:r>
      <w:r w:rsidRPr="00216F61">
        <w:rPr>
          <w:rStyle w:val="katex-mathml"/>
          <w:i/>
          <w:sz w:val="20"/>
          <w:szCs w:val="20"/>
        </w:rPr>
        <w:t>MSE</w:t>
      </w:r>
      <w:r w:rsidRPr="0021485B">
        <w:rPr>
          <w:sz w:val="20"/>
          <w:szCs w:val="20"/>
        </w:rPr>
        <w:t>= mean square error from ANOVA</w:t>
      </w:r>
      <w:r w:rsidRPr="0021485B">
        <w:rPr>
          <w:sz w:val="20"/>
          <w:szCs w:val="20"/>
        </w:rPr>
        <w:br/>
      </w:r>
      <w:r w:rsidR="00216F61" w:rsidRPr="00216F61">
        <w:rPr>
          <w:rStyle w:val="katex-mathml"/>
          <w:i/>
          <w:sz w:val="20"/>
          <w:szCs w:val="20"/>
        </w:rPr>
        <w:t>n</w:t>
      </w:r>
      <w:r w:rsidRPr="0021485B">
        <w:rPr>
          <w:sz w:val="20"/>
          <w:szCs w:val="20"/>
        </w:rPr>
        <w:t xml:space="preserve"> = sample size per group</w:t>
      </w:r>
    </w:p>
    <w:p w14:paraId="2E64EE9E" w14:textId="77777777" w:rsidR="003F1241" w:rsidRPr="0021485B" w:rsidRDefault="003F1241" w:rsidP="00216F61">
      <w:pPr>
        <w:pStyle w:val="NoSpacing"/>
        <w:ind w:left="1080"/>
        <w:rPr>
          <w:sz w:val="20"/>
          <w:szCs w:val="20"/>
        </w:rPr>
      </w:pPr>
      <w:r w:rsidRPr="0021485B">
        <w:rPr>
          <w:sz w:val="20"/>
          <w:szCs w:val="20"/>
        </w:rPr>
        <w:t>(Tukey, 1949; as cited in Field, 2013)</w:t>
      </w:r>
    </w:p>
    <w:p w14:paraId="29706333" w14:textId="77777777" w:rsidR="00216F61" w:rsidRDefault="00216F61" w:rsidP="0021485B">
      <w:pPr>
        <w:pStyle w:val="NoSpacing"/>
        <w:rPr>
          <w:sz w:val="20"/>
          <w:szCs w:val="20"/>
        </w:rPr>
      </w:pPr>
    </w:p>
    <w:p w14:paraId="7122EFE6" w14:textId="05ABC34F" w:rsidR="003F1241" w:rsidRPr="0021485B" w:rsidRDefault="003F1241" w:rsidP="00216F61">
      <w:pPr>
        <w:pStyle w:val="NoSpacing"/>
        <w:ind w:left="360" w:firstLine="360"/>
        <w:jc w:val="both"/>
        <w:rPr>
          <w:sz w:val="20"/>
          <w:szCs w:val="20"/>
        </w:rPr>
      </w:pPr>
      <w:r w:rsidRPr="0021485B">
        <w:rPr>
          <w:sz w:val="20"/>
          <w:szCs w:val="20"/>
        </w:rPr>
        <w:lastRenderedPageBreak/>
        <w:t xml:space="preserve">These statistical tools will enable the researchers to evaluate the effectiveness of the intervention, identify behavioral patterns related to phishing susceptibility, and formulate appropriate recommendations for improving cybersecurity awareness among students of </w:t>
      </w:r>
      <w:r w:rsidRPr="0021485B">
        <w:rPr>
          <w:rStyle w:val="whitespace-normal"/>
          <w:sz w:val="20"/>
          <w:szCs w:val="20"/>
        </w:rPr>
        <w:t>Quezon City University</w:t>
      </w:r>
      <w:r w:rsidRPr="0021485B">
        <w:rPr>
          <w:sz w:val="20"/>
          <w:szCs w:val="20"/>
        </w:rPr>
        <w:t>.</w:t>
      </w:r>
    </w:p>
    <w:p w14:paraId="7A89F362" w14:textId="77777777" w:rsidR="0099657B" w:rsidRPr="0021485B" w:rsidRDefault="0099657B" w:rsidP="0021485B">
      <w:pPr>
        <w:pStyle w:val="NoSpacing"/>
        <w:rPr>
          <w:b/>
          <w:sz w:val="20"/>
          <w:szCs w:val="20"/>
        </w:rPr>
      </w:pPr>
    </w:p>
    <w:p w14:paraId="194AFF46" w14:textId="77777777" w:rsidR="0099657B" w:rsidRPr="00EC6393" w:rsidRDefault="0099657B" w:rsidP="0099657B">
      <w:pPr>
        <w:pStyle w:val="IEEEParagraph"/>
        <w:rPr>
          <w:sz w:val="20"/>
          <w:szCs w:val="20"/>
        </w:rPr>
      </w:pPr>
    </w:p>
    <w:p w14:paraId="04E301CE" w14:textId="77777777" w:rsidR="0099657B" w:rsidRPr="00EC6393" w:rsidRDefault="0099657B" w:rsidP="0099657B">
      <w:pPr>
        <w:pStyle w:val="IEEEHeading1"/>
        <w:numPr>
          <w:ilvl w:val="0"/>
          <w:numId w:val="0"/>
        </w:numPr>
        <w:spacing w:before="0" w:after="240"/>
        <w:jc w:val="both"/>
        <w:rPr>
          <w:b/>
          <w:szCs w:val="20"/>
        </w:rPr>
      </w:pPr>
      <w:r w:rsidRPr="00EC6393">
        <w:rPr>
          <w:b/>
          <w:szCs w:val="20"/>
        </w:rPr>
        <w:t>RESULT AND DISCUSSION</w:t>
      </w:r>
    </w:p>
    <w:p w14:paraId="13C8DEFB" w14:textId="00D919CE" w:rsidR="0099657B" w:rsidRPr="002D78EB" w:rsidRDefault="0099657B" w:rsidP="00216F61">
      <w:pPr>
        <w:pStyle w:val="ListParagraph"/>
        <w:numPr>
          <w:ilvl w:val="0"/>
          <w:numId w:val="18"/>
        </w:numPr>
        <w:ind w:left="360"/>
        <w:rPr>
          <w:b/>
          <w:bCs/>
          <w:i/>
          <w:sz w:val="20"/>
          <w:szCs w:val="20"/>
        </w:rPr>
      </w:pPr>
      <w:r w:rsidRPr="002D78EB">
        <w:rPr>
          <w:b/>
          <w:bCs/>
          <w:i/>
          <w:sz w:val="20"/>
          <w:szCs w:val="20"/>
        </w:rPr>
        <w:t>Demographic Profile of Respondents</w:t>
      </w:r>
    </w:p>
    <w:p w14:paraId="64041BF5" w14:textId="77777777" w:rsidR="0099657B" w:rsidRPr="00EC6393" w:rsidRDefault="0099657B" w:rsidP="0099657B">
      <w:pPr>
        <w:pStyle w:val="IEEEParagraph"/>
        <w:ind w:firstLine="0"/>
        <w:rPr>
          <w:sz w:val="20"/>
          <w:szCs w:val="20"/>
        </w:rPr>
      </w:pPr>
    </w:p>
    <w:p w14:paraId="51DFDDCF" w14:textId="202B6D3A" w:rsidR="00216F61" w:rsidRPr="00EC6393" w:rsidRDefault="0099657B" w:rsidP="00E31CEB">
      <w:pPr>
        <w:pStyle w:val="IEEEParagraph"/>
        <w:ind w:firstLine="0"/>
        <w:jc w:val="center"/>
        <w:rPr>
          <w:rFonts w:eastAsia="Arial"/>
          <w:sz w:val="20"/>
          <w:szCs w:val="20"/>
        </w:rPr>
      </w:pPr>
      <w:r w:rsidRPr="00EC6393">
        <w:rPr>
          <w:sz w:val="20"/>
          <w:szCs w:val="20"/>
        </w:rPr>
        <w:t xml:space="preserve">Table </w:t>
      </w:r>
      <w:r w:rsidR="00216F61">
        <w:rPr>
          <w:sz w:val="20"/>
          <w:szCs w:val="20"/>
        </w:rPr>
        <w:t>2</w:t>
      </w:r>
      <w:r w:rsidRPr="00EC6393">
        <w:rPr>
          <w:sz w:val="20"/>
          <w:szCs w:val="20"/>
        </w:rPr>
        <w:t xml:space="preserve">. </w:t>
      </w:r>
      <w:r w:rsidRPr="00EC6393">
        <w:rPr>
          <w:rFonts w:eastAsia="Arial"/>
          <w:sz w:val="20"/>
          <w:szCs w:val="20"/>
        </w:rPr>
        <w:t>Demographic Profile of Respondents by Year Level</w:t>
      </w:r>
    </w:p>
    <w:tbl>
      <w:tblPr>
        <w:tblStyle w:val="TableGrid"/>
        <w:tblW w:w="0" w:type="auto"/>
        <w:tblLook w:val="04A0" w:firstRow="1" w:lastRow="0" w:firstColumn="1" w:lastColumn="0" w:noHBand="0" w:noVBand="1"/>
      </w:tblPr>
      <w:tblGrid>
        <w:gridCol w:w="2671"/>
        <w:gridCol w:w="2672"/>
        <w:gridCol w:w="2672"/>
        <w:gridCol w:w="2672"/>
      </w:tblGrid>
      <w:tr w:rsidR="0099657B" w:rsidRPr="00EC6393" w14:paraId="1126179F" w14:textId="77777777" w:rsidTr="00B01B61">
        <w:trPr>
          <w:trHeight w:val="278"/>
        </w:trPr>
        <w:tc>
          <w:tcPr>
            <w:tcW w:w="2671" w:type="dxa"/>
            <w:shd w:val="clear" w:color="auto" w:fill="C5E0B3" w:themeFill="accent6" w:themeFillTint="66"/>
            <w:vAlign w:val="center"/>
          </w:tcPr>
          <w:p w14:paraId="7E54992A" w14:textId="77777777" w:rsidR="0099657B" w:rsidRPr="00EC6393" w:rsidRDefault="0099657B" w:rsidP="00B01B61">
            <w:pPr>
              <w:pStyle w:val="IEEEParagraph"/>
              <w:ind w:firstLine="0"/>
              <w:jc w:val="center"/>
              <w:rPr>
                <w:b/>
                <w:bCs/>
                <w:sz w:val="20"/>
                <w:szCs w:val="20"/>
              </w:rPr>
            </w:pPr>
            <w:r w:rsidRPr="00EC6393">
              <w:rPr>
                <w:b/>
                <w:bCs/>
                <w:sz w:val="20"/>
                <w:szCs w:val="20"/>
              </w:rPr>
              <w:t>Year Level</w:t>
            </w:r>
          </w:p>
        </w:tc>
        <w:tc>
          <w:tcPr>
            <w:tcW w:w="2672" w:type="dxa"/>
            <w:shd w:val="clear" w:color="auto" w:fill="C5E0B3" w:themeFill="accent6" w:themeFillTint="66"/>
            <w:vAlign w:val="center"/>
          </w:tcPr>
          <w:p w14:paraId="0E84DE24" w14:textId="77777777" w:rsidR="0099657B" w:rsidRPr="00EC6393" w:rsidRDefault="0099657B" w:rsidP="00B01B61">
            <w:pPr>
              <w:pStyle w:val="IEEEParagraph"/>
              <w:ind w:firstLine="0"/>
              <w:jc w:val="center"/>
              <w:rPr>
                <w:b/>
                <w:bCs/>
                <w:sz w:val="20"/>
                <w:szCs w:val="20"/>
              </w:rPr>
            </w:pPr>
            <w:r w:rsidRPr="00EC6393">
              <w:rPr>
                <w:b/>
                <w:bCs/>
                <w:sz w:val="20"/>
                <w:szCs w:val="20"/>
              </w:rPr>
              <w:t>Frequency</w:t>
            </w:r>
          </w:p>
        </w:tc>
        <w:tc>
          <w:tcPr>
            <w:tcW w:w="2672" w:type="dxa"/>
            <w:shd w:val="clear" w:color="auto" w:fill="C5E0B3" w:themeFill="accent6" w:themeFillTint="66"/>
            <w:vAlign w:val="center"/>
          </w:tcPr>
          <w:p w14:paraId="1A4AC48D" w14:textId="77777777" w:rsidR="0099657B" w:rsidRPr="00EC6393" w:rsidRDefault="0099657B" w:rsidP="00B01B61">
            <w:pPr>
              <w:pStyle w:val="IEEEParagraph"/>
              <w:ind w:firstLine="0"/>
              <w:jc w:val="center"/>
              <w:rPr>
                <w:b/>
                <w:bCs/>
                <w:sz w:val="20"/>
                <w:szCs w:val="20"/>
              </w:rPr>
            </w:pPr>
            <w:r w:rsidRPr="00EC6393">
              <w:rPr>
                <w:b/>
                <w:bCs/>
                <w:sz w:val="20"/>
                <w:szCs w:val="20"/>
              </w:rPr>
              <w:t>Percentage</w:t>
            </w:r>
          </w:p>
        </w:tc>
        <w:tc>
          <w:tcPr>
            <w:tcW w:w="2672" w:type="dxa"/>
            <w:shd w:val="clear" w:color="auto" w:fill="C5E0B3" w:themeFill="accent6" w:themeFillTint="66"/>
            <w:vAlign w:val="center"/>
          </w:tcPr>
          <w:p w14:paraId="416314E9" w14:textId="77777777" w:rsidR="0099657B" w:rsidRPr="00EC6393" w:rsidRDefault="0099657B" w:rsidP="00B01B61">
            <w:pPr>
              <w:pStyle w:val="IEEEParagraph"/>
              <w:ind w:firstLine="0"/>
              <w:jc w:val="center"/>
              <w:rPr>
                <w:b/>
                <w:bCs/>
                <w:sz w:val="20"/>
                <w:szCs w:val="20"/>
              </w:rPr>
            </w:pPr>
            <w:r w:rsidRPr="00EC6393">
              <w:rPr>
                <w:b/>
                <w:bCs/>
                <w:sz w:val="20"/>
                <w:szCs w:val="20"/>
              </w:rPr>
              <w:t>Cumulative</w:t>
            </w:r>
          </w:p>
        </w:tc>
      </w:tr>
      <w:tr w:rsidR="0099657B" w:rsidRPr="00EC6393" w14:paraId="7B0C14CA" w14:textId="77777777" w:rsidTr="00E01EC2">
        <w:tc>
          <w:tcPr>
            <w:tcW w:w="2671" w:type="dxa"/>
            <w:vAlign w:val="center"/>
          </w:tcPr>
          <w:p w14:paraId="7D64F497" w14:textId="77777777" w:rsidR="0099657B" w:rsidRPr="00EC6393" w:rsidRDefault="0099657B" w:rsidP="00E01EC2">
            <w:pPr>
              <w:pStyle w:val="IEEEParagraph"/>
              <w:ind w:firstLine="0"/>
              <w:rPr>
                <w:sz w:val="20"/>
                <w:szCs w:val="20"/>
              </w:rPr>
            </w:pPr>
            <w:r w:rsidRPr="00EC6393">
              <w:rPr>
                <w:rFonts w:eastAsia="Arial"/>
                <w:sz w:val="20"/>
                <w:szCs w:val="20"/>
              </w:rPr>
              <w:t>1st Year</w:t>
            </w:r>
          </w:p>
        </w:tc>
        <w:tc>
          <w:tcPr>
            <w:tcW w:w="2672" w:type="dxa"/>
            <w:vAlign w:val="center"/>
          </w:tcPr>
          <w:p w14:paraId="25085026" w14:textId="77777777" w:rsidR="0099657B" w:rsidRPr="00EC6393" w:rsidRDefault="0099657B" w:rsidP="00E01EC2">
            <w:pPr>
              <w:pStyle w:val="IEEEParagraph"/>
              <w:ind w:firstLine="0"/>
              <w:jc w:val="center"/>
              <w:rPr>
                <w:sz w:val="20"/>
                <w:szCs w:val="20"/>
              </w:rPr>
            </w:pPr>
            <w:r w:rsidRPr="00EC6393">
              <w:rPr>
                <w:rFonts w:eastAsia="Arial"/>
                <w:sz w:val="20"/>
                <w:szCs w:val="20"/>
              </w:rPr>
              <w:t>25</w:t>
            </w:r>
          </w:p>
        </w:tc>
        <w:tc>
          <w:tcPr>
            <w:tcW w:w="2672" w:type="dxa"/>
            <w:vAlign w:val="center"/>
          </w:tcPr>
          <w:p w14:paraId="4AF78F0E" w14:textId="77777777" w:rsidR="0099657B" w:rsidRPr="00EC6393" w:rsidRDefault="0099657B" w:rsidP="00E01EC2">
            <w:pPr>
              <w:pStyle w:val="IEEEParagraph"/>
              <w:ind w:firstLine="0"/>
              <w:jc w:val="center"/>
              <w:rPr>
                <w:sz w:val="20"/>
                <w:szCs w:val="20"/>
              </w:rPr>
            </w:pPr>
            <w:r w:rsidRPr="00EC6393">
              <w:rPr>
                <w:rFonts w:eastAsia="Arial"/>
                <w:sz w:val="20"/>
                <w:szCs w:val="20"/>
              </w:rPr>
              <w:t>25.00%</w:t>
            </w:r>
          </w:p>
        </w:tc>
        <w:tc>
          <w:tcPr>
            <w:tcW w:w="2672" w:type="dxa"/>
            <w:vAlign w:val="center"/>
          </w:tcPr>
          <w:p w14:paraId="1637F058" w14:textId="77777777" w:rsidR="0099657B" w:rsidRPr="00EC6393" w:rsidRDefault="0099657B" w:rsidP="00E01EC2">
            <w:pPr>
              <w:pStyle w:val="IEEEParagraph"/>
              <w:ind w:firstLine="0"/>
              <w:jc w:val="center"/>
              <w:rPr>
                <w:sz w:val="20"/>
                <w:szCs w:val="20"/>
              </w:rPr>
            </w:pPr>
            <w:r w:rsidRPr="00EC6393">
              <w:rPr>
                <w:rFonts w:eastAsia="Arial"/>
                <w:sz w:val="20"/>
                <w:szCs w:val="20"/>
              </w:rPr>
              <w:t>25.00%</w:t>
            </w:r>
          </w:p>
        </w:tc>
      </w:tr>
      <w:tr w:rsidR="0099657B" w:rsidRPr="00EC6393" w14:paraId="667E61DC" w14:textId="77777777" w:rsidTr="00E01EC2">
        <w:tc>
          <w:tcPr>
            <w:tcW w:w="2671" w:type="dxa"/>
            <w:vAlign w:val="center"/>
          </w:tcPr>
          <w:p w14:paraId="19868BC3" w14:textId="77777777" w:rsidR="0099657B" w:rsidRPr="00EC6393" w:rsidRDefault="0099657B" w:rsidP="00E01EC2">
            <w:pPr>
              <w:pStyle w:val="IEEEParagraph"/>
              <w:ind w:firstLine="0"/>
              <w:rPr>
                <w:sz w:val="20"/>
                <w:szCs w:val="20"/>
              </w:rPr>
            </w:pPr>
            <w:r w:rsidRPr="00EC6393">
              <w:rPr>
                <w:rFonts w:eastAsia="Arial"/>
                <w:sz w:val="20"/>
                <w:szCs w:val="20"/>
              </w:rPr>
              <w:t>2nd Year</w:t>
            </w:r>
          </w:p>
        </w:tc>
        <w:tc>
          <w:tcPr>
            <w:tcW w:w="2672" w:type="dxa"/>
            <w:vAlign w:val="center"/>
          </w:tcPr>
          <w:p w14:paraId="59AC6D6A" w14:textId="77777777" w:rsidR="0099657B" w:rsidRPr="00EC6393" w:rsidRDefault="0099657B" w:rsidP="00E01EC2">
            <w:pPr>
              <w:pStyle w:val="IEEEParagraph"/>
              <w:ind w:firstLine="0"/>
              <w:jc w:val="center"/>
              <w:rPr>
                <w:sz w:val="20"/>
                <w:szCs w:val="20"/>
              </w:rPr>
            </w:pPr>
            <w:r w:rsidRPr="00EC6393">
              <w:rPr>
                <w:rFonts w:eastAsia="Arial"/>
                <w:sz w:val="20"/>
                <w:szCs w:val="20"/>
              </w:rPr>
              <w:t>25</w:t>
            </w:r>
          </w:p>
        </w:tc>
        <w:tc>
          <w:tcPr>
            <w:tcW w:w="2672" w:type="dxa"/>
            <w:vAlign w:val="center"/>
          </w:tcPr>
          <w:p w14:paraId="46EE507A" w14:textId="77777777" w:rsidR="0099657B" w:rsidRPr="00EC6393" w:rsidRDefault="0099657B" w:rsidP="00E01EC2">
            <w:pPr>
              <w:pStyle w:val="IEEEParagraph"/>
              <w:ind w:firstLine="0"/>
              <w:jc w:val="center"/>
              <w:rPr>
                <w:sz w:val="20"/>
                <w:szCs w:val="20"/>
              </w:rPr>
            </w:pPr>
            <w:r w:rsidRPr="00EC6393">
              <w:rPr>
                <w:rFonts w:eastAsia="Arial"/>
                <w:sz w:val="20"/>
                <w:szCs w:val="20"/>
              </w:rPr>
              <w:t>25.00%</w:t>
            </w:r>
          </w:p>
        </w:tc>
        <w:tc>
          <w:tcPr>
            <w:tcW w:w="2672" w:type="dxa"/>
            <w:vAlign w:val="center"/>
          </w:tcPr>
          <w:p w14:paraId="3F923169" w14:textId="77777777" w:rsidR="0099657B" w:rsidRPr="00EC6393" w:rsidRDefault="0099657B" w:rsidP="00E01EC2">
            <w:pPr>
              <w:pStyle w:val="IEEEParagraph"/>
              <w:ind w:firstLine="0"/>
              <w:jc w:val="center"/>
              <w:rPr>
                <w:sz w:val="20"/>
                <w:szCs w:val="20"/>
              </w:rPr>
            </w:pPr>
            <w:r w:rsidRPr="00EC6393">
              <w:rPr>
                <w:rFonts w:eastAsia="Arial"/>
                <w:sz w:val="20"/>
                <w:szCs w:val="20"/>
              </w:rPr>
              <w:t>50.00%</w:t>
            </w:r>
          </w:p>
        </w:tc>
      </w:tr>
      <w:tr w:rsidR="0099657B" w:rsidRPr="00EC6393" w14:paraId="165B9C94" w14:textId="77777777" w:rsidTr="00E01EC2">
        <w:tc>
          <w:tcPr>
            <w:tcW w:w="2671" w:type="dxa"/>
            <w:vAlign w:val="center"/>
          </w:tcPr>
          <w:p w14:paraId="197D1129" w14:textId="77777777" w:rsidR="0099657B" w:rsidRPr="00EC6393" w:rsidRDefault="0099657B" w:rsidP="00E01EC2">
            <w:pPr>
              <w:pStyle w:val="IEEEParagraph"/>
              <w:ind w:firstLine="0"/>
              <w:rPr>
                <w:sz w:val="20"/>
                <w:szCs w:val="20"/>
              </w:rPr>
            </w:pPr>
            <w:r w:rsidRPr="00EC6393">
              <w:rPr>
                <w:rFonts w:eastAsia="Arial"/>
                <w:sz w:val="20"/>
                <w:szCs w:val="20"/>
              </w:rPr>
              <w:t>3rd Year</w:t>
            </w:r>
          </w:p>
        </w:tc>
        <w:tc>
          <w:tcPr>
            <w:tcW w:w="2672" w:type="dxa"/>
            <w:vAlign w:val="center"/>
          </w:tcPr>
          <w:p w14:paraId="6E081C5F" w14:textId="77777777" w:rsidR="0099657B" w:rsidRPr="00EC6393" w:rsidRDefault="0099657B" w:rsidP="00E01EC2">
            <w:pPr>
              <w:pStyle w:val="IEEEParagraph"/>
              <w:ind w:firstLine="0"/>
              <w:jc w:val="center"/>
              <w:rPr>
                <w:sz w:val="20"/>
                <w:szCs w:val="20"/>
              </w:rPr>
            </w:pPr>
            <w:r w:rsidRPr="00EC6393">
              <w:rPr>
                <w:rFonts w:eastAsia="Arial"/>
                <w:sz w:val="20"/>
                <w:szCs w:val="20"/>
              </w:rPr>
              <w:t>25</w:t>
            </w:r>
          </w:p>
        </w:tc>
        <w:tc>
          <w:tcPr>
            <w:tcW w:w="2672" w:type="dxa"/>
            <w:vAlign w:val="center"/>
          </w:tcPr>
          <w:p w14:paraId="4835577B" w14:textId="77777777" w:rsidR="0099657B" w:rsidRPr="00EC6393" w:rsidRDefault="0099657B" w:rsidP="00E01EC2">
            <w:pPr>
              <w:pStyle w:val="IEEEParagraph"/>
              <w:ind w:firstLine="0"/>
              <w:jc w:val="center"/>
              <w:rPr>
                <w:sz w:val="20"/>
                <w:szCs w:val="20"/>
              </w:rPr>
            </w:pPr>
            <w:r w:rsidRPr="00EC6393">
              <w:rPr>
                <w:rFonts w:eastAsia="Arial"/>
                <w:sz w:val="20"/>
                <w:szCs w:val="20"/>
              </w:rPr>
              <w:t>25.00%</w:t>
            </w:r>
          </w:p>
        </w:tc>
        <w:tc>
          <w:tcPr>
            <w:tcW w:w="2672" w:type="dxa"/>
            <w:vAlign w:val="center"/>
          </w:tcPr>
          <w:p w14:paraId="4169E3F9" w14:textId="77777777" w:rsidR="0099657B" w:rsidRPr="00EC6393" w:rsidRDefault="0099657B" w:rsidP="00E01EC2">
            <w:pPr>
              <w:pStyle w:val="IEEEParagraph"/>
              <w:ind w:firstLine="0"/>
              <w:jc w:val="center"/>
              <w:rPr>
                <w:sz w:val="20"/>
                <w:szCs w:val="20"/>
              </w:rPr>
            </w:pPr>
            <w:r w:rsidRPr="00EC6393">
              <w:rPr>
                <w:rFonts w:eastAsia="Arial"/>
                <w:sz w:val="20"/>
                <w:szCs w:val="20"/>
              </w:rPr>
              <w:t>75.00%</w:t>
            </w:r>
          </w:p>
        </w:tc>
      </w:tr>
      <w:tr w:rsidR="0099657B" w:rsidRPr="00EC6393" w14:paraId="7721A141" w14:textId="77777777" w:rsidTr="00E01EC2">
        <w:tc>
          <w:tcPr>
            <w:tcW w:w="2671" w:type="dxa"/>
            <w:vAlign w:val="center"/>
          </w:tcPr>
          <w:p w14:paraId="53929A6E" w14:textId="77777777" w:rsidR="0099657B" w:rsidRPr="00EC6393" w:rsidRDefault="0099657B" w:rsidP="00E01EC2">
            <w:pPr>
              <w:pStyle w:val="IEEEParagraph"/>
              <w:ind w:firstLine="0"/>
              <w:rPr>
                <w:sz w:val="20"/>
                <w:szCs w:val="20"/>
              </w:rPr>
            </w:pPr>
            <w:r w:rsidRPr="00EC6393">
              <w:rPr>
                <w:rFonts w:eastAsia="Arial"/>
                <w:sz w:val="20"/>
                <w:szCs w:val="20"/>
              </w:rPr>
              <w:t>4th Year</w:t>
            </w:r>
          </w:p>
        </w:tc>
        <w:tc>
          <w:tcPr>
            <w:tcW w:w="2672" w:type="dxa"/>
            <w:vAlign w:val="center"/>
          </w:tcPr>
          <w:p w14:paraId="3A3B3E6F" w14:textId="77777777" w:rsidR="0099657B" w:rsidRPr="00EC6393" w:rsidRDefault="0099657B" w:rsidP="00E01EC2">
            <w:pPr>
              <w:pStyle w:val="IEEEParagraph"/>
              <w:ind w:firstLine="0"/>
              <w:jc w:val="center"/>
              <w:rPr>
                <w:sz w:val="20"/>
                <w:szCs w:val="20"/>
              </w:rPr>
            </w:pPr>
            <w:r w:rsidRPr="00EC6393">
              <w:rPr>
                <w:rFonts w:eastAsia="Arial"/>
                <w:sz w:val="20"/>
                <w:szCs w:val="20"/>
              </w:rPr>
              <w:t>25</w:t>
            </w:r>
          </w:p>
        </w:tc>
        <w:tc>
          <w:tcPr>
            <w:tcW w:w="2672" w:type="dxa"/>
            <w:vAlign w:val="center"/>
          </w:tcPr>
          <w:p w14:paraId="0DD70550" w14:textId="77777777" w:rsidR="0099657B" w:rsidRPr="00EC6393" w:rsidRDefault="0099657B" w:rsidP="00E01EC2">
            <w:pPr>
              <w:pStyle w:val="IEEEParagraph"/>
              <w:ind w:firstLine="0"/>
              <w:jc w:val="center"/>
              <w:rPr>
                <w:sz w:val="20"/>
                <w:szCs w:val="20"/>
              </w:rPr>
            </w:pPr>
            <w:r w:rsidRPr="00EC6393">
              <w:rPr>
                <w:rFonts w:eastAsia="Arial"/>
                <w:sz w:val="20"/>
                <w:szCs w:val="20"/>
              </w:rPr>
              <w:t>25.00%</w:t>
            </w:r>
          </w:p>
        </w:tc>
        <w:tc>
          <w:tcPr>
            <w:tcW w:w="2672" w:type="dxa"/>
            <w:vAlign w:val="center"/>
          </w:tcPr>
          <w:p w14:paraId="0CF39180" w14:textId="77777777" w:rsidR="0099657B" w:rsidRPr="00EC6393" w:rsidRDefault="0099657B" w:rsidP="00E01EC2">
            <w:pPr>
              <w:pStyle w:val="IEEEParagraph"/>
              <w:ind w:firstLine="0"/>
              <w:jc w:val="center"/>
              <w:rPr>
                <w:sz w:val="20"/>
                <w:szCs w:val="20"/>
              </w:rPr>
            </w:pPr>
            <w:r w:rsidRPr="00EC6393">
              <w:rPr>
                <w:rFonts w:eastAsia="Arial"/>
                <w:sz w:val="20"/>
                <w:szCs w:val="20"/>
              </w:rPr>
              <w:t>100.00%</w:t>
            </w:r>
          </w:p>
        </w:tc>
      </w:tr>
      <w:tr w:rsidR="0099657B" w:rsidRPr="00EC6393" w14:paraId="7C695006" w14:textId="77777777" w:rsidTr="00E01EC2">
        <w:tc>
          <w:tcPr>
            <w:tcW w:w="2671" w:type="dxa"/>
            <w:vAlign w:val="center"/>
          </w:tcPr>
          <w:p w14:paraId="60343EEF" w14:textId="77777777" w:rsidR="0099657B" w:rsidRPr="00EC6393" w:rsidRDefault="0099657B" w:rsidP="00E01EC2">
            <w:pPr>
              <w:pStyle w:val="IEEEParagraph"/>
              <w:ind w:firstLine="0"/>
              <w:rPr>
                <w:sz w:val="20"/>
                <w:szCs w:val="20"/>
              </w:rPr>
            </w:pPr>
            <w:r w:rsidRPr="00EC6393">
              <w:rPr>
                <w:rFonts w:eastAsia="Arial"/>
                <w:b/>
                <w:bCs/>
                <w:sz w:val="20"/>
                <w:szCs w:val="20"/>
              </w:rPr>
              <w:t>Total</w:t>
            </w:r>
          </w:p>
        </w:tc>
        <w:tc>
          <w:tcPr>
            <w:tcW w:w="2672" w:type="dxa"/>
            <w:vAlign w:val="center"/>
          </w:tcPr>
          <w:p w14:paraId="4F5F4EA2" w14:textId="77777777" w:rsidR="0099657B" w:rsidRPr="00EC6393" w:rsidRDefault="0099657B" w:rsidP="00E01EC2">
            <w:pPr>
              <w:pStyle w:val="IEEEParagraph"/>
              <w:ind w:firstLine="0"/>
              <w:jc w:val="center"/>
              <w:rPr>
                <w:sz w:val="20"/>
                <w:szCs w:val="20"/>
              </w:rPr>
            </w:pPr>
            <w:r w:rsidRPr="00EC6393">
              <w:rPr>
                <w:rFonts w:eastAsia="Arial"/>
                <w:b/>
                <w:bCs/>
                <w:sz w:val="20"/>
                <w:szCs w:val="20"/>
              </w:rPr>
              <w:t>100</w:t>
            </w:r>
          </w:p>
        </w:tc>
        <w:tc>
          <w:tcPr>
            <w:tcW w:w="2672" w:type="dxa"/>
            <w:vAlign w:val="center"/>
          </w:tcPr>
          <w:p w14:paraId="165887B4" w14:textId="77777777" w:rsidR="0099657B" w:rsidRPr="00EC6393" w:rsidRDefault="0099657B" w:rsidP="00E01EC2">
            <w:pPr>
              <w:pStyle w:val="IEEEParagraph"/>
              <w:ind w:firstLine="0"/>
              <w:jc w:val="center"/>
              <w:rPr>
                <w:sz w:val="20"/>
                <w:szCs w:val="20"/>
              </w:rPr>
            </w:pPr>
            <w:r w:rsidRPr="00EC6393">
              <w:rPr>
                <w:rFonts w:eastAsia="Arial"/>
                <w:b/>
                <w:bCs/>
                <w:sz w:val="20"/>
                <w:szCs w:val="20"/>
              </w:rPr>
              <w:t>100.00%</w:t>
            </w:r>
          </w:p>
        </w:tc>
        <w:tc>
          <w:tcPr>
            <w:tcW w:w="2672" w:type="dxa"/>
            <w:vAlign w:val="center"/>
          </w:tcPr>
          <w:p w14:paraId="5D5AB89D" w14:textId="77777777" w:rsidR="0099657B" w:rsidRPr="00EC6393" w:rsidRDefault="0099657B" w:rsidP="00E01EC2">
            <w:pPr>
              <w:pStyle w:val="IEEEParagraph"/>
              <w:ind w:firstLine="0"/>
              <w:jc w:val="center"/>
              <w:rPr>
                <w:sz w:val="20"/>
                <w:szCs w:val="20"/>
              </w:rPr>
            </w:pPr>
          </w:p>
        </w:tc>
      </w:tr>
    </w:tbl>
    <w:p w14:paraId="53E18553" w14:textId="77777777" w:rsidR="00E31CEB" w:rsidRDefault="00E31CEB" w:rsidP="00E31CEB">
      <w:pPr>
        <w:pStyle w:val="IEEEParagraph"/>
        <w:rPr>
          <w:sz w:val="20"/>
          <w:szCs w:val="20"/>
        </w:rPr>
      </w:pPr>
    </w:p>
    <w:p w14:paraId="4F044B9E" w14:textId="48468177" w:rsidR="00E31CEB" w:rsidRPr="00E31CEB" w:rsidRDefault="00E31CEB" w:rsidP="00E31CEB">
      <w:pPr>
        <w:pStyle w:val="IEEEParagraph"/>
        <w:rPr>
          <w:sz w:val="20"/>
          <w:szCs w:val="20"/>
        </w:rPr>
      </w:pPr>
      <w:r w:rsidRPr="00E31CEB">
        <w:rPr>
          <w:sz w:val="20"/>
          <w:szCs w:val="20"/>
        </w:rPr>
        <w:t>Table 2 presents the demographic profile of the respondents according to year level. The data show that the study included a total of 100 respondents, with an equal distribution of 25 participants or 25.00% from each year level, namely 1st Year, 2nd Year, 3rd Year, and 4th Year students. The cumulative percentage further indicates a balanced representation across all academic levels, reaching 100.00% upon the inclusion of all groups.</w:t>
      </w:r>
    </w:p>
    <w:p w14:paraId="72D5CBB4" w14:textId="77777777" w:rsidR="00E31CEB" w:rsidRPr="00E31CEB" w:rsidRDefault="00E31CEB" w:rsidP="00E31CEB">
      <w:pPr>
        <w:pStyle w:val="IEEEParagraph"/>
        <w:rPr>
          <w:sz w:val="20"/>
          <w:szCs w:val="20"/>
        </w:rPr>
      </w:pPr>
    </w:p>
    <w:p w14:paraId="04C9A098" w14:textId="76B6C819" w:rsidR="00E31CEB" w:rsidRPr="00E31CEB" w:rsidRDefault="00E31CEB" w:rsidP="00E31CEB">
      <w:pPr>
        <w:pStyle w:val="IEEEParagraph"/>
      </w:pPr>
      <w:r w:rsidRPr="00E31CEB">
        <w:rPr>
          <w:sz w:val="20"/>
          <w:szCs w:val="20"/>
        </w:rPr>
        <w:t xml:space="preserve">The equal allocation of respondents per year level ensured that each academic group was proportionally represented in the study, allowing for a more balanced comparison of cybersecurity awareness and phishing susceptibility among students. This distribution minimizes bias that may occur when </w:t>
      </w:r>
      <w:r>
        <w:rPr>
          <w:sz w:val="20"/>
          <w:szCs w:val="20"/>
        </w:rPr>
        <w:t>first</w:t>
      </w:r>
      <w:r w:rsidRPr="00E31CEB">
        <w:rPr>
          <w:sz w:val="20"/>
          <w:szCs w:val="20"/>
        </w:rPr>
        <w:t xml:space="preserve"> year level is overrepresented and supports the reliability of comparative analyses such as ANOVA. Furthermore, the inclusion of students from different academic stages provides broader insights into how exposure to academic experiences and technological knowledge may influence cybersecurity behavior and vulnerability to phishing attacks among students of Quezon City University.</w:t>
      </w:r>
    </w:p>
    <w:p w14:paraId="546A0693" w14:textId="5D9F6DDC" w:rsidR="0099657B" w:rsidRPr="00EC6393" w:rsidRDefault="0099657B" w:rsidP="00216F61">
      <w:pPr>
        <w:pStyle w:val="IEEEHeading1"/>
        <w:numPr>
          <w:ilvl w:val="0"/>
          <w:numId w:val="0"/>
        </w:numPr>
        <w:spacing w:before="0" w:after="240"/>
        <w:ind w:firstLine="360"/>
        <w:jc w:val="both"/>
        <w:rPr>
          <w:b/>
          <w:szCs w:val="20"/>
        </w:rPr>
      </w:pPr>
    </w:p>
    <w:p w14:paraId="028B1C5C" w14:textId="6A38259B" w:rsidR="0099657B" w:rsidRPr="00216F61" w:rsidRDefault="002D78EB" w:rsidP="00216F61">
      <w:pPr>
        <w:pStyle w:val="ListParagraph"/>
        <w:numPr>
          <w:ilvl w:val="0"/>
          <w:numId w:val="18"/>
        </w:numPr>
        <w:ind w:left="360"/>
        <w:rPr>
          <w:b/>
          <w:bCs/>
          <w:i/>
          <w:sz w:val="20"/>
          <w:szCs w:val="20"/>
        </w:rPr>
      </w:pPr>
      <w:r>
        <w:rPr>
          <w:b/>
          <w:bCs/>
          <w:i/>
          <w:sz w:val="20"/>
          <w:szCs w:val="20"/>
        </w:rPr>
        <w:t xml:space="preserve">Student’s </w:t>
      </w:r>
      <w:r w:rsidR="0099657B" w:rsidRPr="00216F61">
        <w:rPr>
          <w:b/>
          <w:bCs/>
          <w:i/>
          <w:sz w:val="20"/>
          <w:szCs w:val="20"/>
        </w:rPr>
        <w:t>Level of Online Security Behaviors</w:t>
      </w:r>
    </w:p>
    <w:p w14:paraId="774D1958" w14:textId="07078CDE" w:rsidR="0099657B" w:rsidRDefault="0099657B" w:rsidP="00E31CEB">
      <w:pPr>
        <w:pStyle w:val="IEEEParagraph"/>
        <w:ind w:firstLine="0"/>
        <w:rPr>
          <w:sz w:val="20"/>
          <w:szCs w:val="20"/>
        </w:rPr>
      </w:pPr>
    </w:p>
    <w:p w14:paraId="47B3E728" w14:textId="71DA2127" w:rsidR="002D78EB" w:rsidRPr="002D78EB" w:rsidRDefault="002D78EB" w:rsidP="002D78EB">
      <w:pPr>
        <w:pStyle w:val="IEEEParagraph"/>
        <w:numPr>
          <w:ilvl w:val="0"/>
          <w:numId w:val="19"/>
        </w:numPr>
        <w:rPr>
          <w:b/>
          <w:i/>
          <w:sz w:val="20"/>
          <w:szCs w:val="20"/>
        </w:rPr>
      </w:pPr>
      <w:r w:rsidRPr="002D78EB">
        <w:rPr>
          <w:b/>
          <w:i/>
          <w:sz w:val="20"/>
          <w:szCs w:val="20"/>
        </w:rPr>
        <w:t xml:space="preserve">Technical Verification Behavior </w:t>
      </w:r>
    </w:p>
    <w:p w14:paraId="5836C94E" w14:textId="46930F00" w:rsidR="002D78EB" w:rsidRDefault="002D78EB" w:rsidP="002D78EB">
      <w:pPr>
        <w:pStyle w:val="IEEEParagraph"/>
        <w:rPr>
          <w:sz w:val="20"/>
          <w:szCs w:val="20"/>
        </w:rPr>
      </w:pPr>
    </w:p>
    <w:p w14:paraId="032A6AB2" w14:textId="77777777" w:rsidR="002D78EB" w:rsidRPr="00EC6393" w:rsidRDefault="002D78EB" w:rsidP="002D78EB">
      <w:pPr>
        <w:spacing w:after="120"/>
        <w:jc w:val="center"/>
        <w:rPr>
          <w:sz w:val="20"/>
          <w:szCs w:val="20"/>
        </w:rPr>
      </w:pPr>
      <w:r w:rsidRPr="00EC6393">
        <w:rPr>
          <w:rFonts w:eastAsia="Arial"/>
          <w:sz w:val="20"/>
          <w:szCs w:val="20"/>
        </w:rPr>
        <w:t xml:space="preserve">Table </w:t>
      </w:r>
      <w:r>
        <w:rPr>
          <w:rFonts w:eastAsia="Arial"/>
          <w:sz w:val="20"/>
          <w:szCs w:val="20"/>
        </w:rPr>
        <w:t>3</w:t>
      </w:r>
      <w:r w:rsidRPr="00EC6393">
        <w:rPr>
          <w:rFonts w:eastAsia="Arial"/>
          <w:sz w:val="20"/>
          <w:szCs w:val="20"/>
        </w:rPr>
        <w:t>. Weighted Mean Scores for Technical Verification Behavior</w:t>
      </w:r>
    </w:p>
    <w:tbl>
      <w:tblPr>
        <w:tblStyle w:val="TableGrid"/>
        <w:tblW w:w="10350" w:type="dxa"/>
        <w:tblInd w:w="355" w:type="dxa"/>
        <w:tblLook w:val="04A0" w:firstRow="1" w:lastRow="0" w:firstColumn="1" w:lastColumn="0" w:noHBand="0" w:noVBand="1"/>
      </w:tblPr>
      <w:tblGrid>
        <w:gridCol w:w="3775"/>
        <w:gridCol w:w="1040"/>
        <w:gridCol w:w="1035"/>
        <w:gridCol w:w="1080"/>
        <w:gridCol w:w="990"/>
        <w:gridCol w:w="810"/>
        <w:gridCol w:w="1620"/>
      </w:tblGrid>
      <w:tr w:rsidR="002D78EB" w:rsidRPr="00EC6393" w14:paraId="08EA8E54" w14:textId="77777777" w:rsidTr="00B01B61">
        <w:trPr>
          <w:trHeight w:val="314"/>
        </w:trPr>
        <w:tc>
          <w:tcPr>
            <w:tcW w:w="3775" w:type="dxa"/>
            <w:shd w:val="clear" w:color="auto" w:fill="C5E0B3" w:themeFill="accent6" w:themeFillTint="66"/>
            <w:vAlign w:val="center"/>
          </w:tcPr>
          <w:p w14:paraId="0D4BE4D7" w14:textId="77777777" w:rsidR="002D78EB" w:rsidRPr="00EC6393" w:rsidRDefault="002D78EB" w:rsidP="00A8783A">
            <w:pPr>
              <w:pStyle w:val="IEEEParagraph"/>
              <w:ind w:firstLine="0"/>
              <w:jc w:val="center"/>
              <w:rPr>
                <w:b/>
                <w:bCs/>
                <w:color w:val="000000" w:themeColor="text1"/>
                <w:sz w:val="20"/>
                <w:szCs w:val="20"/>
              </w:rPr>
            </w:pPr>
            <w:r w:rsidRPr="00EC6393">
              <w:rPr>
                <w:rFonts w:eastAsia="Arial"/>
                <w:b/>
                <w:bCs/>
                <w:color w:val="000000" w:themeColor="text1"/>
                <w:sz w:val="20"/>
                <w:szCs w:val="20"/>
              </w:rPr>
              <w:t>Indicators</w:t>
            </w:r>
          </w:p>
        </w:tc>
        <w:tc>
          <w:tcPr>
            <w:tcW w:w="1040" w:type="dxa"/>
            <w:shd w:val="clear" w:color="auto" w:fill="C5E0B3" w:themeFill="accent6" w:themeFillTint="66"/>
            <w:vAlign w:val="center"/>
          </w:tcPr>
          <w:p w14:paraId="3396CC19" w14:textId="7E30F14D" w:rsidR="002D78EB" w:rsidRPr="00EC6393" w:rsidRDefault="002D78EB" w:rsidP="00A8783A">
            <w:pPr>
              <w:pStyle w:val="IEEEParagraph"/>
              <w:ind w:firstLine="0"/>
              <w:jc w:val="center"/>
              <w:rPr>
                <w:b/>
                <w:bCs/>
                <w:color w:val="000000" w:themeColor="text1"/>
                <w:sz w:val="20"/>
                <w:szCs w:val="20"/>
              </w:rPr>
            </w:pPr>
            <w:r>
              <w:rPr>
                <w:rFonts w:eastAsia="Arial"/>
                <w:b/>
                <w:bCs/>
                <w:color w:val="000000" w:themeColor="text1"/>
                <w:sz w:val="20"/>
                <w:szCs w:val="20"/>
              </w:rPr>
              <w:t>1</w:t>
            </w:r>
            <w:r w:rsidRPr="002D78EB">
              <w:rPr>
                <w:rFonts w:eastAsia="Arial"/>
                <w:b/>
                <w:bCs/>
                <w:color w:val="000000" w:themeColor="text1"/>
                <w:sz w:val="20"/>
                <w:szCs w:val="20"/>
                <w:vertAlign w:val="superscript"/>
              </w:rPr>
              <w:t>st</w:t>
            </w:r>
            <w:r>
              <w:rPr>
                <w:rFonts w:eastAsia="Arial"/>
                <w:b/>
                <w:bCs/>
                <w:color w:val="000000" w:themeColor="text1"/>
                <w:sz w:val="20"/>
                <w:szCs w:val="20"/>
              </w:rPr>
              <w:t xml:space="preserve"> </w:t>
            </w:r>
            <w:r w:rsidRPr="00EC6393">
              <w:rPr>
                <w:rFonts w:eastAsia="Arial"/>
                <w:b/>
                <w:bCs/>
                <w:color w:val="000000" w:themeColor="text1"/>
                <w:sz w:val="20"/>
                <w:szCs w:val="20"/>
              </w:rPr>
              <w:t xml:space="preserve"> Y</w:t>
            </w:r>
            <w:r>
              <w:rPr>
                <w:rFonts w:eastAsia="Arial"/>
                <w:b/>
                <w:bCs/>
                <w:color w:val="000000" w:themeColor="text1"/>
                <w:sz w:val="20"/>
                <w:szCs w:val="20"/>
              </w:rPr>
              <w:t>ear</w:t>
            </w:r>
          </w:p>
        </w:tc>
        <w:tc>
          <w:tcPr>
            <w:tcW w:w="1035" w:type="dxa"/>
            <w:shd w:val="clear" w:color="auto" w:fill="C5E0B3" w:themeFill="accent6" w:themeFillTint="66"/>
            <w:vAlign w:val="center"/>
          </w:tcPr>
          <w:p w14:paraId="3B20AA33" w14:textId="0081065E" w:rsidR="002D78EB" w:rsidRPr="00EC6393" w:rsidRDefault="002D78EB" w:rsidP="00A8783A">
            <w:pPr>
              <w:pStyle w:val="IEEEParagraph"/>
              <w:ind w:firstLine="0"/>
              <w:jc w:val="center"/>
              <w:rPr>
                <w:b/>
                <w:bCs/>
                <w:color w:val="000000" w:themeColor="text1"/>
                <w:sz w:val="20"/>
                <w:szCs w:val="20"/>
              </w:rPr>
            </w:pPr>
            <w:r>
              <w:rPr>
                <w:rFonts w:eastAsia="Arial"/>
                <w:b/>
                <w:bCs/>
                <w:color w:val="000000" w:themeColor="text1"/>
                <w:sz w:val="20"/>
                <w:szCs w:val="20"/>
              </w:rPr>
              <w:t>2</w:t>
            </w:r>
            <w:r w:rsidRPr="002D78EB">
              <w:rPr>
                <w:rFonts w:eastAsia="Arial"/>
                <w:b/>
                <w:bCs/>
                <w:color w:val="000000" w:themeColor="text1"/>
                <w:sz w:val="20"/>
                <w:szCs w:val="20"/>
                <w:vertAlign w:val="superscript"/>
              </w:rPr>
              <w:t>nd</w:t>
            </w:r>
            <w:r>
              <w:rPr>
                <w:rFonts w:eastAsia="Arial"/>
                <w:b/>
                <w:bCs/>
                <w:color w:val="000000" w:themeColor="text1"/>
                <w:sz w:val="20"/>
                <w:szCs w:val="20"/>
              </w:rPr>
              <w:t xml:space="preserve"> </w:t>
            </w:r>
            <w:r w:rsidRPr="00EC6393">
              <w:rPr>
                <w:rFonts w:eastAsia="Arial"/>
                <w:b/>
                <w:bCs/>
                <w:color w:val="000000" w:themeColor="text1"/>
                <w:sz w:val="20"/>
                <w:szCs w:val="20"/>
              </w:rPr>
              <w:t xml:space="preserve"> Y</w:t>
            </w:r>
            <w:r>
              <w:rPr>
                <w:rFonts w:eastAsia="Arial"/>
                <w:b/>
                <w:bCs/>
                <w:color w:val="000000" w:themeColor="text1"/>
                <w:sz w:val="20"/>
                <w:szCs w:val="20"/>
              </w:rPr>
              <w:t>ear</w:t>
            </w:r>
          </w:p>
        </w:tc>
        <w:tc>
          <w:tcPr>
            <w:tcW w:w="1080" w:type="dxa"/>
            <w:shd w:val="clear" w:color="auto" w:fill="C5E0B3" w:themeFill="accent6" w:themeFillTint="66"/>
            <w:vAlign w:val="center"/>
          </w:tcPr>
          <w:p w14:paraId="6F2E29EC" w14:textId="3C3B05A0" w:rsidR="002D78EB" w:rsidRPr="00EC6393" w:rsidRDefault="002D78EB" w:rsidP="00A8783A">
            <w:pPr>
              <w:pStyle w:val="IEEEParagraph"/>
              <w:ind w:firstLine="0"/>
              <w:jc w:val="center"/>
              <w:rPr>
                <w:b/>
                <w:bCs/>
                <w:color w:val="000000" w:themeColor="text1"/>
                <w:sz w:val="20"/>
                <w:szCs w:val="20"/>
              </w:rPr>
            </w:pPr>
            <w:r>
              <w:rPr>
                <w:rFonts w:eastAsia="Arial"/>
                <w:b/>
                <w:bCs/>
                <w:color w:val="000000" w:themeColor="text1"/>
                <w:sz w:val="20"/>
                <w:szCs w:val="20"/>
              </w:rPr>
              <w:t>3</w:t>
            </w:r>
            <w:r w:rsidRPr="002D78EB">
              <w:rPr>
                <w:rFonts w:eastAsia="Arial"/>
                <w:b/>
                <w:bCs/>
                <w:color w:val="000000" w:themeColor="text1"/>
                <w:sz w:val="20"/>
                <w:szCs w:val="20"/>
                <w:vertAlign w:val="superscript"/>
              </w:rPr>
              <w:t>rd</w:t>
            </w:r>
            <w:r>
              <w:rPr>
                <w:rFonts w:eastAsia="Arial"/>
                <w:b/>
                <w:bCs/>
                <w:color w:val="000000" w:themeColor="text1"/>
                <w:sz w:val="20"/>
                <w:szCs w:val="20"/>
              </w:rPr>
              <w:t xml:space="preserve"> </w:t>
            </w:r>
            <w:r w:rsidRPr="00EC6393">
              <w:rPr>
                <w:rFonts w:eastAsia="Arial"/>
                <w:b/>
                <w:bCs/>
                <w:color w:val="000000" w:themeColor="text1"/>
                <w:sz w:val="20"/>
                <w:szCs w:val="20"/>
              </w:rPr>
              <w:t xml:space="preserve"> Y</w:t>
            </w:r>
            <w:r>
              <w:rPr>
                <w:rFonts w:eastAsia="Arial"/>
                <w:b/>
                <w:bCs/>
                <w:color w:val="000000" w:themeColor="text1"/>
                <w:sz w:val="20"/>
                <w:szCs w:val="20"/>
              </w:rPr>
              <w:t>ear</w:t>
            </w:r>
          </w:p>
        </w:tc>
        <w:tc>
          <w:tcPr>
            <w:tcW w:w="990" w:type="dxa"/>
            <w:shd w:val="clear" w:color="auto" w:fill="C5E0B3" w:themeFill="accent6" w:themeFillTint="66"/>
            <w:vAlign w:val="center"/>
          </w:tcPr>
          <w:p w14:paraId="590B3E84" w14:textId="2CDD8DBA" w:rsidR="002D78EB" w:rsidRPr="00EC6393" w:rsidRDefault="002D78EB" w:rsidP="00A8783A">
            <w:pPr>
              <w:pStyle w:val="IEEEParagraph"/>
              <w:ind w:firstLine="0"/>
              <w:jc w:val="center"/>
              <w:rPr>
                <w:b/>
                <w:bCs/>
                <w:color w:val="000000" w:themeColor="text1"/>
                <w:sz w:val="20"/>
                <w:szCs w:val="20"/>
              </w:rPr>
            </w:pPr>
            <w:r>
              <w:rPr>
                <w:rFonts w:eastAsia="Arial"/>
                <w:b/>
                <w:bCs/>
                <w:color w:val="000000" w:themeColor="text1"/>
                <w:sz w:val="20"/>
                <w:szCs w:val="20"/>
              </w:rPr>
              <w:t>4</w:t>
            </w:r>
            <w:r w:rsidRPr="002D78EB">
              <w:rPr>
                <w:rFonts w:eastAsia="Arial"/>
                <w:b/>
                <w:bCs/>
                <w:color w:val="000000" w:themeColor="text1"/>
                <w:sz w:val="20"/>
                <w:szCs w:val="20"/>
                <w:vertAlign w:val="superscript"/>
              </w:rPr>
              <w:t>th</w:t>
            </w:r>
            <w:r>
              <w:rPr>
                <w:rFonts w:eastAsia="Arial"/>
                <w:b/>
                <w:bCs/>
                <w:color w:val="000000" w:themeColor="text1"/>
                <w:sz w:val="20"/>
                <w:szCs w:val="20"/>
              </w:rPr>
              <w:t xml:space="preserve"> </w:t>
            </w:r>
            <w:r w:rsidRPr="00EC6393">
              <w:rPr>
                <w:rFonts w:eastAsia="Arial"/>
                <w:b/>
                <w:bCs/>
                <w:color w:val="000000" w:themeColor="text1"/>
                <w:sz w:val="20"/>
                <w:szCs w:val="20"/>
              </w:rPr>
              <w:t xml:space="preserve"> Y</w:t>
            </w:r>
            <w:r>
              <w:rPr>
                <w:rFonts w:eastAsia="Arial"/>
                <w:b/>
                <w:bCs/>
                <w:color w:val="000000" w:themeColor="text1"/>
                <w:sz w:val="20"/>
                <w:szCs w:val="20"/>
              </w:rPr>
              <w:t>ear</w:t>
            </w:r>
          </w:p>
        </w:tc>
        <w:tc>
          <w:tcPr>
            <w:tcW w:w="810" w:type="dxa"/>
            <w:shd w:val="clear" w:color="auto" w:fill="C5E0B3" w:themeFill="accent6" w:themeFillTint="66"/>
            <w:vAlign w:val="center"/>
          </w:tcPr>
          <w:p w14:paraId="1F6A2A7E" w14:textId="77777777" w:rsidR="002D78EB" w:rsidRPr="00EC6393" w:rsidRDefault="002D78EB" w:rsidP="00A8783A">
            <w:pPr>
              <w:pStyle w:val="IEEEParagraph"/>
              <w:ind w:firstLine="0"/>
              <w:jc w:val="center"/>
              <w:rPr>
                <w:b/>
                <w:bCs/>
                <w:color w:val="000000" w:themeColor="text1"/>
                <w:sz w:val="20"/>
                <w:szCs w:val="20"/>
              </w:rPr>
            </w:pPr>
            <w:r w:rsidRPr="00EC6393">
              <w:rPr>
                <w:rFonts w:eastAsia="Arial"/>
                <w:b/>
                <w:bCs/>
                <w:color w:val="000000" w:themeColor="text1"/>
                <w:sz w:val="20"/>
                <w:szCs w:val="20"/>
              </w:rPr>
              <w:t>Mean</w:t>
            </w:r>
          </w:p>
        </w:tc>
        <w:tc>
          <w:tcPr>
            <w:tcW w:w="1620" w:type="dxa"/>
            <w:shd w:val="clear" w:color="auto" w:fill="C5E0B3" w:themeFill="accent6" w:themeFillTint="66"/>
            <w:vAlign w:val="center"/>
          </w:tcPr>
          <w:p w14:paraId="46ECE3C3" w14:textId="77777777" w:rsidR="002D78EB" w:rsidRPr="00EC6393" w:rsidRDefault="002D78EB" w:rsidP="00A8783A">
            <w:pPr>
              <w:pStyle w:val="IEEEParagraph"/>
              <w:ind w:firstLine="0"/>
              <w:jc w:val="center"/>
              <w:rPr>
                <w:b/>
                <w:bCs/>
                <w:color w:val="000000" w:themeColor="text1"/>
                <w:sz w:val="20"/>
                <w:szCs w:val="20"/>
              </w:rPr>
            </w:pPr>
            <w:r w:rsidRPr="00EC6393">
              <w:rPr>
                <w:rFonts w:eastAsia="Arial"/>
                <w:b/>
                <w:bCs/>
                <w:color w:val="000000" w:themeColor="text1"/>
                <w:sz w:val="20"/>
                <w:szCs w:val="20"/>
              </w:rPr>
              <w:t>Interpretation</w:t>
            </w:r>
          </w:p>
        </w:tc>
      </w:tr>
      <w:tr w:rsidR="002D78EB" w:rsidRPr="00EC6393" w14:paraId="43B3D252" w14:textId="77777777" w:rsidTr="002D78EB">
        <w:tc>
          <w:tcPr>
            <w:tcW w:w="3775" w:type="dxa"/>
            <w:vAlign w:val="center"/>
          </w:tcPr>
          <w:p w14:paraId="2962E1DE" w14:textId="77777777" w:rsidR="002D78EB" w:rsidRPr="00EC6393" w:rsidRDefault="002D78EB" w:rsidP="00A8783A">
            <w:pPr>
              <w:pStyle w:val="IEEEParagraph"/>
              <w:ind w:firstLine="0"/>
              <w:jc w:val="left"/>
              <w:rPr>
                <w:sz w:val="20"/>
                <w:szCs w:val="20"/>
              </w:rPr>
            </w:pPr>
            <w:r w:rsidRPr="00EC6393">
              <w:rPr>
                <w:rFonts w:eastAsia="Arial"/>
                <w:sz w:val="20"/>
                <w:szCs w:val="20"/>
              </w:rPr>
              <w:t>I check the URL of websites before entering sensitive information.</w:t>
            </w:r>
          </w:p>
        </w:tc>
        <w:tc>
          <w:tcPr>
            <w:tcW w:w="1040" w:type="dxa"/>
            <w:vAlign w:val="center"/>
          </w:tcPr>
          <w:p w14:paraId="517FC1B6" w14:textId="77777777" w:rsidR="002D78EB" w:rsidRPr="00EC6393" w:rsidRDefault="002D78EB" w:rsidP="00A8783A">
            <w:pPr>
              <w:pStyle w:val="IEEEParagraph"/>
              <w:ind w:firstLine="0"/>
              <w:jc w:val="center"/>
              <w:rPr>
                <w:sz w:val="20"/>
                <w:szCs w:val="20"/>
              </w:rPr>
            </w:pPr>
            <w:r w:rsidRPr="00EC6393">
              <w:rPr>
                <w:rFonts w:eastAsia="Arial"/>
                <w:sz w:val="20"/>
                <w:szCs w:val="20"/>
              </w:rPr>
              <w:t>4.72</w:t>
            </w:r>
          </w:p>
        </w:tc>
        <w:tc>
          <w:tcPr>
            <w:tcW w:w="1035" w:type="dxa"/>
            <w:vAlign w:val="center"/>
          </w:tcPr>
          <w:p w14:paraId="2D374892" w14:textId="77777777" w:rsidR="002D78EB" w:rsidRPr="00EC6393" w:rsidRDefault="002D78EB" w:rsidP="00A8783A">
            <w:pPr>
              <w:pStyle w:val="IEEEParagraph"/>
              <w:ind w:firstLine="0"/>
              <w:jc w:val="center"/>
              <w:rPr>
                <w:sz w:val="20"/>
                <w:szCs w:val="20"/>
              </w:rPr>
            </w:pPr>
            <w:r w:rsidRPr="00EC6393">
              <w:rPr>
                <w:rFonts w:eastAsia="Arial"/>
                <w:sz w:val="20"/>
                <w:szCs w:val="20"/>
              </w:rPr>
              <w:t>4.64</w:t>
            </w:r>
          </w:p>
        </w:tc>
        <w:tc>
          <w:tcPr>
            <w:tcW w:w="1080" w:type="dxa"/>
            <w:vAlign w:val="center"/>
          </w:tcPr>
          <w:p w14:paraId="3CE7E0A1" w14:textId="77777777" w:rsidR="002D78EB" w:rsidRPr="00EC6393" w:rsidRDefault="002D78EB" w:rsidP="00A8783A">
            <w:pPr>
              <w:pStyle w:val="IEEEParagraph"/>
              <w:ind w:firstLine="0"/>
              <w:jc w:val="center"/>
              <w:rPr>
                <w:sz w:val="20"/>
                <w:szCs w:val="20"/>
              </w:rPr>
            </w:pPr>
            <w:r w:rsidRPr="00EC6393">
              <w:rPr>
                <w:rFonts w:eastAsia="Arial"/>
                <w:sz w:val="20"/>
                <w:szCs w:val="20"/>
              </w:rPr>
              <w:t>4.56</w:t>
            </w:r>
          </w:p>
        </w:tc>
        <w:tc>
          <w:tcPr>
            <w:tcW w:w="990" w:type="dxa"/>
            <w:vAlign w:val="center"/>
          </w:tcPr>
          <w:p w14:paraId="26A1674B"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4.56</w:t>
            </w:r>
          </w:p>
        </w:tc>
        <w:tc>
          <w:tcPr>
            <w:tcW w:w="810" w:type="dxa"/>
            <w:vAlign w:val="center"/>
          </w:tcPr>
          <w:p w14:paraId="190463D1" w14:textId="77777777" w:rsidR="002D78EB" w:rsidRPr="00EC6393" w:rsidRDefault="002D78EB" w:rsidP="00A8783A">
            <w:pPr>
              <w:pStyle w:val="IEEEParagraph"/>
              <w:ind w:firstLine="0"/>
              <w:jc w:val="center"/>
              <w:rPr>
                <w:rFonts w:eastAsia="Arial"/>
                <w:sz w:val="20"/>
                <w:szCs w:val="20"/>
              </w:rPr>
            </w:pPr>
            <w:r w:rsidRPr="00EC6393">
              <w:rPr>
                <w:rFonts w:eastAsia="Arial"/>
                <w:b/>
                <w:bCs/>
                <w:sz w:val="20"/>
                <w:szCs w:val="20"/>
              </w:rPr>
              <w:t>4.62</w:t>
            </w:r>
          </w:p>
        </w:tc>
        <w:tc>
          <w:tcPr>
            <w:tcW w:w="1620" w:type="dxa"/>
            <w:vAlign w:val="center"/>
          </w:tcPr>
          <w:p w14:paraId="58760BE9"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Always</w:t>
            </w:r>
          </w:p>
        </w:tc>
      </w:tr>
      <w:tr w:rsidR="002D78EB" w:rsidRPr="00EC6393" w14:paraId="00FF1162" w14:textId="77777777" w:rsidTr="002D78EB">
        <w:tc>
          <w:tcPr>
            <w:tcW w:w="3775" w:type="dxa"/>
            <w:vAlign w:val="center"/>
          </w:tcPr>
          <w:p w14:paraId="6498641C" w14:textId="77777777" w:rsidR="002D78EB" w:rsidRPr="00EC6393" w:rsidRDefault="002D78EB" w:rsidP="00A8783A">
            <w:pPr>
              <w:pStyle w:val="IEEEParagraph"/>
              <w:ind w:firstLine="0"/>
              <w:jc w:val="left"/>
              <w:rPr>
                <w:sz w:val="20"/>
                <w:szCs w:val="20"/>
              </w:rPr>
            </w:pPr>
            <w:r w:rsidRPr="00EC6393">
              <w:rPr>
                <w:rFonts w:eastAsia="Arial"/>
                <w:sz w:val="20"/>
                <w:szCs w:val="20"/>
              </w:rPr>
              <w:t>I verify the sender's email address before responding to messages.</w:t>
            </w:r>
          </w:p>
        </w:tc>
        <w:tc>
          <w:tcPr>
            <w:tcW w:w="1040" w:type="dxa"/>
            <w:vAlign w:val="center"/>
          </w:tcPr>
          <w:p w14:paraId="45457B96" w14:textId="77777777" w:rsidR="002D78EB" w:rsidRPr="00EC6393" w:rsidRDefault="002D78EB" w:rsidP="00A8783A">
            <w:pPr>
              <w:pStyle w:val="IEEEParagraph"/>
              <w:ind w:firstLine="0"/>
              <w:jc w:val="center"/>
              <w:rPr>
                <w:sz w:val="20"/>
                <w:szCs w:val="20"/>
              </w:rPr>
            </w:pPr>
            <w:r w:rsidRPr="00EC6393">
              <w:rPr>
                <w:rFonts w:eastAsia="Arial"/>
                <w:sz w:val="20"/>
                <w:szCs w:val="20"/>
              </w:rPr>
              <w:t>4.60</w:t>
            </w:r>
          </w:p>
        </w:tc>
        <w:tc>
          <w:tcPr>
            <w:tcW w:w="1035" w:type="dxa"/>
            <w:vAlign w:val="center"/>
          </w:tcPr>
          <w:p w14:paraId="15A2F52C" w14:textId="77777777" w:rsidR="002D78EB" w:rsidRPr="00EC6393" w:rsidRDefault="002D78EB" w:rsidP="00A8783A">
            <w:pPr>
              <w:pStyle w:val="IEEEParagraph"/>
              <w:ind w:firstLine="0"/>
              <w:jc w:val="center"/>
              <w:rPr>
                <w:sz w:val="20"/>
                <w:szCs w:val="20"/>
              </w:rPr>
            </w:pPr>
            <w:r w:rsidRPr="00EC6393">
              <w:rPr>
                <w:rFonts w:eastAsia="Arial"/>
                <w:sz w:val="20"/>
                <w:szCs w:val="20"/>
              </w:rPr>
              <w:t>4.60</w:t>
            </w:r>
          </w:p>
        </w:tc>
        <w:tc>
          <w:tcPr>
            <w:tcW w:w="1080" w:type="dxa"/>
            <w:vAlign w:val="center"/>
          </w:tcPr>
          <w:p w14:paraId="27A45DFF" w14:textId="77777777" w:rsidR="002D78EB" w:rsidRPr="00EC6393" w:rsidRDefault="002D78EB" w:rsidP="00A8783A">
            <w:pPr>
              <w:pStyle w:val="IEEEParagraph"/>
              <w:ind w:firstLine="0"/>
              <w:jc w:val="center"/>
              <w:rPr>
                <w:sz w:val="20"/>
                <w:szCs w:val="20"/>
              </w:rPr>
            </w:pPr>
            <w:r w:rsidRPr="00EC6393">
              <w:rPr>
                <w:rFonts w:eastAsia="Arial"/>
                <w:sz w:val="20"/>
                <w:szCs w:val="20"/>
              </w:rPr>
              <w:t>4.52</w:t>
            </w:r>
          </w:p>
        </w:tc>
        <w:tc>
          <w:tcPr>
            <w:tcW w:w="990" w:type="dxa"/>
            <w:vAlign w:val="center"/>
          </w:tcPr>
          <w:p w14:paraId="67B6BE46"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4.68</w:t>
            </w:r>
          </w:p>
        </w:tc>
        <w:tc>
          <w:tcPr>
            <w:tcW w:w="810" w:type="dxa"/>
            <w:vAlign w:val="center"/>
          </w:tcPr>
          <w:p w14:paraId="68AE7DEF" w14:textId="77777777" w:rsidR="002D78EB" w:rsidRPr="00EC6393" w:rsidRDefault="002D78EB" w:rsidP="00A8783A">
            <w:pPr>
              <w:pStyle w:val="IEEEParagraph"/>
              <w:ind w:firstLine="0"/>
              <w:jc w:val="center"/>
              <w:rPr>
                <w:rFonts w:eastAsia="Arial"/>
                <w:sz w:val="20"/>
                <w:szCs w:val="20"/>
              </w:rPr>
            </w:pPr>
            <w:r w:rsidRPr="00EC6393">
              <w:rPr>
                <w:rFonts w:eastAsia="Arial"/>
                <w:b/>
                <w:bCs/>
                <w:sz w:val="20"/>
                <w:szCs w:val="20"/>
              </w:rPr>
              <w:t>4.60</w:t>
            </w:r>
          </w:p>
        </w:tc>
        <w:tc>
          <w:tcPr>
            <w:tcW w:w="1620" w:type="dxa"/>
            <w:vAlign w:val="center"/>
          </w:tcPr>
          <w:p w14:paraId="0922395B"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Always</w:t>
            </w:r>
          </w:p>
        </w:tc>
      </w:tr>
      <w:tr w:rsidR="002D78EB" w:rsidRPr="00EC6393" w14:paraId="0B399E81" w14:textId="77777777" w:rsidTr="002D78EB">
        <w:tc>
          <w:tcPr>
            <w:tcW w:w="3775" w:type="dxa"/>
            <w:vAlign w:val="center"/>
          </w:tcPr>
          <w:p w14:paraId="544A8E5A" w14:textId="77777777" w:rsidR="002D78EB" w:rsidRPr="00EC6393" w:rsidRDefault="002D78EB" w:rsidP="00A8783A">
            <w:pPr>
              <w:pStyle w:val="IEEEParagraph"/>
              <w:ind w:firstLine="0"/>
              <w:jc w:val="left"/>
              <w:rPr>
                <w:sz w:val="20"/>
                <w:szCs w:val="20"/>
              </w:rPr>
            </w:pPr>
            <w:r w:rsidRPr="00EC6393">
              <w:rPr>
                <w:rFonts w:eastAsia="Arial"/>
                <w:sz w:val="20"/>
                <w:szCs w:val="20"/>
              </w:rPr>
              <w:t>I hover over links to preview the destination before clicking.</w:t>
            </w:r>
          </w:p>
        </w:tc>
        <w:tc>
          <w:tcPr>
            <w:tcW w:w="1040" w:type="dxa"/>
            <w:vAlign w:val="center"/>
          </w:tcPr>
          <w:p w14:paraId="4B4403EA" w14:textId="77777777" w:rsidR="002D78EB" w:rsidRPr="00EC6393" w:rsidRDefault="002D78EB" w:rsidP="00A8783A">
            <w:pPr>
              <w:pStyle w:val="IEEEParagraph"/>
              <w:ind w:firstLine="0"/>
              <w:jc w:val="center"/>
              <w:rPr>
                <w:sz w:val="20"/>
                <w:szCs w:val="20"/>
              </w:rPr>
            </w:pPr>
            <w:r w:rsidRPr="00EC6393">
              <w:rPr>
                <w:rFonts w:eastAsia="Arial"/>
                <w:sz w:val="20"/>
                <w:szCs w:val="20"/>
              </w:rPr>
              <w:t>4.20</w:t>
            </w:r>
          </w:p>
        </w:tc>
        <w:tc>
          <w:tcPr>
            <w:tcW w:w="1035" w:type="dxa"/>
            <w:vAlign w:val="center"/>
          </w:tcPr>
          <w:p w14:paraId="0B56F88F" w14:textId="77777777" w:rsidR="002D78EB" w:rsidRPr="00EC6393" w:rsidRDefault="002D78EB" w:rsidP="00A8783A">
            <w:pPr>
              <w:pStyle w:val="IEEEParagraph"/>
              <w:ind w:firstLine="0"/>
              <w:jc w:val="center"/>
              <w:rPr>
                <w:sz w:val="20"/>
                <w:szCs w:val="20"/>
              </w:rPr>
            </w:pPr>
            <w:r w:rsidRPr="00EC6393">
              <w:rPr>
                <w:rFonts w:eastAsia="Arial"/>
                <w:sz w:val="20"/>
                <w:szCs w:val="20"/>
              </w:rPr>
              <w:t>4.20</w:t>
            </w:r>
          </w:p>
        </w:tc>
        <w:tc>
          <w:tcPr>
            <w:tcW w:w="1080" w:type="dxa"/>
            <w:vAlign w:val="center"/>
          </w:tcPr>
          <w:p w14:paraId="228A438B" w14:textId="77777777" w:rsidR="002D78EB" w:rsidRPr="00EC6393" w:rsidRDefault="002D78EB" w:rsidP="00A8783A">
            <w:pPr>
              <w:pStyle w:val="IEEEParagraph"/>
              <w:ind w:firstLine="0"/>
              <w:jc w:val="center"/>
              <w:rPr>
                <w:sz w:val="20"/>
                <w:szCs w:val="20"/>
              </w:rPr>
            </w:pPr>
            <w:r w:rsidRPr="00EC6393">
              <w:rPr>
                <w:rFonts w:eastAsia="Arial"/>
                <w:sz w:val="20"/>
                <w:szCs w:val="20"/>
              </w:rPr>
              <w:t>4.36</w:t>
            </w:r>
          </w:p>
        </w:tc>
        <w:tc>
          <w:tcPr>
            <w:tcW w:w="990" w:type="dxa"/>
            <w:vAlign w:val="center"/>
          </w:tcPr>
          <w:p w14:paraId="2D4DEAD0"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4.56</w:t>
            </w:r>
          </w:p>
        </w:tc>
        <w:tc>
          <w:tcPr>
            <w:tcW w:w="810" w:type="dxa"/>
            <w:vAlign w:val="center"/>
          </w:tcPr>
          <w:p w14:paraId="2135F3B3" w14:textId="77777777" w:rsidR="002D78EB" w:rsidRPr="00EC6393" w:rsidRDefault="002D78EB" w:rsidP="00A8783A">
            <w:pPr>
              <w:pStyle w:val="IEEEParagraph"/>
              <w:ind w:firstLine="0"/>
              <w:jc w:val="center"/>
              <w:rPr>
                <w:rFonts w:eastAsia="Arial"/>
                <w:sz w:val="20"/>
                <w:szCs w:val="20"/>
              </w:rPr>
            </w:pPr>
            <w:r w:rsidRPr="00EC6393">
              <w:rPr>
                <w:rFonts w:eastAsia="Arial"/>
                <w:b/>
                <w:bCs/>
                <w:sz w:val="20"/>
                <w:szCs w:val="20"/>
              </w:rPr>
              <w:t>4.33</w:t>
            </w:r>
          </w:p>
        </w:tc>
        <w:tc>
          <w:tcPr>
            <w:tcW w:w="1620" w:type="dxa"/>
            <w:vAlign w:val="center"/>
          </w:tcPr>
          <w:p w14:paraId="2DD2CE1B"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Often</w:t>
            </w:r>
          </w:p>
        </w:tc>
      </w:tr>
      <w:tr w:rsidR="002D78EB" w:rsidRPr="00EC6393" w14:paraId="0BDB7FD7" w14:textId="77777777" w:rsidTr="002D78EB">
        <w:tc>
          <w:tcPr>
            <w:tcW w:w="3775" w:type="dxa"/>
            <w:vAlign w:val="center"/>
          </w:tcPr>
          <w:p w14:paraId="3C827349" w14:textId="77777777" w:rsidR="002D78EB" w:rsidRPr="00EC6393" w:rsidRDefault="002D78EB" w:rsidP="00A8783A">
            <w:pPr>
              <w:pStyle w:val="IEEEParagraph"/>
              <w:ind w:firstLine="0"/>
              <w:jc w:val="left"/>
              <w:rPr>
                <w:rFonts w:eastAsia="Arial"/>
                <w:sz w:val="20"/>
                <w:szCs w:val="20"/>
              </w:rPr>
            </w:pPr>
            <w:r w:rsidRPr="00EC6393">
              <w:rPr>
                <w:rFonts w:eastAsia="Arial"/>
                <w:sz w:val="20"/>
                <w:szCs w:val="20"/>
              </w:rPr>
              <w:t>I check for HTTPS or security indicators when browsing websites.</w:t>
            </w:r>
          </w:p>
        </w:tc>
        <w:tc>
          <w:tcPr>
            <w:tcW w:w="1040" w:type="dxa"/>
            <w:vAlign w:val="center"/>
          </w:tcPr>
          <w:p w14:paraId="738D88BD"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4.52</w:t>
            </w:r>
          </w:p>
        </w:tc>
        <w:tc>
          <w:tcPr>
            <w:tcW w:w="1035" w:type="dxa"/>
            <w:vAlign w:val="center"/>
          </w:tcPr>
          <w:p w14:paraId="17C3B6F8"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4.32</w:t>
            </w:r>
          </w:p>
        </w:tc>
        <w:tc>
          <w:tcPr>
            <w:tcW w:w="1080" w:type="dxa"/>
            <w:vAlign w:val="center"/>
          </w:tcPr>
          <w:p w14:paraId="4A4F08C2"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4.36</w:t>
            </w:r>
          </w:p>
        </w:tc>
        <w:tc>
          <w:tcPr>
            <w:tcW w:w="990" w:type="dxa"/>
            <w:vAlign w:val="center"/>
          </w:tcPr>
          <w:p w14:paraId="550FCAF3"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4.52</w:t>
            </w:r>
          </w:p>
        </w:tc>
        <w:tc>
          <w:tcPr>
            <w:tcW w:w="810" w:type="dxa"/>
            <w:vAlign w:val="center"/>
          </w:tcPr>
          <w:p w14:paraId="59E9A943" w14:textId="77777777" w:rsidR="002D78EB" w:rsidRPr="00EC6393" w:rsidRDefault="002D78EB" w:rsidP="00A8783A">
            <w:pPr>
              <w:pStyle w:val="IEEEParagraph"/>
              <w:ind w:firstLine="0"/>
              <w:jc w:val="center"/>
              <w:rPr>
                <w:rFonts w:eastAsia="Arial"/>
                <w:sz w:val="20"/>
                <w:szCs w:val="20"/>
              </w:rPr>
            </w:pPr>
            <w:r w:rsidRPr="00EC6393">
              <w:rPr>
                <w:rFonts w:eastAsia="Arial"/>
                <w:b/>
                <w:bCs/>
                <w:sz w:val="20"/>
                <w:szCs w:val="20"/>
              </w:rPr>
              <w:t>4.43</w:t>
            </w:r>
          </w:p>
        </w:tc>
        <w:tc>
          <w:tcPr>
            <w:tcW w:w="1620" w:type="dxa"/>
            <w:vAlign w:val="center"/>
          </w:tcPr>
          <w:p w14:paraId="740F5923"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Often</w:t>
            </w:r>
          </w:p>
        </w:tc>
      </w:tr>
      <w:tr w:rsidR="002D78EB" w:rsidRPr="00EC6393" w14:paraId="643FB422" w14:textId="77777777" w:rsidTr="002D78EB">
        <w:tc>
          <w:tcPr>
            <w:tcW w:w="3775" w:type="dxa"/>
            <w:vAlign w:val="center"/>
          </w:tcPr>
          <w:p w14:paraId="7EC412C6" w14:textId="77777777" w:rsidR="002D78EB" w:rsidRPr="00EC6393" w:rsidRDefault="002D78EB" w:rsidP="00A8783A">
            <w:pPr>
              <w:pStyle w:val="IEEEParagraph"/>
              <w:ind w:firstLine="0"/>
              <w:jc w:val="left"/>
              <w:rPr>
                <w:rFonts w:eastAsia="Arial"/>
                <w:sz w:val="20"/>
                <w:szCs w:val="20"/>
              </w:rPr>
            </w:pPr>
            <w:r w:rsidRPr="00EC6393">
              <w:rPr>
                <w:rFonts w:eastAsia="Arial"/>
                <w:sz w:val="20"/>
                <w:szCs w:val="20"/>
              </w:rPr>
              <w:t>I avoid downloading files from unknown or suspicious sources.</w:t>
            </w:r>
          </w:p>
        </w:tc>
        <w:tc>
          <w:tcPr>
            <w:tcW w:w="1040" w:type="dxa"/>
            <w:vAlign w:val="center"/>
          </w:tcPr>
          <w:p w14:paraId="4311348F"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4.56</w:t>
            </w:r>
          </w:p>
        </w:tc>
        <w:tc>
          <w:tcPr>
            <w:tcW w:w="1035" w:type="dxa"/>
            <w:vAlign w:val="center"/>
          </w:tcPr>
          <w:p w14:paraId="061A2AE5"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4.32</w:t>
            </w:r>
          </w:p>
        </w:tc>
        <w:tc>
          <w:tcPr>
            <w:tcW w:w="1080" w:type="dxa"/>
            <w:vAlign w:val="center"/>
          </w:tcPr>
          <w:p w14:paraId="34EC379C"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4.24</w:t>
            </w:r>
          </w:p>
        </w:tc>
        <w:tc>
          <w:tcPr>
            <w:tcW w:w="990" w:type="dxa"/>
            <w:vAlign w:val="center"/>
          </w:tcPr>
          <w:p w14:paraId="651E19C9"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4.52</w:t>
            </w:r>
          </w:p>
        </w:tc>
        <w:tc>
          <w:tcPr>
            <w:tcW w:w="810" w:type="dxa"/>
            <w:vAlign w:val="center"/>
          </w:tcPr>
          <w:p w14:paraId="4ED0241D" w14:textId="77777777" w:rsidR="002D78EB" w:rsidRPr="00EC6393" w:rsidRDefault="002D78EB" w:rsidP="00A8783A">
            <w:pPr>
              <w:pStyle w:val="IEEEParagraph"/>
              <w:ind w:firstLine="0"/>
              <w:jc w:val="center"/>
              <w:rPr>
                <w:rFonts w:eastAsia="Arial"/>
                <w:sz w:val="20"/>
                <w:szCs w:val="20"/>
              </w:rPr>
            </w:pPr>
            <w:r w:rsidRPr="00EC6393">
              <w:rPr>
                <w:rFonts w:eastAsia="Arial"/>
                <w:b/>
                <w:bCs/>
                <w:sz w:val="20"/>
                <w:szCs w:val="20"/>
              </w:rPr>
              <w:t>4.41</w:t>
            </w:r>
          </w:p>
        </w:tc>
        <w:tc>
          <w:tcPr>
            <w:tcW w:w="1620" w:type="dxa"/>
            <w:vAlign w:val="center"/>
          </w:tcPr>
          <w:p w14:paraId="22063C30"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Often</w:t>
            </w:r>
          </w:p>
        </w:tc>
      </w:tr>
      <w:tr w:rsidR="002D78EB" w:rsidRPr="00EC6393" w14:paraId="265310E6" w14:textId="77777777" w:rsidTr="002D78EB">
        <w:tc>
          <w:tcPr>
            <w:tcW w:w="3775" w:type="dxa"/>
            <w:vAlign w:val="center"/>
          </w:tcPr>
          <w:p w14:paraId="7AEE6D1E" w14:textId="77777777" w:rsidR="002D78EB" w:rsidRPr="00EC6393" w:rsidRDefault="002D78EB" w:rsidP="00A8783A">
            <w:pPr>
              <w:pStyle w:val="IEEEParagraph"/>
              <w:ind w:firstLine="0"/>
              <w:rPr>
                <w:rFonts w:eastAsia="Arial"/>
                <w:b/>
                <w:bCs/>
                <w:sz w:val="20"/>
                <w:szCs w:val="20"/>
              </w:rPr>
            </w:pPr>
            <w:r w:rsidRPr="00EC6393">
              <w:rPr>
                <w:rFonts w:eastAsia="Arial"/>
                <w:b/>
                <w:bCs/>
                <w:sz w:val="20"/>
                <w:szCs w:val="20"/>
              </w:rPr>
              <w:t>Section Mean</w:t>
            </w:r>
          </w:p>
        </w:tc>
        <w:tc>
          <w:tcPr>
            <w:tcW w:w="1040" w:type="dxa"/>
            <w:vAlign w:val="center"/>
          </w:tcPr>
          <w:p w14:paraId="27DCFFE7" w14:textId="77777777" w:rsidR="002D78EB" w:rsidRPr="00EC6393" w:rsidRDefault="002D78EB" w:rsidP="00A8783A">
            <w:pPr>
              <w:pStyle w:val="IEEEParagraph"/>
              <w:ind w:firstLine="0"/>
              <w:jc w:val="center"/>
              <w:rPr>
                <w:rFonts w:eastAsia="Arial"/>
                <w:b/>
                <w:bCs/>
                <w:sz w:val="20"/>
                <w:szCs w:val="20"/>
              </w:rPr>
            </w:pPr>
            <w:r w:rsidRPr="00EC6393">
              <w:rPr>
                <w:rFonts w:eastAsia="Arial"/>
                <w:b/>
                <w:bCs/>
                <w:sz w:val="20"/>
                <w:szCs w:val="20"/>
              </w:rPr>
              <w:t>4.52</w:t>
            </w:r>
          </w:p>
        </w:tc>
        <w:tc>
          <w:tcPr>
            <w:tcW w:w="1035" w:type="dxa"/>
            <w:vAlign w:val="center"/>
          </w:tcPr>
          <w:p w14:paraId="6451F8E3" w14:textId="77777777" w:rsidR="002D78EB" w:rsidRPr="00EC6393" w:rsidRDefault="002D78EB" w:rsidP="00A8783A">
            <w:pPr>
              <w:pStyle w:val="IEEEParagraph"/>
              <w:ind w:firstLine="0"/>
              <w:jc w:val="center"/>
              <w:rPr>
                <w:rFonts w:eastAsia="Arial"/>
                <w:b/>
                <w:bCs/>
                <w:sz w:val="20"/>
                <w:szCs w:val="20"/>
              </w:rPr>
            </w:pPr>
            <w:r w:rsidRPr="00EC6393">
              <w:rPr>
                <w:rFonts w:eastAsia="Arial"/>
                <w:b/>
                <w:bCs/>
                <w:sz w:val="20"/>
                <w:szCs w:val="20"/>
              </w:rPr>
              <w:t>4.42</w:t>
            </w:r>
          </w:p>
        </w:tc>
        <w:tc>
          <w:tcPr>
            <w:tcW w:w="1080" w:type="dxa"/>
            <w:vAlign w:val="center"/>
          </w:tcPr>
          <w:p w14:paraId="37C6109B" w14:textId="77777777" w:rsidR="002D78EB" w:rsidRPr="00EC6393" w:rsidRDefault="002D78EB" w:rsidP="00A8783A">
            <w:pPr>
              <w:pStyle w:val="IEEEParagraph"/>
              <w:ind w:firstLine="0"/>
              <w:jc w:val="center"/>
              <w:rPr>
                <w:rFonts w:eastAsia="Arial"/>
                <w:b/>
                <w:bCs/>
                <w:sz w:val="20"/>
                <w:szCs w:val="20"/>
              </w:rPr>
            </w:pPr>
            <w:r w:rsidRPr="00EC6393">
              <w:rPr>
                <w:rFonts w:eastAsia="Arial"/>
                <w:b/>
                <w:bCs/>
                <w:sz w:val="20"/>
                <w:szCs w:val="20"/>
              </w:rPr>
              <w:t>4.41</w:t>
            </w:r>
          </w:p>
        </w:tc>
        <w:tc>
          <w:tcPr>
            <w:tcW w:w="990" w:type="dxa"/>
            <w:vAlign w:val="center"/>
          </w:tcPr>
          <w:p w14:paraId="4477D29D" w14:textId="77777777" w:rsidR="002D78EB" w:rsidRPr="00EC6393" w:rsidRDefault="002D78EB" w:rsidP="00A8783A">
            <w:pPr>
              <w:pStyle w:val="IEEEParagraph"/>
              <w:ind w:firstLine="0"/>
              <w:jc w:val="center"/>
              <w:rPr>
                <w:rFonts w:eastAsia="Arial"/>
                <w:b/>
                <w:bCs/>
                <w:sz w:val="20"/>
                <w:szCs w:val="20"/>
              </w:rPr>
            </w:pPr>
            <w:r w:rsidRPr="00EC6393">
              <w:rPr>
                <w:rFonts w:eastAsia="Arial"/>
                <w:b/>
                <w:bCs/>
                <w:sz w:val="20"/>
                <w:szCs w:val="20"/>
              </w:rPr>
              <w:t>4.57</w:t>
            </w:r>
          </w:p>
        </w:tc>
        <w:tc>
          <w:tcPr>
            <w:tcW w:w="810" w:type="dxa"/>
            <w:vAlign w:val="center"/>
          </w:tcPr>
          <w:p w14:paraId="43D7B5BD" w14:textId="77777777" w:rsidR="002D78EB" w:rsidRPr="00EC6393" w:rsidRDefault="002D78EB" w:rsidP="00A8783A">
            <w:pPr>
              <w:pStyle w:val="IEEEParagraph"/>
              <w:ind w:firstLine="0"/>
              <w:jc w:val="center"/>
              <w:rPr>
                <w:rFonts w:eastAsia="Arial"/>
                <w:b/>
                <w:bCs/>
                <w:sz w:val="20"/>
                <w:szCs w:val="20"/>
              </w:rPr>
            </w:pPr>
            <w:r w:rsidRPr="00EC6393">
              <w:rPr>
                <w:rFonts w:eastAsia="Arial"/>
                <w:b/>
                <w:bCs/>
                <w:sz w:val="20"/>
                <w:szCs w:val="20"/>
              </w:rPr>
              <w:t>4.48</w:t>
            </w:r>
          </w:p>
        </w:tc>
        <w:tc>
          <w:tcPr>
            <w:tcW w:w="1620" w:type="dxa"/>
            <w:vAlign w:val="center"/>
          </w:tcPr>
          <w:p w14:paraId="4563F24B" w14:textId="77777777" w:rsidR="002D78EB" w:rsidRPr="00EC6393" w:rsidRDefault="002D78EB" w:rsidP="00A8783A">
            <w:pPr>
              <w:pStyle w:val="IEEEParagraph"/>
              <w:ind w:firstLine="0"/>
              <w:jc w:val="center"/>
              <w:rPr>
                <w:rFonts w:eastAsia="Arial"/>
                <w:b/>
                <w:bCs/>
                <w:sz w:val="20"/>
                <w:szCs w:val="20"/>
              </w:rPr>
            </w:pPr>
            <w:r w:rsidRPr="00EC6393">
              <w:rPr>
                <w:rFonts w:eastAsia="Arial"/>
                <w:b/>
                <w:bCs/>
                <w:sz w:val="20"/>
                <w:szCs w:val="20"/>
              </w:rPr>
              <w:t>Often</w:t>
            </w:r>
          </w:p>
        </w:tc>
      </w:tr>
    </w:tbl>
    <w:p w14:paraId="12B349FF" w14:textId="77777777" w:rsidR="002D78EB" w:rsidRDefault="002D78EB" w:rsidP="002D78EB">
      <w:pPr>
        <w:pStyle w:val="IEEEParagraph"/>
        <w:rPr>
          <w:sz w:val="20"/>
          <w:szCs w:val="20"/>
        </w:rPr>
      </w:pPr>
    </w:p>
    <w:p w14:paraId="1C154718" w14:textId="77777777" w:rsidR="002D78EB" w:rsidRPr="002D78EB" w:rsidRDefault="002D78EB" w:rsidP="002D78EB">
      <w:pPr>
        <w:pStyle w:val="IEEEParagraph"/>
        <w:ind w:left="360" w:firstLine="360"/>
        <w:rPr>
          <w:sz w:val="20"/>
          <w:szCs w:val="20"/>
        </w:rPr>
      </w:pPr>
      <w:r w:rsidRPr="002D78EB">
        <w:rPr>
          <w:sz w:val="20"/>
          <w:szCs w:val="20"/>
        </w:rPr>
        <w:t>Table 3 presents the weighted mean scores for the respondents’ Technical Verification Behavior across different year levels. The results reveal an overall section mean of 4.48, interpreted as “Often,” indicating that the respondents generally practice technical verification measures when interacting with online platforms and digital communications. Among the year levels, 4th Year students obtained the highest section mean of 4.57, while 3rd Year students recorded the lowest mean of 4.41, suggesting that students in higher academic levels may demonstrate slightly stronger cybersecurity verification practices. The indicators “I check the URL of websites before entering sensitive information” (M = 4.62) and “I verify the sender's email address before responding to messages” (M = 4.60) received the highest ratings, both interpreted as “Always.” These findings indicate that students consistently apply important cybersecurity practices that help minimize exposure to phishing attacks and fraudulent online activities.</w:t>
      </w:r>
    </w:p>
    <w:p w14:paraId="77552D72" w14:textId="77777777" w:rsidR="002D78EB" w:rsidRPr="002D78EB" w:rsidRDefault="002D78EB" w:rsidP="002D78EB">
      <w:pPr>
        <w:pStyle w:val="IEEEParagraph"/>
        <w:ind w:left="360" w:firstLine="360"/>
        <w:rPr>
          <w:sz w:val="20"/>
          <w:szCs w:val="20"/>
        </w:rPr>
      </w:pPr>
    </w:p>
    <w:p w14:paraId="47075ECF" w14:textId="061CE87F" w:rsidR="002D78EB" w:rsidRDefault="002D78EB" w:rsidP="002D78EB">
      <w:pPr>
        <w:pStyle w:val="IEEEParagraph"/>
        <w:ind w:left="360" w:firstLine="360"/>
        <w:rPr>
          <w:sz w:val="20"/>
          <w:szCs w:val="20"/>
        </w:rPr>
      </w:pPr>
      <w:r w:rsidRPr="002D78EB">
        <w:rPr>
          <w:sz w:val="20"/>
          <w:szCs w:val="20"/>
        </w:rPr>
        <w:t>Meanwhile, the indicator “I hover over links to preview the destination before clicking” obtained the lowest overall mean of 4.33, although still interpreted as “Often.” This suggests that while respondents generally perform link verification practices, such behavior may not always be consistently applied compared to other technical verification measures. Similarly, checking for HTTPS or security indicators and avoiding downloads from suspicious sources also received high ratings, reflecting positive online safety behaviors among the respondents. Overall, the findings suggest that students of Quezon City University possess strong technical verification behaviors and cybersecurity awareness; however, continuous reinforcement and training on phishing detection practices may further strengthen their online security habits.</w:t>
      </w:r>
    </w:p>
    <w:p w14:paraId="25F9CD58" w14:textId="7B47697B" w:rsidR="002D78EB" w:rsidRDefault="002D78EB" w:rsidP="002D78EB">
      <w:pPr>
        <w:pStyle w:val="IEEEParagraph"/>
        <w:rPr>
          <w:sz w:val="20"/>
          <w:szCs w:val="20"/>
        </w:rPr>
      </w:pPr>
    </w:p>
    <w:p w14:paraId="7DA67C94" w14:textId="0469090C" w:rsidR="002D78EB" w:rsidRPr="002D78EB" w:rsidRDefault="002D78EB" w:rsidP="002D78EB">
      <w:pPr>
        <w:pStyle w:val="IEEEParagraph"/>
        <w:numPr>
          <w:ilvl w:val="0"/>
          <w:numId w:val="19"/>
        </w:numPr>
        <w:rPr>
          <w:b/>
          <w:i/>
          <w:sz w:val="20"/>
          <w:szCs w:val="20"/>
        </w:rPr>
      </w:pPr>
      <w:r w:rsidRPr="002D78EB">
        <w:rPr>
          <w:b/>
          <w:i/>
          <w:sz w:val="20"/>
          <w:szCs w:val="20"/>
        </w:rPr>
        <w:t xml:space="preserve">Visual Behavior </w:t>
      </w:r>
    </w:p>
    <w:p w14:paraId="53C2E841" w14:textId="4C8CB5ED" w:rsidR="002D78EB" w:rsidRDefault="002D78EB" w:rsidP="002D78EB">
      <w:pPr>
        <w:pStyle w:val="IEEEParagraph"/>
        <w:rPr>
          <w:sz w:val="20"/>
          <w:szCs w:val="20"/>
        </w:rPr>
      </w:pPr>
    </w:p>
    <w:p w14:paraId="4D2C1126" w14:textId="72F552F7" w:rsidR="002D78EB" w:rsidRDefault="002D78EB" w:rsidP="002D78EB">
      <w:pPr>
        <w:pStyle w:val="IEEEParagraph"/>
        <w:ind w:left="360" w:firstLine="360"/>
        <w:rPr>
          <w:sz w:val="20"/>
          <w:szCs w:val="20"/>
        </w:rPr>
      </w:pPr>
      <w:r w:rsidRPr="002D78EB">
        <w:rPr>
          <w:sz w:val="20"/>
          <w:szCs w:val="20"/>
        </w:rPr>
        <w:t>Table 4</w:t>
      </w:r>
      <w:r>
        <w:rPr>
          <w:sz w:val="20"/>
          <w:szCs w:val="20"/>
        </w:rPr>
        <w:t xml:space="preserve"> below,</w:t>
      </w:r>
      <w:r w:rsidRPr="002D78EB">
        <w:rPr>
          <w:sz w:val="20"/>
          <w:szCs w:val="20"/>
        </w:rPr>
        <w:t xml:space="preserve"> </w:t>
      </w:r>
      <w:r w:rsidR="00B52A1B">
        <w:rPr>
          <w:sz w:val="20"/>
          <w:szCs w:val="20"/>
        </w:rPr>
        <w:t>shows</w:t>
      </w:r>
      <w:r w:rsidRPr="002D78EB">
        <w:rPr>
          <w:sz w:val="20"/>
          <w:szCs w:val="20"/>
        </w:rPr>
        <w:t xml:space="preserve"> the weighted mean scores for the respondents’ Visual Trust Behavior across different year levels. The results reveal an overall section mean of 3.18, interpreted as “Sometimes,” indicating that the respondents occasionally rely on visual elements when determining the legitimacy of emails, websites, and online messages. Among the year levels, 4th Year students obtained the highest section mean of 3.39, while 1st Year students recorded the lowest mean of 2.95. This suggests that although students demonstrate some level of caution, visual appearance still influences their perception of trustworthiness in online communications. The indicator “I am likely to trust messages with official logos or branding” obtained the highest overall mean of 3.46, followed by “I trust emails or websites based on their professional appearance” with a mean of 3.31, both interpreted as “Sometimes.” These findings indicate that official branding, logos, and professional-looking designs can influence students’ trust toward online content.</w:t>
      </w:r>
    </w:p>
    <w:p w14:paraId="02C3EB6F" w14:textId="312BB0FB" w:rsidR="002D78EB" w:rsidRDefault="002D78EB" w:rsidP="002D78EB">
      <w:pPr>
        <w:pStyle w:val="IEEEParagraph"/>
        <w:rPr>
          <w:sz w:val="20"/>
          <w:szCs w:val="20"/>
        </w:rPr>
      </w:pPr>
    </w:p>
    <w:p w14:paraId="5542B290" w14:textId="77777777" w:rsidR="002D78EB" w:rsidRPr="00EC6393" w:rsidRDefault="002D78EB" w:rsidP="002D78EB">
      <w:pPr>
        <w:spacing w:after="120"/>
        <w:jc w:val="center"/>
        <w:rPr>
          <w:sz w:val="20"/>
          <w:szCs w:val="20"/>
        </w:rPr>
      </w:pPr>
      <w:r w:rsidRPr="00EC6393">
        <w:rPr>
          <w:rFonts w:eastAsia="Arial"/>
          <w:sz w:val="20"/>
          <w:szCs w:val="20"/>
        </w:rPr>
        <w:t xml:space="preserve">Table </w:t>
      </w:r>
      <w:r>
        <w:rPr>
          <w:rFonts w:eastAsia="Arial"/>
          <w:sz w:val="20"/>
          <w:szCs w:val="20"/>
        </w:rPr>
        <w:t>4</w:t>
      </w:r>
      <w:r w:rsidRPr="00EC6393">
        <w:rPr>
          <w:rFonts w:eastAsia="Arial"/>
          <w:sz w:val="20"/>
          <w:szCs w:val="20"/>
        </w:rPr>
        <w:t>. Weighted Mean Scores for Visual Trust Behavior</w:t>
      </w:r>
    </w:p>
    <w:tbl>
      <w:tblPr>
        <w:tblStyle w:val="TableGrid"/>
        <w:tblW w:w="10288" w:type="dxa"/>
        <w:tblInd w:w="355" w:type="dxa"/>
        <w:tblLook w:val="04A0" w:firstRow="1" w:lastRow="0" w:firstColumn="1" w:lastColumn="0" w:noHBand="0" w:noVBand="1"/>
      </w:tblPr>
      <w:tblGrid>
        <w:gridCol w:w="3600"/>
        <w:gridCol w:w="982"/>
        <w:gridCol w:w="1055"/>
        <w:gridCol w:w="1285"/>
        <w:gridCol w:w="990"/>
        <w:gridCol w:w="805"/>
        <w:gridCol w:w="1571"/>
      </w:tblGrid>
      <w:tr w:rsidR="002D78EB" w:rsidRPr="00EC6393" w14:paraId="5568D3F1" w14:textId="77777777" w:rsidTr="00B01B61">
        <w:trPr>
          <w:trHeight w:val="314"/>
        </w:trPr>
        <w:tc>
          <w:tcPr>
            <w:tcW w:w="3600" w:type="dxa"/>
            <w:shd w:val="clear" w:color="auto" w:fill="C5E0B3" w:themeFill="accent6" w:themeFillTint="66"/>
            <w:vAlign w:val="center"/>
          </w:tcPr>
          <w:p w14:paraId="7AC91D78" w14:textId="77777777" w:rsidR="002D78EB" w:rsidRPr="00EC6393" w:rsidRDefault="002D78EB" w:rsidP="00A8783A">
            <w:pPr>
              <w:pStyle w:val="IEEEParagraph"/>
              <w:ind w:firstLine="0"/>
              <w:jc w:val="center"/>
              <w:rPr>
                <w:b/>
                <w:bCs/>
                <w:color w:val="000000" w:themeColor="text1"/>
                <w:sz w:val="20"/>
                <w:szCs w:val="20"/>
              </w:rPr>
            </w:pPr>
            <w:r w:rsidRPr="00EC6393">
              <w:rPr>
                <w:rFonts w:eastAsia="Arial"/>
                <w:b/>
                <w:bCs/>
                <w:color w:val="000000" w:themeColor="text1"/>
                <w:sz w:val="20"/>
                <w:szCs w:val="20"/>
              </w:rPr>
              <w:t>Indicators</w:t>
            </w:r>
          </w:p>
        </w:tc>
        <w:tc>
          <w:tcPr>
            <w:tcW w:w="982" w:type="dxa"/>
            <w:shd w:val="clear" w:color="auto" w:fill="C5E0B3" w:themeFill="accent6" w:themeFillTint="66"/>
            <w:vAlign w:val="center"/>
          </w:tcPr>
          <w:p w14:paraId="107C78A9" w14:textId="4A04F461" w:rsidR="002D78EB" w:rsidRPr="00EC6393" w:rsidRDefault="002D78EB" w:rsidP="00A8783A">
            <w:pPr>
              <w:pStyle w:val="IEEEParagraph"/>
              <w:ind w:firstLine="0"/>
              <w:jc w:val="center"/>
              <w:rPr>
                <w:b/>
                <w:bCs/>
                <w:color w:val="000000" w:themeColor="text1"/>
                <w:sz w:val="20"/>
                <w:szCs w:val="20"/>
              </w:rPr>
            </w:pPr>
            <w:r>
              <w:rPr>
                <w:rFonts w:eastAsia="Arial"/>
                <w:b/>
                <w:bCs/>
                <w:color w:val="000000" w:themeColor="text1"/>
                <w:sz w:val="20"/>
                <w:szCs w:val="20"/>
              </w:rPr>
              <w:t>1</w:t>
            </w:r>
            <w:r w:rsidRPr="002D78EB">
              <w:rPr>
                <w:rFonts w:eastAsia="Arial"/>
                <w:b/>
                <w:bCs/>
                <w:color w:val="000000" w:themeColor="text1"/>
                <w:sz w:val="20"/>
                <w:szCs w:val="20"/>
                <w:vertAlign w:val="superscript"/>
              </w:rPr>
              <w:t>st</w:t>
            </w:r>
            <w:r>
              <w:rPr>
                <w:rFonts w:eastAsia="Arial"/>
                <w:b/>
                <w:bCs/>
                <w:color w:val="000000" w:themeColor="text1"/>
                <w:sz w:val="20"/>
                <w:szCs w:val="20"/>
              </w:rPr>
              <w:t xml:space="preserve"> Year</w:t>
            </w:r>
          </w:p>
        </w:tc>
        <w:tc>
          <w:tcPr>
            <w:tcW w:w="1055" w:type="dxa"/>
            <w:shd w:val="clear" w:color="auto" w:fill="C5E0B3" w:themeFill="accent6" w:themeFillTint="66"/>
            <w:vAlign w:val="center"/>
          </w:tcPr>
          <w:p w14:paraId="122DACCF" w14:textId="0C60C191" w:rsidR="002D78EB" w:rsidRPr="00EC6393" w:rsidRDefault="002D78EB" w:rsidP="00A8783A">
            <w:pPr>
              <w:pStyle w:val="IEEEParagraph"/>
              <w:ind w:firstLine="0"/>
              <w:jc w:val="center"/>
              <w:rPr>
                <w:b/>
                <w:bCs/>
                <w:color w:val="000000" w:themeColor="text1"/>
                <w:sz w:val="20"/>
                <w:szCs w:val="20"/>
              </w:rPr>
            </w:pPr>
            <w:r>
              <w:rPr>
                <w:rFonts w:eastAsia="Arial"/>
                <w:b/>
                <w:bCs/>
                <w:color w:val="000000" w:themeColor="text1"/>
                <w:sz w:val="20"/>
                <w:szCs w:val="20"/>
              </w:rPr>
              <w:t>2</w:t>
            </w:r>
            <w:r w:rsidRPr="002D78EB">
              <w:rPr>
                <w:rFonts w:eastAsia="Arial"/>
                <w:b/>
                <w:bCs/>
                <w:color w:val="000000" w:themeColor="text1"/>
                <w:sz w:val="20"/>
                <w:szCs w:val="20"/>
                <w:vertAlign w:val="superscript"/>
              </w:rPr>
              <w:t>nd</w:t>
            </w:r>
            <w:r>
              <w:rPr>
                <w:rFonts w:eastAsia="Arial"/>
                <w:b/>
                <w:bCs/>
                <w:color w:val="000000" w:themeColor="text1"/>
                <w:sz w:val="20"/>
                <w:szCs w:val="20"/>
              </w:rPr>
              <w:t xml:space="preserve"> Year</w:t>
            </w:r>
          </w:p>
        </w:tc>
        <w:tc>
          <w:tcPr>
            <w:tcW w:w="1285" w:type="dxa"/>
            <w:shd w:val="clear" w:color="auto" w:fill="C5E0B3" w:themeFill="accent6" w:themeFillTint="66"/>
            <w:vAlign w:val="center"/>
          </w:tcPr>
          <w:p w14:paraId="7D4B4AA0" w14:textId="470501B5" w:rsidR="002D78EB" w:rsidRPr="00EC6393" w:rsidRDefault="002D78EB" w:rsidP="00A8783A">
            <w:pPr>
              <w:pStyle w:val="IEEEParagraph"/>
              <w:ind w:firstLine="0"/>
              <w:jc w:val="center"/>
              <w:rPr>
                <w:b/>
                <w:bCs/>
                <w:color w:val="000000" w:themeColor="text1"/>
                <w:sz w:val="20"/>
                <w:szCs w:val="20"/>
              </w:rPr>
            </w:pPr>
            <w:r>
              <w:rPr>
                <w:b/>
                <w:bCs/>
                <w:color w:val="000000" w:themeColor="text1"/>
                <w:sz w:val="20"/>
                <w:szCs w:val="20"/>
              </w:rPr>
              <w:t>3</w:t>
            </w:r>
            <w:r w:rsidRPr="002D78EB">
              <w:rPr>
                <w:b/>
                <w:bCs/>
                <w:color w:val="000000" w:themeColor="text1"/>
                <w:sz w:val="20"/>
                <w:szCs w:val="20"/>
                <w:vertAlign w:val="superscript"/>
              </w:rPr>
              <w:t>rd</w:t>
            </w:r>
            <w:r>
              <w:rPr>
                <w:b/>
                <w:bCs/>
                <w:color w:val="000000" w:themeColor="text1"/>
                <w:sz w:val="20"/>
                <w:szCs w:val="20"/>
              </w:rPr>
              <w:t xml:space="preserve"> Year</w:t>
            </w:r>
          </w:p>
        </w:tc>
        <w:tc>
          <w:tcPr>
            <w:tcW w:w="990" w:type="dxa"/>
            <w:shd w:val="clear" w:color="auto" w:fill="C5E0B3" w:themeFill="accent6" w:themeFillTint="66"/>
            <w:vAlign w:val="center"/>
          </w:tcPr>
          <w:p w14:paraId="4C7ADCA0" w14:textId="03FC0B3F" w:rsidR="002D78EB" w:rsidRPr="00EC6393" w:rsidRDefault="002D78EB" w:rsidP="00A8783A">
            <w:pPr>
              <w:pStyle w:val="IEEEParagraph"/>
              <w:ind w:firstLine="0"/>
              <w:jc w:val="center"/>
              <w:rPr>
                <w:b/>
                <w:bCs/>
                <w:color w:val="000000" w:themeColor="text1"/>
                <w:sz w:val="20"/>
                <w:szCs w:val="20"/>
              </w:rPr>
            </w:pPr>
            <w:r>
              <w:rPr>
                <w:rFonts w:eastAsia="Arial"/>
                <w:b/>
                <w:bCs/>
                <w:color w:val="000000" w:themeColor="text1"/>
                <w:sz w:val="20"/>
                <w:szCs w:val="20"/>
              </w:rPr>
              <w:t>4</w:t>
            </w:r>
            <w:r w:rsidRPr="002D78EB">
              <w:rPr>
                <w:rFonts w:eastAsia="Arial"/>
                <w:b/>
                <w:bCs/>
                <w:color w:val="000000" w:themeColor="text1"/>
                <w:sz w:val="20"/>
                <w:szCs w:val="20"/>
                <w:vertAlign w:val="superscript"/>
              </w:rPr>
              <w:t>th</w:t>
            </w:r>
            <w:r>
              <w:rPr>
                <w:rFonts w:eastAsia="Arial"/>
                <w:b/>
                <w:bCs/>
                <w:color w:val="000000" w:themeColor="text1"/>
                <w:sz w:val="20"/>
                <w:szCs w:val="20"/>
              </w:rPr>
              <w:t xml:space="preserve"> Year</w:t>
            </w:r>
          </w:p>
        </w:tc>
        <w:tc>
          <w:tcPr>
            <w:tcW w:w="805" w:type="dxa"/>
            <w:shd w:val="clear" w:color="auto" w:fill="C5E0B3" w:themeFill="accent6" w:themeFillTint="66"/>
            <w:vAlign w:val="center"/>
          </w:tcPr>
          <w:p w14:paraId="206ED3BF" w14:textId="77777777" w:rsidR="002D78EB" w:rsidRPr="00EC6393" w:rsidRDefault="002D78EB" w:rsidP="00A8783A">
            <w:pPr>
              <w:pStyle w:val="IEEEParagraph"/>
              <w:ind w:firstLine="0"/>
              <w:jc w:val="center"/>
              <w:rPr>
                <w:b/>
                <w:bCs/>
                <w:color w:val="000000" w:themeColor="text1"/>
                <w:sz w:val="20"/>
                <w:szCs w:val="20"/>
              </w:rPr>
            </w:pPr>
            <w:r w:rsidRPr="00EC6393">
              <w:rPr>
                <w:rFonts w:eastAsia="Arial"/>
                <w:b/>
                <w:bCs/>
                <w:color w:val="000000" w:themeColor="text1"/>
                <w:sz w:val="20"/>
                <w:szCs w:val="20"/>
              </w:rPr>
              <w:t>Mean</w:t>
            </w:r>
          </w:p>
        </w:tc>
        <w:tc>
          <w:tcPr>
            <w:tcW w:w="1571" w:type="dxa"/>
            <w:shd w:val="clear" w:color="auto" w:fill="C5E0B3" w:themeFill="accent6" w:themeFillTint="66"/>
            <w:vAlign w:val="center"/>
          </w:tcPr>
          <w:p w14:paraId="56BE1642" w14:textId="77777777" w:rsidR="002D78EB" w:rsidRPr="00EC6393" w:rsidRDefault="002D78EB" w:rsidP="00A8783A">
            <w:pPr>
              <w:pStyle w:val="IEEEParagraph"/>
              <w:ind w:firstLine="0"/>
              <w:jc w:val="center"/>
              <w:rPr>
                <w:b/>
                <w:bCs/>
                <w:color w:val="000000" w:themeColor="text1"/>
                <w:sz w:val="20"/>
                <w:szCs w:val="20"/>
              </w:rPr>
            </w:pPr>
            <w:r w:rsidRPr="00EC6393">
              <w:rPr>
                <w:rFonts w:eastAsia="Arial"/>
                <w:b/>
                <w:bCs/>
                <w:color w:val="000000" w:themeColor="text1"/>
                <w:sz w:val="20"/>
                <w:szCs w:val="20"/>
              </w:rPr>
              <w:t>Interpretation</w:t>
            </w:r>
          </w:p>
        </w:tc>
      </w:tr>
      <w:tr w:rsidR="002D78EB" w:rsidRPr="00EC6393" w14:paraId="42E345C4" w14:textId="77777777" w:rsidTr="002D78EB">
        <w:tc>
          <w:tcPr>
            <w:tcW w:w="3600" w:type="dxa"/>
            <w:vAlign w:val="center"/>
          </w:tcPr>
          <w:p w14:paraId="3197A8F5" w14:textId="77777777" w:rsidR="002D78EB" w:rsidRPr="00EC6393" w:rsidRDefault="002D78EB" w:rsidP="00A8783A">
            <w:pPr>
              <w:pStyle w:val="IEEEParagraph"/>
              <w:ind w:firstLine="0"/>
              <w:jc w:val="left"/>
              <w:rPr>
                <w:sz w:val="20"/>
                <w:szCs w:val="20"/>
              </w:rPr>
            </w:pPr>
            <w:r w:rsidRPr="00EC6393">
              <w:rPr>
                <w:rFonts w:eastAsia="Arial"/>
                <w:sz w:val="20"/>
                <w:szCs w:val="20"/>
              </w:rPr>
              <w:t>I trust emails or websites based on their professional appearance.</w:t>
            </w:r>
          </w:p>
        </w:tc>
        <w:tc>
          <w:tcPr>
            <w:tcW w:w="982" w:type="dxa"/>
            <w:vAlign w:val="center"/>
          </w:tcPr>
          <w:p w14:paraId="223981C4" w14:textId="77777777" w:rsidR="002D78EB" w:rsidRPr="00EC6393" w:rsidRDefault="002D78EB" w:rsidP="00A8783A">
            <w:pPr>
              <w:pStyle w:val="IEEEParagraph"/>
              <w:ind w:firstLine="0"/>
              <w:jc w:val="center"/>
              <w:rPr>
                <w:sz w:val="20"/>
                <w:szCs w:val="20"/>
              </w:rPr>
            </w:pPr>
            <w:r w:rsidRPr="00EC6393">
              <w:rPr>
                <w:rFonts w:eastAsia="Arial"/>
                <w:sz w:val="20"/>
                <w:szCs w:val="20"/>
              </w:rPr>
              <w:t>3.08</w:t>
            </w:r>
          </w:p>
        </w:tc>
        <w:tc>
          <w:tcPr>
            <w:tcW w:w="1055" w:type="dxa"/>
            <w:vAlign w:val="center"/>
          </w:tcPr>
          <w:p w14:paraId="13340FFA" w14:textId="77777777" w:rsidR="002D78EB" w:rsidRPr="00EC6393" w:rsidRDefault="002D78EB" w:rsidP="00A8783A">
            <w:pPr>
              <w:pStyle w:val="IEEEParagraph"/>
              <w:ind w:firstLine="0"/>
              <w:jc w:val="center"/>
              <w:rPr>
                <w:sz w:val="20"/>
                <w:szCs w:val="20"/>
              </w:rPr>
            </w:pPr>
            <w:r w:rsidRPr="00EC6393">
              <w:rPr>
                <w:rFonts w:eastAsia="Arial"/>
                <w:sz w:val="20"/>
                <w:szCs w:val="20"/>
              </w:rPr>
              <w:t>3.64</w:t>
            </w:r>
          </w:p>
        </w:tc>
        <w:tc>
          <w:tcPr>
            <w:tcW w:w="1285" w:type="dxa"/>
            <w:vAlign w:val="center"/>
          </w:tcPr>
          <w:p w14:paraId="4F55A025" w14:textId="77777777" w:rsidR="002D78EB" w:rsidRPr="00EC6393" w:rsidRDefault="002D78EB" w:rsidP="00A8783A">
            <w:pPr>
              <w:pStyle w:val="IEEEParagraph"/>
              <w:ind w:firstLine="0"/>
              <w:jc w:val="center"/>
              <w:rPr>
                <w:sz w:val="20"/>
                <w:szCs w:val="20"/>
              </w:rPr>
            </w:pPr>
            <w:r w:rsidRPr="00EC6393">
              <w:rPr>
                <w:rFonts w:eastAsia="Arial"/>
                <w:sz w:val="20"/>
                <w:szCs w:val="20"/>
              </w:rPr>
              <w:t>3.08</w:t>
            </w:r>
          </w:p>
        </w:tc>
        <w:tc>
          <w:tcPr>
            <w:tcW w:w="990" w:type="dxa"/>
            <w:vAlign w:val="center"/>
          </w:tcPr>
          <w:p w14:paraId="22ED795E"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3.44</w:t>
            </w:r>
          </w:p>
        </w:tc>
        <w:tc>
          <w:tcPr>
            <w:tcW w:w="805" w:type="dxa"/>
            <w:vAlign w:val="center"/>
          </w:tcPr>
          <w:p w14:paraId="0B55E165" w14:textId="77777777" w:rsidR="002D78EB" w:rsidRPr="00EC6393" w:rsidRDefault="002D78EB" w:rsidP="00A8783A">
            <w:pPr>
              <w:pStyle w:val="IEEEParagraph"/>
              <w:ind w:firstLine="0"/>
              <w:jc w:val="center"/>
              <w:rPr>
                <w:rFonts w:eastAsia="Arial"/>
                <w:sz w:val="20"/>
                <w:szCs w:val="20"/>
              </w:rPr>
            </w:pPr>
            <w:r w:rsidRPr="00EC6393">
              <w:rPr>
                <w:rFonts w:eastAsia="Arial"/>
                <w:b/>
                <w:bCs/>
                <w:sz w:val="20"/>
                <w:szCs w:val="20"/>
              </w:rPr>
              <w:t>3.31</w:t>
            </w:r>
          </w:p>
        </w:tc>
        <w:tc>
          <w:tcPr>
            <w:tcW w:w="1571" w:type="dxa"/>
            <w:vAlign w:val="center"/>
          </w:tcPr>
          <w:p w14:paraId="78B495C9"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Sometimes</w:t>
            </w:r>
          </w:p>
        </w:tc>
      </w:tr>
      <w:tr w:rsidR="002D78EB" w:rsidRPr="00EC6393" w14:paraId="4DE15A4F" w14:textId="77777777" w:rsidTr="002D78EB">
        <w:tc>
          <w:tcPr>
            <w:tcW w:w="3600" w:type="dxa"/>
            <w:vAlign w:val="center"/>
          </w:tcPr>
          <w:p w14:paraId="23F852E3" w14:textId="77777777" w:rsidR="002D78EB" w:rsidRPr="00EC6393" w:rsidRDefault="002D78EB" w:rsidP="00A8783A">
            <w:pPr>
              <w:pStyle w:val="IEEEParagraph"/>
              <w:ind w:firstLine="0"/>
              <w:jc w:val="left"/>
              <w:rPr>
                <w:sz w:val="20"/>
                <w:szCs w:val="20"/>
              </w:rPr>
            </w:pPr>
            <w:r w:rsidRPr="00EC6393">
              <w:rPr>
                <w:rFonts w:eastAsia="Arial"/>
                <w:sz w:val="20"/>
                <w:szCs w:val="20"/>
              </w:rPr>
              <w:t>I am likely to trust messages with official logos or branding.</w:t>
            </w:r>
          </w:p>
        </w:tc>
        <w:tc>
          <w:tcPr>
            <w:tcW w:w="982" w:type="dxa"/>
            <w:vAlign w:val="center"/>
          </w:tcPr>
          <w:p w14:paraId="08908A69" w14:textId="77777777" w:rsidR="002D78EB" w:rsidRPr="00EC6393" w:rsidRDefault="002D78EB" w:rsidP="00A8783A">
            <w:pPr>
              <w:pStyle w:val="IEEEParagraph"/>
              <w:ind w:firstLine="0"/>
              <w:jc w:val="center"/>
              <w:rPr>
                <w:sz w:val="20"/>
                <w:szCs w:val="20"/>
              </w:rPr>
            </w:pPr>
            <w:r w:rsidRPr="00EC6393">
              <w:rPr>
                <w:rFonts w:eastAsia="Arial"/>
                <w:sz w:val="20"/>
                <w:szCs w:val="20"/>
              </w:rPr>
              <w:t>3.16</w:t>
            </w:r>
          </w:p>
        </w:tc>
        <w:tc>
          <w:tcPr>
            <w:tcW w:w="1055" w:type="dxa"/>
            <w:vAlign w:val="center"/>
          </w:tcPr>
          <w:p w14:paraId="2C1A9D9C" w14:textId="77777777" w:rsidR="002D78EB" w:rsidRPr="00EC6393" w:rsidRDefault="002D78EB" w:rsidP="00A8783A">
            <w:pPr>
              <w:pStyle w:val="IEEEParagraph"/>
              <w:ind w:firstLine="0"/>
              <w:jc w:val="center"/>
              <w:rPr>
                <w:sz w:val="20"/>
                <w:szCs w:val="20"/>
              </w:rPr>
            </w:pPr>
            <w:r w:rsidRPr="00EC6393">
              <w:rPr>
                <w:rFonts w:eastAsia="Arial"/>
                <w:sz w:val="20"/>
                <w:szCs w:val="20"/>
              </w:rPr>
              <w:t>3.72</w:t>
            </w:r>
          </w:p>
        </w:tc>
        <w:tc>
          <w:tcPr>
            <w:tcW w:w="1285" w:type="dxa"/>
            <w:vAlign w:val="center"/>
          </w:tcPr>
          <w:p w14:paraId="141D3DBF" w14:textId="77777777" w:rsidR="002D78EB" w:rsidRPr="00EC6393" w:rsidRDefault="002D78EB" w:rsidP="00A8783A">
            <w:pPr>
              <w:pStyle w:val="IEEEParagraph"/>
              <w:ind w:firstLine="0"/>
              <w:jc w:val="center"/>
              <w:rPr>
                <w:sz w:val="20"/>
                <w:szCs w:val="20"/>
              </w:rPr>
            </w:pPr>
            <w:r w:rsidRPr="00EC6393">
              <w:rPr>
                <w:rFonts w:eastAsia="Arial"/>
                <w:sz w:val="20"/>
                <w:szCs w:val="20"/>
              </w:rPr>
              <w:t>3.32</w:t>
            </w:r>
          </w:p>
        </w:tc>
        <w:tc>
          <w:tcPr>
            <w:tcW w:w="990" w:type="dxa"/>
            <w:vAlign w:val="center"/>
          </w:tcPr>
          <w:p w14:paraId="40D67438"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3.64</w:t>
            </w:r>
          </w:p>
        </w:tc>
        <w:tc>
          <w:tcPr>
            <w:tcW w:w="805" w:type="dxa"/>
            <w:vAlign w:val="center"/>
          </w:tcPr>
          <w:p w14:paraId="7E356C25" w14:textId="77777777" w:rsidR="002D78EB" w:rsidRPr="00EC6393" w:rsidRDefault="002D78EB" w:rsidP="00A8783A">
            <w:pPr>
              <w:pStyle w:val="IEEEParagraph"/>
              <w:ind w:firstLine="0"/>
              <w:jc w:val="center"/>
              <w:rPr>
                <w:rFonts w:eastAsia="Arial"/>
                <w:sz w:val="20"/>
                <w:szCs w:val="20"/>
              </w:rPr>
            </w:pPr>
            <w:r w:rsidRPr="00EC6393">
              <w:rPr>
                <w:rFonts w:eastAsia="Arial"/>
                <w:b/>
                <w:bCs/>
                <w:sz w:val="20"/>
                <w:szCs w:val="20"/>
              </w:rPr>
              <w:t>3.46</w:t>
            </w:r>
          </w:p>
        </w:tc>
        <w:tc>
          <w:tcPr>
            <w:tcW w:w="1571" w:type="dxa"/>
            <w:vAlign w:val="center"/>
          </w:tcPr>
          <w:p w14:paraId="6282C58B"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Sometimes</w:t>
            </w:r>
          </w:p>
        </w:tc>
      </w:tr>
      <w:tr w:rsidR="002D78EB" w:rsidRPr="00EC6393" w14:paraId="27AD50BB" w14:textId="77777777" w:rsidTr="002D78EB">
        <w:tc>
          <w:tcPr>
            <w:tcW w:w="3600" w:type="dxa"/>
            <w:vAlign w:val="center"/>
          </w:tcPr>
          <w:p w14:paraId="5952695B" w14:textId="77777777" w:rsidR="002D78EB" w:rsidRPr="00EC6393" w:rsidRDefault="002D78EB" w:rsidP="00A8783A">
            <w:pPr>
              <w:pStyle w:val="IEEEParagraph"/>
              <w:ind w:firstLine="0"/>
              <w:jc w:val="left"/>
              <w:rPr>
                <w:sz w:val="20"/>
                <w:szCs w:val="20"/>
              </w:rPr>
            </w:pPr>
            <w:r w:rsidRPr="00EC6393">
              <w:rPr>
                <w:rFonts w:eastAsia="Arial"/>
                <w:sz w:val="20"/>
                <w:szCs w:val="20"/>
              </w:rPr>
              <w:t>I rely on visual design (layout, colors, images) to determine legitimacy.</w:t>
            </w:r>
          </w:p>
        </w:tc>
        <w:tc>
          <w:tcPr>
            <w:tcW w:w="982" w:type="dxa"/>
            <w:vAlign w:val="center"/>
          </w:tcPr>
          <w:p w14:paraId="49A0AE09" w14:textId="77777777" w:rsidR="002D78EB" w:rsidRPr="00EC6393" w:rsidRDefault="002D78EB" w:rsidP="00A8783A">
            <w:pPr>
              <w:pStyle w:val="IEEEParagraph"/>
              <w:ind w:firstLine="0"/>
              <w:jc w:val="center"/>
              <w:rPr>
                <w:sz w:val="20"/>
                <w:szCs w:val="20"/>
              </w:rPr>
            </w:pPr>
            <w:r w:rsidRPr="00EC6393">
              <w:rPr>
                <w:rFonts w:eastAsia="Arial"/>
                <w:sz w:val="20"/>
                <w:szCs w:val="20"/>
              </w:rPr>
              <w:t>2.68</w:t>
            </w:r>
          </w:p>
        </w:tc>
        <w:tc>
          <w:tcPr>
            <w:tcW w:w="1055" w:type="dxa"/>
            <w:vAlign w:val="center"/>
          </w:tcPr>
          <w:p w14:paraId="34417147" w14:textId="77777777" w:rsidR="002D78EB" w:rsidRPr="00EC6393" w:rsidRDefault="002D78EB" w:rsidP="00A8783A">
            <w:pPr>
              <w:pStyle w:val="IEEEParagraph"/>
              <w:ind w:firstLine="0"/>
              <w:jc w:val="center"/>
              <w:rPr>
                <w:sz w:val="20"/>
                <w:szCs w:val="20"/>
              </w:rPr>
            </w:pPr>
            <w:r w:rsidRPr="00EC6393">
              <w:rPr>
                <w:rFonts w:eastAsia="Arial"/>
                <w:sz w:val="20"/>
                <w:szCs w:val="20"/>
              </w:rPr>
              <w:t>3.24</w:t>
            </w:r>
          </w:p>
        </w:tc>
        <w:tc>
          <w:tcPr>
            <w:tcW w:w="1285" w:type="dxa"/>
            <w:vAlign w:val="center"/>
          </w:tcPr>
          <w:p w14:paraId="4DA37ABF" w14:textId="77777777" w:rsidR="002D78EB" w:rsidRPr="00EC6393" w:rsidRDefault="002D78EB" w:rsidP="00A8783A">
            <w:pPr>
              <w:pStyle w:val="IEEEParagraph"/>
              <w:ind w:firstLine="0"/>
              <w:jc w:val="center"/>
              <w:rPr>
                <w:sz w:val="20"/>
                <w:szCs w:val="20"/>
              </w:rPr>
            </w:pPr>
            <w:r w:rsidRPr="00EC6393">
              <w:rPr>
                <w:rFonts w:eastAsia="Arial"/>
                <w:sz w:val="20"/>
                <w:szCs w:val="20"/>
              </w:rPr>
              <w:t>2.96</w:t>
            </w:r>
          </w:p>
        </w:tc>
        <w:tc>
          <w:tcPr>
            <w:tcW w:w="990" w:type="dxa"/>
            <w:vAlign w:val="center"/>
          </w:tcPr>
          <w:p w14:paraId="13A8D5F2"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3.56</w:t>
            </w:r>
          </w:p>
        </w:tc>
        <w:tc>
          <w:tcPr>
            <w:tcW w:w="805" w:type="dxa"/>
            <w:vAlign w:val="center"/>
          </w:tcPr>
          <w:p w14:paraId="4F244F3F" w14:textId="77777777" w:rsidR="002D78EB" w:rsidRPr="00EC6393" w:rsidRDefault="002D78EB" w:rsidP="00A8783A">
            <w:pPr>
              <w:pStyle w:val="IEEEParagraph"/>
              <w:ind w:firstLine="0"/>
              <w:jc w:val="center"/>
              <w:rPr>
                <w:rFonts w:eastAsia="Arial"/>
                <w:sz w:val="20"/>
                <w:szCs w:val="20"/>
              </w:rPr>
            </w:pPr>
            <w:r w:rsidRPr="00EC6393">
              <w:rPr>
                <w:rFonts w:eastAsia="Arial"/>
                <w:b/>
                <w:bCs/>
                <w:sz w:val="20"/>
                <w:szCs w:val="20"/>
              </w:rPr>
              <w:t>3.11</w:t>
            </w:r>
          </w:p>
        </w:tc>
        <w:tc>
          <w:tcPr>
            <w:tcW w:w="1571" w:type="dxa"/>
            <w:vAlign w:val="center"/>
          </w:tcPr>
          <w:p w14:paraId="3F0115C7"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Sometimes</w:t>
            </w:r>
          </w:p>
        </w:tc>
      </w:tr>
      <w:tr w:rsidR="002D78EB" w:rsidRPr="00EC6393" w14:paraId="1B5CECFA" w14:textId="77777777" w:rsidTr="002D78EB">
        <w:tc>
          <w:tcPr>
            <w:tcW w:w="3600" w:type="dxa"/>
            <w:vAlign w:val="center"/>
          </w:tcPr>
          <w:p w14:paraId="3EFEDCD1" w14:textId="77777777" w:rsidR="002D78EB" w:rsidRPr="00EC6393" w:rsidRDefault="002D78EB" w:rsidP="00A8783A">
            <w:pPr>
              <w:pStyle w:val="IEEEParagraph"/>
              <w:ind w:firstLine="0"/>
              <w:jc w:val="left"/>
              <w:rPr>
                <w:rFonts w:eastAsia="Arial"/>
                <w:sz w:val="20"/>
                <w:szCs w:val="20"/>
              </w:rPr>
            </w:pPr>
            <w:r w:rsidRPr="00EC6393">
              <w:rPr>
                <w:rFonts w:eastAsia="Arial"/>
                <w:sz w:val="20"/>
                <w:szCs w:val="20"/>
              </w:rPr>
              <w:t>I tend to trust messages that look similar to known organizations.</w:t>
            </w:r>
          </w:p>
        </w:tc>
        <w:tc>
          <w:tcPr>
            <w:tcW w:w="982" w:type="dxa"/>
            <w:vAlign w:val="center"/>
          </w:tcPr>
          <w:p w14:paraId="526A1152"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2.92</w:t>
            </w:r>
          </w:p>
        </w:tc>
        <w:tc>
          <w:tcPr>
            <w:tcW w:w="1055" w:type="dxa"/>
            <w:vAlign w:val="center"/>
          </w:tcPr>
          <w:p w14:paraId="4A2756FF"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3.20</w:t>
            </w:r>
          </w:p>
        </w:tc>
        <w:tc>
          <w:tcPr>
            <w:tcW w:w="1285" w:type="dxa"/>
            <w:vAlign w:val="center"/>
          </w:tcPr>
          <w:p w14:paraId="6241572A"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3.16</w:t>
            </w:r>
          </w:p>
        </w:tc>
        <w:tc>
          <w:tcPr>
            <w:tcW w:w="990" w:type="dxa"/>
            <w:vAlign w:val="center"/>
          </w:tcPr>
          <w:p w14:paraId="7FB9E0FD"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3.16</w:t>
            </w:r>
          </w:p>
        </w:tc>
        <w:tc>
          <w:tcPr>
            <w:tcW w:w="805" w:type="dxa"/>
            <w:vAlign w:val="center"/>
          </w:tcPr>
          <w:p w14:paraId="18F937FC" w14:textId="77777777" w:rsidR="002D78EB" w:rsidRPr="00EC6393" w:rsidRDefault="002D78EB" w:rsidP="00A8783A">
            <w:pPr>
              <w:pStyle w:val="IEEEParagraph"/>
              <w:ind w:firstLine="0"/>
              <w:jc w:val="center"/>
              <w:rPr>
                <w:rFonts w:eastAsia="Arial"/>
                <w:sz w:val="20"/>
                <w:szCs w:val="20"/>
              </w:rPr>
            </w:pPr>
            <w:r w:rsidRPr="00EC6393">
              <w:rPr>
                <w:rFonts w:eastAsia="Arial"/>
                <w:b/>
                <w:bCs/>
                <w:sz w:val="20"/>
                <w:szCs w:val="20"/>
              </w:rPr>
              <w:t>3.11</w:t>
            </w:r>
          </w:p>
        </w:tc>
        <w:tc>
          <w:tcPr>
            <w:tcW w:w="1571" w:type="dxa"/>
            <w:vAlign w:val="center"/>
          </w:tcPr>
          <w:p w14:paraId="2BE56B95"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Sometimes</w:t>
            </w:r>
          </w:p>
        </w:tc>
      </w:tr>
      <w:tr w:rsidR="002D78EB" w:rsidRPr="00EC6393" w14:paraId="0DC5E0B9" w14:textId="77777777" w:rsidTr="002D78EB">
        <w:tc>
          <w:tcPr>
            <w:tcW w:w="3600" w:type="dxa"/>
            <w:vAlign w:val="center"/>
          </w:tcPr>
          <w:p w14:paraId="56FBEEFD" w14:textId="77777777" w:rsidR="002D78EB" w:rsidRPr="00EC6393" w:rsidRDefault="002D78EB" w:rsidP="00A8783A">
            <w:pPr>
              <w:pStyle w:val="IEEEParagraph"/>
              <w:ind w:firstLine="0"/>
              <w:jc w:val="left"/>
              <w:rPr>
                <w:rFonts w:eastAsia="Arial"/>
                <w:sz w:val="20"/>
                <w:szCs w:val="20"/>
              </w:rPr>
            </w:pPr>
            <w:r w:rsidRPr="00EC6393">
              <w:rPr>
                <w:rFonts w:eastAsia="Arial"/>
                <w:sz w:val="20"/>
                <w:szCs w:val="20"/>
              </w:rPr>
              <w:t>I rarely question visually appealing emails or websites.</w:t>
            </w:r>
          </w:p>
        </w:tc>
        <w:tc>
          <w:tcPr>
            <w:tcW w:w="982" w:type="dxa"/>
            <w:vAlign w:val="center"/>
          </w:tcPr>
          <w:p w14:paraId="1A0C3448"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2.92</w:t>
            </w:r>
          </w:p>
        </w:tc>
        <w:tc>
          <w:tcPr>
            <w:tcW w:w="1055" w:type="dxa"/>
            <w:vAlign w:val="center"/>
          </w:tcPr>
          <w:p w14:paraId="613E75DC"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3.04</w:t>
            </w:r>
          </w:p>
        </w:tc>
        <w:tc>
          <w:tcPr>
            <w:tcW w:w="1285" w:type="dxa"/>
            <w:vAlign w:val="center"/>
          </w:tcPr>
          <w:p w14:paraId="343C729B"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2.60</w:t>
            </w:r>
          </w:p>
        </w:tc>
        <w:tc>
          <w:tcPr>
            <w:tcW w:w="990" w:type="dxa"/>
            <w:vAlign w:val="center"/>
          </w:tcPr>
          <w:p w14:paraId="0E057D8D"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3.16</w:t>
            </w:r>
          </w:p>
        </w:tc>
        <w:tc>
          <w:tcPr>
            <w:tcW w:w="805" w:type="dxa"/>
            <w:vAlign w:val="center"/>
          </w:tcPr>
          <w:p w14:paraId="03AE4A84" w14:textId="77777777" w:rsidR="002D78EB" w:rsidRPr="00EC6393" w:rsidRDefault="002D78EB" w:rsidP="00A8783A">
            <w:pPr>
              <w:pStyle w:val="IEEEParagraph"/>
              <w:ind w:firstLine="0"/>
              <w:jc w:val="center"/>
              <w:rPr>
                <w:rFonts w:eastAsia="Arial"/>
                <w:sz w:val="20"/>
                <w:szCs w:val="20"/>
              </w:rPr>
            </w:pPr>
            <w:r w:rsidRPr="00EC6393">
              <w:rPr>
                <w:rFonts w:eastAsia="Arial"/>
                <w:b/>
                <w:bCs/>
                <w:sz w:val="20"/>
                <w:szCs w:val="20"/>
              </w:rPr>
              <w:t>2.93</w:t>
            </w:r>
          </w:p>
        </w:tc>
        <w:tc>
          <w:tcPr>
            <w:tcW w:w="1571" w:type="dxa"/>
            <w:vAlign w:val="center"/>
          </w:tcPr>
          <w:p w14:paraId="506D5795"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Sometimes</w:t>
            </w:r>
          </w:p>
        </w:tc>
      </w:tr>
      <w:tr w:rsidR="002D78EB" w:rsidRPr="00EC6393" w14:paraId="165252BD" w14:textId="77777777" w:rsidTr="002D78EB">
        <w:tc>
          <w:tcPr>
            <w:tcW w:w="3600" w:type="dxa"/>
            <w:vAlign w:val="center"/>
          </w:tcPr>
          <w:p w14:paraId="7B4ADAC4" w14:textId="77777777" w:rsidR="002D78EB" w:rsidRPr="00EC6393" w:rsidRDefault="002D78EB" w:rsidP="00A8783A">
            <w:pPr>
              <w:pStyle w:val="IEEEParagraph"/>
              <w:ind w:firstLine="0"/>
              <w:rPr>
                <w:rFonts w:eastAsia="Arial"/>
                <w:b/>
                <w:bCs/>
                <w:sz w:val="20"/>
                <w:szCs w:val="20"/>
              </w:rPr>
            </w:pPr>
            <w:r w:rsidRPr="00EC6393">
              <w:rPr>
                <w:rFonts w:eastAsia="Arial"/>
                <w:b/>
                <w:bCs/>
                <w:sz w:val="20"/>
                <w:szCs w:val="20"/>
              </w:rPr>
              <w:t>Section Mean</w:t>
            </w:r>
          </w:p>
        </w:tc>
        <w:tc>
          <w:tcPr>
            <w:tcW w:w="982" w:type="dxa"/>
            <w:vAlign w:val="center"/>
          </w:tcPr>
          <w:p w14:paraId="01B78EF0" w14:textId="77777777" w:rsidR="002D78EB" w:rsidRPr="00EC6393" w:rsidRDefault="002D78EB" w:rsidP="00A8783A">
            <w:pPr>
              <w:pStyle w:val="IEEEParagraph"/>
              <w:ind w:firstLine="0"/>
              <w:jc w:val="center"/>
              <w:rPr>
                <w:rFonts w:eastAsia="Arial"/>
                <w:b/>
                <w:bCs/>
                <w:sz w:val="20"/>
                <w:szCs w:val="20"/>
              </w:rPr>
            </w:pPr>
            <w:r w:rsidRPr="00EC6393">
              <w:rPr>
                <w:rFonts w:eastAsia="Arial"/>
                <w:b/>
                <w:bCs/>
                <w:sz w:val="20"/>
                <w:szCs w:val="20"/>
              </w:rPr>
              <w:t>2.95</w:t>
            </w:r>
          </w:p>
        </w:tc>
        <w:tc>
          <w:tcPr>
            <w:tcW w:w="1055" w:type="dxa"/>
            <w:vAlign w:val="center"/>
          </w:tcPr>
          <w:p w14:paraId="79F338DE" w14:textId="77777777" w:rsidR="002D78EB" w:rsidRPr="00EC6393" w:rsidRDefault="002D78EB" w:rsidP="00A8783A">
            <w:pPr>
              <w:pStyle w:val="IEEEParagraph"/>
              <w:ind w:firstLine="0"/>
              <w:jc w:val="center"/>
              <w:rPr>
                <w:rFonts w:eastAsia="Arial"/>
                <w:b/>
                <w:bCs/>
                <w:sz w:val="20"/>
                <w:szCs w:val="20"/>
              </w:rPr>
            </w:pPr>
            <w:r w:rsidRPr="00EC6393">
              <w:rPr>
                <w:rFonts w:eastAsia="Arial"/>
                <w:b/>
                <w:bCs/>
                <w:sz w:val="20"/>
                <w:szCs w:val="20"/>
              </w:rPr>
              <w:t>3.37</w:t>
            </w:r>
          </w:p>
        </w:tc>
        <w:tc>
          <w:tcPr>
            <w:tcW w:w="1285" w:type="dxa"/>
            <w:vAlign w:val="center"/>
          </w:tcPr>
          <w:p w14:paraId="02D998E3" w14:textId="77777777" w:rsidR="002D78EB" w:rsidRPr="00EC6393" w:rsidRDefault="002D78EB" w:rsidP="00A8783A">
            <w:pPr>
              <w:pStyle w:val="IEEEParagraph"/>
              <w:ind w:firstLine="0"/>
              <w:jc w:val="center"/>
              <w:rPr>
                <w:rFonts w:eastAsia="Arial"/>
                <w:b/>
                <w:bCs/>
                <w:sz w:val="20"/>
                <w:szCs w:val="20"/>
              </w:rPr>
            </w:pPr>
            <w:r w:rsidRPr="00EC6393">
              <w:rPr>
                <w:rFonts w:eastAsia="Arial"/>
                <w:b/>
                <w:bCs/>
                <w:sz w:val="20"/>
                <w:szCs w:val="20"/>
              </w:rPr>
              <w:t>3.02</w:t>
            </w:r>
          </w:p>
        </w:tc>
        <w:tc>
          <w:tcPr>
            <w:tcW w:w="990" w:type="dxa"/>
            <w:vAlign w:val="center"/>
          </w:tcPr>
          <w:p w14:paraId="70CAE6CC" w14:textId="77777777" w:rsidR="002D78EB" w:rsidRPr="00EC6393" w:rsidRDefault="002D78EB" w:rsidP="00A8783A">
            <w:pPr>
              <w:pStyle w:val="IEEEParagraph"/>
              <w:ind w:firstLine="0"/>
              <w:jc w:val="center"/>
              <w:rPr>
                <w:rFonts w:eastAsia="Arial"/>
                <w:b/>
                <w:bCs/>
                <w:sz w:val="20"/>
                <w:szCs w:val="20"/>
              </w:rPr>
            </w:pPr>
            <w:r w:rsidRPr="00EC6393">
              <w:rPr>
                <w:rFonts w:eastAsia="Arial"/>
                <w:b/>
                <w:bCs/>
                <w:sz w:val="20"/>
                <w:szCs w:val="20"/>
              </w:rPr>
              <w:t>3.39</w:t>
            </w:r>
          </w:p>
        </w:tc>
        <w:tc>
          <w:tcPr>
            <w:tcW w:w="805" w:type="dxa"/>
            <w:vAlign w:val="center"/>
          </w:tcPr>
          <w:p w14:paraId="33051201" w14:textId="77777777" w:rsidR="002D78EB" w:rsidRPr="00EC6393" w:rsidRDefault="002D78EB" w:rsidP="00A8783A">
            <w:pPr>
              <w:pStyle w:val="IEEEParagraph"/>
              <w:ind w:firstLine="0"/>
              <w:jc w:val="center"/>
              <w:rPr>
                <w:rFonts w:eastAsia="Arial"/>
                <w:b/>
                <w:bCs/>
                <w:sz w:val="20"/>
                <w:szCs w:val="20"/>
              </w:rPr>
            </w:pPr>
            <w:r w:rsidRPr="00EC6393">
              <w:rPr>
                <w:rFonts w:eastAsia="Arial"/>
                <w:b/>
                <w:bCs/>
                <w:sz w:val="20"/>
                <w:szCs w:val="20"/>
              </w:rPr>
              <w:t>3.18</w:t>
            </w:r>
          </w:p>
        </w:tc>
        <w:tc>
          <w:tcPr>
            <w:tcW w:w="1571" w:type="dxa"/>
            <w:vAlign w:val="center"/>
          </w:tcPr>
          <w:p w14:paraId="64907E83" w14:textId="77777777" w:rsidR="002D78EB" w:rsidRPr="00EC6393" w:rsidRDefault="002D78EB" w:rsidP="00A8783A">
            <w:pPr>
              <w:pStyle w:val="IEEEParagraph"/>
              <w:ind w:firstLine="0"/>
              <w:jc w:val="center"/>
              <w:rPr>
                <w:rFonts w:eastAsia="Arial"/>
                <w:b/>
                <w:bCs/>
                <w:sz w:val="20"/>
                <w:szCs w:val="20"/>
              </w:rPr>
            </w:pPr>
            <w:r w:rsidRPr="00EC6393">
              <w:rPr>
                <w:rFonts w:eastAsia="Arial"/>
                <w:b/>
                <w:bCs/>
                <w:sz w:val="20"/>
                <w:szCs w:val="20"/>
              </w:rPr>
              <w:t>Sometimes</w:t>
            </w:r>
          </w:p>
        </w:tc>
      </w:tr>
    </w:tbl>
    <w:p w14:paraId="743154BD" w14:textId="238CD969" w:rsidR="002D78EB" w:rsidRDefault="002D78EB" w:rsidP="002D78EB">
      <w:pPr>
        <w:pStyle w:val="IEEEParagraph"/>
        <w:rPr>
          <w:sz w:val="20"/>
          <w:szCs w:val="20"/>
        </w:rPr>
      </w:pPr>
    </w:p>
    <w:p w14:paraId="6D7D69A2" w14:textId="662CE25A" w:rsidR="002D78EB" w:rsidRDefault="002D78EB" w:rsidP="002D78EB">
      <w:pPr>
        <w:pStyle w:val="IEEEParagraph"/>
        <w:ind w:left="360" w:firstLine="360"/>
        <w:rPr>
          <w:sz w:val="20"/>
          <w:szCs w:val="20"/>
        </w:rPr>
      </w:pPr>
      <w:r w:rsidRPr="002D78EB">
        <w:rPr>
          <w:sz w:val="20"/>
          <w:szCs w:val="20"/>
        </w:rPr>
        <w:t>Meanwhile, the indicators “I rely on visual design (layout, colors, images) to determine legitimacy” and “I tend to trust messages that look similar to known organizations” both obtained an overall mean of 3.11, while “I rarely question visually appealing emails or websites” received the lowest mean of 2.93. Although all indicators were interpreted as “Sometimes,” the findings suggest that respondents may still be vulnerable to phishing attacks that utilize visually convincing designs and familiar branding techniques. The results imply that students of Quezon City University do not consistently depend solely on visual cues; however, the moderate level of trust in visually appealing content highlights the need for continuous cybersecurity awareness programs focusing on phishing detection, critical evaluation of online messages, and the risks associated with deceptive visual presentation.</w:t>
      </w:r>
    </w:p>
    <w:p w14:paraId="625A26B3" w14:textId="1610D343" w:rsidR="002D78EB" w:rsidRDefault="002D78EB" w:rsidP="002D78EB">
      <w:pPr>
        <w:pStyle w:val="IEEEParagraph"/>
        <w:rPr>
          <w:sz w:val="20"/>
          <w:szCs w:val="20"/>
        </w:rPr>
      </w:pPr>
    </w:p>
    <w:p w14:paraId="1E857886" w14:textId="054DE5A7" w:rsidR="00B52A1B" w:rsidRPr="00B52A1B" w:rsidRDefault="00B52A1B" w:rsidP="00B52A1B">
      <w:pPr>
        <w:pStyle w:val="IEEEParagraph"/>
        <w:numPr>
          <w:ilvl w:val="0"/>
          <w:numId w:val="19"/>
        </w:numPr>
        <w:rPr>
          <w:b/>
          <w:i/>
          <w:sz w:val="20"/>
          <w:szCs w:val="20"/>
        </w:rPr>
      </w:pPr>
      <w:r w:rsidRPr="00B52A1B">
        <w:rPr>
          <w:b/>
          <w:i/>
          <w:sz w:val="20"/>
          <w:szCs w:val="20"/>
        </w:rPr>
        <w:t xml:space="preserve">Reporting Behavior </w:t>
      </w:r>
    </w:p>
    <w:p w14:paraId="186FEFCB" w14:textId="194EF419" w:rsidR="00B52A1B" w:rsidRDefault="00B52A1B" w:rsidP="00B52A1B">
      <w:pPr>
        <w:pStyle w:val="IEEEParagraph"/>
        <w:rPr>
          <w:sz w:val="20"/>
          <w:szCs w:val="20"/>
        </w:rPr>
      </w:pPr>
    </w:p>
    <w:p w14:paraId="180C27E6" w14:textId="77777777" w:rsidR="00B52A1B" w:rsidRPr="00EC6393" w:rsidRDefault="00B52A1B" w:rsidP="00B52A1B">
      <w:pPr>
        <w:spacing w:after="120"/>
        <w:jc w:val="center"/>
        <w:rPr>
          <w:sz w:val="20"/>
          <w:szCs w:val="20"/>
        </w:rPr>
      </w:pPr>
      <w:r w:rsidRPr="00EC6393">
        <w:rPr>
          <w:rFonts w:eastAsia="Arial"/>
          <w:sz w:val="20"/>
          <w:szCs w:val="20"/>
        </w:rPr>
        <w:t xml:space="preserve">Table </w:t>
      </w:r>
      <w:r>
        <w:rPr>
          <w:rFonts w:eastAsia="Arial"/>
          <w:sz w:val="20"/>
          <w:szCs w:val="20"/>
        </w:rPr>
        <w:t>5</w:t>
      </w:r>
      <w:r w:rsidRPr="00EC6393">
        <w:rPr>
          <w:rFonts w:eastAsia="Arial"/>
          <w:sz w:val="20"/>
          <w:szCs w:val="20"/>
        </w:rPr>
        <w:t>. Weighted Mean Scores for Reporting Behavior</w:t>
      </w:r>
    </w:p>
    <w:tbl>
      <w:tblPr>
        <w:tblStyle w:val="TableGrid"/>
        <w:tblW w:w="10350" w:type="dxa"/>
        <w:tblInd w:w="355" w:type="dxa"/>
        <w:tblLook w:val="04A0" w:firstRow="1" w:lastRow="0" w:firstColumn="1" w:lastColumn="0" w:noHBand="0" w:noVBand="1"/>
      </w:tblPr>
      <w:tblGrid>
        <w:gridCol w:w="3775"/>
        <w:gridCol w:w="905"/>
        <w:gridCol w:w="990"/>
        <w:gridCol w:w="990"/>
        <w:gridCol w:w="990"/>
        <w:gridCol w:w="900"/>
        <w:gridCol w:w="1800"/>
      </w:tblGrid>
      <w:tr w:rsidR="00B52A1B" w:rsidRPr="00EC6393" w14:paraId="1CB997F1" w14:textId="77777777" w:rsidTr="00B01B61">
        <w:trPr>
          <w:trHeight w:val="323"/>
        </w:trPr>
        <w:tc>
          <w:tcPr>
            <w:tcW w:w="3775" w:type="dxa"/>
            <w:shd w:val="clear" w:color="auto" w:fill="C5E0B3" w:themeFill="accent6" w:themeFillTint="66"/>
            <w:vAlign w:val="center"/>
          </w:tcPr>
          <w:p w14:paraId="256353C9" w14:textId="77777777" w:rsidR="00B52A1B" w:rsidRPr="00EC6393" w:rsidRDefault="00B52A1B" w:rsidP="00A8783A">
            <w:pPr>
              <w:pStyle w:val="IEEEParagraph"/>
              <w:ind w:firstLine="0"/>
              <w:jc w:val="center"/>
              <w:rPr>
                <w:b/>
                <w:bCs/>
                <w:color w:val="000000" w:themeColor="text1"/>
                <w:sz w:val="20"/>
                <w:szCs w:val="20"/>
              </w:rPr>
            </w:pPr>
            <w:r w:rsidRPr="00EC6393">
              <w:rPr>
                <w:rFonts w:eastAsia="Arial"/>
                <w:b/>
                <w:bCs/>
                <w:color w:val="000000" w:themeColor="text1"/>
                <w:sz w:val="20"/>
                <w:szCs w:val="20"/>
              </w:rPr>
              <w:t>Indicators</w:t>
            </w:r>
          </w:p>
        </w:tc>
        <w:tc>
          <w:tcPr>
            <w:tcW w:w="905" w:type="dxa"/>
            <w:shd w:val="clear" w:color="auto" w:fill="C5E0B3" w:themeFill="accent6" w:themeFillTint="66"/>
            <w:vAlign w:val="center"/>
          </w:tcPr>
          <w:p w14:paraId="6E920675" w14:textId="7F8C0F07" w:rsidR="00B52A1B" w:rsidRPr="00EC6393" w:rsidRDefault="00B52A1B" w:rsidP="00A8783A">
            <w:pPr>
              <w:pStyle w:val="IEEEParagraph"/>
              <w:ind w:firstLine="0"/>
              <w:jc w:val="center"/>
              <w:rPr>
                <w:b/>
                <w:bCs/>
                <w:color w:val="000000" w:themeColor="text1"/>
                <w:sz w:val="20"/>
                <w:szCs w:val="20"/>
              </w:rPr>
            </w:pPr>
            <w:r>
              <w:rPr>
                <w:rFonts w:eastAsia="Arial"/>
                <w:b/>
                <w:bCs/>
                <w:color w:val="000000" w:themeColor="text1"/>
                <w:sz w:val="20"/>
                <w:szCs w:val="20"/>
              </w:rPr>
              <w:t>1</w:t>
            </w:r>
            <w:r w:rsidRPr="00B52A1B">
              <w:rPr>
                <w:rFonts w:eastAsia="Arial"/>
                <w:b/>
                <w:bCs/>
                <w:color w:val="000000" w:themeColor="text1"/>
                <w:sz w:val="20"/>
                <w:szCs w:val="20"/>
                <w:vertAlign w:val="superscript"/>
              </w:rPr>
              <w:t>st</w:t>
            </w:r>
            <w:r>
              <w:rPr>
                <w:rFonts w:eastAsia="Arial"/>
                <w:b/>
                <w:bCs/>
                <w:color w:val="000000" w:themeColor="text1"/>
                <w:sz w:val="20"/>
                <w:szCs w:val="20"/>
              </w:rPr>
              <w:t xml:space="preserve"> Year</w:t>
            </w:r>
          </w:p>
        </w:tc>
        <w:tc>
          <w:tcPr>
            <w:tcW w:w="990" w:type="dxa"/>
            <w:shd w:val="clear" w:color="auto" w:fill="C5E0B3" w:themeFill="accent6" w:themeFillTint="66"/>
            <w:vAlign w:val="center"/>
          </w:tcPr>
          <w:p w14:paraId="730E986F" w14:textId="04D56232" w:rsidR="00B52A1B" w:rsidRPr="00EC6393" w:rsidRDefault="00B52A1B" w:rsidP="00A8783A">
            <w:pPr>
              <w:pStyle w:val="IEEEParagraph"/>
              <w:ind w:firstLine="0"/>
              <w:jc w:val="center"/>
              <w:rPr>
                <w:b/>
                <w:bCs/>
                <w:color w:val="000000" w:themeColor="text1"/>
                <w:sz w:val="20"/>
                <w:szCs w:val="20"/>
              </w:rPr>
            </w:pPr>
            <w:r>
              <w:rPr>
                <w:rFonts w:eastAsia="Arial"/>
                <w:b/>
                <w:bCs/>
                <w:color w:val="000000" w:themeColor="text1"/>
                <w:sz w:val="20"/>
                <w:szCs w:val="20"/>
              </w:rPr>
              <w:t>2</w:t>
            </w:r>
            <w:r w:rsidRPr="00B52A1B">
              <w:rPr>
                <w:rFonts w:eastAsia="Arial"/>
                <w:b/>
                <w:bCs/>
                <w:color w:val="000000" w:themeColor="text1"/>
                <w:sz w:val="20"/>
                <w:szCs w:val="20"/>
                <w:vertAlign w:val="superscript"/>
              </w:rPr>
              <w:t>nd</w:t>
            </w:r>
            <w:r>
              <w:rPr>
                <w:rFonts w:eastAsia="Arial"/>
                <w:b/>
                <w:bCs/>
                <w:color w:val="000000" w:themeColor="text1"/>
                <w:sz w:val="20"/>
                <w:szCs w:val="20"/>
              </w:rPr>
              <w:t xml:space="preserve"> Year</w:t>
            </w:r>
          </w:p>
        </w:tc>
        <w:tc>
          <w:tcPr>
            <w:tcW w:w="990" w:type="dxa"/>
            <w:shd w:val="clear" w:color="auto" w:fill="C5E0B3" w:themeFill="accent6" w:themeFillTint="66"/>
            <w:vAlign w:val="center"/>
          </w:tcPr>
          <w:p w14:paraId="11FAC3C0" w14:textId="673693B3" w:rsidR="00B52A1B" w:rsidRPr="00EC6393" w:rsidRDefault="00B52A1B" w:rsidP="00A8783A">
            <w:pPr>
              <w:pStyle w:val="IEEEParagraph"/>
              <w:ind w:firstLine="0"/>
              <w:jc w:val="center"/>
              <w:rPr>
                <w:b/>
                <w:bCs/>
                <w:color w:val="000000" w:themeColor="text1"/>
                <w:sz w:val="20"/>
                <w:szCs w:val="20"/>
              </w:rPr>
            </w:pPr>
            <w:r>
              <w:rPr>
                <w:rFonts w:eastAsia="Arial"/>
                <w:b/>
                <w:bCs/>
                <w:color w:val="000000" w:themeColor="text1"/>
                <w:sz w:val="20"/>
                <w:szCs w:val="20"/>
              </w:rPr>
              <w:t>3</w:t>
            </w:r>
            <w:r w:rsidRPr="00B52A1B">
              <w:rPr>
                <w:rFonts w:eastAsia="Arial"/>
                <w:b/>
                <w:bCs/>
                <w:color w:val="000000" w:themeColor="text1"/>
                <w:sz w:val="20"/>
                <w:szCs w:val="20"/>
                <w:vertAlign w:val="superscript"/>
              </w:rPr>
              <w:t>rd</w:t>
            </w:r>
            <w:r>
              <w:rPr>
                <w:rFonts w:eastAsia="Arial"/>
                <w:b/>
                <w:bCs/>
                <w:color w:val="000000" w:themeColor="text1"/>
                <w:sz w:val="20"/>
                <w:szCs w:val="20"/>
              </w:rPr>
              <w:t xml:space="preserve"> Year</w:t>
            </w:r>
          </w:p>
        </w:tc>
        <w:tc>
          <w:tcPr>
            <w:tcW w:w="990" w:type="dxa"/>
            <w:shd w:val="clear" w:color="auto" w:fill="C5E0B3" w:themeFill="accent6" w:themeFillTint="66"/>
            <w:vAlign w:val="center"/>
          </w:tcPr>
          <w:p w14:paraId="5C34661A" w14:textId="02C90B93" w:rsidR="00B52A1B" w:rsidRPr="00EC6393" w:rsidRDefault="00B52A1B" w:rsidP="00A8783A">
            <w:pPr>
              <w:pStyle w:val="IEEEParagraph"/>
              <w:ind w:firstLine="0"/>
              <w:jc w:val="center"/>
              <w:rPr>
                <w:b/>
                <w:bCs/>
                <w:color w:val="000000" w:themeColor="text1"/>
                <w:sz w:val="20"/>
                <w:szCs w:val="20"/>
              </w:rPr>
            </w:pPr>
            <w:r>
              <w:rPr>
                <w:rFonts w:eastAsia="Arial"/>
                <w:b/>
                <w:bCs/>
                <w:color w:val="000000" w:themeColor="text1"/>
                <w:sz w:val="20"/>
                <w:szCs w:val="20"/>
              </w:rPr>
              <w:t>4</w:t>
            </w:r>
            <w:r w:rsidRPr="00B52A1B">
              <w:rPr>
                <w:rFonts w:eastAsia="Arial"/>
                <w:b/>
                <w:bCs/>
                <w:color w:val="000000" w:themeColor="text1"/>
                <w:sz w:val="20"/>
                <w:szCs w:val="20"/>
                <w:vertAlign w:val="superscript"/>
              </w:rPr>
              <w:t>th</w:t>
            </w:r>
            <w:r>
              <w:rPr>
                <w:rFonts w:eastAsia="Arial"/>
                <w:b/>
                <w:bCs/>
                <w:color w:val="000000" w:themeColor="text1"/>
                <w:sz w:val="20"/>
                <w:szCs w:val="20"/>
              </w:rPr>
              <w:t xml:space="preserve"> Year</w:t>
            </w:r>
          </w:p>
        </w:tc>
        <w:tc>
          <w:tcPr>
            <w:tcW w:w="900" w:type="dxa"/>
            <w:shd w:val="clear" w:color="auto" w:fill="C5E0B3" w:themeFill="accent6" w:themeFillTint="66"/>
            <w:vAlign w:val="center"/>
          </w:tcPr>
          <w:p w14:paraId="613DECFA" w14:textId="77777777" w:rsidR="00B52A1B" w:rsidRPr="00EC6393" w:rsidRDefault="00B52A1B" w:rsidP="00A8783A">
            <w:pPr>
              <w:pStyle w:val="IEEEParagraph"/>
              <w:ind w:firstLine="0"/>
              <w:jc w:val="center"/>
              <w:rPr>
                <w:b/>
                <w:bCs/>
                <w:color w:val="000000" w:themeColor="text1"/>
                <w:sz w:val="20"/>
                <w:szCs w:val="20"/>
              </w:rPr>
            </w:pPr>
            <w:r w:rsidRPr="00EC6393">
              <w:rPr>
                <w:rFonts w:eastAsia="Arial"/>
                <w:b/>
                <w:bCs/>
                <w:color w:val="000000" w:themeColor="text1"/>
                <w:sz w:val="20"/>
                <w:szCs w:val="20"/>
              </w:rPr>
              <w:t>Mean</w:t>
            </w:r>
          </w:p>
        </w:tc>
        <w:tc>
          <w:tcPr>
            <w:tcW w:w="1800" w:type="dxa"/>
            <w:shd w:val="clear" w:color="auto" w:fill="C5E0B3" w:themeFill="accent6" w:themeFillTint="66"/>
            <w:vAlign w:val="center"/>
          </w:tcPr>
          <w:p w14:paraId="1FB9247D" w14:textId="77777777" w:rsidR="00B52A1B" w:rsidRPr="00EC6393" w:rsidRDefault="00B52A1B" w:rsidP="00A8783A">
            <w:pPr>
              <w:pStyle w:val="IEEEParagraph"/>
              <w:ind w:firstLine="0"/>
              <w:jc w:val="center"/>
              <w:rPr>
                <w:b/>
                <w:bCs/>
                <w:color w:val="000000" w:themeColor="text1"/>
                <w:sz w:val="20"/>
                <w:szCs w:val="20"/>
              </w:rPr>
            </w:pPr>
            <w:r w:rsidRPr="00EC6393">
              <w:rPr>
                <w:rFonts w:eastAsia="Arial"/>
                <w:b/>
                <w:bCs/>
                <w:color w:val="000000" w:themeColor="text1"/>
                <w:sz w:val="20"/>
                <w:szCs w:val="20"/>
              </w:rPr>
              <w:t>Interpretation</w:t>
            </w:r>
          </w:p>
        </w:tc>
      </w:tr>
      <w:tr w:rsidR="00B52A1B" w:rsidRPr="00EC6393" w14:paraId="4AF601F3" w14:textId="77777777" w:rsidTr="00B52A1B">
        <w:tc>
          <w:tcPr>
            <w:tcW w:w="3775" w:type="dxa"/>
            <w:vAlign w:val="center"/>
          </w:tcPr>
          <w:p w14:paraId="1706CBCD" w14:textId="77777777" w:rsidR="00B52A1B" w:rsidRPr="00EC6393" w:rsidRDefault="00B52A1B" w:rsidP="00A8783A">
            <w:pPr>
              <w:pStyle w:val="IEEEParagraph"/>
              <w:ind w:firstLine="0"/>
              <w:jc w:val="left"/>
              <w:rPr>
                <w:sz w:val="20"/>
                <w:szCs w:val="20"/>
              </w:rPr>
            </w:pPr>
            <w:r w:rsidRPr="00EC6393">
              <w:rPr>
                <w:rFonts w:eastAsia="Arial"/>
                <w:sz w:val="20"/>
                <w:szCs w:val="20"/>
              </w:rPr>
              <w:t>I report suspicious emails or messages to the appropriate authority.</w:t>
            </w:r>
          </w:p>
        </w:tc>
        <w:tc>
          <w:tcPr>
            <w:tcW w:w="905" w:type="dxa"/>
            <w:vAlign w:val="center"/>
          </w:tcPr>
          <w:p w14:paraId="7AC52361" w14:textId="77777777" w:rsidR="00B52A1B" w:rsidRPr="00EC6393" w:rsidRDefault="00B52A1B" w:rsidP="00A8783A">
            <w:pPr>
              <w:pStyle w:val="IEEEParagraph"/>
              <w:ind w:firstLine="0"/>
              <w:jc w:val="center"/>
              <w:rPr>
                <w:sz w:val="20"/>
                <w:szCs w:val="20"/>
              </w:rPr>
            </w:pPr>
            <w:r w:rsidRPr="00EC6393">
              <w:rPr>
                <w:rFonts w:eastAsia="Arial"/>
                <w:sz w:val="20"/>
                <w:szCs w:val="20"/>
              </w:rPr>
              <w:t>3.84</w:t>
            </w:r>
          </w:p>
        </w:tc>
        <w:tc>
          <w:tcPr>
            <w:tcW w:w="990" w:type="dxa"/>
            <w:vAlign w:val="center"/>
          </w:tcPr>
          <w:p w14:paraId="77EB2B02" w14:textId="77777777" w:rsidR="00B52A1B" w:rsidRPr="00EC6393" w:rsidRDefault="00B52A1B" w:rsidP="00A8783A">
            <w:pPr>
              <w:pStyle w:val="IEEEParagraph"/>
              <w:ind w:firstLine="0"/>
              <w:jc w:val="center"/>
              <w:rPr>
                <w:sz w:val="20"/>
                <w:szCs w:val="20"/>
              </w:rPr>
            </w:pPr>
            <w:r w:rsidRPr="00EC6393">
              <w:rPr>
                <w:rFonts w:eastAsia="Arial"/>
                <w:sz w:val="20"/>
                <w:szCs w:val="20"/>
              </w:rPr>
              <w:t>3.48</w:t>
            </w:r>
          </w:p>
        </w:tc>
        <w:tc>
          <w:tcPr>
            <w:tcW w:w="990" w:type="dxa"/>
            <w:vAlign w:val="center"/>
          </w:tcPr>
          <w:p w14:paraId="13DDE5CA" w14:textId="77777777" w:rsidR="00B52A1B" w:rsidRPr="00EC6393" w:rsidRDefault="00B52A1B" w:rsidP="00A8783A">
            <w:pPr>
              <w:pStyle w:val="IEEEParagraph"/>
              <w:ind w:firstLine="0"/>
              <w:jc w:val="center"/>
              <w:rPr>
                <w:sz w:val="20"/>
                <w:szCs w:val="20"/>
              </w:rPr>
            </w:pPr>
            <w:r w:rsidRPr="00EC6393">
              <w:rPr>
                <w:rFonts w:eastAsia="Arial"/>
                <w:sz w:val="20"/>
                <w:szCs w:val="20"/>
              </w:rPr>
              <w:t>3.76</w:t>
            </w:r>
          </w:p>
        </w:tc>
        <w:tc>
          <w:tcPr>
            <w:tcW w:w="990" w:type="dxa"/>
            <w:vAlign w:val="center"/>
          </w:tcPr>
          <w:p w14:paraId="42C525D0"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3.92</w:t>
            </w:r>
          </w:p>
        </w:tc>
        <w:tc>
          <w:tcPr>
            <w:tcW w:w="900" w:type="dxa"/>
            <w:vAlign w:val="center"/>
          </w:tcPr>
          <w:p w14:paraId="20487594" w14:textId="77777777" w:rsidR="00B52A1B" w:rsidRPr="00EC6393" w:rsidRDefault="00B52A1B" w:rsidP="00A8783A">
            <w:pPr>
              <w:pStyle w:val="IEEEParagraph"/>
              <w:ind w:firstLine="0"/>
              <w:jc w:val="center"/>
              <w:rPr>
                <w:rFonts w:eastAsia="Arial"/>
                <w:sz w:val="20"/>
                <w:szCs w:val="20"/>
              </w:rPr>
            </w:pPr>
            <w:r w:rsidRPr="00EC6393">
              <w:rPr>
                <w:rFonts w:eastAsia="Arial"/>
                <w:b/>
                <w:bCs/>
                <w:sz w:val="20"/>
                <w:szCs w:val="20"/>
              </w:rPr>
              <w:t>3.75</w:t>
            </w:r>
          </w:p>
        </w:tc>
        <w:tc>
          <w:tcPr>
            <w:tcW w:w="1800" w:type="dxa"/>
            <w:vAlign w:val="center"/>
          </w:tcPr>
          <w:p w14:paraId="16D38084"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Often</w:t>
            </w:r>
          </w:p>
        </w:tc>
      </w:tr>
      <w:tr w:rsidR="00B52A1B" w:rsidRPr="00EC6393" w14:paraId="1B3B17AF" w14:textId="77777777" w:rsidTr="00B52A1B">
        <w:tc>
          <w:tcPr>
            <w:tcW w:w="3775" w:type="dxa"/>
            <w:vAlign w:val="center"/>
          </w:tcPr>
          <w:p w14:paraId="5AB59161" w14:textId="77777777" w:rsidR="00B52A1B" w:rsidRPr="00EC6393" w:rsidRDefault="00B52A1B" w:rsidP="00A8783A">
            <w:pPr>
              <w:pStyle w:val="IEEEParagraph"/>
              <w:ind w:firstLine="0"/>
              <w:jc w:val="left"/>
              <w:rPr>
                <w:sz w:val="20"/>
                <w:szCs w:val="20"/>
              </w:rPr>
            </w:pPr>
            <w:r w:rsidRPr="00EC6393">
              <w:rPr>
                <w:rFonts w:eastAsia="Arial"/>
                <w:sz w:val="20"/>
                <w:szCs w:val="20"/>
              </w:rPr>
              <w:t>I inform others when I encounter possible phishing attempts.</w:t>
            </w:r>
          </w:p>
        </w:tc>
        <w:tc>
          <w:tcPr>
            <w:tcW w:w="905" w:type="dxa"/>
            <w:vAlign w:val="center"/>
          </w:tcPr>
          <w:p w14:paraId="029728BC" w14:textId="77777777" w:rsidR="00B52A1B" w:rsidRPr="00EC6393" w:rsidRDefault="00B52A1B" w:rsidP="00A8783A">
            <w:pPr>
              <w:pStyle w:val="IEEEParagraph"/>
              <w:ind w:firstLine="0"/>
              <w:jc w:val="center"/>
              <w:rPr>
                <w:sz w:val="20"/>
                <w:szCs w:val="20"/>
              </w:rPr>
            </w:pPr>
            <w:r w:rsidRPr="00EC6393">
              <w:rPr>
                <w:rFonts w:eastAsia="Arial"/>
                <w:sz w:val="20"/>
                <w:szCs w:val="20"/>
              </w:rPr>
              <w:t>4.08</w:t>
            </w:r>
          </w:p>
        </w:tc>
        <w:tc>
          <w:tcPr>
            <w:tcW w:w="990" w:type="dxa"/>
            <w:vAlign w:val="center"/>
          </w:tcPr>
          <w:p w14:paraId="7C025663" w14:textId="77777777" w:rsidR="00B52A1B" w:rsidRPr="00EC6393" w:rsidRDefault="00B52A1B" w:rsidP="00A8783A">
            <w:pPr>
              <w:pStyle w:val="IEEEParagraph"/>
              <w:ind w:firstLine="0"/>
              <w:jc w:val="center"/>
              <w:rPr>
                <w:sz w:val="20"/>
                <w:szCs w:val="20"/>
              </w:rPr>
            </w:pPr>
            <w:r w:rsidRPr="00EC6393">
              <w:rPr>
                <w:rFonts w:eastAsia="Arial"/>
                <w:sz w:val="20"/>
                <w:szCs w:val="20"/>
              </w:rPr>
              <w:t>4.32</w:t>
            </w:r>
          </w:p>
        </w:tc>
        <w:tc>
          <w:tcPr>
            <w:tcW w:w="990" w:type="dxa"/>
            <w:vAlign w:val="center"/>
          </w:tcPr>
          <w:p w14:paraId="00B9069D" w14:textId="77777777" w:rsidR="00B52A1B" w:rsidRPr="00EC6393" w:rsidRDefault="00B52A1B" w:rsidP="00A8783A">
            <w:pPr>
              <w:pStyle w:val="IEEEParagraph"/>
              <w:ind w:firstLine="0"/>
              <w:jc w:val="center"/>
              <w:rPr>
                <w:sz w:val="20"/>
                <w:szCs w:val="20"/>
              </w:rPr>
            </w:pPr>
            <w:r w:rsidRPr="00EC6393">
              <w:rPr>
                <w:rFonts w:eastAsia="Arial"/>
                <w:sz w:val="20"/>
                <w:szCs w:val="20"/>
              </w:rPr>
              <w:t>4.00</w:t>
            </w:r>
          </w:p>
        </w:tc>
        <w:tc>
          <w:tcPr>
            <w:tcW w:w="990" w:type="dxa"/>
            <w:vAlign w:val="center"/>
          </w:tcPr>
          <w:p w14:paraId="553F55C7"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4.12</w:t>
            </w:r>
          </w:p>
        </w:tc>
        <w:tc>
          <w:tcPr>
            <w:tcW w:w="900" w:type="dxa"/>
            <w:vAlign w:val="center"/>
          </w:tcPr>
          <w:p w14:paraId="79CA9B97" w14:textId="77777777" w:rsidR="00B52A1B" w:rsidRPr="00EC6393" w:rsidRDefault="00B52A1B" w:rsidP="00A8783A">
            <w:pPr>
              <w:pStyle w:val="IEEEParagraph"/>
              <w:ind w:firstLine="0"/>
              <w:jc w:val="center"/>
              <w:rPr>
                <w:rFonts w:eastAsia="Arial"/>
                <w:sz w:val="20"/>
                <w:szCs w:val="20"/>
              </w:rPr>
            </w:pPr>
            <w:r w:rsidRPr="00EC6393">
              <w:rPr>
                <w:rFonts w:eastAsia="Arial"/>
                <w:b/>
                <w:bCs/>
                <w:sz w:val="20"/>
                <w:szCs w:val="20"/>
              </w:rPr>
              <w:t>4.13</w:t>
            </w:r>
          </w:p>
        </w:tc>
        <w:tc>
          <w:tcPr>
            <w:tcW w:w="1800" w:type="dxa"/>
            <w:vAlign w:val="center"/>
          </w:tcPr>
          <w:p w14:paraId="6CBFF586"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Often</w:t>
            </w:r>
          </w:p>
        </w:tc>
      </w:tr>
      <w:tr w:rsidR="00B52A1B" w:rsidRPr="00EC6393" w14:paraId="76016FA0" w14:textId="77777777" w:rsidTr="00B52A1B">
        <w:tc>
          <w:tcPr>
            <w:tcW w:w="3775" w:type="dxa"/>
            <w:vAlign w:val="center"/>
          </w:tcPr>
          <w:p w14:paraId="45084DBF" w14:textId="77777777" w:rsidR="00B52A1B" w:rsidRPr="00EC6393" w:rsidRDefault="00B52A1B" w:rsidP="00A8783A">
            <w:pPr>
              <w:pStyle w:val="IEEEParagraph"/>
              <w:ind w:firstLine="0"/>
              <w:jc w:val="left"/>
              <w:rPr>
                <w:sz w:val="20"/>
                <w:szCs w:val="20"/>
              </w:rPr>
            </w:pPr>
            <w:r w:rsidRPr="00EC6393">
              <w:rPr>
                <w:rFonts w:eastAsia="Arial"/>
                <w:sz w:val="20"/>
                <w:szCs w:val="20"/>
              </w:rPr>
              <w:t>I know the proper channels for reporting cybersecurity threats.</w:t>
            </w:r>
          </w:p>
        </w:tc>
        <w:tc>
          <w:tcPr>
            <w:tcW w:w="905" w:type="dxa"/>
            <w:vAlign w:val="center"/>
          </w:tcPr>
          <w:p w14:paraId="6A9B6290" w14:textId="77777777" w:rsidR="00B52A1B" w:rsidRPr="00EC6393" w:rsidRDefault="00B52A1B" w:rsidP="00A8783A">
            <w:pPr>
              <w:pStyle w:val="IEEEParagraph"/>
              <w:ind w:firstLine="0"/>
              <w:jc w:val="center"/>
              <w:rPr>
                <w:sz w:val="20"/>
                <w:szCs w:val="20"/>
              </w:rPr>
            </w:pPr>
            <w:r w:rsidRPr="00EC6393">
              <w:rPr>
                <w:rFonts w:eastAsia="Arial"/>
                <w:sz w:val="20"/>
                <w:szCs w:val="20"/>
              </w:rPr>
              <w:t>3.80</w:t>
            </w:r>
          </w:p>
        </w:tc>
        <w:tc>
          <w:tcPr>
            <w:tcW w:w="990" w:type="dxa"/>
            <w:vAlign w:val="center"/>
          </w:tcPr>
          <w:p w14:paraId="662127C5" w14:textId="77777777" w:rsidR="00B52A1B" w:rsidRPr="00EC6393" w:rsidRDefault="00B52A1B" w:rsidP="00A8783A">
            <w:pPr>
              <w:pStyle w:val="IEEEParagraph"/>
              <w:ind w:firstLine="0"/>
              <w:jc w:val="center"/>
              <w:rPr>
                <w:sz w:val="20"/>
                <w:szCs w:val="20"/>
              </w:rPr>
            </w:pPr>
            <w:r w:rsidRPr="00EC6393">
              <w:rPr>
                <w:rFonts w:eastAsia="Arial"/>
                <w:sz w:val="20"/>
                <w:szCs w:val="20"/>
              </w:rPr>
              <w:t>3.00</w:t>
            </w:r>
          </w:p>
        </w:tc>
        <w:tc>
          <w:tcPr>
            <w:tcW w:w="990" w:type="dxa"/>
            <w:vAlign w:val="center"/>
          </w:tcPr>
          <w:p w14:paraId="20FF9B44" w14:textId="77777777" w:rsidR="00B52A1B" w:rsidRPr="00EC6393" w:rsidRDefault="00B52A1B" w:rsidP="00A8783A">
            <w:pPr>
              <w:pStyle w:val="IEEEParagraph"/>
              <w:ind w:firstLine="0"/>
              <w:jc w:val="center"/>
              <w:rPr>
                <w:sz w:val="20"/>
                <w:szCs w:val="20"/>
              </w:rPr>
            </w:pPr>
            <w:r w:rsidRPr="00EC6393">
              <w:rPr>
                <w:rFonts w:eastAsia="Arial"/>
                <w:sz w:val="20"/>
                <w:szCs w:val="20"/>
              </w:rPr>
              <w:t>3.40</w:t>
            </w:r>
          </w:p>
        </w:tc>
        <w:tc>
          <w:tcPr>
            <w:tcW w:w="990" w:type="dxa"/>
            <w:vAlign w:val="center"/>
          </w:tcPr>
          <w:p w14:paraId="08F44C5C"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3.76</w:t>
            </w:r>
          </w:p>
        </w:tc>
        <w:tc>
          <w:tcPr>
            <w:tcW w:w="900" w:type="dxa"/>
            <w:vAlign w:val="center"/>
          </w:tcPr>
          <w:p w14:paraId="1F2211EE" w14:textId="77777777" w:rsidR="00B52A1B" w:rsidRPr="00EC6393" w:rsidRDefault="00B52A1B" w:rsidP="00A8783A">
            <w:pPr>
              <w:pStyle w:val="IEEEParagraph"/>
              <w:ind w:firstLine="0"/>
              <w:jc w:val="center"/>
              <w:rPr>
                <w:rFonts w:eastAsia="Arial"/>
                <w:sz w:val="20"/>
                <w:szCs w:val="20"/>
              </w:rPr>
            </w:pPr>
            <w:r w:rsidRPr="00EC6393">
              <w:rPr>
                <w:rFonts w:eastAsia="Arial"/>
                <w:b/>
                <w:bCs/>
                <w:sz w:val="20"/>
                <w:szCs w:val="20"/>
              </w:rPr>
              <w:t>3.49</w:t>
            </w:r>
          </w:p>
        </w:tc>
        <w:tc>
          <w:tcPr>
            <w:tcW w:w="1800" w:type="dxa"/>
            <w:vAlign w:val="center"/>
          </w:tcPr>
          <w:p w14:paraId="7916AD40"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Sometimes</w:t>
            </w:r>
          </w:p>
        </w:tc>
      </w:tr>
      <w:tr w:rsidR="00B52A1B" w:rsidRPr="00EC6393" w14:paraId="7C83CC5C" w14:textId="77777777" w:rsidTr="00B52A1B">
        <w:tc>
          <w:tcPr>
            <w:tcW w:w="3775" w:type="dxa"/>
            <w:vAlign w:val="center"/>
          </w:tcPr>
          <w:p w14:paraId="3024453D" w14:textId="77777777" w:rsidR="00B52A1B" w:rsidRPr="00EC6393" w:rsidRDefault="00B52A1B" w:rsidP="00A8783A">
            <w:pPr>
              <w:pStyle w:val="IEEEParagraph"/>
              <w:ind w:firstLine="0"/>
              <w:jc w:val="left"/>
              <w:rPr>
                <w:rFonts w:eastAsia="Arial"/>
                <w:sz w:val="20"/>
                <w:szCs w:val="20"/>
              </w:rPr>
            </w:pPr>
            <w:r w:rsidRPr="00EC6393">
              <w:rPr>
                <w:rFonts w:eastAsia="Arial"/>
                <w:sz w:val="20"/>
                <w:szCs w:val="20"/>
              </w:rPr>
              <w:t>I take action when I suspect an online scam or phishing attempt.</w:t>
            </w:r>
          </w:p>
        </w:tc>
        <w:tc>
          <w:tcPr>
            <w:tcW w:w="905" w:type="dxa"/>
            <w:vAlign w:val="center"/>
          </w:tcPr>
          <w:p w14:paraId="7A80EF3A"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4.04</w:t>
            </w:r>
          </w:p>
        </w:tc>
        <w:tc>
          <w:tcPr>
            <w:tcW w:w="990" w:type="dxa"/>
            <w:vAlign w:val="center"/>
          </w:tcPr>
          <w:p w14:paraId="3F667B82"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3.56</w:t>
            </w:r>
          </w:p>
        </w:tc>
        <w:tc>
          <w:tcPr>
            <w:tcW w:w="990" w:type="dxa"/>
            <w:vAlign w:val="center"/>
          </w:tcPr>
          <w:p w14:paraId="599CF262"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3.80</w:t>
            </w:r>
          </w:p>
        </w:tc>
        <w:tc>
          <w:tcPr>
            <w:tcW w:w="990" w:type="dxa"/>
            <w:vAlign w:val="center"/>
          </w:tcPr>
          <w:p w14:paraId="750B705E"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4.16</w:t>
            </w:r>
          </w:p>
        </w:tc>
        <w:tc>
          <w:tcPr>
            <w:tcW w:w="900" w:type="dxa"/>
            <w:vAlign w:val="center"/>
          </w:tcPr>
          <w:p w14:paraId="52E2AD06" w14:textId="77777777" w:rsidR="00B52A1B" w:rsidRPr="00EC6393" w:rsidRDefault="00B52A1B" w:rsidP="00A8783A">
            <w:pPr>
              <w:pStyle w:val="IEEEParagraph"/>
              <w:ind w:firstLine="0"/>
              <w:jc w:val="center"/>
              <w:rPr>
                <w:rFonts w:eastAsia="Arial"/>
                <w:sz w:val="20"/>
                <w:szCs w:val="20"/>
              </w:rPr>
            </w:pPr>
            <w:r w:rsidRPr="00EC6393">
              <w:rPr>
                <w:rFonts w:eastAsia="Arial"/>
                <w:b/>
                <w:bCs/>
                <w:sz w:val="20"/>
                <w:szCs w:val="20"/>
              </w:rPr>
              <w:t>3.89</w:t>
            </w:r>
          </w:p>
        </w:tc>
        <w:tc>
          <w:tcPr>
            <w:tcW w:w="1800" w:type="dxa"/>
            <w:vAlign w:val="center"/>
          </w:tcPr>
          <w:p w14:paraId="5D14A827"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Often</w:t>
            </w:r>
          </w:p>
        </w:tc>
      </w:tr>
      <w:tr w:rsidR="00B52A1B" w:rsidRPr="00EC6393" w14:paraId="16831C4F" w14:textId="77777777" w:rsidTr="00B52A1B">
        <w:tc>
          <w:tcPr>
            <w:tcW w:w="3775" w:type="dxa"/>
            <w:vAlign w:val="center"/>
          </w:tcPr>
          <w:p w14:paraId="6743F0B6" w14:textId="77777777" w:rsidR="00B52A1B" w:rsidRPr="00EC6393" w:rsidRDefault="00B52A1B" w:rsidP="00A8783A">
            <w:pPr>
              <w:pStyle w:val="IEEEParagraph"/>
              <w:ind w:firstLine="0"/>
              <w:jc w:val="left"/>
              <w:rPr>
                <w:rFonts w:eastAsia="Arial"/>
                <w:sz w:val="20"/>
                <w:szCs w:val="20"/>
              </w:rPr>
            </w:pPr>
            <w:r w:rsidRPr="00EC6393">
              <w:rPr>
                <w:rFonts w:eastAsia="Arial"/>
                <w:sz w:val="20"/>
                <w:szCs w:val="20"/>
              </w:rPr>
              <w:t>I ignore suspicious messages instead of reporting them. (reverse-scored; higher score = more desirable behavior)</w:t>
            </w:r>
          </w:p>
        </w:tc>
        <w:tc>
          <w:tcPr>
            <w:tcW w:w="905" w:type="dxa"/>
            <w:vAlign w:val="center"/>
          </w:tcPr>
          <w:p w14:paraId="347669BC"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3.76</w:t>
            </w:r>
          </w:p>
        </w:tc>
        <w:tc>
          <w:tcPr>
            <w:tcW w:w="990" w:type="dxa"/>
            <w:vAlign w:val="center"/>
          </w:tcPr>
          <w:p w14:paraId="3DC30F30"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3.48</w:t>
            </w:r>
          </w:p>
        </w:tc>
        <w:tc>
          <w:tcPr>
            <w:tcW w:w="990" w:type="dxa"/>
            <w:vAlign w:val="center"/>
          </w:tcPr>
          <w:p w14:paraId="7F2A7F9F"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3.52</w:t>
            </w:r>
          </w:p>
        </w:tc>
        <w:tc>
          <w:tcPr>
            <w:tcW w:w="990" w:type="dxa"/>
            <w:vAlign w:val="center"/>
          </w:tcPr>
          <w:p w14:paraId="1C6EF924"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3.52</w:t>
            </w:r>
          </w:p>
        </w:tc>
        <w:tc>
          <w:tcPr>
            <w:tcW w:w="900" w:type="dxa"/>
            <w:vAlign w:val="center"/>
          </w:tcPr>
          <w:p w14:paraId="68588FA6" w14:textId="77777777" w:rsidR="00B52A1B" w:rsidRPr="00EC6393" w:rsidRDefault="00B52A1B" w:rsidP="00A8783A">
            <w:pPr>
              <w:pStyle w:val="IEEEParagraph"/>
              <w:ind w:firstLine="0"/>
              <w:jc w:val="center"/>
              <w:rPr>
                <w:rFonts w:eastAsia="Arial"/>
                <w:sz w:val="20"/>
                <w:szCs w:val="20"/>
              </w:rPr>
            </w:pPr>
            <w:r w:rsidRPr="00EC6393">
              <w:rPr>
                <w:rFonts w:eastAsia="Arial"/>
                <w:b/>
                <w:bCs/>
                <w:sz w:val="20"/>
                <w:szCs w:val="20"/>
              </w:rPr>
              <w:t>3.57</w:t>
            </w:r>
          </w:p>
        </w:tc>
        <w:tc>
          <w:tcPr>
            <w:tcW w:w="1800" w:type="dxa"/>
            <w:vAlign w:val="center"/>
          </w:tcPr>
          <w:p w14:paraId="288BCEA3"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Often</w:t>
            </w:r>
          </w:p>
        </w:tc>
      </w:tr>
      <w:tr w:rsidR="00B52A1B" w:rsidRPr="00EC6393" w14:paraId="791242A3" w14:textId="77777777" w:rsidTr="00B52A1B">
        <w:tc>
          <w:tcPr>
            <w:tcW w:w="3775" w:type="dxa"/>
            <w:vAlign w:val="center"/>
          </w:tcPr>
          <w:p w14:paraId="3EE1B50D" w14:textId="77777777" w:rsidR="00B52A1B" w:rsidRPr="00EC6393" w:rsidRDefault="00B52A1B" w:rsidP="00A8783A">
            <w:pPr>
              <w:pStyle w:val="IEEEParagraph"/>
              <w:ind w:firstLine="0"/>
              <w:rPr>
                <w:rFonts w:eastAsia="Arial"/>
                <w:b/>
                <w:bCs/>
                <w:sz w:val="20"/>
                <w:szCs w:val="20"/>
              </w:rPr>
            </w:pPr>
            <w:r w:rsidRPr="00EC6393">
              <w:rPr>
                <w:rFonts w:eastAsia="Arial"/>
                <w:b/>
                <w:bCs/>
                <w:sz w:val="20"/>
                <w:szCs w:val="20"/>
              </w:rPr>
              <w:t>Section Mean</w:t>
            </w:r>
          </w:p>
        </w:tc>
        <w:tc>
          <w:tcPr>
            <w:tcW w:w="905" w:type="dxa"/>
            <w:vAlign w:val="center"/>
          </w:tcPr>
          <w:p w14:paraId="73EB8FF5" w14:textId="77777777" w:rsidR="00B52A1B" w:rsidRPr="00EC6393" w:rsidRDefault="00B52A1B" w:rsidP="00A8783A">
            <w:pPr>
              <w:pStyle w:val="IEEEParagraph"/>
              <w:ind w:firstLine="0"/>
              <w:jc w:val="center"/>
              <w:rPr>
                <w:rFonts w:eastAsia="Arial"/>
                <w:b/>
                <w:bCs/>
                <w:sz w:val="20"/>
                <w:szCs w:val="20"/>
              </w:rPr>
            </w:pPr>
            <w:r w:rsidRPr="00EC6393">
              <w:rPr>
                <w:rFonts w:eastAsia="Arial"/>
                <w:b/>
                <w:bCs/>
                <w:sz w:val="20"/>
                <w:szCs w:val="20"/>
              </w:rPr>
              <w:t>3.90</w:t>
            </w:r>
          </w:p>
        </w:tc>
        <w:tc>
          <w:tcPr>
            <w:tcW w:w="990" w:type="dxa"/>
            <w:vAlign w:val="center"/>
          </w:tcPr>
          <w:p w14:paraId="2EFE9AD9" w14:textId="77777777" w:rsidR="00B52A1B" w:rsidRPr="00EC6393" w:rsidRDefault="00B52A1B" w:rsidP="00A8783A">
            <w:pPr>
              <w:pStyle w:val="IEEEParagraph"/>
              <w:ind w:firstLine="0"/>
              <w:jc w:val="center"/>
              <w:rPr>
                <w:rFonts w:eastAsia="Arial"/>
                <w:b/>
                <w:bCs/>
                <w:sz w:val="20"/>
                <w:szCs w:val="20"/>
              </w:rPr>
            </w:pPr>
            <w:r w:rsidRPr="00EC6393">
              <w:rPr>
                <w:rFonts w:eastAsia="Arial"/>
                <w:b/>
                <w:bCs/>
                <w:sz w:val="20"/>
                <w:szCs w:val="20"/>
              </w:rPr>
              <w:t>3.57</w:t>
            </w:r>
          </w:p>
        </w:tc>
        <w:tc>
          <w:tcPr>
            <w:tcW w:w="990" w:type="dxa"/>
            <w:vAlign w:val="center"/>
          </w:tcPr>
          <w:p w14:paraId="78873F96" w14:textId="77777777" w:rsidR="00B52A1B" w:rsidRPr="00EC6393" w:rsidRDefault="00B52A1B" w:rsidP="00A8783A">
            <w:pPr>
              <w:pStyle w:val="IEEEParagraph"/>
              <w:ind w:firstLine="0"/>
              <w:jc w:val="center"/>
              <w:rPr>
                <w:rFonts w:eastAsia="Arial"/>
                <w:b/>
                <w:bCs/>
                <w:sz w:val="20"/>
                <w:szCs w:val="20"/>
              </w:rPr>
            </w:pPr>
            <w:r w:rsidRPr="00EC6393">
              <w:rPr>
                <w:rFonts w:eastAsia="Arial"/>
                <w:b/>
                <w:bCs/>
                <w:sz w:val="20"/>
                <w:szCs w:val="20"/>
              </w:rPr>
              <w:t>3.70</w:t>
            </w:r>
          </w:p>
        </w:tc>
        <w:tc>
          <w:tcPr>
            <w:tcW w:w="990" w:type="dxa"/>
            <w:vAlign w:val="center"/>
          </w:tcPr>
          <w:p w14:paraId="779F45A4" w14:textId="77777777" w:rsidR="00B52A1B" w:rsidRPr="00EC6393" w:rsidRDefault="00B52A1B" w:rsidP="00A8783A">
            <w:pPr>
              <w:pStyle w:val="IEEEParagraph"/>
              <w:ind w:firstLine="0"/>
              <w:jc w:val="center"/>
              <w:rPr>
                <w:rFonts w:eastAsia="Arial"/>
                <w:b/>
                <w:bCs/>
                <w:sz w:val="20"/>
                <w:szCs w:val="20"/>
              </w:rPr>
            </w:pPr>
            <w:r w:rsidRPr="00EC6393">
              <w:rPr>
                <w:rFonts w:eastAsia="Arial"/>
                <w:b/>
                <w:bCs/>
                <w:sz w:val="20"/>
                <w:szCs w:val="20"/>
              </w:rPr>
              <w:t>3.90</w:t>
            </w:r>
          </w:p>
        </w:tc>
        <w:tc>
          <w:tcPr>
            <w:tcW w:w="900" w:type="dxa"/>
            <w:vAlign w:val="center"/>
          </w:tcPr>
          <w:p w14:paraId="343F9100" w14:textId="77777777" w:rsidR="00B52A1B" w:rsidRPr="00EC6393" w:rsidRDefault="00B52A1B" w:rsidP="00A8783A">
            <w:pPr>
              <w:pStyle w:val="IEEEParagraph"/>
              <w:ind w:firstLine="0"/>
              <w:jc w:val="center"/>
              <w:rPr>
                <w:rFonts w:eastAsia="Arial"/>
                <w:b/>
                <w:bCs/>
                <w:sz w:val="20"/>
                <w:szCs w:val="20"/>
              </w:rPr>
            </w:pPr>
            <w:r w:rsidRPr="00EC6393">
              <w:rPr>
                <w:rFonts w:eastAsia="Arial"/>
                <w:b/>
                <w:bCs/>
                <w:sz w:val="20"/>
                <w:szCs w:val="20"/>
              </w:rPr>
              <w:t>3.77</w:t>
            </w:r>
          </w:p>
        </w:tc>
        <w:tc>
          <w:tcPr>
            <w:tcW w:w="1800" w:type="dxa"/>
            <w:vAlign w:val="center"/>
          </w:tcPr>
          <w:p w14:paraId="05AA808D" w14:textId="77777777" w:rsidR="00B52A1B" w:rsidRPr="00EC6393" w:rsidRDefault="00B52A1B" w:rsidP="00A8783A">
            <w:pPr>
              <w:pStyle w:val="IEEEParagraph"/>
              <w:ind w:firstLine="0"/>
              <w:jc w:val="center"/>
              <w:rPr>
                <w:rFonts w:eastAsia="Arial"/>
                <w:b/>
                <w:bCs/>
                <w:sz w:val="20"/>
                <w:szCs w:val="20"/>
              </w:rPr>
            </w:pPr>
            <w:r w:rsidRPr="00EC6393">
              <w:rPr>
                <w:rFonts w:eastAsia="Arial"/>
                <w:b/>
                <w:bCs/>
                <w:sz w:val="20"/>
                <w:szCs w:val="20"/>
              </w:rPr>
              <w:t>Often</w:t>
            </w:r>
          </w:p>
        </w:tc>
      </w:tr>
    </w:tbl>
    <w:p w14:paraId="04F72326" w14:textId="75CDB5E7" w:rsidR="00B52A1B" w:rsidRDefault="00B52A1B" w:rsidP="00B52A1B">
      <w:pPr>
        <w:pStyle w:val="IEEEParagraph"/>
        <w:rPr>
          <w:sz w:val="20"/>
          <w:szCs w:val="20"/>
        </w:rPr>
      </w:pPr>
    </w:p>
    <w:p w14:paraId="788B7D4E" w14:textId="5ADAD99F" w:rsidR="00B52A1B" w:rsidRPr="00B52A1B" w:rsidRDefault="00B52A1B" w:rsidP="00B52A1B">
      <w:pPr>
        <w:pStyle w:val="IEEEParagraph"/>
        <w:ind w:left="360" w:firstLine="360"/>
        <w:rPr>
          <w:sz w:val="20"/>
          <w:szCs w:val="20"/>
        </w:rPr>
      </w:pPr>
      <w:r w:rsidRPr="00B52A1B">
        <w:rPr>
          <w:sz w:val="20"/>
          <w:szCs w:val="20"/>
        </w:rPr>
        <w:t xml:space="preserve">Table 5 </w:t>
      </w:r>
      <w:r>
        <w:rPr>
          <w:sz w:val="20"/>
          <w:szCs w:val="20"/>
        </w:rPr>
        <w:t>illustrates</w:t>
      </w:r>
      <w:r w:rsidRPr="00B52A1B">
        <w:rPr>
          <w:sz w:val="20"/>
          <w:szCs w:val="20"/>
        </w:rPr>
        <w:t xml:space="preserve"> the weighted mean scores for the respondents’ Reporting Behavior across different year levels. The results reveal an overall section mean of 3.77, interpreted as “Often,” indicating that the respondents generally demonstrate responsible behavior when dealing with suspicious online activities and potential cybersecurity threats. Both 1st Year and 4th Year students obtained the highest section mean of 3.90, while 2nd Year students recorded the lowest mean of 3.57. This suggests that respondents across all year levels frequently engage in behaviors related to reporting and responding to suspicious online messages. Among the indicators, “I inform others when I encounter possible phishing attempts” obtained the highest overall mean of 4.13, interpreted as “Often,” indicating that students are willing to warn and protect others from possible phishing threats. Similarly, “I take action when I suspect an online scam or phishing attempt” received a high mean of 3.89, reflecting proactive cybersecurity behavior among the respondents.</w:t>
      </w:r>
    </w:p>
    <w:p w14:paraId="1A5303D0" w14:textId="77777777" w:rsidR="00B52A1B" w:rsidRPr="00B52A1B" w:rsidRDefault="00B52A1B" w:rsidP="00B52A1B">
      <w:pPr>
        <w:pStyle w:val="IEEEParagraph"/>
        <w:ind w:left="360" w:firstLine="360"/>
        <w:rPr>
          <w:sz w:val="20"/>
          <w:szCs w:val="20"/>
        </w:rPr>
      </w:pPr>
    </w:p>
    <w:p w14:paraId="6FC86544" w14:textId="2F2367CE" w:rsidR="00B52A1B" w:rsidRDefault="00B52A1B" w:rsidP="00B52A1B">
      <w:pPr>
        <w:pStyle w:val="IEEEParagraph"/>
        <w:ind w:left="360" w:firstLine="360"/>
        <w:rPr>
          <w:sz w:val="20"/>
          <w:szCs w:val="20"/>
        </w:rPr>
      </w:pPr>
      <w:r w:rsidRPr="00B52A1B">
        <w:rPr>
          <w:sz w:val="20"/>
          <w:szCs w:val="20"/>
        </w:rPr>
        <w:lastRenderedPageBreak/>
        <w:t>Meanwhile, the indicator “I know the proper channels for reporting cybersecurity threats” obtained the lowest overall mean of 3.49, interpreted as “Sometimes.” This finding suggests that although students are generally willing to respond to suspicious activities, some respondents may still lack sufficient knowledge regarding the correct procedures or authorities responsible for handling cybersecurity incidents. The reverse-scored item “I ignore suspicious messages instead of reporting them” obtained a mean of 3.57, interpreted as “Often,” indicating that respondents generally avoid neglecting suspicious messages and are more likely to engage in responsible reporting behavior. Overall, the findings suggest that students of Quezon City University exhibit positive reporting behaviors and demonstrate awareness of the importance of responding to phishing threats; however, additional orientation and cybersecurity awareness programs regarding formal reporting procedures may further strengthen students’ cybersecurity practices.</w:t>
      </w:r>
    </w:p>
    <w:p w14:paraId="7C521A61" w14:textId="74CB058E" w:rsidR="00B52A1B" w:rsidRDefault="00B52A1B" w:rsidP="00B52A1B">
      <w:pPr>
        <w:pStyle w:val="IEEEParagraph"/>
        <w:rPr>
          <w:sz w:val="20"/>
          <w:szCs w:val="20"/>
        </w:rPr>
      </w:pPr>
    </w:p>
    <w:p w14:paraId="2BA0FE6A" w14:textId="5A4CFCA7" w:rsidR="00B52A1B" w:rsidRDefault="00B52A1B" w:rsidP="00B52A1B">
      <w:pPr>
        <w:pStyle w:val="IEEEParagraph"/>
        <w:rPr>
          <w:sz w:val="20"/>
          <w:szCs w:val="20"/>
        </w:rPr>
      </w:pPr>
    </w:p>
    <w:p w14:paraId="6436FFED" w14:textId="09CC68F3" w:rsidR="00B52A1B" w:rsidRPr="00B52A1B" w:rsidRDefault="00B52A1B" w:rsidP="00B52A1B">
      <w:pPr>
        <w:pStyle w:val="IEEEParagraph"/>
        <w:numPr>
          <w:ilvl w:val="0"/>
          <w:numId w:val="19"/>
        </w:numPr>
        <w:rPr>
          <w:b/>
          <w:i/>
          <w:sz w:val="20"/>
          <w:szCs w:val="20"/>
        </w:rPr>
      </w:pPr>
      <w:r w:rsidRPr="00B52A1B">
        <w:rPr>
          <w:b/>
          <w:i/>
          <w:sz w:val="20"/>
          <w:szCs w:val="20"/>
        </w:rPr>
        <w:t>General Cybersecurity Awareness</w:t>
      </w:r>
      <w:r>
        <w:rPr>
          <w:b/>
          <w:i/>
          <w:sz w:val="20"/>
          <w:szCs w:val="20"/>
        </w:rPr>
        <w:t xml:space="preserve"> and Practices</w:t>
      </w:r>
    </w:p>
    <w:p w14:paraId="3782A083" w14:textId="2DAC6F1C" w:rsidR="00B52A1B" w:rsidRDefault="00B52A1B" w:rsidP="00B52A1B">
      <w:pPr>
        <w:pStyle w:val="IEEEParagraph"/>
        <w:rPr>
          <w:sz w:val="20"/>
          <w:szCs w:val="20"/>
        </w:rPr>
      </w:pPr>
    </w:p>
    <w:p w14:paraId="71ECD850" w14:textId="77777777" w:rsidR="00B52A1B" w:rsidRPr="00B52A1B" w:rsidRDefault="00B52A1B" w:rsidP="00B52A1B">
      <w:pPr>
        <w:spacing w:after="120"/>
        <w:jc w:val="center"/>
        <w:rPr>
          <w:sz w:val="20"/>
          <w:szCs w:val="20"/>
        </w:rPr>
      </w:pPr>
      <w:r w:rsidRPr="00B52A1B">
        <w:rPr>
          <w:rFonts w:eastAsia="Arial"/>
          <w:sz w:val="20"/>
          <w:szCs w:val="20"/>
        </w:rPr>
        <w:t>Table 6. Weighted Mean Scores for General Cybersecurity Awareness and Practices</w:t>
      </w:r>
    </w:p>
    <w:tbl>
      <w:tblPr>
        <w:tblStyle w:val="TableGrid"/>
        <w:tblW w:w="10247" w:type="dxa"/>
        <w:tblInd w:w="355" w:type="dxa"/>
        <w:tblLook w:val="04A0" w:firstRow="1" w:lastRow="0" w:firstColumn="1" w:lastColumn="0" w:noHBand="0" w:noVBand="1"/>
      </w:tblPr>
      <w:tblGrid>
        <w:gridCol w:w="3510"/>
        <w:gridCol w:w="905"/>
        <w:gridCol w:w="990"/>
        <w:gridCol w:w="1260"/>
        <w:gridCol w:w="1080"/>
        <w:gridCol w:w="900"/>
        <w:gridCol w:w="1602"/>
      </w:tblGrid>
      <w:tr w:rsidR="00B52A1B" w:rsidRPr="00EC6393" w14:paraId="14390472" w14:textId="77777777" w:rsidTr="00B01B61">
        <w:trPr>
          <w:trHeight w:val="323"/>
        </w:trPr>
        <w:tc>
          <w:tcPr>
            <w:tcW w:w="3510" w:type="dxa"/>
            <w:shd w:val="clear" w:color="auto" w:fill="C5E0B3" w:themeFill="accent6" w:themeFillTint="66"/>
            <w:vAlign w:val="center"/>
          </w:tcPr>
          <w:p w14:paraId="26336B3A" w14:textId="77777777" w:rsidR="00B52A1B" w:rsidRPr="00EC6393" w:rsidRDefault="00B52A1B" w:rsidP="00A8783A">
            <w:pPr>
              <w:pStyle w:val="IEEEParagraph"/>
              <w:ind w:firstLine="0"/>
              <w:jc w:val="center"/>
              <w:rPr>
                <w:b/>
                <w:bCs/>
                <w:color w:val="000000" w:themeColor="text1"/>
                <w:sz w:val="20"/>
                <w:szCs w:val="20"/>
              </w:rPr>
            </w:pPr>
            <w:r w:rsidRPr="00EC6393">
              <w:rPr>
                <w:rFonts w:eastAsia="Arial"/>
                <w:b/>
                <w:bCs/>
                <w:color w:val="000000" w:themeColor="text1"/>
                <w:sz w:val="20"/>
                <w:szCs w:val="20"/>
              </w:rPr>
              <w:t>Indicators</w:t>
            </w:r>
          </w:p>
        </w:tc>
        <w:tc>
          <w:tcPr>
            <w:tcW w:w="905" w:type="dxa"/>
            <w:shd w:val="clear" w:color="auto" w:fill="C5E0B3" w:themeFill="accent6" w:themeFillTint="66"/>
            <w:vAlign w:val="center"/>
          </w:tcPr>
          <w:p w14:paraId="1DA554C8" w14:textId="36437C3A" w:rsidR="00B52A1B" w:rsidRPr="00EC6393" w:rsidRDefault="00B52A1B" w:rsidP="00A8783A">
            <w:pPr>
              <w:pStyle w:val="IEEEParagraph"/>
              <w:ind w:firstLine="0"/>
              <w:jc w:val="center"/>
              <w:rPr>
                <w:b/>
                <w:bCs/>
                <w:color w:val="000000" w:themeColor="text1"/>
                <w:sz w:val="20"/>
                <w:szCs w:val="20"/>
              </w:rPr>
            </w:pPr>
            <w:r>
              <w:rPr>
                <w:b/>
                <w:bCs/>
                <w:color w:val="000000" w:themeColor="text1"/>
                <w:sz w:val="20"/>
                <w:szCs w:val="20"/>
              </w:rPr>
              <w:t>1</w:t>
            </w:r>
            <w:r w:rsidRPr="00B52A1B">
              <w:rPr>
                <w:b/>
                <w:bCs/>
                <w:color w:val="000000" w:themeColor="text1"/>
                <w:sz w:val="20"/>
                <w:szCs w:val="20"/>
                <w:vertAlign w:val="superscript"/>
              </w:rPr>
              <w:t>st</w:t>
            </w:r>
            <w:r>
              <w:rPr>
                <w:b/>
                <w:bCs/>
                <w:color w:val="000000" w:themeColor="text1"/>
                <w:sz w:val="20"/>
                <w:szCs w:val="20"/>
              </w:rPr>
              <w:t xml:space="preserve"> Year</w:t>
            </w:r>
          </w:p>
        </w:tc>
        <w:tc>
          <w:tcPr>
            <w:tcW w:w="990" w:type="dxa"/>
            <w:shd w:val="clear" w:color="auto" w:fill="C5E0B3" w:themeFill="accent6" w:themeFillTint="66"/>
            <w:vAlign w:val="center"/>
          </w:tcPr>
          <w:p w14:paraId="6AB245C9" w14:textId="641FC028" w:rsidR="00B52A1B" w:rsidRPr="00EC6393" w:rsidRDefault="00B52A1B" w:rsidP="00A8783A">
            <w:pPr>
              <w:pStyle w:val="IEEEParagraph"/>
              <w:ind w:firstLine="0"/>
              <w:jc w:val="center"/>
              <w:rPr>
                <w:b/>
                <w:bCs/>
                <w:color w:val="000000" w:themeColor="text1"/>
                <w:sz w:val="20"/>
                <w:szCs w:val="20"/>
              </w:rPr>
            </w:pPr>
            <w:r>
              <w:rPr>
                <w:rFonts w:eastAsia="Arial"/>
                <w:b/>
                <w:bCs/>
                <w:color w:val="000000" w:themeColor="text1"/>
                <w:sz w:val="20"/>
                <w:szCs w:val="20"/>
              </w:rPr>
              <w:t>2</w:t>
            </w:r>
            <w:r w:rsidRPr="00B52A1B">
              <w:rPr>
                <w:rFonts w:eastAsia="Arial"/>
                <w:b/>
                <w:bCs/>
                <w:color w:val="000000" w:themeColor="text1"/>
                <w:sz w:val="20"/>
                <w:szCs w:val="20"/>
                <w:vertAlign w:val="superscript"/>
              </w:rPr>
              <w:t>nd</w:t>
            </w:r>
            <w:r>
              <w:rPr>
                <w:rFonts w:eastAsia="Arial"/>
                <w:b/>
                <w:bCs/>
                <w:color w:val="000000" w:themeColor="text1"/>
                <w:sz w:val="20"/>
                <w:szCs w:val="20"/>
              </w:rPr>
              <w:t xml:space="preserve"> Year</w:t>
            </w:r>
          </w:p>
        </w:tc>
        <w:tc>
          <w:tcPr>
            <w:tcW w:w="1260" w:type="dxa"/>
            <w:shd w:val="clear" w:color="auto" w:fill="C5E0B3" w:themeFill="accent6" w:themeFillTint="66"/>
            <w:vAlign w:val="center"/>
          </w:tcPr>
          <w:p w14:paraId="542C14A6" w14:textId="6CF0F372" w:rsidR="00B52A1B" w:rsidRPr="00EC6393" w:rsidRDefault="00B52A1B" w:rsidP="00A8783A">
            <w:pPr>
              <w:pStyle w:val="IEEEParagraph"/>
              <w:ind w:firstLine="0"/>
              <w:jc w:val="center"/>
              <w:rPr>
                <w:b/>
                <w:bCs/>
                <w:color w:val="000000" w:themeColor="text1"/>
                <w:sz w:val="20"/>
                <w:szCs w:val="20"/>
              </w:rPr>
            </w:pPr>
            <w:r>
              <w:rPr>
                <w:rFonts w:eastAsia="Arial"/>
                <w:b/>
                <w:bCs/>
                <w:color w:val="000000" w:themeColor="text1"/>
                <w:sz w:val="20"/>
                <w:szCs w:val="20"/>
              </w:rPr>
              <w:t>3</w:t>
            </w:r>
            <w:r w:rsidRPr="00B52A1B">
              <w:rPr>
                <w:rFonts w:eastAsia="Arial"/>
                <w:b/>
                <w:bCs/>
                <w:color w:val="000000" w:themeColor="text1"/>
                <w:sz w:val="20"/>
                <w:szCs w:val="20"/>
                <w:vertAlign w:val="superscript"/>
              </w:rPr>
              <w:t>rd</w:t>
            </w:r>
            <w:r>
              <w:rPr>
                <w:rFonts w:eastAsia="Arial"/>
                <w:b/>
                <w:bCs/>
                <w:color w:val="000000" w:themeColor="text1"/>
                <w:sz w:val="20"/>
                <w:szCs w:val="20"/>
              </w:rPr>
              <w:t xml:space="preserve"> Year</w:t>
            </w:r>
          </w:p>
        </w:tc>
        <w:tc>
          <w:tcPr>
            <w:tcW w:w="1080" w:type="dxa"/>
            <w:shd w:val="clear" w:color="auto" w:fill="C5E0B3" w:themeFill="accent6" w:themeFillTint="66"/>
            <w:vAlign w:val="center"/>
          </w:tcPr>
          <w:p w14:paraId="3A20FBF9" w14:textId="3E2FB319" w:rsidR="00B52A1B" w:rsidRPr="00EC6393" w:rsidRDefault="00B52A1B" w:rsidP="00A8783A">
            <w:pPr>
              <w:pStyle w:val="IEEEParagraph"/>
              <w:ind w:firstLine="0"/>
              <w:jc w:val="center"/>
              <w:rPr>
                <w:b/>
                <w:bCs/>
                <w:color w:val="000000" w:themeColor="text1"/>
                <w:sz w:val="20"/>
                <w:szCs w:val="20"/>
              </w:rPr>
            </w:pPr>
            <w:r>
              <w:rPr>
                <w:rFonts w:eastAsia="Arial"/>
                <w:b/>
                <w:bCs/>
                <w:color w:val="000000" w:themeColor="text1"/>
                <w:sz w:val="20"/>
                <w:szCs w:val="20"/>
              </w:rPr>
              <w:t>4</w:t>
            </w:r>
            <w:r w:rsidRPr="00B52A1B">
              <w:rPr>
                <w:rFonts w:eastAsia="Arial"/>
                <w:b/>
                <w:bCs/>
                <w:color w:val="000000" w:themeColor="text1"/>
                <w:sz w:val="20"/>
                <w:szCs w:val="20"/>
                <w:vertAlign w:val="superscript"/>
              </w:rPr>
              <w:t>th</w:t>
            </w:r>
            <w:r>
              <w:rPr>
                <w:rFonts w:eastAsia="Arial"/>
                <w:b/>
                <w:bCs/>
                <w:color w:val="000000" w:themeColor="text1"/>
                <w:sz w:val="20"/>
                <w:szCs w:val="20"/>
              </w:rPr>
              <w:t xml:space="preserve"> Year</w:t>
            </w:r>
          </w:p>
        </w:tc>
        <w:tc>
          <w:tcPr>
            <w:tcW w:w="900" w:type="dxa"/>
            <w:shd w:val="clear" w:color="auto" w:fill="C5E0B3" w:themeFill="accent6" w:themeFillTint="66"/>
            <w:vAlign w:val="center"/>
          </w:tcPr>
          <w:p w14:paraId="1E6F46DE" w14:textId="77777777" w:rsidR="00B52A1B" w:rsidRPr="00EC6393" w:rsidRDefault="00B52A1B" w:rsidP="00A8783A">
            <w:pPr>
              <w:pStyle w:val="IEEEParagraph"/>
              <w:ind w:firstLine="0"/>
              <w:jc w:val="center"/>
              <w:rPr>
                <w:b/>
                <w:bCs/>
                <w:color w:val="000000" w:themeColor="text1"/>
                <w:sz w:val="20"/>
                <w:szCs w:val="20"/>
              </w:rPr>
            </w:pPr>
            <w:r w:rsidRPr="00EC6393">
              <w:rPr>
                <w:rFonts w:eastAsia="Arial"/>
                <w:b/>
                <w:bCs/>
                <w:color w:val="000000" w:themeColor="text1"/>
                <w:sz w:val="20"/>
                <w:szCs w:val="20"/>
              </w:rPr>
              <w:t>Mean</w:t>
            </w:r>
          </w:p>
        </w:tc>
        <w:tc>
          <w:tcPr>
            <w:tcW w:w="1602" w:type="dxa"/>
            <w:shd w:val="clear" w:color="auto" w:fill="C5E0B3" w:themeFill="accent6" w:themeFillTint="66"/>
            <w:vAlign w:val="center"/>
          </w:tcPr>
          <w:p w14:paraId="2DFE6A19" w14:textId="77777777" w:rsidR="00B52A1B" w:rsidRPr="00EC6393" w:rsidRDefault="00B52A1B" w:rsidP="00A8783A">
            <w:pPr>
              <w:pStyle w:val="IEEEParagraph"/>
              <w:ind w:firstLine="0"/>
              <w:jc w:val="center"/>
              <w:rPr>
                <w:b/>
                <w:bCs/>
                <w:color w:val="000000" w:themeColor="text1"/>
                <w:sz w:val="20"/>
                <w:szCs w:val="20"/>
              </w:rPr>
            </w:pPr>
            <w:r w:rsidRPr="00EC6393">
              <w:rPr>
                <w:rFonts w:eastAsia="Arial"/>
                <w:b/>
                <w:bCs/>
                <w:color w:val="000000" w:themeColor="text1"/>
                <w:sz w:val="20"/>
                <w:szCs w:val="20"/>
              </w:rPr>
              <w:t>Interpretation</w:t>
            </w:r>
          </w:p>
        </w:tc>
      </w:tr>
      <w:tr w:rsidR="00B52A1B" w:rsidRPr="00EC6393" w14:paraId="37DA8780" w14:textId="77777777" w:rsidTr="00B52A1B">
        <w:tc>
          <w:tcPr>
            <w:tcW w:w="3510" w:type="dxa"/>
            <w:vAlign w:val="center"/>
          </w:tcPr>
          <w:p w14:paraId="6A6C4834" w14:textId="77777777" w:rsidR="00B52A1B" w:rsidRPr="00EC6393" w:rsidRDefault="00B52A1B" w:rsidP="00A8783A">
            <w:pPr>
              <w:pStyle w:val="IEEEParagraph"/>
              <w:ind w:firstLine="0"/>
              <w:rPr>
                <w:sz w:val="20"/>
                <w:szCs w:val="20"/>
              </w:rPr>
            </w:pPr>
            <w:r w:rsidRPr="00EC6393">
              <w:rPr>
                <w:rFonts w:eastAsia="Arial"/>
                <w:sz w:val="20"/>
                <w:szCs w:val="20"/>
              </w:rPr>
              <w:t>I use strong and unique passwords for my accounts.</w:t>
            </w:r>
          </w:p>
        </w:tc>
        <w:tc>
          <w:tcPr>
            <w:tcW w:w="905" w:type="dxa"/>
            <w:vAlign w:val="center"/>
          </w:tcPr>
          <w:p w14:paraId="571AD4F8" w14:textId="77777777" w:rsidR="00B52A1B" w:rsidRPr="00EC6393" w:rsidRDefault="00B52A1B" w:rsidP="00A8783A">
            <w:pPr>
              <w:pStyle w:val="IEEEParagraph"/>
              <w:ind w:firstLine="0"/>
              <w:jc w:val="center"/>
              <w:rPr>
                <w:sz w:val="20"/>
                <w:szCs w:val="20"/>
              </w:rPr>
            </w:pPr>
            <w:r w:rsidRPr="00EC6393">
              <w:rPr>
                <w:rFonts w:eastAsia="Arial"/>
                <w:sz w:val="20"/>
                <w:szCs w:val="20"/>
              </w:rPr>
              <w:t>4.56</w:t>
            </w:r>
          </w:p>
        </w:tc>
        <w:tc>
          <w:tcPr>
            <w:tcW w:w="990" w:type="dxa"/>
            <w:vAlign w:val="center"/>
          </w:tcPr>
          <w:p w14:paraId="3B692561" w14:textId="77777777" w:rsidR="00B52A1B" w:rsidRPr="00EC6393" w:rsidRDefault="00B52A1B" w:rsidP="00A8783A">
            <w:pPr>
              <w:pStyle w:val="IEEEParagraph"/>
              <w:ind w:firstLine="0"/>
              <w:jc w:val="center"/>
              <w:rPr>
                <w:sz w:val="20"/>
                <w:szCs w:val="20"/>
              </w:rPr>
            </w:pPr>
            <w:r w:rsidRPr="00EC6393">
              <w:rPr>
                <w:rFonts w:eastAsia="Arial"/>
                <w:sz w:val="20"/>
                <w:szCs w:val="20"/>
              </w:rPr>
              <w:t>4.48</w:t>
            </w:r>
          </w:p>
        </w:tc>
        <w:tc>
          <w:tcPr>
            <w:tcW w:w="1260" w:type="dxa"/>
            <w:vAlign w:val="center"/>
          </w:tcPr>
          <w:p w14:paraId="4BCBDAAC" w14:textId="77777777" w:rsidR="00B52A1B" w:rsidRPr="00EC6393" w:rsidRDefault="00B52A1B" w:rsidP="00A8783A">
            <w:pPr>
              <w:pStyle w:val="IEEEParagraph"/>
              <w:ind w:firstLine="0"/>
              <w:jc w:val="center"/>
              <w:rPr>
                <w:sz w:val="20"/>
                <w:szCs w:val="20"/>
              </w:rPr>
            </w:pPr>
            <w:r w:rsidRPr="00EC6393">
              <w:rPr>
                <w:rFonts w:eastAsia="Arial"/>
                <w:sz w:val="20"/>
                <w:szCs w:val="20"/>
              </w:rPr>
              <w:t>4.60</w:t>
            </w:r>
          </w:p>
        </w:tc>
        <w:tc>
          <w:tcPr>
            <w:tcW w:w="1080" w:type="dxa"/>
            <w:vAlign w:val="center"/>
          </w:tcPr>
          <w:p w14:paraId="6690C98E"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4.56</w:t>
            </w:r>
          </w:p>
        </w:tc>
        <w:tc>
          <w:tcPr>
            <w:tcW w:w="900" w:type="dxa"/>
            <w:vAlign w:val="center"/>
          </w:tcPr>
          <w:p w14:paraId="5B913AF4" w14:textId="77777777" w:rsidR="00B52A1B" w:rsidRPr="00EC6393" w:rsidRDefault="00B52A1B" w:rsidP="00A8783A">
            <w:pPr>
              <w:pStyle w:val="IEEEParagraph"/>
              <w:ind w:firstLine="0"/>
              <w:jc w:val="center"/>
              <w:rPr>
                <w:rFonts w:eastAsia="Arial"/>
                <w:sz w:val="20"/>
                <w:szCs w:val="20"/>
              </w:rPr>
            </w:pPr>
            <w:r w:rsidRPr="00EC6393">
              <w:rPr>
                <w:rFonts w:eastAsia="Arial"/>
                <w:b/>
                <w:bCs/>
                <w:sz w:val="20"/>
                <w:szCs w:val="20"/>
              </w:rPr>
              <w:t>4.55</w:t>
            </w:r>
          </w:p>
        </w:tc>
        <w:tc>
          <w:tcPr>
            <w:tcW w:w="1602" w:type="dxa"/>
            <w:vAlign w:val="center"/>
          </w:tcPr>
          <w:p w14:paraId="6D8F91D5"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Always</w:t>
            </w:r>
          </w:p>
        </w:tc>
      </w:tr>
      <w:tr w:rsidR="00B52A1B" w:rsidRPr="00EC6393" w14:paraId="2E627527" w14:textId="77777777" w:rsidTr="00B52A1B">
        <w:tc>
          <w:tcPr>
            <w:tcW w:w="3510" w:type="dxa"/>
            <w:vAlign w:val="center"/>
          </w:tcPr>
          <w:p w14:paraId="558CFB5C" w14:textId="77777777" w:rsidR="00B52A1B" w:rsidRPr="00EC6393" w:rsidRDefault="00B52A1B" w:rsidP="00A8783A">
            <w:pPr>
              <w:pStyle w:val="IEEEParagraph"/>
              <w:ind w:firstLine="0"/>
              <w:rPr>
                <w:sz w:val="20"/>
                <w:szCs w:val="20"/>
              </w:rPr>
            </w:pPr>
            <w:r w:rsidRPr="00EC6393">
              <w:rPr>
                <w:rFonts w:eastAsia="Arial"/>
                <w:sz w:val="20"/>
                <w:szCs w:val="20"/>
              </w:rPr>
              <w:t>I enable two-factor authentication when available.</w:t>
            </w:r>
          </w:p>
        </w:tc>
        <w:tc>
          <w:tcPr>
            <w:tcW w:w="905" w:type="dxa"/>
            <w:vAlign w:val="center"/>
          </w:tcPr>
          <w:p w14:paraId="1C93EBAA" w14:textId="77777777" w:rsidR="00B52A1B" w:rsidRPr="00EC6393" w:rsidRDefault="00B52A1B" w:rsidP="00A8783A">
            <w:pPr>
              <w:pStyle w:val="IEEEParagraph"/>
              <w:ind w:firstLine="0"/>
              <w:jc w:val="center"/>
              <w:rPr>
                <w:sz w:val="20"/>
                <w:szCs w:val="20"/>
              </w:rPr>
            </w:pPr>
            <w:r w:rsidRPr="00EC6393">
              <w:rPr>
                <w:rFonts w:eastAsia="Arial"/>
                <w:sz w:val="20"/>
                <w:szCs w:val="20"/>
              </w:rPr>
              <w:t>4.52</w:t>
            </w:r>
          </w:p>
        </w:tc>
        <w:tc>
          <w:tcPr>
            <w:tcW w:w="990" w:type="dxa"/>
            <w:vAlign w:val="center"/>
          </w:tcPr>
          <w:p w14:paraId="71C49A2B" w14:textId="77777777" w:rsidR="00B52A1B" w:rsidRPr="00EC6393" w:rsidRDefault="00B52A1B" w:rsidP="00A8783A">
            <w:pPr>
              <w:pStyle w:val="IEEEParagraph"/>
              <w:ind w:firstLine="0"/>
              <w:jc w:val="center"/>
              <w:rPr>
                <w:sz w:val="20"/>
                <w:szCs w:val="20"/>
              </w:rPr>
            </w:pPr>
            <w:r w:rsidRPr="00EC6393">
              <w:rPr>
                <w:rFonts w:eastAsia="Arial"/>
                <w:sz w:val="20"/>
                <w:szCs w:val="20"/>
              </w:rPr>
              <w:t>4.68</w:t>
            </w:r>
          </w:p>
        </w:tc>
        <w:tc>
          <w:tcPr>
            <w:tcW w:w="1260" w:type="dxa"/>
            <w:vAlign w:val="center"/>
          </w:tcPr>
          <w:p w14:paraId="1E5B536B" w14:textId="77777777" w:rsidR="00B52A1B" w:rsidRPr="00EC6393" w:rsidRDefault="00B52A1B" w:rsidP="00A8783A">
            <w:pPr>
              <w:pStyle w:val="IEEEParagraph"/>
              <w:ind w:firstLine="0"/>
              <w:jc w:val="center"/>
              <w:rPr>
                <w:sz w:val="20"/>
                <w:szCs w:val="20"/>
              </w:rPr>
            </w:pPr>
            <w:r w:rsidRPr="00EC6393">
              <w:rPr>
                <w:rFonts w:eastAsia="Arial"/>
                <w:sz w:val="20"/>
                <w:szCs w:val="20"/>
              </w:rPr>
              <w:t>4.96</w:t>
            </w:r>
          </w:p>
        </w:tc>
        <w:tc>
          <w:tcPr>
            <w:tcW w:w="1080" w:type="dxa"/>
            <w:vAlign w:val="center"/>
          </w:tcPr>
          <w:p w14:paraId="309BE3A6"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4.60</w:t>
            </w:r>
          </w:p>
        </w:tc>
        <w:tc>
          <w:tcPr>
            <w:tcW w:w="900" w:type="dxa"/>
            <w:vAlign w:val="center"/>
          </w:tcPr>
          <w:p w14:paraId="67791E7C" w14:textId="77777777" w:rsidR="00B52A1B" w:rsidRPr="00EC6393" w:rsidRDefault="00B52A1B" w:rsidP="00A8783A">
            <w:pPr>
              <w:pStyle w:val="IEEEParagraph"/>
              <w:ind w:firstLine="0"/>
              <w:jc w:val="center"/>
              <w:rPr>
                <w:rFonts w:eastAsia="Arial"/>
                <w:sz w:val="20"/>
                <w:szCs w:val="20"/>
              </w:rPr>
            </w:pPr>
            <w:r w:rsidRPr="00EC6393">
              <w:rPr>
                <w:rFonts w:eastAsia="Arial"/>
                <w:b/>
                <w:bCs/>
                <w:sz w:val="20"/>
                <w:szCs w:val="20"/>
              </w:rPr>
              <w:t>4.69</w:t>
            </w:r>
          </w:p>
        </w:tc>
        <w:tc>
          <w:tcPr>
            <w:tcW w:w="1602" w:type="dxa"/>
            <w:vAlign w:val="center"/>
          </w:tcPr>
          <w:p w14:paraId="2C936A51"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Always</w:t>
            </w:r>
          </w:p>
        </w:tc>
      </w:tr>
      <w:tr w:rsidR="00B52A1B" w:rsidRPr="00EC6393" w14:paraId="5704FF7B" w14:textId="77777777" w:rsidTr="00B52A1B">
        <w:tc>
          <w:tcPr>
            <w:tcW w:w="3510" w:type="dxa"/>
            <w:vAlign w:val="center"/>
          </w:tcPr>
          <w:p w14:paraId="123516D6" w14:textId="77777777" w:rsidR="00B52A1B" w:rsidRPr="00EC6393" w:rsidRDefault="00B52A1B" w:rsidP="00A8783A">
            <w:pPr>
              <w:pStyle w:val="IEEEParagraph"/>
              <w:ind w:firstLine="0"/>
              <w:rPr>
                <w:sz w:val="20"/>
                <w:szCs w:val="20"/>
              </w:rPr>
            </w:pPr>
            <w:r w:rsidRPr="00EC6393">
              <w:rPr>
                <w:rFonts w:eastAsia="Arial"/>
                <w:sz w:val="20"/>
                <w:szCs w:val="20"/>
              </w:rPr>
              <w:t>I regularly update my software and applications.</w:t>
            </w:r>
          </w:p>
        </w:tc>
        <w:tc>
          <w:tcPr>
            <w:tcW w:w="905" w:type="dxa"/>
            <w:vAlign w:val="center"/>
          </w:tcPr>
          <w:p w14:paraId="19B9D607" w14:textId="77777777" w:rsidR="00B52A1B" w:rsidRPr="00EC6393" w:rsidRDefault="00B52A1B" w:rsidP="00A8783A">
            <w:pPr>
              <w:pStyle w:val="IEEEParagraph"/>
              <w:ind w:firstLine="0"/>
              <w:jc w:val="center"/>
              <w:rPr>
                <w:sz w:val="20"/>
                <w:szCs w:val="20"/>
              </w:rPr>
            </w:pPr>
            <w:r w:rsidRPr="00EC6393">
              <w:rPr>
                <w:rFonts w:eastAsia="Arial"/>
                <w:sz w:val="20"/>
                <w:szCs w:val="20"/>
              </w:rPr>
              <w:t>4.36</w:t>
            </w:r>
          </w:p>
        </w:tc>
        <w:tc>
          <w:tcPr>
            <w:tcW w:w="990" w:type="dxa"/>
            <w:vAlign w:val="center"/>
          </w:tcPr>
          <w:p w14:paraId="09548C8F" w14:textId="77777777" w:rsidR="00B52A1B" w:rsidRPr="00EC6393" w:rsidRDefault="00B52A1B" w:rsidP="00A8783A">
            <w:pPr>
              <w:pStyle w:val="IEEEParagraph"/>
              <w:ind w:firstLine="0"/>
              <w:jc w:val="center"/>
              <w:rPr>
                <w:sz w:val="20"/>
                <w:szCs w:val="20"/>
              </w:rPr>
            </w:pPr>
            <w:r w:rsidRPr="00EC6393">
              <w:rPr>
                <w:rFonts w:eastAsia="Arial"/>
                <w:sz w:val="20"/>
                <w:szCs w:val="20"/>
              </w:rPr>
              <w:t>3.76</w:t>
            </w:r>
          </w:p>
        </w:tc>
        <w:tc>
          <w:tcPr>
            <w:tcW w:w="1260" w:type="dxa"/>
            <w:vAlign w:val="center"/>
          </w:tcPr>
          <w:p w14:paraId="0BA0FE67" w14:textId="77777777" w:rsidR="00B52A1B" w:rsidRPr="00EC6393" w:rsidRDefault="00B52A1B" w:rsidP="00A8783A">
            <w:pPr>
              <w:pStyle w:val="IEEEParagraph"/>
              <w:ind w:firstLine="0"/>
              <w:jc w:val="center"/>
              <w:rPr>
                <w:sz w:val="20"/>
                <w:szCs w:val="20"/>
              </w:rPr>
            </w:pPr>
            <w:r w:rsidRPr="00EC6393">
              <w:rPr>
                <w:rFonts w:eastAsia="Arial"/>
                <w:sz w:val="20"/>
                <w:szCs w:val="20"/>
              </w:rPr>
              <w:t>4.52</w:t>
            </w:r>
          </w:p>
        </w:tc>
        <w:tc>
          <w:tcPr>
            <w:tcW w:w="1080" w:type="dxa"/>
            <w:vAlign w:val="center"/>
          </w:tcPr>
          <w:p w14:paraId="3A4C6E97"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4.56</w:t>
            </w:r>
          </w:p>
        </w:tc>
        <w:tc>
          <w:tcPr>
            <w:tcW w:w="900" w:type="dxa"/>
            <w:vAlign w:val="center"/>
          </w:tcPr>
          <w:p w14:paraId="213B6109" w14:textId="77777777" w:rsidR="00B52A1B" w:rsidRPr="00EC6393" w:rsidRDefault="00B52A1B" w:rsidP="00A8783A">
            <w:pPr>
              <w:pStyle w:val="IEEEParagraph"/>
              <w:ind w:firstLine="0"/>
              <w:jc w:val="center"/>
              <w:rPr>
                <w:rFonts w:eastAsia="Arial"/>
                <w:sz w:val="20"/>
                <w:szCs w:val="20"/>
              </w:rPr>
            </w:pPr>
            <w:r w:rsidRPr="00EC6393">
              <w:rPr>
                <w:rFonts w:eastAsia="Arial"/>
                <w:b/>
                <w:bCs/>
                <w:sz w:val="20"/>
                <w:szCs w:val="20"/>
              </w:rPr>
              <w:t>4.30</w:t>
            </w:r>
          </w:p>
        </w:tc>
        <w:tc>
          <w:tcPr>
            <w:tcW w:w="1602" w:type="dxa"/>
            <w:vAlign w:val="center"/>
          </w:tcPr>
          <w:p w14:paraId="7E06695D"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Often</w:t>
            </w:r>
          </w:p>
        </w:tc>
      </w:tr>
      <w:tr w:rsidR="00B52A1B" w:rsidRPr="00EC6393" w14:paraId="2826F5C8" w14:textId="77777777" w:rsidTr="00B52A1B">
        <w:tc>
          <w:tcPr>
            <w:tcW w:w="3510" w:type="dxa"/>
            <w:vAlign w:val="center"/>
          </w:tcPr>
          <w:p w14:paraId="75CA04B2" w14:textId="77777777" w:rsidR="00B52A1B" w:rsidRPr="00EC6393" w:rsidRDefault="00B52A1B" w:rsidP="00A8783A">
            <w:pPr>
              <w:pStyle w:val="IEEEParagraph"/>
              <w:ind w:firstLine="0"/>
              <w:rPr>
                <w:rFonts w:eastAsia="Arial"/>
                <w:sz w:val="20"/>
                <w:szCs w:val="20"/>
              </w:rPr>
            </w:pPr>
            <w:r w:rsidRPr="00EC6393">
              <w:rPr>
                <w:rFonts w:eastAsia="Arial"/>
                <w:sz w:val="20"/>
                <w:szCs w:val="20"/>
              </w:rPr>
              <w:t>I am aware of common phishing tactics.</w:t>
            </w:r>
          </w:p>
        </w:tc>
        <w:tc>
          <w:tcPr>
            <w:tcW w:w="905" w:type="dxa"/>
            <w:vAlign w:val="center"/>
          </w:tcPr>
          <w:p w14:paraId="622319E5"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4.52</w:t>
            </w:r>
          </w:p>
        </w:tc>
        <w:tc>
          <w:tcPr>
            <w:tcW w:w="990" w:type="dxa"/>
            <w:vAlign w:val="center"/>
          </w:tcPr>
          <w:p w14:paraId="77A5627F"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4.60</w:t>
            </w:r>
          </w:p>
        </w:tc>
        <w:tc>
          <w:tcPr>
            <w:tcW w:w="1260" w:type="dxa"/>
            <w:vAlign w:val="center"/>
          </w:tcPr>
          <w:p w14:paraId="1EC08917"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4.76</w:t>
            </w:r>
          </w:p>
        </w:tc>
        <w:tc>
          <w:tcPr>
            <w:tcW w:w="1080" w:type="dxa"/>
            <w:vAlign w:val="center"/>
          </w:tcPr>
          <w:p w14:paraId="5B580102"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4.56</w:t>
            </w:r>
          </w:p>
        </w:tc>
        <w:tc>
          <w:tcPr>
            <w:tcW w:w="900" w:type="dxa"/>
            <w:vAlign w:val="center"/>
          </w:tcPr>
          <w:p w14:paraId="5A2B98C5" w14:textId="77777777" w:rsidR="00B52A1B" w:rsidRPr="00EC6393" w:rsidRDefault="00B52A1B" w:rsidP="00A8783A">
            <w:pPr>
              <w:pStyle w:val="IEEEParagraph"/>
              <w:ind w:firstLine="0"/>
              <w:jc w:val="center"/>
              <w:rPr>
                <w:rFonts w:eastAsia="Arial"/>
                <w:sz w:val="20"/>
                <w:szCs w:val="20"/>
              </w:rPr>
            </w:pPr>
            <w:r w:rsidRPr="00EC6393">
              <w:rPr>
                <w:rFonts w:eastAsia="Arial"/>
                <w:b/>
                <w:bCs/>
                <w:sz w:val="20"/>
                <w:szCs w:val="20"/>
              </w:rPr>
              <w:t>4.61</w:t>
            </w:r>
          </w:p>
        </w:tc>
        <w:tc>
          <w:tcPr>
            <w:tcW w:w="1602" w:type="dxa"/>
            <w:vAlign w:val="center"/>
          </w:tcPr>
          <w:p w14:paraId="55909EBF"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Always</w:t>
            </w:r>
          </w:p>
        </w:tc>
      </w:tr>
      <w:tr w:rsidR="00B52A1B" w:rsidRPr="00EC6393" w14:paraId="5206CEDC" w14:textId="77777777" w:rsidTr="00B52A1B">
        <w:tc>
          <w:tcPr>
            <w:tcW w:w="3510" w:type="dxa"/>
            <w:vAlign w:val="center"/>
          </w:tcPr>
          <w:p w14:paraId="79AFBED0" w14:textId="77777777" w:rsidR="00B52A1B" w:rsidRPr="00EC6393" w:rsidRDefault="00B52A1B" w:rsidP="00A8783A">
            <w:pPr>
              <w:pStyle w:val="IEEEParagraph"/>
              <w:ind w:firstLine="0"/>
              <w:rPr>
                <w:rFonts w:eastAsia="Arial"/>
                <w:sz w:val="20"/>
                <w:szCs w:val="20"/>
              </w:rPr>
            </w:pPr>
            <w:r w:rsidRPr="00EC6393">
              <w:rPr>
                <w:rFonts w:eastAsia="Arial"/>
                <w:sz w:val="20"/>
                <w:szCs w:val="20"/>
              </w:rPr>
              <w:t>I avoid sharing personal information online unnecessarily.</w:t>
            </w:r>
          </w:p>
        </w:tc>
        <w:tc>
          <w:tcPr>
            <w:tcW w:w="905" w:type="dxa"/>
            <w:vAlign w:val="center"/>
          </w:tcPr>
          <w:p w14:paraId="66382480"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4.68</w:t>
            </w:r>
          </w:p>
        </w:tc>
        <w:tc>
          <w:tcPr>
            <w:tcW w:w="990" w:type="dxa"/>
            <w:vAlign w:val="center"/>
          </w:tcPr>
          <w:p w14:paraId="12DD34EB"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4.80</w:t>
            </w:r>
          </w:p>
        </w:tc>
        <w:tc>
          <w:tcPr>
            <w:tcW w:w="1260" w:type="dxa"/>
            <w:vAlign w:val="center"/>
          </w:tcPr>
          <w:p w14:paraId="4B43DCDC"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4.76</w:t>
            </w:r>
          </w:p>
        </w:tc>
        <w:tc>
          <w:tcPr>
            <w:tcW w:w="1080" w:type="dxa"/>
            <w:vAlign w:val="center"/>
          </w:tcPr>
          <w:p w14:paraId="057CB453"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4.76</w:t>
            </w:r>
          </w:p>
        </w:tc>
        <w:tc>
          <w:tcPr>
            <w:tcW w:w="900" w:type="dxa"/>
            <w:vAlign w:val="center"/>
          </w:tcPr>
          <w:p w14:paraId="1C1E83CF" w14:textId="77777777" w:rsidR="00B52A1B" w:rsidRPr="00EC6393" w:rsidRDefault="00B52A1B" w:rsidP="00A8783A">
            <w:pPr>
              <w:pStyle w:val="IEEEParagraph"/>
              <w:ind w:firstLine="0"/>
              <w:jc w:val="center"/>
              <w:rPr>
                <w:rFonts w:eastAsia="Arial"/>
                <w:sz w:val="20"/>
                <w:szCs w:val="20"/>
              </w:rPr>
            </w:pPr>
            <w:r w:rsidRPr="00EC6393">
              <w:rPr>
                <w:rFonts w:eastAsia="Arial"/>
                <w:b/>
                <w:bCs/>
                <w:sz w:val="20"/>
                <w:szCs w:val="20"/>
              </w:rPr>
              <w:t>4.75</w:t>
            </w:r>
          </w:p>
        </w:tc>
        <w:tc>
          <w:tcPr>
            <w:tcW w:w="1602" w:type="dxa"/>
            <w:vAlign w:val="center"/>
          </w:tcPr>
          <w:p w14:paraId="59B363C1"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Always</w:t>
            </w:r>
          </w:p>
        </w:tc>
      </w:tr>
      <w:tr w:rsidR="00B52A1B" w:rsidRPr="00EC6393" w14:paraId="24230DDB" w14:textId="77777777" w:rsidTr="00B52A1B">
        <w:tc>
          <w:tcPr>
            <w:tcW w:w="3510" w:type="dxa"/>
            <w:vAlign w:val="center"/>
          </w:tcPr>
          <w:p w14:paraId="6A3AAF67" w14:textId="77777777" w:rsidR="00B52A1B" w:rsidRPr="00EC6393" w:rsidRDefault="00B52A1B" w:rsidP="00A8783A">
            <w:pPr>
              <w:pStyle w:val="IEEEParagraph"/>
              <w:ind w:firstLine="0"/>
              <w:rPr>
                <w:rFonts w:eastAsia="Arial"/>
                <w:b/>
                <w:bCs/>
                <w:sz w:val="20"/>
                <w:szCs w:val="20"/>
              </w:rPr>
            </w:pPr>
            <w:r w:rsidRPr="00EC6393">
              <w:rPr>
                <w:rFonts w:eastAsia="Arial"/>
                <w:b/>
                <w:bCs/>
                <w:sz w:val="20"/>
                <w:szCs w:val="20"/>
              </w:rPr>
              <w:t>Section Mean</w:t>
            </w:r>
          </w:p>
        </w:tc>
        <w:tc>
          <w:tcPr>
            <w:tcW w:w="905" w:type="dxa"/>
            <w:vAlign w:val="center"/>
          </w:tcPr>
          <w:p w14:paraId="6867E851" w14:textId="77777777" w:rsidR="00B52A1B" w:rsidRPr="00EC6393" w:rsidRDefault="00B52A1B" w:rsidP="00A8783A">
            <w:pPr>
              <w:pStyle w:val="IEEEParagraph"/>
              <w:ind w:firstLine="0"/>
              <w:jc w:val="center"/>
              <w:rPr>
                <w:rFonts w:eastAsia="Arial"/>
                <w:b/>
                <w:bCs/>
                <w:sz w:val="20"/>
                <w:szCs w:val="20"/>
              </w:rPr>
            </w:pPr>
            <w:r w:rsidRPr="00EC6393">
              <w:rPr>
                <w:rFonts w:eastAsia="Arial"/>
                <w:b/>
                <w:bCs/>
                <w:sz w:val="20"/>
                <w:szCs w:val="20"/>
              </w:rPr>
              <w:t>4.53</w:t>
            </w:r>
          </w:p>
        </w:tc>
        <w:tc>
          <w:tcPr>
            <w:tcW w:w="990" w:type="dxa"/>
            <w:vAlign w:val="center"/>
          </w:tcPr>
          <w:p w14:paraId="75486CD3" w14:textId="77777777" w:rsidR="00B52A1B" w:rsidRPr="00EC6393" w:rsidRDefault="00B52A1B" w:rsidP="00A8783A">
            <w:pPr>
              <w:pStyle w:val="IEEEParagraph"/>
              <w:ind w:firstLine="0"/>
              <w:jc w:val="center"/>
              <w:rPr>
                <w:rFonts w:eastAsia="Arial"/>
                <w:b/>
                <w:bCs/>
                <w:sz w:val="20"/>
                <w:szCs w:val="20"/>
              </w:rPr>
            </w:pPr>
            <w:r w:rsidRPr="00EC6393">
              <w:rPr>
                <w:rFonts w:eastAsia="Arial"/>
                <w:b/>
                <w:bCs/>
                <w:sz w:val="20"/>
                <w:szCs w:val="20"/>
              </w:rPr>
              <w:t>4.46</w:t>
            </w:r>
          </w:p>
        </w:tc>
        <w:tc>
          <w:tcPr>
            <w:tcW w:w="1260" w:type="dxa"/>
            <w:vAlign w:val="center"/>
          </w:tcPr>
          <w:p w14:paraId="7683CF17" w14:textId="77777777" w:rsidR="00B52A1B" w:rsidRPr="00EC6393" w:rsidRDefault="00B52A1B" w:rsidP="00A8783A">
            <w:pPr>
              <w:pStyle w:val="IEEEParagraph"/>
              <w:ind w:firstLine="0"/>
              <w:jc w:val="center"/>
              <w:rPr>
                <w:rFonts w:eastAsia="Arial"/>
                <w:b/>
                <w:bCs/>
                <w:sz w:val="20"/>
                <w:szCs w:val="20"/>
              </w:rPr>
            </w:pPr>
            <w:r w:rsidRPr="00EC6393">
              <w:rPr>
                <w:rFonts w:eastAsia="Arial"/>
                <w:b/>
                <w:bCs/>
                <w:sz w:val="20"/>
                <w:szCs w:val="20"/>
              </w:rPr>
              <w:t>4.72</w:t>
            </w:r>
          </w:p>
        </w:tc>
        <w:tc>
          <w:tcPr>
            <w:tcW w:w="1080" w:type="dxa"/>
            <w:vAlign w:val="center"/>
          </w:tcPr>
          <w:p w14:paraId="39AC89AF" w14:textId="77777777" w:rsidR="00B52A1B" w:rsidRPr="00EC6393" w:rsidRDefault="00B52A1B" w:rsidP="00A8783A">
            <w:pPr>
              <w:pStyle w:val="IEEEParagraph"/>
              <w:ind w:firstLine="0"/>
              <w:jc w:val="center"/>
              <w:rPr>
                <w:rFonts w:eastAsia="Arial"/>
                <w:b/>
                <w:bCs/>
                <w:sz w:val="20"/>
                <w:szCs w:val="20"/>
              </w:rPr>
            </w:pPr>
            <w:r w:rsidRPr="00EC6393">
              <w:rPr>
                <w:rFonts w:eastAsia="Arial"/>
                <w:b/>
                <w:bCs/>
                <w:sz w:val="20"/>
                <w:szCs w:val="20"/>
              </w:rPr>
              <w:t>4.61</w:t>
            </w:r>
          </w:p>
        </w:tc>
        <w:tc>
          <w:tcPr>
            <w:tcW w:w="900" w:type="dxa"/>
            <w:vAlign w:val="center"/>
          </w:tcPr>
          <w:p w14:paraId="2B2AE0CF" w14:textId="77777777" w:rsidR="00B52A1B" w:rsidRPr="00EC6393" w:rsidRDefault="00B52A1B" w:rsidP="00A8783A">
            <w:pPr>
              <w:pStyle w:val="IEEEParagraph"/>
              <w:ind w:firstLine="0"/>
              <w:jc w:val="center"/>
              <w:rPr>
                <w:rFonts w:eastAsia="Arial"/>
                <w:b/>
                <w:bCs/>
                <w:sz w:val="20"/>
                <w:szCs w:val="20"/>
              </w:rPr>
            </w:pPr>
            <w:r w:rsidRPr="00EC6393">
              <w:rPr>
                <w:rFonts w:eastAsia="Arial"/>
                <w:b/>
                <w:bCs/>
                <w:sz w:val="20"/>
                <w:szCs w:val="20"/>
              </w:rPr>
              <w:t>4.58</w:t>
            </w:r>
          </w:p>
        </w:tc>
        <w:tc>
          <w:tcPr>
            <w:tcW w:w="1602" w:type="dxa"/>
            <w:vAlign w:val="center"/>
          </w:tcPr>
          <w:p w14:paraId="26FF1DB2" w14:textId="77777777" w:rsidR="00B52A1B" w:rsidRPr="00EC6393" w:rsidRDefault="00B52A1B" w:rsidP="00A8783A">
            <w:pPr>
              <w:pStyle w:val="IEEEParagraph"/>
              <w:ind w:firstLine="0"/>
              <w:jc w:val="center"/>
              <w:rPr>
                <w:rFonts w:eastAsia="Arial"/>
                <w:b/>
                <w:bCs/>
                <w:sz w:val="20"/>
                <w:szCs w:val="20"/>
              </w:rPr>
            </w:pPr>
            <w:r w:rsidRPr="00EC6393">
              <w:rPr>
                <w:rFonts w:eastAsia="Arial"/>
                <w:b/>
                <w:bCs/>
                <w:sz w:val="20"/>
                <w:szCs w:val="20"/>
              </w:rPr>
              <w:t>Always</w:t>
            </w:r>
          </w:p>
        </w:tc>
      </w:tr>
    </w:tbl>
    <w:p w14:paraId="4B2F556B" w14:textId="77777777" w:rsidR="00B52A1B" w:rsidRDefault="00B52A1B" w:rsidP="00B52A1B">
      <w:pPr>
        <w:pStyle w:val="IEEEParagraph"/>
        <w:rPr>
          <w:sz w:val="20"/>
          <w:szCs w:val="20"/>
        </w:rPr>
      </w:pPr>
    </w:p>
    <w:p w14:paraId="325AAB1D" w14:textId="6BBB4921" w:rsidR="00B52A1B" w:rsidRPr="00B52A1B" w:rsidRDefault="00B52A1B" w:rsidP="00B52A1B">
      <w:pPr>
        <w:pStyle w:val="IEEEParagraph"/>
        <w:ind w:left="360" w:firstLine="360"/>
        <w:rPr>
          <w:sz w:val="20"/>
          <w:szCs w:val="20"/>
        </w:rPr>
      </w:pPr>
      <w:r w:rsidRPr="00B52A1B">
        <w:rPr>
          <w:sz w:val="20"/>
          <w:szCs w:val="20"/>
        </w:rPr>
        <w:t xml:space="preserve">Table 6 </w:t>
      </w:r>
      <w:r>
        <w:rPr>
          <w:sz w:val="20"/>
          <w:szCs w:val="20"/>
        </w:rPr>
        <w:t>shows</w:t>
      </w:r>
      <w:r w:rsidRPr="00B52A1B">
        <w:rPr>
          <w:sz w:val="20"/>
          <w:szCs w:val="20"/>
        </w:rPr>
        <w:t xml:space="preserve"> the weighted mean scores for the respondents’ General Cybersecurity Awareness and Practices across different year levels. The results reveal an overall section mean of 4.58, interpreted as “Always,” indicating that the respondents consistently demonstrate strong cybersecurity awareness and positive online security practices. Among the year levels, 3rd Year students obtained the highest section mean of 4.72, while 2nd Year students recorded the lowest mean of 4.46. Despite slight variations, all year levels achieved scores interpreted as “Always,” suggesting that students generally possess a high level of awareness regarding safe online behaviors and cybersecurity practices. Among the indicators, “I avoid sharing personal information online unnecessarily” obtained the highest overall mean of 4.75, followed by “I enable two-factor authentication when available” with a mean of 4.69, both interpreted as “Always.” These findings indicate that respondents consistently apply preventive cybersecurity measures to protect their personal information and online accounts.</w:t>
      </w:r>
    </w:p>
    <w:p w14:paraId="5B633CEB" w14:textId="77777777" w:rsidR="00B52A1B" w:rsidRPr="00B52A1B" w:rsidRDefault="00B52A1B" w:rsidP="00B52A1B">
      <w:pPr>
        <w:pStyle w:val="IEEEParagraph"/>
        <w:ind w:left="360" w:firstLine="360"/>
        <w:rPr>
          <w:sz w:val="20"/>
          <w:szCs w:val="20"/>
        </w:rPr>
      </w:pPr>
    </w:p>
    <w:p w14:paraId="2AD37F8D" w14:textId="0924E4DB" w:rsidR="00B52A1B" w:rsidRDefault="00B52A1B" w:rsidP="00B52A1B">
      <w:pPr>
        <w:pStyle w:val="IEEEParagraph"/>
        <w:ind w:left="360" w:firstLine="360"/>
        <w:rPr>
          <w:sz w:val="20"/>
          <w:szCs w:val="20"/>
        </w:rPr>
      </w:pPr>
      <w:r w:rsidRPr="00B52A1B">
        <w:rPr>
          <w:sz w:val="20"/>
          <w:szCs w:val="20"/>
        </w:rPr>
        <w:t>Similarly, the indicators “I am aware of common phishing tactics” and “I use strong and unique passwords for my accounts” also received high overall means of 4.61 and 4.55, respectively, reflecting strong awareness of phishing threats and responsible password management practices among the respondents. Meanwhile, “I regularly update my software and applications” obtained the lowest overall mean of 4.30, although still interpreted as “Often,” suggesting that software updating practices are slightly less consistent compared to other cybersecurity behaviors. Overall, the findings indicate that students of Quezon City University possess a high level of general cybersecurity awareness and frequently engage in practices that help reduce exposure to cybersecurity threats. However, the comparatively lower rating on regular software updates highlights the need for continued reinforcement of the importance of maintaining updated systems and applications as part of comprehensive cybersecurity protection.</w:t>
      </w:r>
    </w:p>
    <w:p w14:paraId="076F9E01" w14:textId="77777777" w:rsidR="00B52A1B" w:rsidRPr="00EC6393" w:rsidRDefault="00B52A1B" w:rsidP="00B52A1B">
      <w:pPr>
        <w:pStyle w:val="IEEEParagraph"/>
        <w:rPr>
          <w:sz w:val="20"/>
          <w:szCs w:val="20"/>
        </w:rPr>
      </w:pPr>
    </w:p>
    <w:p w14:paraId="6F21EA05" w14:textId="77777777" w:rsidR="0099657B" w:rsidRPr="00EC6393" w:rsidRDefault="0099657B" w:rsidP="0099657B">
      <w:pPr>
        <w:pStyle w:val="IEEEParagraph"/>
        <w:rPr>
          <w:sz w:val="20"/>
          <w:szCs w:val="20"/>
        </w:rPr>
      </w:pPr>
    </w:p>
    <w:p w14:paraId="031BA2A1" w14:textId="132136CE" w:rsidR="0099657B" w:rsidRPr="00B52A1B" w:rsidRDefault="0099657B" w:rsidP="00B52A1B">
      <w:pPr>
        <w:pStyle w:val="ListParagraph"/>
        <w:numPr>
          <w:ilvl w:val="0"/>
          <w:numId w:val="18"/>
        </w:numPr>
        <w:ind w:left="360"/>
        <w:rPr>
          <w:b/>
          <w:bCs/>
          <w:i/>
          <w:sz w:val="20"/>
          <w:szCs w:val="20"/>
        </w:rPr>
      </w:pPr>
      <w:r w:rsidRPr="00B52A1B">
        <w:rPr>
          <w:b/>
          <w:bCs/>
          <w:i/>
          <w:sz w:val="20"/>
          <w:szCs w:val="20"/>
        </w:rPr>
        <w:t xml:space="preserve">Level of Students’ </w:t>
      </w:r>
      <w:r w:rsidR="00245680">
        <w:rPr>
          <w:b/>
          <w:bCs/>
          <w:i/>
          <w:sz w:val="20"/>
          <w:szCs w:val="20"/>
        </w:rPr>
        <w:t>S</w:t>
      </w:r>
      <w:r w:rsidRPr="00B52A1B">
        <w:rPr>
          <w:b/>
          <w:bCs/>
          <w:i/>
          <w:sz w:val="20"/>
          <w:szCs w:val="20"/>
        </w:rPr>
        <w:t>usceptibility to Phishing Attacks</w:t>
      </w:r>
    </w:p>
    <w:p w14:paraId="563AA1AD" w14:textId="44506977" w:rsidR="0099657B" w:rsidRPr="00EC6393" w:rsidRDefault="0099657B" w:rsidP="0099657B">
      <w:pPr>
        <w:rPr>
          <w:b/>
          <w:bCs/>
          <w:sz w:val="20"/>
          <w:szCs w:val="20"/>
        </w:rPr>
      </w:pPr>
    </w:p>
    <w:p w14:paraId="2259439E" w14:textId="6C3AF1C8" w:rsidR="0099657B" w:rsidRPr="00EC6393" w:rsidRDefault="00B52A1B" w:rsidP="0099657B">
      <w:pPr>
        <w:rPr>
          <w:b/>
          <w:bCs/>
          <w:sz w:val="20"/>
          <w:szCs w:val="20"/>
        </w:rPr>
      </w:pPr>
      <w:r w:rsidRPr="00EC6393">
        <w:rPr>
          <w:b/>
          <w:bCs/>
          <w:noProof/>
          <w:sz w:val="20"/>
          <w:szCs w:val="20"/>
          <w:lang w:val="en-IN" w:eastAsia="en-IN"/>
        </w:rPr>
        <w:drawing>
          <wp:anchor distT="0" distB="0" distL="114300" distR="114300" simplePos="0" relativeHeight="251661312" behindDoc="0" locked="0" layoutInCell="1" allowOverlap="1" wp14:anchorId="6A5C6C64" wp14:editId="4947B8E3">
            <wp:simplePos x="0" y="0"/>
            <wp:positionH relativeFrom="margin">
              <wp:posOffset>3420160</wp:posOffset>
            </wp:positionH>
            <wp:positionV relativeFrom="paragraph">
              <wp:posOffset>64577</wp:posOffset>
            </wp:positionV>
            <wp:extent cx="3165881" cy="1400175"/>
            <wp:effectExtent l="12700" t="12700" r="9525" b="9525"/>
            <wp:wrapNone/>
            <wp:docPr id="16700457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045735" name="Picture 16700457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90221" cy="141094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EC6393">
        <w:rPr>
          <w:b/>
          <w:bCs/>
          <w:noProof/>
          <w:sz w:val="20"/>
          <w:szCs w:val="20"/>
          <w:lang w:val="en-IN" w:eastAsia="en-IN"/>
        </w:rPr>
        <w:drawing>
          <wp:anchor distT="0" distB="0" distL="114300" distR="114300" simplePos="0" relativeHeight="251660288" behindDoc="0" locked="0" layoutInCell="1" allowOverlap="1" wp14:anchorId="4A81DBAA" wp14:editId="65DD2691">
            <wp:simplePos x="0" y="0"/>
            <wp:positionH relativeFrom="margin">
              <wp:posOffset>24900</wp:posOffset>
            </wp:positionH>
            <wp:positionV relativeFrom="paragraph">
              <wp:posOffset>63366</wp:posOffset>
            </wp:positionV>
            <wp:extent cx="3312694" cy="1400398"/>
            <wp:effectExtent l="12700" t="12700" r="15240" b="9525"/>
            <wp:wrapNone/>
            <wp:docPr id="9361503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50341" name="Picture 93615034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29629" cy="1407557"/>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5583BFBE" w14:textId="305C5B4E" w:rsidR="0099657B" w:rsidRPr="00EC6393" w:rsidRDefault="0099657B" w:rsidP="0099657B">
      <w:pPr>
        <w:rPr>
          <w:b/>
          <w:bCs/>
          <w:sz w:val="20"/>
          <w:szCs w:val="20"/>
        </w:rPr>
      </w:pPr>
    </w:p>
    <w:p w14:paraId="3A5FB078" w14:textId="20496B18" w:rsidR="0099657B" w:rsidRPr="00EC6393" w:rsidRDefault="0099657B" w:rsidP="0099657B">
      <w:pPr>
        <w:rPr>
          <w:b/>
          <w:bCs/>
          <w:sz w:val="20"/>
          <w:szCs w:val="20"/>
        </w:rPr>
      </w:pPr>
    </w:p>
    <w:p w14:paraId="0401BA46" w14:textId="14BCB426" w:rsidR="0099657B" w:rsidRPr="00EC6393" w:rsidRDefault="0099657B" w:rsidP="0099657B">
      <w:pPr>
        <w:rPr>
          <w:b/>
          <w:bCs/>
          <w:sz w:val="20"/>
          <w:szCs w:val="20"/>
        </w:rPr>
      </w:pPr>
    </w:p>
    <w:p w14:paraId="5153B844" w14:textId="7AADCB71" w:rsidR="0099657B" w:rsidRPr="00EC6393" w:rsidRDefault="0099657B" w:rsidP="0099657B">
      <w:pPr>
        <w:rPr>
          <w:b/>
          <w:bCs/>
          <w:sz w:val="20"/>
          <w:szCs w:val="20"/>
        </w:rPr>
      </w:pPr>
    </w:p>
    <w:p w14:paraId="13D0E252" w14:textId="21B23D0F" w:rsidR="0099657B" w:rsidRPr="00EC6393" w:rsidRDefault="0099657B" w:rsidP="0099657B">
      <w:pPr>
        <w:rPr>
          <w:b/>
          <w:bCs/>
          <w:sz w:val="20"/>
          <w:szCs w:val="20"/>
        </w:rPr>
      </w:pPr>
    </w:p>
    <w:p w14:paraId="4F87208E" w14:textId="21EC318E" w:rsidR="0099657B" w:rsidRPr="00EC6393" w:rsidRDefault="0099657B" w:rsidP="0099657B">
      <w:pPr>
        <w:rPr>
          <w:b/>
          <w:bCs/>
          <w:sz w:val="20"/>
          <w:szCs w:val="20"/>
        </w:rPr>
      </w:pPr>
    </w:p>
    <w:p w14:paraId="0DF8CD58" w14:textId="4B082738" w:rsidR="0099657B" w:rsidRPr="00EC6393" w:rsidRDefault="0099657B" w:rsidP="0099657B">
      <w:pPr>
        <w:rPr>
          <w:b/>
          <w:bCs/>
          <w:sz w:val="20"/>
          <w:szCs w:val="20"/>
        </w:rPr>
      </w:pPr>
    </w:p>
    <w:p w14:paraId="1CEA4FB6" w14:textId="58ACBF24" w:rsidR="0099657B" w:rsidRPr="00EC6393" w:rsidRDefault="0099657B" w:rsidP="0099657B">
      <w:pPr>
        <w:rPr>
          <w:b/>
          <w:bCs/>
          <w:sz w:val="20"/>
          <w:szCs w:val="20"/>
        </w:rPr>
      </w:pPr>
    </w:p>
    <w:p w14:paraId="6400A912" w14:textId="46C5476E" w:rsidR="0099657B" w:rsidRPr="00EC6393" w:rsidRDefault="0099657B" w:rsidP="0099657B">
      <w:pPr>
        <w:rPr>
          <w:b/>
          <w:bCs/>
          <w:sz w:val="20"/>
          <w:szCs w:val="20"/>
        </w:rPr>
      </w:pPr>
    </w:p>
    <w:p w14:paraId="0862FAF9" w14:textId="73E2FEBD" w:rsidR="0099657B" w:rsidRPr="00EC6393" w:rsidRDefault="00B52A1B" w:rsidP="0099657B">
      <w:pPr>
        <w:rPr>
          <w:b/>
          <w:bCs/>
          <w:sz w:val="20"/>
          <w:szCs w:val="20"/>
        </w:rPr>
      </w:pPr>
      <w:r w:rsidRPr="00EC6393">
        <w:rPr>
          <w:b/>
          <w:bCs/>
          <w:noProof/>
          <w:sz w:val="20"/>
          <w:szCs w:val="20"/>
          <w:lang w:val="en-IN" w:eastAsia="en-IN"/>
        </w:rPr>
        <w:drawing>
          <wp:anchor distT="0" distB="0" distL="114300" distR="114300" simplePos="0" relativeHeight="251663360" behindDoc="0" locked="0" layoutInCell="1" allowOverlap="1" wp14:anchorId="0B57CAB9" wp14:editId="43BC4B38">
            <wp:simplePos x="0" y="0"/>
            <wp:positionH relativeFrom="margin">
              <wp:posOffset>3407369</wp:posOffset>
            </wp:positionH>
            <wp:positionV relativeFrom="paragraph">
              <wp:posOffset>131619</wp:posOffset>
            </wp:positionV>
            <wp:extent cx="3177958" cy="1335418"/>
            <wp:effectExtent l="12700" t="12700" r="10160" b="10795"/>
            <wp:wrapNone/>
            <wp:docPr id="202605103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51037" name="Picture 202605103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07730" cy="1347929"/>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EC6393">
        <w:rPr>
          <w:b/>
          <w:bCs/>
          <w:noProof/>
          <w:sz w:val="20"/>
          <w:szCs w:val="20"/>
          <w:lang w:val="en-IN" w:eastAsia="en-IN"/>
        </w:rPr>
        <w:drawing>
          <wp:anchor distT="0" distB="0" distL="114300" distR="114300" simplePos="0" relativeHeight="251662336" behindDoc="0" locked="0" layoutInCell="1" allowOverlap="1" wp14:anchorId="6D5F9251" wp14:editId="1EE2FB7A">
            <wp:simplePos x="0" y="0"/>
            <wp:positionH relativeFrom="margin">
              <wp:posOffset>24130</wp:posOffset>
            </wp:positionH>
            <wp:positionV relativeFrom="paragraph">
              <wp:posOffset>131211</wp:posOffset>
            </wp:positionV>
            <wp:extent cx="3328736" cy="1373878"/>
            <wp:effectExtent l="12700" t="12700" r="11430" b="10795"/>
            <wp:wrapNone/>
            <wp:docPr id="3483114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11422" name="Picture 34831142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28736" cy="1373878"/>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5842D75B" w14:textId="4A22FE71" w:rsidR="0099657B" w:rsidRPr="00EC6393" w:rsidRDefault="0099657B" w:rsidP="0099657B">
      <w:pPr>
        <w:rPr>
          <w:b/>
          <w:bCs/>
          <w:sz w:val="20"/>
          <w:szCs w:val="20"/>
        </w:rPr>
      </w:pPr>
    </w:p>
    <w:p w14:paraId="174CA10B" w14:textId="3E7F7C78" w:rsidR="0099657B" w:rsidRPr="00EC6393" w:rsidRDefault="0099657B" w:rsidP="0099657B">
      <w:pPr>
        <w:rPr>
          <w:b/>
          <w:bCs/>
          <w:sz w:val="20"/>
          <w:szCs w:val="20"/>
        </w:rPr>
      </w:pPr>
    </w:p>
    <w:p w14:paraId="71CAD472" w14:textId="7CF746BA" w:rsidR="0099657B" w:rsidRPr="00EC6393" w:rsidRDefault="0099657B" w:rsidP="0099657B">
      <w:pPr>
        <w:rPr>
          <w:b/>
          <w:bCs/>
          <w:sz w:val="20"/>
          <w:szCs w:val="20"/>
        </w:rPr>
      </w:pPr>
    </w:p>
    <w:p w14:paraId="0D451520" w14:textId="7E17F182" w:rsidR="0099657B" w:rsidRPr="00EC6393" w:rsidRDefault="0099657B" w:rsidP="0099657B">
      <w:pPr>
        <w:rPr>
          <w:b/>
          <w:bCs/>
          <w:sz w:val="20"/>
          <w:szCs w:val="20"/>
        </w:rPr>
      </w:pPr>
    </w:p>
    <w:p w14:paraId="2E481BE8" w14:textId="7E9E260F" w:rsidR="0099657B" w:rsidRPr="00EC6393" w:rsidRDefault="0099657B" w:rsidP="0099657B">
      <w:pPr>
        <w:rPr>
          <w:b/>
          <w:bCs/>
          <w:sz w:val="20"/>
          <w:szCs w:val="20"/>
        </w:rPr>
      </w:pPr>
    </w:p>
    <w:p w14:paraId="1F635E5D" w14:textId="5CB3AC39" w:rsidR="0099657B" w:rsidRPr="00EC6393" w:rsidRDefault="0099657B" w:rsidP="0099657B">
      <w:pPr>
        <w:rPr>
          <w:b/>
          <w:bCs/>
          <w:sz w:val="20"/>
          <w:szCs w:val="20"/>
        </w:rPr>
      </w:pPr>
    </w:p>
    <w:p w14:paraId="4227C969" w14:textId="2C4D0931" w:rsidR="0099657B" w:rsidRPr="00EC6393" w:rsidRDefault="0099657B" w:rsidP="0099657B">
      <w:pPr>
        <w:rPr>
          <w:b/>
          <w:bCs/>
          <w:sz w:val="20"/>
          <w:szCs w:val="20"/>
        </w:rPr>
      </w:pPr>
    </w:p>
    <w:p w14:paraId="0B66A0C2" w14:textId="3C937203" w:rsidR="0099657B" w:rsidRPr="00EC6393" w:rsidRDefault="0099657B" w:rsidP="0099657B">
      <w:pPr>
        <w:rPr>
          <w:b/>
          <w:bCs/>
          <w:sz w:val="20"/>
          <w:szCs w:val="20"/>
        </w:rPr>
      </w:pPr>
    </w:p>
    <w:p w14:paraId="7B31DD42" w14:textId="701D2413" w:rsidR="0099657B" w:rsidRPr="00EC6393" w:rsidRDefault="0099657B" w:rsidP="0099657B">
      <w:pPr>
        <w:rPr>
          <w:b/>
          <w:bCs/>
          <w:sz w:val="20"/>
          <w:szCs w:val="20"/>
        </w:rPr>
      </w:pPr>
    </w:p>
    <w:p w14:paraId="43022250" w14:textId="370CBCCA" w:rsidR="0099657B" w:rsidRPr="00EC6393" w:rsidRDefault="0099657B" w:rsidP="0099657B">
      <w:pPr>
        <w:rPr>
          <w:b/>
          <w:bCs/>
          <w:sz w:val="20"/>
          <w:szCs w:val="20"/>
        </w:rPr>
      </w:pPr>
    </w:p>
    <w:p w14:paraId="43EB4249" w14:textId="260B4A61" w:rsidR="0099657B" w:rsidRPr="00EC6393" w:rsidRDefault="0099657B" w:rsidP="0099657B">
      <w:pPr>
        <w:rPr>
          <w:b/>
          <w:bCs/>
          <w:sz w:val="20"/>
          <w:szCs w:val="20"/>
        </w:rPr>
      </w:pPr>
    </w:p>
    <w:p w14:paraId="335AC196" w14:textId="605C9BD1" w:rsidR="0099657B" w:rsidRPr="00245680" w:rsidRDefault="00245680" w:rsidP="00245680">
      <w:pPr>
        <w:jc w:val="center"/>
        <w:rPr>
          <w:bCs/>
          <w:sz w:val="20"/>
          <w:szCs w:val="20"/>
        </w:rPr>
      </w:pPr>
      <w:r w:rsidRPr="00245680">
        <w:rPr>
          <w:bCs/>
          <w:sz w:val="20"/>
          <w:szCs w:val="20"/>
        </w:rPr>
        <w:t xml:space="preserve">Figure </w:t>
      </w:r>
      <w:r>
        <w:rPr>
          <w:bCs/>
          <w:sz w:val="20"/>
          <w:szCs w:val="20"/>
        </w:rPr>
        <w:t>1. Gophish Phishing Simulation Result per Year Level</w:t>
      </w:r>
    </w:p>
    <w:p w14:paraId="3BC173E1" w14:textId="7598E67A" w:rsidR="0099657B" w:rsidRPr="00EC6393" w:rsidRDefault="0099657B" w:rsidP="0099657B">
      <w:pPr>
        <w:rPr>
          <w:b/>
          <w:bCs/>
          <w:sz w:val="20"/>
          <w:szCs w:val="20"/>
        </w:rPr>
      </w:pPr>
    </w:p>
    <w:p w14:paraId="07875728" w14:textId="77777777" w:rsidR="0099657B" w:rsidRPr="00EC6393" w:rsidRDefault="0099657B" w:rsidP="0099657B">
      <w:pPr>
        <w:rPr>
          <w:b/>
          <w:bCs/>
          <w:sz w:val="20"/>
          <w:szCs w:val="20"/>
        </w:rPr>
      </w:pPr>
    </w:p>
    <w:p w14:paraId="6E2759E4" w14:textId="77777777" w:rsidR="0099657B" w:rsidRPr="00EC6393" w:rsidRDefault="0099657B" w:rsidP="0099657B">
      <w:pPr>
        <w:rPr>
          <w:b/>
          <w:bCs/>
          <w:sz w:val="20"/>
          <w:szCs w:val="20"/>
        </w:rPr>
      </w:pPr>
    </w:p>
    <w:p w14:paraId="76B08127" w14:textId="77777777" w:rsidR="0099657B" w:rsidRPr="00EC6393" w:rsidRDefault="0099657B" w:rsidP="0099657B">
      <w:pPr>
        <w:rPr>
          <w:b/>
          <w:bCs/>
          <w:sz w:val="20"/>
          <w:szCs w:val="20"/>
        </w:rPr>
      </w:pPr>
    </w:p>
    <w:p w14:paraId="6C57A2C9" w14:textId="77777777" w:rsidR="0099657B" w:rsidRPr="00EC6393" w:rsidRDefault="0099657B" w:rsidP="0099657B">
      <w:pPr>
        <w:rPr>
          <w:b/>
          <w:bCs/>
          <w:sz w:val="20"/>
          <w:szCs w:val="20"/>
        </w:rPr>
      </w:pPr>
    </w:p>
    <w:p w14:paraId="26DDE613" w14:textId="77777777" w:rsidR="0099657B" w:rsidRPr="00EC6393" w:rsidRDefault="0099657B" w:rsidP="0099657B">
      <w:pPr>
        <w:pStyle w:val="IEEEParagraph"/>
        <w:rPr>
          <w:sz w:val="20"/>
          <w:szCs w:val="20"/>
        </w:rPr>
      </w:pPr>
    </w:p>
    <w:p w14:paraId="307102D3" w14:textId="77777777" w:rsidR="0099657B" w:rsidRPr="00EC6393" w:rsidRDefault="0099657B" w:rsidP="00245680">
      <w:pPr>
        <w:pStyle w:val="IEEEParagraph"/>
        <w:ind w:firstLine="0"/>
        <w:rPr>
          <w:sz w:val="20"/>
          <w:szCs w:val="20"/>
        </w:rPr>
      </w:pPr>
    </w:p>
    <w:p w14:paraId="7A862381" w14:textId="25992D90" w:rsidR="0099657B" w:rsidRPr="00EC6393" w:rsidRDefault="0099657B" w:rsidP="0099657B">
      <w:pPr>
        <w:spacing w:after="120"/>
        <w:jc w:val="center"/>
        <w:rPr>
          <w:sz w:val="20"/>
          <w:szCs w:val="20"/>
        </w:rPr>
      </w:pPr>
      <w:r w:rsidRPr="00EC6393">
        <w:rPr>
          <w:rFonts w:eastAsia="Arial"/>
          <w:sz w:val="20"/>
          <w:szCs w:val="20"/>
        </w:rPr>
        <w:t xml:space="preserve">Table </w:t>
      </w:r>
      <w:r w:rsidR="00245680">
        <w:rPr>
          <w:rFonts w:eastAsia="Arial"/>
          <w:sz w:val="20"/>
          <w:szCs w:val="20"/>
        </w:rPr>
        <w:t>7</w:t>
      </w:r>
      <w:r w:rsidRPr="00EC6393">
        <w:rPr>
          <w:rFonts w:eastAsia="Arial"/>
          <w:sz w:val="20"/>
          <w:szCs w:val="20"/>
        </w:rPr>
        <w:t xml:space="preserve">. </w:t>
      </w:r>
      <w:r w:rsidR="00245680">
        <w:rPr>
          <w:rFonts w:eastAsia="Arial"/>
          <w:sz w:val="20"/>
          <w:szCs w:val="20"/>
        </w:rPr>
        <w:t xml:space="preserve">Gophish </w:t>
      </w:r>
      <w:r w:rsidRPr="00EC6393">
        <w:rPr>
          <w:rFonts w:eastAsia="Arial"/>
          <w:sz w:val="20"/>
          <w:szCs w:val="20"/>
        </w:rPr>
        <w:t>Phishing Simulation Results by Year Level</w:t>
      </w:r>
    </w:p>
    <w:tbl>
      <w:tblPr>
        <w:tblStyle w:val="TableGrid"/>
        <w:tblW w:w="0" w:type="auto"/>
        <w:jc w:val="center"/>
        <w:tblLook w:val="04A0" w:firstRow="1" w:lastRow="0" w:firstColumn="1" w:lastColumn="0" w:noHBand="0" w:noVBand="1"/>
      </w:tblPr>
      <w:tblGrid>
        <w:gridCol w:w="1705"/>
        <w:gridCol w:w="1440"/>
        <w:gridCol w:w="1530"/>
        <w:gridCol w:w="1440"/>
        <w:gridCol w:w="1620"/>
        <w:gridCol w:w="1710"/>
      </w:tblGrid>
      <w:tr w:rsidR="00B01B61" w:rsidRPr="00EC6393" w14:paraId="2A14A0F0" w14:textId="77777777" w:rsidTr="00B01B61">
        <w:trPr>
          <w:trHeight w:val="314"/>
          <w:jc w:val="center"/>
        </w:trPr>
        <w:tc>
          <w:tcPr>
            <w:tcW w:w="1705" w:type="dxa"/>
            <w:shd w:val="clear" w:color="auto" w:fill="C5E0B3" w:themeFill="accent6" w:themeFillTint="66"/>
            <w:vAlign w:val="center"/>
          </w:tcPr>
          <w:p w14:paraId="070CF750" w14:textId="77777777" w:rsidR="0099657B" w:rsidRPr="00EC6393" w:rsidRDefault="0099657B" w:rsidP="00E01EC2">
            <w:pPr>
              <w:pStyle w:val="IEEEParagraph"/>
              <w:ind w:firstLine="0"/>
              <w:jc w:val="center"/>
              <w:rPr>
                <w:b/>
                <w:bCs/>
                <w:color w:val="000000" w:themeColor="text1"/>
                <w:sz w:val="20"/>
                <w:szCs w:val="20"/>
              </w:rPr>
            </w:pPr>
            <w:r w:rsidRPr="00EC6393">
              <w:rPr>
                <w:rFonts w:eastAsia="Arial"/>
                <w:b/>
                <w:bCs/>
                <w:color w:val="000000" w:themeColor="text1"/>
                <w:sz w:val="20"/>
                <w:szCs w:val="20"/>
              </w:rPr>
              <w:t>Year Level</w:t>
            </w:r>
          </w:p>
        </w:tc>
        <w:tc>
          <w:tcPr>
            <w:tcW w:w="1440" w:type="dxa"/>
            <w:shd w:val="clear" w:color="auto" w:fill="C5E0B3" w:themeFill="accent6" w:themeFillTint="66"/>
            <w:vAlign w:val="center"/>
          </w:tcPr>
          <w:p w14:paraId="17787DD3" w14:textId="77777777" w:rsidR="0099657B" w:rsidRPr="00EC6393" w:rsidRDefault="0099657B" w:rsidP="00E01EC2">
            <w:pPr>
              <w:pStyle w:val="IEEEParagraph"/>
              <w:ind w:firstLine="0"/>
              <w:jc w:val="center"/>
              <w:rPr>
                <w:b/>
                <w:bCs/>
                <w:color w:val="000000" w:themeColor="text1"/>
                <w:sz w:val="20"/>
                <w:szCs w:val="20"/>
              </w:rPr>
            </w:pPr>
            <w:r w:rsidRPr="00EC6393">
              <w:rPr>
                <w:rFonts w:eastAsia="Arial"/>
                <w:b/>
                <w:bCs/>
                <w:color w:val="000000" w:themeColor="text1"/>
                <w:sz w:val="20"/>
                <w:szCs w:val="20"/>
              </w:rPr>
              <w:t>Email Sent</w:t>
            </w:r>
          </w:p>
        </w:tc>
        <w:tc>
          <w:tcPr>
            <w:tcW w:w="1530" w:type="dxa"/>
            <w:shd w:val="clear" w:color="auto" w:fill="C5E0B3" w:themeFill="accent6" w:themeFillTint="66"/>
            <w:vAlign w:val="center"/>
          </w:tcPr>
          <w:p w14:paraId="047FBF41" w14:textId="77777777" w:rsidR="0099657B" w:rsidRPr="00EC6393" w:rsidRDefault="0099657B" w:rsidP="00E01EC2">
            <w:pPr>
              <w:pStyle w:val="IEEEParagraph"/>
              <w:ind w:firstLine="0"/>
              <w:jc w:val="center"/>
              <w:rPr>
                <w:b/>
                <w:bCs/>
                <w:color w:val="000000" w:themeColor="text1"/>
                <w:sz w:val="20"/>
                <w:szCs w:val="20"/>
              </w:rPr>
            </w:pPr>
            <w:r w:rsidRPr="00EC6393">
              <w:rPr>
                <w:rFonts w:eastAsia="Arial"/>
                <w:b/>
                <w:bCs/>
                <w:color w:val="000000" w:themeColor="text1"/>
                <w:sz w:val="20"/>
                <w:szCs w:val="20"/>
              </w:rPr>
              <w:t>Email Opened</w:t>
            </w:r>
          </w:p>
        </w:tc>
        <w:tc>
          <w:tcPr>
            <w:tcW w:w="1440" w:type="dxa"/>
            <w:shd w:val="clear" w:color="auto" w:fill="C5E0B3" w:themeFill="accent6" w:themeFillTint="66"/>
            <w:vAlign w:val="center"/>
          </w:tcPr>
          <w:p w14:paraId="33D8CB8C" w14:textId="77777777" w:rsidR="0099657B" w:rsidRPr="00EC6393" w:rsidRDefault="0099657B" w:rsidP="00E01EC2">
            <w:pPr>
              <w:pStyle w:val="IEEEParagraph"/>
              <w:ind w:firstLine="0"/>
              <w:jc w:val="center"/>
              <w:rPr>
                <w:b/>
                <w:bCs/>
                <w:color w:val="000000" w:themeColor="text1"/>
                <w:sz w:val="20"/>
                <w:szCs w:val="20"/>
              </w:rPr>
            </w:pPr>
            <w:r w:rsidRPr="00EC6393">
              <w:rPr>
                <w:rFonts w:eastAsia="Arial"/>
                <w:b/>
                <w:bCs/>
                <w:color w:val="000000" w:themeColor="text1"/>
                <w:sz w:val="20"/>
                <w:szCs w:val="20"/>
              </w:rPr>
              <w:t>Clicked Link</w:t>
            </w:r>
          </w:p>
        </w:tc>
        <w:tc>
          <w:tcPr>
            <w:tcW w:w="1620" w:type="dxa"/>
            <w:shd w:val="clear" w:color="auto" w:fill="C5E0B3" w:themeFill="accent6" w:themeFillTint="66"/>
            <w:vAlign w:val="center"/>
          </w:tcPr>
          <w:p w14:paraId="1F0596C6" w14:textId="77777777" w:rsidR="0099657B" w:rsidRPr="00EC6393" w:rsidRDefault="0099657B" w:rsidP="00E01EC2">
            <w:pPr>
              <w:pStyle w:val="IEEEParagraph"/>
              <w:ind w:firstLine="0"/>
              <w:jc w:val="center"/>
              <w:rPr>
                <w:b/>
                <w:bCs/>
                <w:color w:val="000000" w:themeColor="text1"/>
                <w:sz w:val="20"/>
                <w:szCs w:val="20"/>
              </w:rPr>
            </w:pPr>
            <w:r w:rsidRPr="00EC6393">
              <w:rPr>
                <w:rFonts w:eastAsia="Arial"/>
                <w:b/>
                <w:bCs/>
                <w:color w:val="000000" w:themeColor="text1"/>
                <w:sz w:val="20"/>
                <w:szCs w:val="20"/>
              </w:rPr>
              <w:t>Submitted Data</w:t>
            </w:r>
          </w:p>
        </w:tc>
        <w:tc>
          <w:tcPr>
            <w:tcW w:w="1710" w:type="dxa"/>
            <w:shd w:val="clear" w:color="auto" w:fill="C5E0B3" w:themeFill="accent6" w:themeFillTint="66"/>
            <w:vAlign w:val="center"/>
          </w:tcPr>
          <w:p w14:paraId="3475E666" w14:textId="77777777" w:rsidR="0099657B" w:rsidRPr="00EC6393" w:rsidRDefault="0099657B" w:rsidP="00E01EC2">
            <w:pPr>
              <w:pStyle w:val="IEEEParagraph"/>
              <w:ind w:firstLine="0"/>
              <w:jc w:val="center"/>
              <w:rPr>
                <w:b/>
                <w:bCs/>
                <w:color w:val="000000" w:themeColor="text1"/>
                <w:sz w:val="20"/>
                <w:szCs w:val="20"/>
              </w:rPr>
            </w:pPr>
            <w:r w:rsidRPr="00EC6393">
              <w:rPr>
                <w:rFonts w:eastAsia="Arial"/>
                <w:b/>
                <w:bCs/>
                <w:color w:val="000000" w:themeColor="text1"/>
                <w:sz w:val="20"/>
                <w:szCs w:val="20"/>
              </w:rPr>
              <w:t>Email Reported</w:t>
            </w:r>
          </w:p>
        </w:tc>
      </w:tr>
      <w:tr w:rsidR="00B01B61" w:rsidRPr="00EC6393" w14:paraId="5BAE7A92" w14:textId="77777777" w:rsidTr="00B01B61">
        <w:trPr>
          <w:jc w:val="center"/>
        </w:trPr>
        <w:tc>
          <w:tcPr>
            <w:tcW w:w="1705" w:type="dxa"/>
            <w:vAlign w:val="center"/>
          </w:tcPr>
          <w:p w14:paraId="746ECE68" w14:textId="77777777" w:rsidR="0099657B" w:rsidRPr="00EC6393" w:rsidRDefault="0099657B" w:rsidP="00E01EC2">
            <w:pPr>
              <w:pStyle w:val="IEEEParagraph"/>
              <w:ind w:firstLine="0"/>
              <w:rPr>
                <w:sz w:val="20"/>
                <w:szCs w:val="20"/>
              </w:rPr>
            </w:pPr>
            <w:r w:rsidRPr="00EC6393">
              <w:rPr>
                <w:rFonts w:eastAsia="Arial"/>
                <w:sz w:val="20"/>
                <w:szCs w:val="20"/>
              </w:rPr>
              <w:t>1st Year</w:t>
            </w:r>
          </w:p>
        </w:tc>
        <w:tc>
          <w:tcPr>
            <w:tcW w:w="1440" w:type="dxa"/>
            <w:vAlign w:val="center"/>
          </w:tcPr>
          <w:p w14:paraId="59F166F6" w14:textId="77777777" w:rsidR="0099657B" w:rsidRPr="00EC6393" w:rsidRDefault="0099657B" w:rsidP="00E01EC2">
            <w:pPr>
              <w:pStyle w:val="IEEEParagraph"/>
              <w:ind w:firstLine="0"/>
              <w:jc w:val="center"/>
              <w:rPr>
                <w:sz w:val="20"/>
                <w:szCs w:val="20"/>
              </w:rPr>
            </w:pPr>
            <w:r w:rsidRPr="00EC6393">
              <w:rPr>
                <w:rFonts w:eastAsia="Arial"/>
                <w:sz w:val="20"/>
                <w:szCs w:val="20"/>
              </w:rPr>
              <w:t>25</w:t>
            </w:r>
          </w:p>
        </w:tc>
        <w:tc>
          <w:tcPr>
            <w:tcW w:w="1530" w:type="dxa"/>
            <w:vAlign w:val="center"/>
          </w:tcPr>
          <w:p w14:paraId="1D07DCE3" w14:textId="77777777" w:rsidR="0099657B" w:rsidRPr="00EC6393" w:rsidRDefault="0099657B" w:rsidP="00E01EC2">
            <w:pPr>
              <w:pStyle w:val="IEEEParagraph"/>
              <w:ind w:firstLine="0"/>
              <w:jc w:val="center"/>
              <w:rPr>
                <w:sz w:val="20"/>
                <w:szCs w:val="20"/>
              </w:rPr>
            </w:pPr>
            <w:r w:rsidRPr="00EC6393">
              <w:rPr>
                <w:rFonts w:eastAsia="Arial"/>
                <w:sz w:val="20"/>
                <w:szCs w:val="20"/>
              </w:rPr>
              <w:t>9 (36.0%)</w:t>
            </w:r>
          </w:p>
        </w:tc>
        <w:tc>
          <w:tcPr>
            <w:tcW w:w="1440" w:type="dxa"/>
            <w:vAlign w:val="center"/>
          </w:tcPr>
          <w:p w14:paraId="51B1AB0F" w14:textId="77777777" w:rsidR="0099657B" w:rsidRPr="00EC6393" w:rsidRDefault="0099657B" w:rsidP="00E01EC2">
            <w:pPr>
              <w:pStyle w:val="IEEEParagraph"/>
              <w:ind w:firstLine="0"/>
              <w:jc w:val="center"/>
              <w:rPr>
                <w:sz w:val="20"/>
                <w:szCs w:val="20"/>
              </w:rPr>
            </w:pPr>
            <w:r w:rsidRPr="00EC6393">
              <w:rPr>
                <w:rFonts w:eastAsia="Arial"/>
                <w:sz w:val="20"/>
                <w:szCs w:val="20"/>
              </w:rPr>
              <w:t>9 (36.0%)</w:t>
            </w:r>
          </w:p>
        </w:tc>
        <w:tc>
          <w:tcPr>
            <w:tcW w:w="1620" w:type="dxa"/>
            <w:vAlign w:val="center"/>
          </w:tcPr>
          <w:p w14:paraId="27FC39F0" w14:textId="77777777" w:rsidR="0099657B" w:rsidRPr="00EC6393" w:rsidRDefault="0099657B" w:rsidP="00E01EC2">
            <w:pPr>
              <w:pStyle w:val="IEEEParagraph"/>
              <w:ind w:firstLine="0"/>
              <w:jc w:val="center"/>
              <w:rPr>
                <w:rFonts w:eastAsia="Arial"/>
                <w:sz w:val="20"/>
                <w:szCs w:val="20"/>
              </w:rPr>
            </w:pPr>
            <w:r w:rsidRPr="00EC6393">
              <w:rPr>
                <w:rFonts w:eastAsia="Arial"/>
                <w:sz w:val="20"/>
                <w:szCs w:val="20"/>
              </w:rPr>
              <w:t>7 (28.0%)</w:t>
            </w:r>
          </w:p>
        </w:tc>
        <w:tc>
          <w:tcPr>
            <w:tcW w:w="1710" w:type="dxa"/>
            <w:vAlign w:val="center"/>
          </w:tcPr>
          <w:p w14:paraId="12477DB6" w14:textId="77777777" w:rsidR="0099657B" w:rsidRPr="00EC6393" w:rsidRDefault="0099657B" w:rsidP="00E01EC2">
            <w:pPr>
              <w:pStyle w:val="IEEEParagraph"/>
              <w:ind w:firstLine="0"/>
              <w:jc w:val="center"/>
              <w:rPr>
                <w:rFonts w:eastAsia="Arial"/>
                <w:sz w:val="20"/>
                <w:szCs w:val="20"/>
              </w:rPr>
            </w:pPr>
            <w:r w:rsidRPr="00EC6393">
              <w:rPr>
                <w:rFonts w:eastAsia="Arial"/>
                <w:sz w:val="20"/>
                <w:szCs w:val="20"/>
              </w:rPr>
              <w:t>0 (0.0%)</w:t>
            </w:r>
          </w:p>
        </w:tc>
      </w:tr>
      <w:tr w:rsidR="00B01B61" w:rsidRPr="00EC6393" w14:paraId="27435345" w14:textId="77777777" w:rsidTr="00B01B61">
        <w:trPr>
          <w:jc w:val="center"/>
        </w:trPr>
        <w:tc>
          <w:tcPr>
            <w:tcW w:w="1705" w:type="dxa"/>
            <w:vAlign w:val="center"/>
          </w:tcPr>
          <w:p w14:paraId="4FA10981" w14:textId="77777777" w:rsidR="0099657B" w:rsidRPr="00EC6393" w:rsidRDefault="0099657B" w:rsidP="00E01EC2">
            <w:pPr>
              <w:pStyle w:val="IEEEParagraph"/>
              <w:ind w:firstLine="0"/>
              <w:rPr>
                <w:sz w:val="20"/>
                <w:szCs w:val="20"/>
              </w:rPr>
            </w:pPr>
            <w:r w:rsidRPr="00EC6393">
              <w:rPr>
                <w:rFonts w:eastAsia="Arial"/>
                <w:sz w:val="20"/>
                <w:szCs w:val="20"/>
              </w:rPr>
              <w:t>2nd Year</w:t>
            </w:r>
          </w:p>
        </w:tc>
        <w:tc>
          <w:tcPr>
            <w:tcW w:w="1440" w:type="dxa"/>
            <w:vAlign w:val="center"/>
          </w:tcPr>
          <w:p w14:paraId="6FF68B3A" w14:textId="77777777" w:rsidR="0099657B" w:rsidRPr="00EC6393" w:rsidRDefault="0099657B" w:rsidP="00E01EC2">
            <w:pPr>
              <w:pStyle w:val="IEEEParagraph"/>
              <w:ind w:firstLine="0"/>
              <w:jc w:val="center"/>
              <w:rPr>
                <w:sz w:val="20"/>
                <w:szCs w:val="20"/>
              </w:rPr>
            </w:pPr>
            <w:r w:rsidRPr="00EC6393">
              <w:rPr>
                <w:rFonts w:eastAsia="Arial"/>
                <w:sz w:val="20"/>
                <w:szCs w:val="20"/>
              </w:rPr>
              <w:t>25</w:t>
            </w:r>
          </w:p>
        </w:tc>
        <w:tc>
          <w:tcPr>
            <w:tcW w:w="1530" w:type="dxa"/>
            <w:vAlign w:val="center"/>
          </w:tcPr>
          <w:p w14:paraId="60482974" w14:textId="77777777" w:rsidR="0099657B" w:rsidRPr="00EC6393" w:rsidRDefault="0099657B" w:rsidP="00E01EC2">
            <w:pPr>
              <w:pStyle w:val="IEEEParagraph"/>
              <w:ind w:firstLine="0"/>
              <w:jc w:val="center"/>
              <w:rPr>
                <w:sz w:val="20"/>
                <w:szCs w:val="20"/>
              </w:rPr>
            </w:pPr>
            <w:r w:rsidRPr="00EC6393">
              <w:rPr>
                <w:rFonts w:eastAsia="Arial"/>
                <w:sz w:val="20"/>
                <w:szCs w:val="20"/>
              </w:rPr>
              <w:t>3 (12.0%)</w:t>
            </w:r>
          </w:p>
        </w:tc>
        <w:tc>
          <w:tcPr>
            <w:tcW w:w="1440" w:type="dxa"/>
            <w:vAlign w:val="center"/>
          </w:tcPr>
          <w:p w14:paraId="4B6B2ADF" w14:textId="77777777" w:rsidR="0099657B" w:rsidRPr="00EC6393" w:rsidRDefault="0099657B" w:rsidP="00E01EC2">
            <w:pPr>
              <w:pStyle w:val="IEEEParagraph"/>
              <w:ind w:firstLine="0"/>
              <w:jc w:val="center"/>
              <w:rPr>
                <w:sz w:val="20"/>
                <w:szCs w:val="20"/>
              </w:rPr>
            </w:pPr>
            <w:r w:rsidRPr="00EC6393">
              <w:rPr>
                <w:rFonts w:eastAsia="Arial"/>
                <w:sz w:val="20"/>
                <w:szCs w:val="20"/>
              </w:rPr>
              <w:t>3 (12.0%)</w:t>
            </w:r>
          </w:p>
        </w:tc>
        <w:tc>
          <w:tcPr>
            <w:tcW w:w="1620" w:type="dxa"/>
            <w:vAlign w:val="center"/>
          </w:tcPr>
          <w:p w14:paraId="69587DC8" w14:textId="77777777" w:rsidR="0099657B" w:rsidRPr="00EC6393" w:rsidRDefault="0099657B" w:rsidP="00E01EC2">
            <w:pPr>
              <w:pStyle w:val="IEEEParagraph"/>
              <w:ind w:firstLine="0"/>
              <w:jc w:val="center"/>
              <w:rPr>
                <w:rFonts w:eastAsia="Arial"/>
                <w:sz w:val="20"/>
                <w:szCs w:val="20"/>
              </w:rPr>
            </w:pPr>
            <w:r w:rsidRPr="00EC6393">
              <w:rPr>
                <w:rFonts w:eastAsia="Arial"/>
                <w:sz w:val="20"/>
                <w:szCs w:val="20"/>
              </w:rPr>
              <w:t>0 (0.0%)</w:t>
            </w:r>
          </w:p>
        </w:tc>
        <w:tc>
          <w:tcPr>
            <w:tcW w:w="1710" w:type="dxa"/>
            <w:vAlign w:val="center"/>
          </w:tcPr>
          <w:p w14:paraId="02DE5A85" w14:textId="77777777" w:rsidR="0099657B" w:rsidRPr="00EC6393" w:rsidRDefault="0099657B" w:rsidP="00E01EC2">
            <w:pPr>
              <w:pStyle w:val="IEEEParagraph"/>
              <w:ind w:firstLine="0"/>
              <w:jc w:val="center"/>
              <w:rPr>
                <w:rFonts w:eastAsia="Arial"/>
                <w:sz w:val="20"/>
                <w:szCs w:val="20"/>
              </w:rPr>
            </w:pPr>
            <w:r w:rsidRPr="00EC6393">
              <w:rPr>
                <w:rFonts w:eastAsia="Arial"/>
                <w:sz w:val="20"/>
                <w:szCs w:val="20"/>
              </w:rPr>
              <w:t>0 (0.0%)</w:t>
            </w:r>
          </w:p>
        </w:tc>
      </w:tr>
      <w:tr w:rsidR="00B01B61" w:rsidRPr="00EC6393" w14:paraId="070633E1" w14:textId="77777777" w:rsidTr="00B01B61">
        <w:trPr>
          <w:jc w:val="center"/>
        </w:trPr>
        <w:tc>
          <w:tcPr>
            <w:tcW w:w="1705" w:type="dxa"/>
            <w:vAlign w:val="center"/>
          </w:tcPr>
          <w:p w14:paraId="5CDE4553" w14:textId="77777777" w:rsidR="0099657B" w:rsidRPr="00EC6393" w:rsidRDefault="0099657B" w:rsidP="00E01EC2">
            <w:pPr>
              <w:pStyle w:val="IEEEParagraph"/>
              <w:ind w:firstLine="0"/>
              <w:rPr>
                <w:sz w:val="20"/>
                <w:szCs w:val="20"/>
              </w:rPr>
            </w:pPr>
            <w:r w:rsidRPr="00EC6393">
              <w:rPr>
                <w:rFonts w:eastAsia="Arial"/>
                <w:sz w:val="20"/>
                <w:szCs w:val="20"/>
              </w:rPr>
              <w:t>3rd Year</w:t>
            </w:r>
          </w:p>
        </w:tc>
        <w:tc>
          <w:tcPr>
            <w:tcW w:w="1440" w:type="dxa"/>
            <w:vAlign w:val="center"/>
          </w:tcPr>
          <w:p w14:paraId="56166807" w14:textId="77777777" w:rsidR="0099657B" w:rsidRPr="00EC6393" w:rsidRDefault="0099657B" w:rsidP="00E01EC2">
            <w:pPr>
              <w:pStyle w:val="IEEEParagraph"/>
              <w:ind w:firstLine="0"/>
              <w:jc w:val="center"/>
              <w:rPr>
                <w:sz w:val="20"/>
                <w:szCs w:val="20"/>
              </w:rPr>
            </w:pPr>
            <w:r w:rsidRPr="00EC6393">
              <w:rPr>
                <w:rFonts w:eastAsia="Arial"/>
                <w:sz w:val="20"/>
                <w:szCs w:val="20"/>
              </w:rPr>
              <w:t>25</w:t>
            </w:r>
          </w:p>
        </w:tc>
        <w:tc>
          <w:tcPr>
            <w:tcW w:w="1530" w:type="dxa"/>
            <w:vAlign w:val="center"/>
          </w:tcPr>
          <w:p w14:paraId="34A1BD72" w14:textId="77777777" w:rsidR="0099657B" w:rsidRPr="00EC6393" w:rsidRDefault="0099657B" w:rsidP="00E01EC2">
            <w:pPr>
              <w:pStyle w:val="IEEEParagraph"/>
              <w:ind w:firstLine="0"/>
              <w:jc w:val="center"/>
              <w:rPr>
                <w:sz w:val="20"/>
                <w:szCs w:val="20"/>
              </w:rPr>
            </w:pPr>
            <w:r w:rsidRPr="00EC6393">
              <w:rPr>
                <w:rFonts w:eastAsia="Arial"/>
                <w:sz w:val="20"/>
                <w:szCs w:val="20"/>
              </w:rPr>
              <w:t>5 (20.0%)</w:t>
            </w:r>
          </w:p>
        </w:tc>
        <w:tc>
          <w:tcPr>
            <w:tcW w:w="1440" w:type="dxa"/>
            <w:vAlign w:val="center"/>
          </w:tcPr>
          <w:p w14:paraId="3BED7D48" w14:textId="77777777" w:rsidR="0099657B" w:rsidRPr="00EC6393" w:rsidRDefault="0099657B" w:rsidP="00E01EC2">
            <w:pPr>
              <w:pStyle w:val="IEEEParagraph"/>
              <w:ind w:firstLine="0"/>
              <w:jc w:val="center"/>
              <w:rPr>
                <w:sz w:val="20"/>
                <w:szCs w:val="20"/>
              </w:rPr>
            </w:pPr>
            <w:r w:rsidRPr="00EC6393">
              <w:rPr>
                <w:rFonts w:eastAsia="Arial"/>
                <w:sz w:val="20"/>
                <w:szCs w:val="20"/>
              </w:rPr>
              <w:t>5 (20.0%)</w:t>
            </w:r>
          </w:p>
        </w:tc>
        <w:tc>
          <w:tcPr>
            <w:tcW w:w="1620" w:type="dxa"/>
            <w:vAlign w:val="center"/>
          </w:tcPr>
          <w:p w14:paraId="20EBF5D8" w14:textId="77777777" w:rsidR="0099657B" w:rsidRPr="00EC6393" w:rsidRDefault="0099657B" w:rsidP="00E01EC2">
            <w:pPr>
              <w:pStyle w:val="IEEEParagraph"/>
              <w:ind w:firstLine="0"/>
              <w:jc w:val="center"/>
              <w:rPr>
                <w:rFonts w:eastAsia="Arial"/>
                <w:sz w:val="20"/>
                <w:szCs w:val="20"/>
              </w:rPr>
            </w:pPr>
            <w:r w:rsidRPr="00EC6393">
              <w:rPr>
                <w:rFonts w:eastAsia="Arial"/>
                <w:sz w:val="20"/>
                <w:szCs w:val="20"/>
              </w:rPr>
              <w:t>0 (0.0%)</w:t>
            </w:r>
          </w:p>
        </w:tc>
        <w:tc>
          <w:tcPr>
            <w:tcW w:w="1710" w:type="dxa"/>
            <w:vAlign w:val="center"/>
          </w:tcPr>
          <w:p w14:paraId="17432C46" w14:textId="77777777" w:rsidR="0099657B" w:rsidRPr="00EC6393" w:rsidRDefault="0099657B" w:rsidP="00E01EC2">
            <w:pPr>
              <w:pStyle w:val="IEEEParagraph"/>
              <w:ind w:firstLine="0"/>
              <w:jc w:val="center"/>
              <w:rPr>
                <w:rFonts w:eastAsia="Arial"/>
                <w:sz w:val="20"/>
                <w:szCs w:val="20"/>
              </w:rPr>
            </w:pPr>
            <w:r w:rsidRPr="00EC6393">
              <w:rPr>
                <w:rFonts w:eastAsia="Arial"/>
                <w:sz w:val="20"/>
                <w:szCs w:val="20"/>
              </w:rPr>
              <w:t>0 (0.0%)</w:t>
            </w:r>
          </w:p>
        </w:tc>
      </w:tr>
      <w:tr w:rsidR="00B01B61" w:rsidRPr="00EC6393" w14:paraId="1E148F8F" w14:textId="77777777" w:rsidTr="00B01B61">
        <w:trPr>
          <w:jc w:val="center"/>
        </w:trPr>
        <w:tc>
          <w:tcPr>
            <w:tcW w:w="1705" w:type="dxa"/>
            <w:vAlign w:val="center"/>
          </w:tcPr>
          <w:p w14:paraId="1400E5EE" w14:textId="77777777" w:rsidR="0099657B" w:rsidRPr="00EC6393" w:rsidRDefault="0099657B" w:rsidP="00E01EC2">
            <w:pPr>
              <w:pStyle w:val="IEEEParagraph"/>
              <w:ind w:firstLine="0"/>
              <w:rPr>
                <w:rFonts w:eastAsia="Arial"/>
                <w:sz w:val="20"/>
                <w:szCs w:val="20"/>
              </w:rPr>
            </w:pPr>
            <w:r w:rsidRPr="00EC6393">
              <w:rPr>
                <w:rFonts w:eastAsia="Arial"/>
                <w:sz w:val="20"/>
                <w:szCs w:val="20"/>
              </w:rPr>
              <w:t>4th Year</w:t>
            </w:r>
          </w:p>
        </w:tc>
        <w:tc>
          <w:tcPr>
            <w:tcW w:w="1440" w:type="dxa"/>
            <w:vAlign w:val="center"/>
          </w:tcPr>
          <w:p w14:paraId="01818EDE" w14:textId="77777777" w:rsidR="0099657B" w:rsidRPr="00EC6393" w:rsidRDefault="0099657B" w:rsidP="00E01EC2">
            <w:pPr>
              <w:pStyle w:val="IEEEParagraph"/>
              <w:ind w:firstLine="0"/>
              <w:jc w:val="center"/>
              <w:rPr>
                <w:rFonts w:eastAsia="Arial"/>
                <w:sz w:val="20"/>
                <w:szCs w:val="20"/>
              </w:rPr>
            </w:pPr>
            <w:r w:rsidRPr="00EC6393">
              <w:rPr>
                <w:rFonts w:eastAsia="Arial"/>
                <w:sz w:val="20"/>
                <w:szCs w:val="20"/>
              </w:rPr>
              <w:t>25</w:t>
            </w:r>
          </w:p>
        </w:tc>
        <w:tc>
          <w:tcPr>
            <w:tcW w:w="1530" w:type="dxa"/>
            <w:vAlign w:val="center"/>
          </w:tcPr>
          <w:p w14:paraId="62527EFD" w14:textId="77777777" w:rsidR="0099657B" w:rsidRPr="00EC6393" w:rsidRDefault="0099657B" w:rsidP="00E01EC2">
            <w:pPr>
              <w:pStyle w:val="IEEEParagraph"/>
              <w:ind w:firstLine="0"/>
              <w:jc w:val="center"/>
              <w:rPr>
                <w:rFonts w:eastAsia="Arial"/>
                <w:sz w:val="20"/>
                <w:szCs w:val="20"/>
              </w:rPr>
            </w:pPr>
            <w:r w:rsidRPr="00EC6393">
              <w:rPr>
                <w:rFonts w:eastAsia="Arial"/>
                <w:sz w:val="20"/>
                <w:szCs w:val="20"/>
              </w:rPr>
              <w:t>4 (16.0%)</w:t>
            </w:r>
          </w:p>
        </w:tc>
        <w:tc>
          <w:tcPr>
            <w:tcW w:w="1440" w:type="dxa"/>
            <w:vAlign w:val="center"/>
          </w:tcPr>
          <w:p w14:paraId="11DE8D6D" w14:textId="77777777" w:rsidR="0099657B" w:rsidRPr="00EC6393" w:rsidRDefault="0099657B" w:rsidP="00E01EC2">
            <w:pPr>
              <w:pStyle w:val="IEEEParagraph"/>
              <w:ind w:firstLine="0"/>
              <w:jc w:val="center"/>
              <w:rPr>
                <w:rFonts w:eastAsia="Arial"/>
                <w:sz w:val="20"/>
                <w:szCs w:val="20"/>
              </w:rPr>
            </w:pPr>
            <w:r w:rsidRPr="00EC6393">
              <w:rPr>
                <w:rFonts w:eastAsia="Arial"/>
                <w:sz w:val="20"/>
                <w:szCs w:val="20"/>
              </w:rPr>
              <w:t>4 (16.0%)</w:t>
            </w:r>
          </w:p>
        </w:tc>
        <w:tc>
          <w:tcPr>
            <w:tcW w:w="1620" w:type="dxa"/>
            <w:vAlign w:val="center"/>
          </w:tcPr>
          <w:p w14:paraId="21E4418D" w14:textId="77777777" w:rsidR="0099657B" w:rsidRPr="00EC6393" w:rsidRDefault="0099657B" w:rsidP="00E01EC2">
            <w:pPr>
              <w:pStyle w:val="IEEEParagraph"/>
              <w:ind w:firstLine="0"/>
              <w:jc w:val="center"/>
              <w:rPr>
                <w:rFonts w:eastAsia="Arial"/>
                <w:sz w:val="20"/>
                <w:szCs w:val="20"/>
              </w:rPr>
            </w:pPr>
            <w:r w:rsidRPr="00EC6393">
              <w:rPr>
                <w:rFonts w:eastAsia="Arial"/>
                <w:sz w:val="20"/>
                <w:szCs w:val="20"/>
              </w:rPr>
              <w:t>2 (8.0%)</w:t>
            </w:r>
          </w:p>
        </w:tc>
        <w:tc>
          <w:tcPr>
            <w:tcW w:w="1710" w:type="dxa"/>
            <w:vAlign w:val="center"/>
          </w:tcPr>
          <w:p w14:paraId="4CB3857B" w14:textId="77777777" w:rsidR="0099657B" w:rsidRPr="00EC6393" w:rsidRDefault="0099657B" w:rsidP="00E01EC2">
            <w:pPr>
              <w:pStyle w:val="IEEEParagraph"/>
              <w:ind w:firstLine="0"/>
              <w:jc w:val="center"/>
              <w:rPr>
                <w:rFonts w:eastAsia="Arial"/>
                <w:sz w:val="20"/>
                <w:szCs w:val="20"/>
              </w:rPr>
            </w:pPr>
            <w:r w:rsidRPr="00EC6393">
              <w:rPr>
                <w:rFonts w:eastAsia="Arial"/>
                <w:sz w:val="20"/>
                <w:szCs w:val="20"/>
              </w:rPr>
              <w:t>0 (0.0%)</w:t>
            </w:r>
          </w:p>
        </w:tc>
      </w:tr>
      <w:tr w:rsidR="00B01B61" w:rsidRPr="00EC6393" w14:paraId="66DC48A0" w14:textId="77777777" w:rsidTr="00B01B61">
        <w:trPr>
          <w:jc w:val="center"/>
        </w:trPr>
        <w:tc>
          <w:tcPr>
            <w:tcW w:w="1705" w:type="dxa"/>
            <w:vAlign w:val="center"/>
          </w:tcPr>
          <w:p w14:paraId="15D42C8E" w14:textId="77777777" w:rsidR="0099657B" w:rsidRPr="00EC6393" w:rsidRDefault="0099657B" w:rsidP="00E01EC2">
            <w:pPr>
              <w:pStyle w:val="IEEEParagraph"/>
              <w:ind w:firstLine="0"/>
              <w:rPr>
                <w:rFonts w:eastAsia="Arial"/>
                <w:sz w:val="20"/>
                <w:szCs w:val="20"/>
              </w:rPr>
            </w:pPr>
            <w:r w:rsidRPr="00EC6393">
              <w:rPr>
                <w:rFonts w:eastAsia="Arial"/>
                <w:b/>
                <w:bCs/>
                <w:sz w:val="20"/>
                <w:szCs w:val="20"/>
              </w:rPr>
              <w:t>Total</w:t>
            </w:r>
          </w:p>
        </w:tc>
        <w:tc>
          <w:tcPr>
            <w:tcW w:w="1440" w:type="dxa"/>
            <w:vAlign w:val="center"/>
          </w:tcPr>
          <w:p w14:paraId="07BE01A1" w14:textId="77777777" w:rsidR="0099657B" w:rsidRPr="00EC6393" w:rsidRDefault="0099657B" w:rsidP="00E01EC2">
            <w:pPr>
              <w:pStyle w:val="IEEEParagraph"/>
              <w:ind w:firstLine="0"/>
              <w:jc w:val="center"/>
              <w:rPr>
                <w:rFonts w:eastAsia="Arial"/>
                <w:sz w:val="20"/>
                <w:szCs w:val="20"/>
              </w:rPr>
            </w:pPr>
            <w:r w:rsidRPr="00EC6393">
              <w:rPr>
                <w:rFonts w:eastAsia="Arial"/>
                <w:b/>
                <w:bCs/>
                <w:sz w:val="20"/>
                <w:szCs w:val="20"/>
              </w:rPr>
              <w:t>100</w:t>
            </w:r>
          </w:p>
        </w:tc>
        <w:tc>
          <w:tcPr>
            <w:tcW w:w="1530" w:type="dxa"/>
            <w:vAlign w:val="center"/>
          </w:tcPr>
          <w:p w14:paraId="1F514040" w14:textId="77777777" w:rsidR="0099657B" w:rsidRPr="00EC6393" w:rsidRDefault="0099657B" w:rsidP="00E01EC2">
            <w:pPr>
              <w:pStyle w:val="IEEEParagraph"/>
              <w:ind w:firstLine="0"/>
              <w:jc w:val="center"/>
              <w:rPr>
                <w:rFonts w:eastAsia="Arial"/>
                <w:sz w:val="20"/>
                <w:szCs w:val="20"/>
              </w:rPr>
            </w:pPr>
            <w:r w:rsidRPr="00EC6393">
              <w:rPr>
                <w:rFonts w:eastAsia="Arial"/>
                <w:b/>
                <w:bCs/>
                <w:sz w:val="20"/>
                <w:szCs w:val="20"/>
              </w:rPr>
              <w:t>21 (21.0%)</w:t>
            </w:r>
          </w:p>
        </w:tc>
        <w:tc>
          <w:tcPr>
            <w:tcW w:w="1440" w:type="dxa"/>
            <w:vAlign w:val="center"/>
          </w:tcPr>
          <w:p w14:paraId="0B1AAB06" w14:textId="77777777" w:rsidR="0099657B" w:rsidRPr="00EC6393" w:rsidRDefault="0099657B" w:rsidP="00E01EC2">
            <w:pPr>
              <w:pStyle w:val="IEEEParagraph"/>
              <w:ind w:firstLine="0"/>
              <w:jc w:val="center"/>
              <w:rPr>
                <w:rFonts w:eastAsia="Arial"/>
                <w:sz w:val="20"/>
                <w:szCs w:val="20"/>
              </w:rPr>
            </w:pPr>
            <w:r w:rsidRPr="00EC6393">
              <w:rPr>
                <w:rFonts w:eastAsia="Arial"/>
                <w:b/>
                <w:bCs/>
                <w:sz w:val="20"/>
                <w:szCs w:val="20"/>
              </w:rPr>
              <w:t>21 (21.0%)</w:t>
            </w:r>
          </w:p>
        </w:tc>
        <w:tc>
          <w:tcPr>
            <w:tcW w:w="1620" w:type="dxa"/>
            <w:vAlign w:val="center"/>
          </w:tcPr>
          <w:p w14:paraId="191FBB81" w14:textId="77777777" w:rsidR="0099657B" w:rsidRPr="00EC6393" w:rsidRDefault="0099657B" w:rsidP="00E01EC2">
            <w:pPr>
              <w:pStyle w:val="IEEEParagraph"/>
              <w:ind w:firstLine="0"/>
              <w:jc w:val="center"/>
              <w:rPr>
                <w:rFonts w:eastAsia="Arial"/>
                <w:sz w:val="20"/>
                <w:szCs w:val="20"/>
              </w:rPr>
            </w:pPr>
            <w:r w:rsidRPr="00EC6393">
              <w:rPr>
                <w:rFonts w:eastAsia="Arial"/>
                <w:b/>
                <w:bCs/>
                <w:sz w:val="20"/>
                <w:szCs w:val="20"/>
              </w:rPr>
              <w:t>9 (9.0%)</w:t>
            </w:r>
          </w:p>
        </w:tc>
        <w:tc>
          <w:tcPr>
            <w:tcW w:w="1710" w:type="dxa"/>
            <w:vAlign w:val="center"/>
          </w:tcPr>
          <w:p w14:paraId="716911C9" w14:textId="77777777" w:rsidR="0099657B" w:rsidRPr="00EC6393" w:rsidRDefault="0099657B" w:rsidP="00E01EC2">
            <w:pPr>
              <w:pStyle w:val="IEEEParagraph"/>
              <w:ind w:firstLine="0"/>
              <w:jc w:val="center"/>
              <w:rPr>
                <w:rFonts w:eastAsia="Arial"/>
                <w:sz w:val="20"/>
                <w:szCs w:val="20"/>
              </w:rPr>
            </w:pPr>
            <w:r w:rsidRPr="00EC6393">
              <w:rPr>
                <w:rFonts w:eastAsia="Arial"/>
                <w:b/>
                <w:bCs/>
                <w:sz w:val="20"/>
                <w:szCs w:val="20"/>
              </w:rPr>
              <w:t>0 (0.0%)</w:t>
            </w:r>
          </w:p>
        </w:tc>
      </w:tr>
    </w:tbl>
    <w:p w14:paraId="41236ADE" w14:textId="77777777" w:rsidR="00245680" w:rsidRDefault="00245680" w:rsidP="00245680">
      <w:pPr>
        <w:pStyle w:val="IEEEParagraph"/>
        <w:rPr>
          <w:sz w:val="20"/>
          <w:szCs w:val="20"/>
        </w:rPr>
      </w:pPr>
    </w:p>
    <w:p w14:paraId="438D5968" w14:textId="4F491124" w:rsidR="00245680" w:rsidRPr="00245680" w:rsidRDefault="00245680" w:rsidP="00245680">
      <w:pPr>
        <w:pStyle w:val="IEEEParagraph"/>
        <w:rPr>
          <w:sz w:val="20"/>
          <w:szCs w:val="20"/>
        </w:rPr>
      </w:pPr>
      <w:r w:rsidRPr="00245680">
        <w:rPr>
          <w:sz w:val="20"/>
          <w:szCs w:val="20"/>
        </w:rPr>
        <w:t>Table 7 presents the results of the Gophish phishing simulation conducted among the respondents across different year levels. A total of 100 phishing emails were distributed equally among the participants, with 25 emails sent to each year level. The simulation aimed to measure the respondents’ actual behavioral responses to a simulated phishing attack by tracking the number of participants who opened the email, clicked the malicious link, submitted sensitive information, and reported the phishing attempt.</w:t>
      </w:r>
    </w:p>
    <w:p w14:paraId="20ABCA78" w14:textId="77777777" w:rsidR="00245680" w:rsidRPr="00245680" w:rsidRDefault="00245680" w:rsidP="00245680">
      <w:pPr>
        <w:pStyle w:val="IEEEParagraph"/>
        <w:rPr>
          <w:sz w:val="20"/>
          <w:szCs w:val="20"/>
        </w:rPr>
      </w:pPr>
    </w:p>
    <w:p w14:paraId="79832659" w14:textId="77777777" w:rsidR="00245680" w:rsidRPr="00245680" w:rsidRDefault="00245680" w:rsidP="00245680">
      <w:pPr>
        <w:pStyle w:val="IEEEParagraph"/>
        <w:rPr>
          <w:sz w:val="20"/>
          <w:szCs w:val="20"/>
        </w:rPr>
      </w:pPr>
      <w:r w:rsidRPr="00245680">
        <w:rPr>
          <w:sz w:val="20"/>
          <w:szCs w:val="20"/>
        </w:rPr>
        <w:t>The findings revealed that 21 respondents or 21.0% opened the phishing email and clicked the malicious link embedded in the message. Among these respondents, 9 participants or 9.0% proceeded to submit their information through the simulated phishing page, indicating actual susceptibility to phishing attacks. However, none of the respondents reported the phishing email, resulting in a 0.0% reporting rate across all year levels. This result suggests that while some students were able to avoid submitting sensitive information, they still failed to recognize the importance of formally reporting suspicious emails or potential cybersecurity threats.</w:t>
      </w:r>
    </w:p>
    <w:p w14:paraId="37630C7C" w14:textId="77777777" w:rsidR="00245680" w:rsidRPr="00245680" w:rsidRDefault="00245680" w:rsidP="00245680">
      <w:pPr>
        <w:pStyle w:val="IEEEParagraph"/>
        <w:rPr>
          <w:sz w:val="20"/>
          <w:szCs w:val="20"/>
        </w:rPr>
      </w:pPr>
    </w:p>
    <w:p w14:paraId="6DE2B71A" w14:textId="77777777" w:rsidR="00245680" w:rsidRPr="00245680" w:rsidRDefault="00245680" w:rsidP="00245680">
      <w:pPr>
        <w:pStyle w:val="IEEEParagraph"/>
        <w:rPr>
          <w:sz w:val="20"/>
          <w:szCs w:val="20"/>
        </w:rPr>
      </w:pPr>
      <w:r w:rsidRPr="00245680">
        <w:rPr>
          <w:sz w:val="20"/>
          <w:szCs w:val="20"/>
        </w:rPr>
        <w:t>Among the different year levels, 1st Year students demonstrated the highest level of phishing susceptibility. Out of the 25 phishing emails sent to this group, 9 students or 36.0% opened the email and clicked the malicious link, while 7 students or 28.0% submitted sensitive information through the phishing page. These findings indicate that 1st Year students were the most vulnerable group in the simulation, possibly due to limited cybersecurity knowledge, lower exposure to phishing awareness initiatives, or lack of practical experience in identifying phishing attempts. The results imply that students in lower academic levels may still struggle to apply cybersecurity awareness effectively in real-world situations.</w:t>
      </w:r>
    </w:p>
    <w:p w14:paraId="2D975A48" w14:textId="77777777" w:rsidR="00245680" w:rsidRPr="00245680" w:rsidRDefault="00245680" w:rsidP="00245680">
      <w:pPr>
        <w:pStyle w:val="IEEEParagraph"/>
        <w:rPr>
          <w:sz w:val="20"/>
          <w:szCs w:val="20"/>
        </w:rPr>
      </w:pPr>
    </w:p>
    <w:p w14:paraId="226F3D1F" w14:textId="77777777" w:rsidR="00245680" w:rsidRPr="00245680" w:rsidRDefault="00245680" w:rsidP="00245680">
      <w:pPr>
        <w:pStyle w:val="IEEEParagraph"/>
        <w:rPr>
          <w:sz w:val="20"/>
          <w:szCs w:val="20"/>
        </w:rPr>
      </w:pPr>
      <w:r w:rsidRPr="00245680">
        <w:rPr>
          <w:sz w:val="20"/>
          <w:szCs w:val="20"/>
        </w:rPr>
        <w:t>In contrast, 2nd Year and 3rd Year students demonstrated relatively lower levels of phishing susceptibility. Both groups recorded low email open and click-through rates, with only 12.0% of 2nd Year students and 20.0% of 3rd Year students interacting with the phishing email. Notably, none of the respondents from these groups submitted sensitive information despite clicking the malicious link. This finding suggests that although some students initially engaged with the phishing email, they were still able to recognize suspicious elements before disclosing personal information. Meanwhile, 4th Year students exhibited moderate susceptibility, with 16.0% opening the email and clicking the link, while 8.0% submitted their information. Although 4th Year students generally demonstrated stronger cybersecurity awareness in previous survey results, the simulation indicates that some students remained vulnerable to deceptive phishing tactics.</w:t>
      </w:r>
    </w:p>
    <w:p w14:paraId="2088943F" w14:textId="77777777" w:rsidR="00245680" w:rsidRPr="00245680" w:rsidRDefault="00245680" w:rsidP="00245680">
      <w:pPr>
        <w:pStyle w:val="IEEEParagraph"/>
        <w:rPr>
          <w:sz w:val="20"/>
          <w:szCs w:val="20"/>
        </w:rPr>
      </w:pPr>
    </w:p>
    <w:p w14:paraId="32AC0164" w14:textId="77777777" w:rsidR="00245680" w:rsidRPr="00245680" w:rsidRDefault="00245680" w:rsidP="00245680">
      <w:pPr>
        <w:pStyle w:val="IEEEParagraph"/>
        <w:rPr>
          <w:sz w:val="20"/>
          <w:szCs w:val="20"/>
        </w:rPr>
      </w:pPr>
      <w:r w:rsidRPr="00245680">
        <w:rPr>
          <w:sz w:val="20"/>
          <w:szCs w:val="20"/>
        </w:rPr>
        <w:t>The results of the phishing simulation reveal an important gap between self-reported cybersecurity awareness and actual online behavior. Earlier findings from the survey showed that respondents generally possessed high levels of cybersecurity awareness and frequently practiced positive online security behaviors. However, the simulation demonstrated that awareness alone does not always translate into safe online actions, particularly when students are exposed to realistic phishing scenarios. The absence of any email reporting behavior further emphasizes the need to strengthen students’ practical cybersecurity response skills, particularly in recognizing phishing attempts and understanding the proper procedures for reporting suspicious activities.</w:t>
      </w:r>
    </w:p>
    <w:p w14:paraId="0BBE1E44" w14:textId="77777777" w:rsidR="00245680" w:rsidRPr="00245680" w:rsidRDefault="00245680" w:rsidP="00245680">
      <w:pPr>
        <w:pStyle w:val="IEEEParagraph"/>
        <w:rPr>
          <w:sz w:val="20"/>
          <w:szCs w:val="20"/>
        </w:rPr>
      </w:pPr>
    </w:p>
    <w:p w14:paraId="0D27D6F1" w14:textId="179BCE61" w:rsidR="00C87C0C" w:rsidRPr="00EC6393" w:rsidRDefault="00245680" w:rsidP="00245680">
      <w:pPr>
        <w:pStyle w:val="IEEEParagraph"/>
        <w:rPr>
          <w:sz w:val="20"/>
          <w:szCs w:val="20"/>
        </w:rPr>
      </w:pPr>
      <w:r w:rsidRPr="00245680">
        <w:rPr>
          <w:sz w:val="20"/>
          <w:szCs w:val="20"/>
        </w:rPr>
        <w:t>Overall, the findings highlight the importance of continuous cybersecurity education, practical phishing simulations, and awareness campaigns among students of Quezon City University. The results suggest that experiential learning approaches, such as phishing simulations and hands-on cybersecurity training, may be more effective in improving students’ ability to detect, avoid, and appropriately respond to phishing attacks compared to relying solely on theoretical awareness discussions.</w:t>
      </w:r>
    </w:p>
    <w:p w14:paraId="22374FAA" w14:textId="77777777" w:rsidR="00C87C0C" w:rsidRPr="00EC6393" w:rsidRDefault="00C87C0C" w:rsidP="0099657B">
      <w:pPr>
        <w:pStyle w:val="IEEEParagraph"/>
        <w:rPr>
          <w:sz w:val="20"/>
          <w:szCs w:val="20"/>
        </w:rPr>
      </w:pPr>
    </w:p>
    <w:p w14:paraId="4A67412B" w14:textId="77777777" w:rsidR="00C87C0C" w:rsidRPr="00EC6393" w:rsidRDefault="00C87C0C" w:rsidP="0099657B">
      <w:pPr>
        <w:pStyle w:val="IEEEParagraph"/>
        <w:rPr>
          <w:sz w:val="20"/>
          <w:szCs w:val="20"/>
        </w:rPr>
      </w:pPr>
    </w:p>
    <w:p w14:paraId="6CFE5A0C" w14:textId="7E03D606" w:rsidR="00245680" w:rsidRPr="00B52A1B" w:rsidRDefault="00245680" w:rsidP="00245680">
      <w:pPr>
        <w:pStyle w:val="ListParagraph"/>
        <w:numPr>
          <w:ilvl w:val="0"/>
          <w:numId w:val="18"/>
        </w:numPr>
        <w:ind w:left="360"/>
        <w:rPr>
          <w:b/>
          <w:bCs/>
          <w:i/>
          <w:sz w:val="20"/>
          <w:szCs w:val="20"/>
        </w:rPr>
      </w:pPr>
      <w:r>
        <w:rPr>
          <w:b/>
          <w:bCs/>
          <w:i/>
          <w:sz w:val="20"/>
          <w:szCs w:val="20"/>
        </w:rPr>
        <w:t>Difference in Susceptibility Across Year Level using One-Way ANOVA</w:t>
      </w:r>
    </w:p>
    <w:p w14:paraId="765FA55C" w14:textId="41CEEBEE" w:rsidR="00C87C0C" w:rsidRDefault="00C87C0C" w:rsidP="0099657B">
      <w:pPr>
        <w:pStyle w:val="IEEEParagraph"/>
        <w:rPr>
          <w:sz w:val="20"/>
          <w:szCs w:val="20"/>
        </w:rPr>
      </w:pPr>
    </w:p>
    <w:p w14:paraId="3A3DE15A" w14:textId="75143C6A" w:rsidR="00B01B61" w:rsidRDefault="00B01B61" w:rsidP="00B01B61">
      <w:pPr>
        <w:jc w:val="center"/>
        <w:rPr>
          <w:rFonts w:eastAsia="Times New Roman"/>
          <w:sz w:val="20"/>
          <w:szCs w:val="20"/>
          <w:lang w:val="en-PH" w:eastAsia="en-US"/>
        </w:rPr>
      </w:pPr>
      <w:r w:rsidRPr="00B01B61">
        <w:rPr>
          <w:rFonts w:eastAsia="Times New Roman"/>
          <w:sz w:val="20"/>
          <w:szCs w:val="20"/>
          <w:lang w:val="en-PH" w:eastAsia="en-US"/>
        </w:rPr>
        <w:t>Table 8. One-Way ANOVA on the Difference in Phishing Susceptibility Across Year Levels</w:t>
      </w:r>
    </w:p>
    <w:p w14:paraId="245EB3CF" w14:textId="77777777" w:rsidR="00B01B61" w:rsidRPr="00B01B61" w:rsidRDefault="00B01B61" w:rsidP="00B01B61">
      <w:pPr>
        <w:jc w:val="center"/>
        <w:rPr>
          <w:rFonts w:eastAsia="Times New Roman"/>
          <w:sz w:val="20"/>
          <w:szCs w:val="20"/>
          <w:lang w:val="en-PH" w:eastAsia="en-US"/>
        </w:rPr>
      </w:pPr>
    </w:p>
    <w:tbl>
      <w:tblPr>
        <w:tblStyle w:val="TableGrid"/>
        <w:tblW w:w="10612" w:type="dxa"/>
        <w:tblLook w:val="04A0" w:firstRow="1" w:lastRow="0" w:firstColumn="1" w:lastColumn="0" w:noHBand="0" w:noVBand="1"/>
      </w:tblPr>
      <w:tblGrid>
        <w:gridCol w:w="3325"/>
        <w:gridCol w:w="1620"/>
        <w:gridCol w:w="900"/>
        <w:gridCol w:w="1372"/>
        <w:gridCol w:w="788"/>
        <w:gridCol w:w="1080"/>
        <w:gridCol w:w="1527"/>
      </w:tblGrid>
      <w:tr w:rsidR="00B01B61" w14:paraId="456932FF" w14:textId="77777777" w:rsidTr="00B01B61">
        <w:tc>
          <w:tcPr>
            <w:tcW w:w="3325" w:type="dxa"/>
            <w:shd w:val="clear" w:color="auto" w:fill="C5E0B3" w:themeFill="accent6" w:themeFillTint="66"/>
            <w:vAlign w:val="center"/>
          </w:tcPr>
          <w:p w14:paraId="7C68DD2F" w14:textId="33085F73" w:rsidR="00B01B61" w:rsidRPr="00B01B61" w:rsidRDefault="00B01B61" w:rsidP="00B01B61">
            <w:pPr>
              <w:pStyle w:val="NoSpacing"/>
              <w:jc w:val="center"/>
              <w:rPr>
                <w:b/>
                <w:sz w:val="20"/>
              </w:rPr>
            </w:pPr>
            <w:r w:rsidRPr="00B01B61">
              <w:rPr>
                <w:b/>
                <w:sz w:val="20"/>
              </w:rPr>
              <w:t>Source of Variation</w:t>
            </w:r>
          </w:p>
        </w:tc>
        <w:tc>
          <w:tcPr>
            <w:tcW w:w="1620" w:type="dxa"/>
            <w:shd w:val="clear" w:color="auto" w:fill="C5E0B3" w:themeFill="accent6" w:themeFillTint="66"/>
            <w:vAlign w:val="center"/>
          </w:tcPr>
          <w:p w14:paraId="44F7413C" w14:textId="6B07A55D" w:rsidR="00B01B61" w:rsidRDefault="00B01B61" w:rsidP="00B01B61">
            <w:pPr>
              <w:pStyle w:val="NoSpacing"/>
              <w:jc w:val="center"/>
              <w:rPr>
                <w:b/>
                <w:sz w:val="20"/>
              </w:rPr>
            </w:pPr>
            <w:r w:rsidRPr="00B01B61">
              <w:rPr>
                <w:b/>
                <w:sz w:val="20"/>
              </w:rPr>
              <w:t>Sum o</w:t>
            </w:r>
            <w:r>
              <w:rPr>
                <w:b/>
                <w:sz w:val="20"/>
              </w:rPr>
              <w:t xml:space="preserve">f </w:t>
            </w:r>
            <w:r w:rsidRPr="00B01B61">
              <w:rPr>
                <w:b/>
                <w:sz w:val="20"/>
              </w:rPr>
              <w:t xml:space="preserve">Squares </w:t>
            </w:r>
          </w:p>
          <w:p w14:paraId="5DFA52C7" w14:textId="689F5E73" w:rsidR="00B01B61" w:rsidRPr="00B01B61" w:rsidRDefault="00B01B61" w:rsidP="00B01B61">
            <w:pPr>
              <w:pStyle w:val="NoSpacing"/>
              <w:jc w:val="center"/>
              <w:rPr>
                <w:b/>
                <w:sz w:val="20"/>
              </w:rPr>
            </w:pPr>
            <w:r w:rsidRPr="00B01B61">
              <w:rPr>
                <w:b/>
                <w:sz w:val="20"/>
              </w:rPr>
              <w:t>(SS)</w:t>
            </w:r>
          </w:p>
        </w:tc>
        <w:tc>
          <w:tcPr>
            <w:tcW w:w="900" w:type="dxa"/>
            <w:shd w:val="clear" w:color="auto" w:fill="C5E0B3" w:themeFill="accent6" w:themeFillTint="66"/>
            <w:vAlign w:val="center"/>
          </w:tcPr>
          <w:p w14:paraId="67467C20" w14:textId="01A5211C" w:rsidR="00B01B61" w:rsidRPr="00B01B61" w:rsidRDefault="00B01B61" w:rsidP="00B01B61">
            <w:pPr>
              <w:pStyle w:val="NoSpacing"/>
              <w:jc w:val="center"/>
              <w:rPr>
                <w:b/>
                <w:sz w:val="20"/>
              </w:rPr>
            </w:pPr>
            <w:r w:rsidRPr="00B01B61">
              <w:rPr>
                <w:b/>
                <w:sz w:val="20"/>
              </w:rPr>
              <w:t>df</w:t>
            </w:r>
          </w:p>
        </w:tc>
        <w:tc>
          <w:tcPr>
            <w:tcW w:w="1372" w:type="dxa"/>
            <w:shd w:val="clear" w:color="auto" w:fill="C5E0B3" w:themeFill="accent6" w:themeFillTint="66"/>
            <w:vAlign w:val="center"/>
          </w:tcPr>
          <w:p w14:paraId="1614BDAE" w14:textId="1B73E8C0" w:rsidR="00B01B61" w:rsidRPr="00B01B61" w:rsidRDefault="00B01B61" w:rsidP="00B01B61">
            <w:pPr>
              <w:pStyle w:val="NoSpacing"/>
              <w:jc w:val="center"/>
              <w:rPr>
                <w:b/>
                <w:sz w:val="20"/>
              </w:rPr>
            </w:pPr>
            <w:r w:rsidRPr="00B01B61">
              <w:rPr>
                <w:b/>
                <w:sz w:val="20"/>
              </w:rPr>
              <w:t>MeanSquare (MS)</w:t>
            </w:r>
          </w:p>
        </w:tc>
        <w:tc>
          <w:tcPr>
            <w:tcW w:w="788" w:type="dxa"/>
            <w:shd w:val="clear" w:color="auto" w:fill="C5E0B3" w:themeFill="accent6" w:themeFillTint="66"/>
            <w:vAlign w:val="center"/>
          </w:tcPr>
          <w:p w14:paraId="34BD7ED3" w14:textId="48B4BC0E" w:rsidR="00B01B61" w:rsidRPr="00B01B61" w:rsidRDefault="00B01B61" w:rsidP="00B01B61">
            <w:pPr>
              <w:pStyle w:val="NoSpacing"/>
              <w:jc w:val="center"/>
              <w:rPr>
                <w:b/>
                <w:sz w:val="20"/>
              </w:rPr>
            </w:pPr>
            <w:r w:rsidRPr="00B01B61">
              <w:rPr>
                <w:b/>
                <w:sz w:val="20"/>
              </w:rPr>
              <w:t>F</w:t>
            </w:r>
          </w:p>
        </w:tc>
        <w:tc>
          <w:tcPr>
            <w:tcW w:w="1080" w:type="dxa"/>
            <w:shd w:val="clear" w:color="auto" w:fill="C5E0B3" w:themeFill="accent6" w:themeFillTint="66"/>
            <w:vAlign w:val="center"/>
          </w:tcPr>
          <w:p w14:paraId="64B72A7C" w14:textId="308A8DDD" w:rsidR="00B01B61" w:rsidRPr="00B01B61" w:rsidRDefault="00B01B61" w:rsidP="00B01B61">
            <w:pPr>
              <w:pStyle w:val="NoSpacing"/>
              <w:jc w:val="center"/>
              <w:rPr>
                <w:b/>
                <w:sz w:val="20"/>
              </w:rPr>
            </w:pPr>
            <w:r w:rsidRPr="00B01B61">
              <w:rPr>
                <w:b/>
                <w:sz w:val="20"/>
              </w:rPr>
              <w:t>p-value</w:t>
            </w:r>
          </w:p>
        </w:tc>
        <w:tc>
          <w:tcPr>
            <w:tcW w:w="1527" w:type="dxa"/>
            <w:shd w:val="clear" w:color="auto" w:fill="C5E0B3" w:themeFill="accent6" w:themeFillTint="66"/>
            <w:vAlign w:val="center"/>
          </w:tcPr>
          <w:p w14:paraId="61E5BBF9" w14:textId="7D975E44" w:rsidR="00B01B61" w:rsidRPr="00B01B61" w:rsidRDefault="00B01B61" w:rsidP="00B01B61">
            <w:pPr>
              <w:pStyle w:val="NoSpacing"/>
              <w:jc w:val="center"/>
              <w:rPr>
                <w:b/>
                <w:sz w:val="20"/>
              </w:rPr>
            </w:pPr>
            <w:r w:rsidRPr="00B01B61">
              <w:rPr>
                <w:b/>
                <w:sz w:val="20"/>
              </w:rPr>
              <w:t>Interpretation</w:t>
            </w:r>
          </w:p>
        </w:tc>
      </w:tr>
      <w:tr w:rsidR="00B01B61" w14:paraId="665FB1F3" w14:textId="77777777" w:rsidTr="00B01B61">
        <w:tc>
          <w:tcPr>
            <w:tcW w:w="3325" w:type="dxa"/>
          </w:tcPr>
          <w:p w14:paraId="6FD63DEB" w14:textId="09B963E4" w:rsidR="00B01B61" w:rsidRPr="00B01B61" w:rsidRDefault="00B01B61" w:rsidP="00B01B61">
            <w:pPr>
              <w:pStyle w:val="NoSpacing"/>
              <w:rPr>
                <w:sz w:val="20"/>
              </w:rPr>
            </w:pPr>
            <w:r>
              <w:rPr>
                <w:sz w:val="20"/>
              </w:rPr>
              <w:t>Between Groups</w:t>
            </w:r>
          </w:p>
        </w:tc>
        <w:tc>
          <w:tcPr>
            <w:tcW w:w="1620" w:type="dxa"/>
          </w:tcPr>
          <w:p w14:paraId="0912660C" w14:textId="11188ACA" w:rsidR="00B01B61" w:rsidRPr="00B01B61" w:rsidRDefault="00B01B61" w:rsidP="00B01B61">
            <w:pPr>
              <w:pStyle w:val="NoSpacing"/>
              <w:jc w:val="center"/>
              <w:rPr>
                <w:sz w:val="20"/>
              </w:rPr>
            </w:pPr>
            <w:r>
              <w:rPr>
                <w:sz w:val="20"/>
              </w:rPr>
              <w:t>6.75</w:t>
            </w:r>
          </w:p>
        </w:tc>
        <w:tc>
          <w:tcPr>
            <w:tcW w:w="900" w:type="dxa"/>
          </w:tcPr>
          <w:p w14:paraId="21E18FA3" w14:textId="75912EDD" w:rsidR="00B01B61" w:rsidRPr="00B01B61" w:rsidRDefault="00B01B61" w:rsidP="00B01B61">
            <w:pPr>
              <w:pStyle w:val="NoSpacing"/>
              <w:jc w:val="center"/>
              <w:rPr>
                <w:sz w:val="20"/>
              </w:rPr>
            </w:pPr>
            <w:r>
              <w:rPr>
                <w:sz w:val="20"/>
              </w:rPr>
              <w:t>3</w:t>
            </w:r>
          </w:p>
        </w:tc>
        <w:tc>
          <w:tcPr>
            <w:tcW w:w="1372" w:type="dxa"/>
          </w:tcPr>
          <w:p w14:paraId="6550194F" w14:textId="25B9C5B8" w:rsidR="00B01B61" w:rsidRPr="00B01B61" w:rsidRDefault="00B01B61" w:rsidP="00B01B61">
            <w:pPr>
              <w:pStyle w:val="NoSpacing"/>
              <w:jc w:val="center"/>
              <w:rPr>
                <w:sz w:val="20"/>
              </w:rPr>
            </w:pPr>
            <w:r>
              <w:rPr>
                <w:sz w:val="20"/>
              </w:rPr>
              <w:t>2.25</w:t>
            </w:r>
          </w:p>
        </w:tc>
        <w:tc>
          <w:tcPr>
            <w:tcW w:w="788" w:type="dxa"/>
          </w:tcPr>
          <w:p w14:paraId="4CE7D546" w14:textId="0DF41BC8" w:rsidR="00B01B61" w:rsidRPr="00B01B61" w:rsidRDefault="00B01B61" w:rsidP="00B01B61">
            <w:pPr>
              <w:pStyle w:val="NoSpacing"/>
              <w:jc w:val="center"/>
              <w:rPr>
                <w:sz w:val="20"/>
              </w:rPr>
            </w:pPr>
            <w:r>
              <w:rPr>
                <w:sz w:val="20"/>
              </w:rPr>
              <w:t>4.12</w:t>
            </w:r>
          </w:p>
        </w:tc>
        <w:tc>
          <w:tcPr>
            <w:tcW w:w="1080" w:type="dxa"/>
          </w:tcPr>
          <w:p w14:paraId="74EDB5A5" w14:textId="3F3D7380" w:rsidR="00B01B61" w:rsidRPr="00B01B61" w:rsidRDefault="00B01B61" w:rsidP="00B01B61">
            <w:pPr>
              <w:pStyle w:val="NoSpacing"/>
              <w:jc w:val="center"/>
              <w:rPr>
                <w:sz w:val="20"/>
              </w:rPr>
            </w:pPr>
            <w:r>
              <w:rPr>
                <w:sz w:val="20"/>
              </w:rPr>
              <w:t>0.008</w:t>
            </w:r>
          </w:p>
        </w:tc>
        <w:tc>
          <w:tcPr>
            <w:tcW w:w="1527" w:type="dxa"/>
          </w:tcPr>
          <w:p w14:paraId="5E5E6543" w14:textId="248D6C52" w:rsidR="00B01B61" w:rsidRPr="00B01B61" w:rsidRDefault="00B01B61" w:rsidP="00B01B61">
            <w:pPr>
              <w:pStyle w:val="NoSpacing"/>
              <w:jc w:val="center"/>
              <w:rPr>
                <w:sz w:val="20"/>
              </w:rPr>
            </w:pPr>
            <w:r>
              <w:rPr>
                <w:sz w:val="20"/>
              </w:rPr>
              <w:t>Significant</w:t>
            </w:r>
          </w:p>
        </w:tc>
      </w:tr>
      <w:tr w:rsidR="00B01B61" w14:paraId="68FE9F91" w14:textId="77777777" w:rsidTr="00B01B61">
        <w:tc>
          <w:tcPr>
            <w:tcW w:w="3325" w:type="dxa"/>
          </w:tcPr>
          <w:p w14:paraId="003AA5BA" w14:textId="6141AB15" w:rsidR="00B01B61" w:rsidRPr="00B01B61" w:rsidRDefault="00B01B61" w:rsidP="00B01B61">
            <w:pPr>
              <w:pStyle w:val="NoSpacing"/>
              <w:rPr>
                <w:sz w:val="20"/>
              </w:rPr>
            </w:pPr>
            <w:r>
              <w:rPr>
                <w:sz w:val="20"/>
              </w:rPr>
              <w:t>Within Groups</w:t>
            </w:r>
          </w:p>
        </w:tc>
        <w:tc>
          <w:tcPr>
            <w:tcW w:w="1620" w:type="dxa"/>
          </w:tcPr>
          <w:p w14:paraId="64F47A01" w14:textId="6C4DC5AA" w:rsidR="00B01B61" w:rsidRPr="00B01B61" w:rsidRDefault="00B01B61" w:rsidP="00B01B61">
            <w:pPr>
              <w:pStyle w:val="NoSpacing"/>
              <w:jc w:val="center"/>
              <w:rPr>
                <w:sz w:val="20"/>
              </w:rPr>
            </w:pPr>
            <w:r>
              <w:rPr>
                <w:sz w:val="20"/>
              </w:rPr>
              <w:t>52.40</w:t>
            </w:r>
          </w:p>
        </w:tc>
        <w:tc>
          <w:tcPr>
            <w:tcW w:w="900" w:type="dxa"/>
          </w:tcPr>
          <w:p w14:paraId="11F9635E" w14:textId="1A9448B5" w:rsidR="00B01B61" w:rsidRPr="00B01B61" w:rsidRDefault="00B01B61" w:rsidP="00B01B61">
            <w:pPr>
              <w:pStyle w:val="NoSpacing"/>
              <w:jc w:val="center"/>
              <w:rPr>
                <w:sz w:val="20"/>
              </w:rPr>
            </w:pPr>
            <w:r>
              <w:rPr>
                <w:sz w:val="20"/>
              </w:rPr>
              <w:t>96</w:t>
            </w:r>
          </w:p>
        </w:tc>
        <w:tc>
          <w:tcPr>
            <w:tcW w:w="1372" w:type="dxa"/>
          </w:tcPr>
          <w:p w14:paraId="2765B756" w14:textId="7B9A3F24" w:rsidR="00B01B61" w:rsidRPr="00B01B61" w:rsidRDefault="00B01B61" w:rsidP="00B01B61">
            <w:pPr>
              <w:pStyle w:val="NoSpacing"/>
              <w:jc w:val="center"/>
              <w:rPr>
                <w:sz w:val="20"/>
              </w:rPr>
            </w:pPr>
            <w:r>
              <w:rPr>
                <w:sz w:val="20"/>
              </w:rPr>
              <w:t>0.55</w:t>
            </w:r>
          </w:p>
        </w:tc>
        <w:tc>
          <w:tcPr>
            <w:tcW w:w="788" w:type="dxa"/>
          </w:tcPr>
          <w:p w14:paraId="04371BD6" w14:textId="77777777" w:rsidR="00B01B61" w:rsidRPr="00B01B61" w:rsidRDefault="00B01B61" w:rsidP="00B01B61">
            <w:pPr>
              <w:pStyle w:val="NoSpacing"/>
              <w:jc w:val="center"/>
              <w:rPr>
                <w:sz w:val="20"/>
              </w:rPr>
            </w:pPr>
          </w:p>
        </w:tc>
        <w:tc>
          <w:tcPr>
            <w:tcW w:w="1080" w:type="dxa"/>
          </w:tcPr>
          <w:p w14:paraId="5133A00E" w14:textId="77777777" w:rsidR="00B01B61" w:rsidRPr="00B01B61" w:rsidRDefault="00B01B61" w:rsidP="00B01B61">
            <w:pPr>
              <w:pStyle w:val="NoSpacing"/>
              <w:jc w:val="center"/>
              <w:rPr>
                <w:sz w:val="20"/>
              </w:rPr>
            </w:pPr>
          </w:p>
        </w:tc>
        <w:tc>
          <w:tcPr>
            <w:tcW w:w="1527" w:type="dxa"/>
          </w:tcPr>
          <w:p w14:paraId="44902595" w14:textId="77777777" w:rsidR="00B01B61" w:rsidRPr="00B01B61" w:rsidRDefault="00B01B61" w:rsidP="00B01B61">
            <w:pPr>
              <w:pStyle w:val="NoSpacing"/>
              <w:jc w:val="center"/>
              <w:rPr>
                <w:sz w:val="20"/>
              </w:rPr>
            </w:pPr>
          </w:p>
        </w:tc>
      </w:tr>
      <w:tr w:rsidR="00B01B61" w14:paraId="5B6D2CC6" w14:textId="77777777" w:rsidTr="00B01B61">
        <w:tc>
          <w:tcPr>
            <w:tcW w:w="3325" w:type="dxa"/>
          </w:tcPr>
          <w:p w14:paraId="0B3C60BC" w14:textId="2EDAD452" w:rsidR="00B01B61" w:rsidRPr="00B01B61" w:rsidRDefault="00B01B61" w:rsidP="00B01B61">
            <w:pPr>
              <w:pStyle w:val="NoSpacing"/>
              <w:rPr>
                <w:sz w:val="20"/>
              </w:rPr>
            </w:pPr>
            <w:r>
              <w:rPr>
                <w:sz w:val="20"/>
              </w:rPr>
              <w:t>Total</w:t>
            </w:r>
          </w:p>
        </w:tc>
        <w:tc>
          <w:tcPr>
            <w:tcW w:w="1620" w:type="dxa"/>
          </w:tcPr>
          <w:p w14:paraId="2657C4B8" w14:textId="5CD0D45C" w:rsidR="00B01B61" w:rsidRPr="00B01B61" w:rsidRDefault="00B01B61" w:rsidP="00B01B61">
            <w:pPr>
              <w:pStyle w:val="NoSpacing"/>
              <w:jc w:val="center"/>
              <w:rPr>
                <w:sz w:val="20"/>
              </w:rPr>
            </w:pPr>
            <w:r>
              <w:rPr>
                <w:sz w:val="20"/>
              </w:rPr>
              <w:t>59.15</w:t>
            </w:r>
          </w:p>
        </w:tc>
        <w:tc>
          <w:tcPr>
            <w:tcW w:w="900" w:type="dxa"/>
          </w:tcPr>
          <w:p w14:paraId="10229812" w14:textId="20F4C111" w:rsidR="00B01B61" w:rsidRPr="00B01B61" w:rsidRDefault="00B01B61" w:rsidP="00B01B61">
            <w:pPr>
              <w:pStyle w:val="NoSpacing"/>
              <w:jc w:val="center"/>
              <w:rPr>
                <w:sz w:val="20"/>
              </w:rPr>
            </w:pPr>
            <w:r>
              <w:rPr>
                <w:sz w:val="20"/>
              </w:rPr>
              <w:t>99</w:t>
            </w:r>
          </w:p>
        </w:tc>
        <w:tc>
          <w:tcPr>
            <w:tcW w:w="1372" w:type="dxa"/>
          </w:tcPr>
          <w:p w14:paraId="1A309A1F" w14:textId="77777777" w:rsidR="00B01B61" w:rsidRPr="00B01B61" w:rsidRDefault="00B01B61" w:rsidP="00B01B61">
            <w:pPr>
              <w:pStyle w:val="NoSpacing"/>
              <w:rPr>
                <w:sz w:val="20"/>
              </w:rPr>
            </w:pPr>
          </w:p>
        </w:tc>
        <w:tc>
          <w:tcPr>
            <w:tcW w:w="788" w:type="dxa"/>
          </w:tcPr>
          <w:p w14:paraId="559557D9" w14:textId="77777777" w:rsidR="00B01B61" w:rsidRPr="00B01B61" w:rsidRDefault="00B01B61" w:rsidP="00B01B61">
            <w:pPr>
              <w:pStyle w:val="NoSpacing"/>
              <w:rPr>
                <w:sz w:val="20"/>
              </w:rPr>
            </w:pPr>
          </w:p>
        </w:tc>
        <w:tc>
          <w:tcPr>
            <w:tcW w:w="1080" w:type="dxa"/>
          </w:tcPr>
          <w:p w14:paraId="5D580FB3" w14:textId="77777777" w:rsidR="00B01B61" w:rsidRPr="00B01B61" w:rsidRDefault="00B01B61" w:rsidP="00B01B61">
            <w:pPr>
              <w:pStyle w:val="NoSpacing"/>
              <w:rPr>
                <w:sz w:val="20"/>
              </w:rPr>
            </w:pPr>
          </w:p>
        </w:tc>
        <w:tc>
          <w:tcPr>
            <w:tcW w:w="1527" w:type="dxa"/>
          </w:tcPr>
          <w:p w14:paraId="165F2723" w14:textId="77777777" w:rsidR="00B01B61" w:rsidRPr="00B01B61" w:rsidRDefault="00B01B61" w:rsidP="00B01B61">
            <w:pPr>
              <w:pStyle w:val="NoSpacing"/>
              <w:rPr>
                <w:sz w:val="20"/>
              </w:rPr>
            </w:pPr>
          </w:p>
        </w:tc>
      </w:tr>
    </w:tbl>
    <w:p w14:paraId="1551ECE0" w14:textId="77777777" w:rsidR="00C87C0C" w:rsidRPr="00EC6393" w:rsidRDefault="00C87C0C" w:rsidP="0099657B">
      <w:pPr>
        <w:pStyle w:val="IEEEParagraph"/>
        <w:rPr>
          <w:sz w:val="20"/>
          <w:szCs w:val="20"/>
        </w:rPr>
      </w:pPr>
    </w:p>
    <w:p w14:paraId="7E1E6594" w14:textId="77777777" w:rsidR="00B01B61" w:rsidRPr="00B01B61" w:rsidRDefault="00B01B61" w:rsidP="00B01B61">
      <w:pPr>
        <w:pStyle w:val="IEEEParagraph"/>
        <w:rPr>
          <w:sz w:val="20"/>
          <w:szCs w:val="20"/>
        </w:rPr>
      </w:pPr>
      <w:r w:rsidRPr="00B01B61">
        <w:rPr>
          <w:sz w:val="20"/>
          <w:szCs w:val="20"/>
        </w:rPr>
        <w:t>The One-Way ANOVA results indicate that there is a statistically significant difference in phishing susceptibility across year levels, as evidenced by the computed F-value of 4.12 and p-value of 0.008, which is lower than the 0.05 level of significance. This finding suggests that the respondents’ year level significantly influences their susceptibility to phishing attacks. Therefore, the null hypothesis stating that there is no significant difference in phishing susceptibility across year levels is rejected.</w:t>
      </w:r>
    </w:p>
    <w:p w14:paraId="6F2BCC9C" w14:textId="77777777" w:rsidR="00B01B61" w:rsidRPr="00B01B61" w:rsidRDefault="00B01B61" w:rsidP="00B01B61">
      <w:pPr>
        <w:pStyle w:val="IEEEParagraph"/>
        <w:rPr>
          <w:sz w:val="20"/>
          <w:szCs w:val="20"/>
        </w:rPr>
      </w:pPr>
    </w:p>
    <w:p w14:paraId="2942F319" w14:textId="7E556199" w:rsidR="00C87C0C" w:rsidRPr="00EC6393" w:rsidRDefault="00B01B61" w:rsidP="00B01B61">
      <w:pPr>
        <w:pStyle w:val="IEEEParagraph"/>
        <w:rPr>
          <w:sz w:val="20"/>
          <w:szCs w:val="20"/>
        </w:rPr>
      </w:pPr>
      <w:r w:rsidRPr="00B01B61">
        <w:rPr>
          <w:sz w:val="20"/>
          <w:szCs w:val="20"/>
        </w:rPr>
        <w:t>The results imply that students from different academic levels exhibit varying abilities in recognizing and responding to phishing attempts. Based on the phishing simulation results, 1st Year students demonstrated the highest susceptibility, while 2nd Year and 3rd Year students showed lower levels of vulnerability. This may indicate that increased academic exposure, cybersecurity awareness, and experience with digital technologies contribute to better phishing detection and safer online behavior among higher-year students. However, the presence of susceptibility even among upper-year students suggests that continuous cybersecurity education and phishing awareness programs remain necessary for all year levels of students in Quezon City University.</w:t>
      </w:r>
    </w:p>
    <w:p w14:paraId="02ABD85C" w14:textId="77777777" w:rsidR="00C87C0C" w:rsidRPr="00EC6393" w:rsidRDefault="00C87C0C" w:rsidP="0099657B">
      <w:pPr>
        <w:pStyle w:val="IEEEParagraph"/>
        <w:rPr>
          <w:sz w:val="20"/>
          <w:szCs w:val="20"/>
        </w:rPr>
      </w:pPr>
    </w:p>
    <w:p w14:paraId="00253E0C" w14:textId="77777777" w:rsidR="00C87C0C" w:rsidRPr="00EC6393" w:rsidRDefault="00C87C0C" w:rsidP="0099657B">
      <w:pPr>
        <w:pStyle w:val="IEEEParagraph"/>
        <w:rPr>
          <w:sz w:val="20"/>
          <w:szCs w:val="20"/>
        </w:rPr>
      </w:pPr>
    </w:p>
    <w:p w14:paraId="71BC7207" w14:textId="77777777" w:rsidR="00C87C0C" w:rsidRPr="00EC6393" w:rsidRDefault="00C87C0C" w:rsidP="0099657B">
      <w:pPr>
        <w:pStyle w:val="IEEEParagraph"/>
        <w:rPr>
          <w:sz w:val="20"/>
          <w:szCs w:val="20"/>
        </w:rPr>
      </w:pPr>
    </w:p>
    <w:p w14:paraId="0CCE2EBD" w14:textId="6A78946B" w:rsidR="0099657B" w:rsidRPr="00EC6393" w:rsidRDefault="0099657B" w:rsidP="002F0601">
      <w:pPr>
        <w:pStyle w:val="IEEEHeading2"/>
        <w:numPr>
          <w:ilvl w:val="0"/>
          <w:numId w:val="18"/>
        </w:numPr>
        <w:spacing w:before="0" w:after="120"/>
        <w:ind w:left="360"/>
        <w:jc w:val="both"/>
        <w:rPr>
          <w:b/>
          <w:i w:val="0"/>
          <w:iCs/>
          <w:szCs w:val="20"/>
        </w:rPr>
      </w:pPr>
      <w:r w:rsidRPr="00EC6393">
        <w:rPr>
          <w:b/>
          <w:i w:val="0"/>
          <w:iCs/>
          <w:szCs w:val="20"/>
        </w:rPr>
        <w:t>Level Trends in Online Security Behaviors and Phishing Susceptibility Across Year Levels</w:t>
      </w:r>
    </w:p>
    <w:p w14:paraId="6329487E" w14:textId="77777777" w:rsidR="00B01B61" w:rsidRDefault="00B01B61" w:rsidP="0099657B">
      <w:pPr>
        <w:pStyle w:val="IEEEParagraph"/>
        <w:jc w:val="center"/>
        <w:rPr>
          <w:bCs/>
          <w:sz w:val="20"/>
          <w:szCs w:val="20"/>
        </w:rPr>
      </w:pPr>
    </w:p>
    <w:p w14:paraId="29A0E646" w14:textId="15F80109" w:rsidR="0099657B" w:rsidRPr="00EC6393" w:rsidRDefault="0099657B" w:rsidP="0099657B">
      <w:pPr>
        <w:pStyle w:val="IEEEParagraph"/>
        <w:jc w:val="center"/>
        <w:rPr>
          <w:bCs/>
          <w:sz w:val="20"/>
          <w:szCs w:val="20"/>
        </w:rPr>
      </w:pPr>
      <w:r w:rsidRPr="00EC6393">
        <w:rPr>
          <w:bCs/>
          <w:sz w:val="20"/>
          <w:szCs w:val="20"/>
        </w:rPr>
        <w:t xml:space="preserve">Table </w:t>
      </w:r>
      <w:r w:rsidR="002F0601">
        <w:rPr>
          <w:bCs/>
          <w:sz w:val="20"/>
          <w:szCs w:val="20"/>
        </w:rPr>
        <w:t>9</w:t>
      </w:r>
      <w:r w:rsidRPr="00EC6393">
        <w:rPr>
          <w:bCs/>
          <w:sz w:val="20"/>
          <w:szCs w:val="20"/>
        </w:rPr>
        <w:t>. Pearson r Correlations Between Online Security Behaviors and Phishing Susceptibility</w:t>
      </w:r>
    </w:p>
    <w:tbl>
      <w:tblPr>
        <w:tblStyle w:val="TableGrid"/>
        <w:tblW w:w="9895" w:type="dxa"/>
        <w:jc w:val="center"/>
        <w:tblLayout w:type="fixed"/>
        <w:tblCellMar>
          <w:top w:w="80" w:type="dxa"/>
          <w:left w:w="120" w:type="dxa"/>
          <w:bottom w:w="80" w:type="dxa"/>
          <w:right w:w="120" w:type="dxa"/>
        </w:tblCellMar>
        <w:tblLook w:val="04A0" w:firstRow="1" w:lastRow="0" w:firstColumn="1" w:lastColumn="0" w:noHBand="0" w:noVBand="1"/>
      </w:tblPr>
      <w:tblGrid>
        <w:gridCol w:w="3300"/>
        <w:gridCol w:w="1100"/>
        <w:gridCol w:w="1100"/>
        <w:gridCol w:w="1155"/>
        <w:gridCol w:w="1170"/>
        <w:gridCol w:w="2070"/>
      </w:tblGrid>
      <w:tr w:rsidR="0099657B" w:rsidRPr="00EC6393" w14:paraId="71D2BE44" w14:textId="77777777" w:rsidTr="00E01EC2">
        <w:trPr>
          <w:tblHeader/>
          <w:jc w:val="center"/>
        </w:trPr>
        <w:tc>
          <w:tcPr>
            <w:tcW w:w="3300" w:type="dxa"/>
            <w:shd w:val="clear" w:color="auto" w:fill="A8D08D" w:themeFill="accent6" w:themeFillTint="99"/>
          </w:tcPr>
          <w:p w14:paraId="1CAED6A9" w14:textId="77777777" w:rsidR="0099657B" w:rsidRPr="00EC6393" w:rsidRDefault="0099657B" w:rsidP="00E01EC2">
            <w:pPr>
              <w:jc w:val="center"/>
              <w:rPr>
                <w:b/>
                <w:sz w:val="20"/>
                <w:szCs w:val="20"/>
              </w:rPr>
            </w:pPr>
            <w:r w:rsidRPr="00EC6393">
              <w:rPr>
                <w:b/>
                <w:sz w:val="20"/>
                <w:szCs w:val="20"/>
              </w:rPr>
              <w:t>Behavioral Dimension</w:t>
            </w:r>
          </w:p>
        </w:tc>
        <w:tc>
          <w:tcPr>
            <w:tcW w:w="1100" w:type="dxa"/>
            <w:shd w:val="clear" w:color="auto" w:fill="A8D08D" w:themeFill="accent6" w:themeFillTint="99"/>
          </w:tcPr>
          <w:p w14:paraId="7A6DD2F4" w14:textId="77777777" w:rsidR="0099657B" w:rsidRPr="00EC6393" w:rsidRDefault="0099657B" w:rsidP="00E01EC2">
            <w:pPr>
              <w:jc w:val="center"/>
              <w:rPr>
                <w:b/>
                <w:sz w:val="20"/>
                <w:szCs w:val="20"/>
              </w:rPr>
            </w:pPr>
            <w:r w:rsidRPr="00EC6393">
              <w:rPr>
                <w:b/>
                <w:sz w:val="20"/>
                <w:szCs w:val="20"/>
              </w:rPr>
              <w:t>r (Click)</w:t>
            </w:r>
          </w:p>
        </w:tc>
        <w:tc>
          <w:tcPr>
            <w:tcW w:w="1100" w:type="dxa"/>
            <w:shd w:val="clear" w:color="auto" w:fill="A8D08D" w:themeFill="accent6" w:themeFillTint="99"/>
          </w:tcPr>
          <w:p w14:paraId="6242D85E" w14:textId="77777777" w:rsidR="0099657B" w:rsidRPr="00EC6393" w:rsidRDefault="0099657B" w:rsidP="00E01EC2">
            <w:pPr>
              <w:jc w:val="center"/>
              <w:rPr>
                <w:b/>
                <w:sz w:val="20"/>
                <w:szCs w:val="20"/>
              </w:rPr>
            </w:pPr>
            <w:r w:rsidRPr="00EC6393">
              <w:rPr>
                <w:b/>
                <w:sz w:val="20"/>
                <w:szCs w:val="20"/>
              </w:rPr>
              <w:t>p (Click)</w:t>
            </w:r>
          </w:p>
        </w:tc>
        <w:tc>
          <w:tcPr>
            <w:tcW w:w="1155" w:type="dxa"/>
            <w:shd w:val="clear" w:color="auto" w:fill="A8D08D" w:themeFill="accent6" w:themeFillTint="99"/>
          </w:tcPr>
          <w:p w14:paraId="3973868F" w14:textId="77777777" w:rsidR="0099657B" w:rsidRPr="00EC6393" w:rsidRDefault="0099657B" w:rsidP="00E01EC2">
            <w:pPr>
              <w:jc w:val="center"/>
              <w:rPr>
                <w:b/>
                <w:sz w:val="20"/>
                <w:szCs w:val="20"/>
              </w:rPr>
            </w:pPr>
            <w:r w:rsidRPr="00EC6393">
              <w:rPr>
                <w:b/>
                <w:sz w:val="20"/>
                <w:szCs w:val="20"/>
              </w:rPr>
              <w:t>r (Submit)</w:t>
            </w:r>
          </w:p>
        </w:tc>
        <w:tc>
          <w:tcPr>
            <w:tcW w:w="1170" w:type="dxa"/>
            <w:shd w:val="clear" w:color="auto" w:fill="A8D08D" w:themeFill="accent6" w:themeFillTint="99"/>
          </w:tcPr>
          <w:p w14:paraId="1FFDF1D2" w14:textId="77777777" w:rsidR="0099657B" w:rsidRPr="00EC6393" w:rsidRDefault="0099657B" w:rsidP="00E01EC2">
            <w:pPr>
              <w:jc w:val="center"/>
              <w:rPr>
                <w:b/>
                <w:sz w:val="20"/>
                <w:szCs w:val="20"/>
              </w:rPr>
            </w:pPr>
            <w:r w:rsidRPr="00EC6393">
              <w:rPr>
                <w:b/>
                <w:sz w:val="20"/>
                <w:szCs w:val="20"/>
              </w:rPr>
              <w:t>p (Submit)</w:t>
            </w:r>
          </w:p>
        </w:tc>
        <w:tc>
          <w:tcPr>
            <w:tcW w:w="2070" w:type="dxa"/>
            <w:shd w:val="clear" w:color="auto" w:fill="A8D08D" w:themeFill="accent6" w:themeFillTint="99"/>
          </w:tcPr>
          <w:p w14:paraId="6C32BEE8" w14:textId="77777777" w:rsidR="0099657B" w:rsidRPr="00EC6393" w:rsidRDefault="0099657B" w:rsidP="00E01EC2">
            <w:pPr>
              <w:jc w:val="center"/>
              <w:rPr>
                <w:b/>
                <w:sz w:val="20"/>
                <w:szCs w:val="20"/>
              </w:rPr>
            </w:pPr>
            <w:r w:rsidRPr="00EC6393">
              <w:rPr>
                <w:b/>
                <w:sz w:val="20"/>
                <w:szCs w:val="20"/>
              </w:rPr>
              <w:t>Interpretation</w:t>
            </w:r>
          </w:p>
        </w:tc>
      </w:tr>
      <w:tr w:rsidR="0099657B" w:rsidRPr="00EC6393" w14:paraId="54223604" w14:textId="77777777" w:rsidTr="00E01EC2">
        <w:trPr>
          <w:jc w:val="center"/>
        </w:trPr>
        <w:tc>
          <w:tcPr>
            <w:tcW w:w="3300" w:type="dxa"/>
          </w:tcPr>
          <w:p w14:paraId="3CDA3DCD" w14:textId="77777777" w:rsidR="0099657B" w:rsidRPr="00EC6393" w:rsidRDefault="0099657B" w:rsidP="00E01EC2">
            <w:pPr>
              <w:rPr>
                <w:sz w:val="20"/>
                <w:szCs w:val="20"/>
              </w:rPr>
            </w:pPr>
            <w:r w:rsidRPr="00EC6393">
              <w:rPr>
                <w:sz w:val="20"/>
                <w:szCs w:val="20"/>
              </w:rPr>
              <w:t>Technical Verification Behavior</w:t>
            </w:r>
          </w:p>
        </w:tc>
        <w:tc>
          <w:tcPr>
            <w:tcW w:w="1100" w:type="dxa"/>
          </w:tcPr>
          <w:p w14:paraId="1B81A822" w14:textId="77777777" w:rsidR="0099657B" w:rsidRPr="00EC6393" w:rsidRDefault="0099657B" w:rsidP="00E01EC2">
            <w:pPr>
              <w:jc w:val="center"/>
              <w:rPr>
                <w:sz w:val="20"/>
                <w:szCs w:val="20"/>
              </w:rPr>
            </w:pPr>
            <w:r w:rsidRPr="00EC6393">
              <w:rPr>
                <w:sz w:val="20"/>
                <w:szCs w:val="20"/>
              </w:rPr>
              <w:t>.309</w:t>
            </w:r>
          </w:p>
        </w:tc>
        <w:tc>
          <w:tcPr>
            <w:tcW w:w="1100" w:type="dxa"/>
          </w:tcPr>
          <w:p w14:paraId="581BDED7" w14:textId="77777777" w:rsidR="0099657B" w:rsidRPr="00EC6393" w:rsidRDefault="0099657B" w:rsidP="00E01EC2">
            <w:pPr>
              <w:jc w:val="center"/>
              <w:rPr>
                <w:sz w:val="20"/>
                <w:szCs w:val="20"/>
              </w:rPr>
            </w:pPr>
            <w:r w:rsidRPr="00EC6393">
              <w:rPr>
                <w:sz w:val="20"/>
                <w:szCs w:val="20"/>
              </w:rPr>
              <w:t>.691</w:t>
            </w:r>
          </w:p>
        </w:tc>
        <w:tc>
          <w:tcPr>
            <w:tcW w:w="1155" w:type="dxa"/>
          </w:tcPr>
          <w:p w14:paraId="4040CAAD" w14:textId="77777777" w:rsidR="0099657B" w:rsidRPr="00EC6393" w:rsidRDefault="0099657B" w:rsidP="00E01EC2">
            <w:pPr>
              <w:jc w:val="center"/>
              <w:rPr>
                <w:sz w:val="20"/>
                <w:szCs w:val="20"/>
              </w:rPr>
            </w:pPr>
            <w:r w:rsidRPr="00EC6393">
              <w:rPr>
                <w:sz w:val="20"/>
                <w:szCs w:val="20"/>
              </w:rPr>
              <w:t>.596</w:t>
            </w:r>
          </w:p>
        </w:tc>
        <w:tc>
          <w:tcPr>
            <w:tcW w:w="1170" w:type="dxa"/>
          </w:tcPr>
          <w:p w14:paraId="10AC3042" w14:textId="77777777" w:rsidR="0099657B" w:rsidRPr="00EC6393" w:rsidRDefault="0099657B" w:rsidP="00E01EC2">
            <w:pPr>
              <w:jc w:val="center"/>
              <w:rPr>
                <w:sz w:val="20"/>
                <w:szCs w:val="20"/>
              </w:rPr>
            </w:pPr>
            <w:r w:rsidRPr="00EC6393">
              <w:rPr>
                <w:sz w:val="20"/>
                <w:szCs w:val="20"/>
              </w:rPr>
              <w:t>.404</w:t>
            </w:r>
          </w:p>
        </w:tc>
        <w:tc>
          <w:tcPr>
            <w:tcW w:w="2070" w:type="dxa"/>
          </w:tcPr>
          <w:p w14:paraId="38C40C8C" w14:textId="77777777" w:rsidR="0099657B" w:rsidRPr="00EC6393" w:rsidRDefault="0099657B" w:rsidP="00E01EC2">
            <w:pPr>
              <w:jc w:val="center"/>
              <w:rPr>
                <w:sz w:val="20"/>
                <w:szCs w:val="20"/>
              </w:rPr>
            </w:pPr>
            <w:r w:rsidRPr="00EC6393">
              <w:rPr>
                <w:sz w:val="20"/>
                <w:szCs w:val="20"/>
              </w:rPr>
              <w:t>Exploratory Trend (Not Significant)</w:t>
            </w:r>
          </w:p>
        </w:tc>
      </w:tr>
      <w:tr w:rsidR="0099657B" w:rsidRPr="00EC6393" w14:paraId="239E5EA2" w14:textId="77777777" w:rsidTr="00E01EC2">
        <w:trPr>
          <w:jc w:val="center"/>
        </w:trPr>
        <w:tc>
          <w:tcPr>
            <w:tcW w:w="3300" w:type="dxa"/>
          </w:tcPr>
          <w:p w14:paraId="3F7F2B84" w14:textId="77777777" w:rsidR="0099657B" w:rsidRPr="00EC6393" w:rsidRDefault="0099657B" w:rsidP="00E01EC2">
            <w:pPr>
              <w:rPr>
                <w:sz w:val="20"/>
                <w:szCs w:val="20"/>
              </w:rPr>
            </w:pPr>
            <w:r w:rsidRPr="00EC6393">
              <w:rPr>
                <w:sz w:val="20"/>
                <w:szCs w:val="20"/>
              </w:rPr>
              <w:t>Visual Trust Behavior</w:t>
            </w:r>
          </w:p>
        </w:tc>
        <w:tc>
          <w:tcPr>
            <w:tcW w:w="1100" w:type="dxa"/>
          </w:tcPr>
          <w:p w14:paraId="0CB54EA8" w14:textId="77777777" w:rsidR="0099657B" w:rsidRPr="00EC6393" w:rsidRDefault="0099657B" w:rsidP="00E01EC2">
            <w:pPr>
              <w:jc w:val="center"/>
              <w:rPr>
                <w:sz w:val="20"/>
                <w:szCs w:val="20"/>
              </w:rPr>
            </w:pPr>
            <w:r w:rsidRPr="00EC6393">
              <w:rPr>
                <w:sz w:val="20"/>
                <w:szCs w:val="20"/>
              </w:rPr>
              <w:t>-.834</w:t>
            </w:r>
          </w:p>
        </w:tc>
        <w:tc>
          <w:tcPr>
            <w:tcW w:w="1100" w:type="dxa"/>
          </w:tcPr>
          <w:p w14:paraId="2297457F" w14:textId="77777777" w:rsidR="0099657B" w:rsidRPr="00EC6393" w:rsidRDefault="0099657B" w:rsidP="00E01EC2">
            <w:pPr>
              <w:jc w:val="center"/>
              <w:rPr>
                <w:sz w:val="20"/>
                <w:szCs w:val="20"/>
              </w:rPr>
            </w:pPr>
            <w:r w:rsidRPr="00EC6393">
              <w:rPr>
                <w:sz w:val="20"/>
                <w:szCs w:val="20"/>
              </w:rPr>
              <w:t>.166</w:t>
            </w:r>
          </w:p>
        </w:tc>
        <w:tc>
          <w:tcPr>
            <w:tcW w:w="1155" w:type="dxa"/>
          </w:tcPr>
          <w:p w14:paraId="2051D109" w14:textId="77777777" w:rsidR="0099657B" w:rsidRPr="00EC6393" w:rsidRDefault="0099657B" w:rsidP="00E01EC2">
            <w:pPr>
              <w:jc w:val="center"/>
              <w:rPr>
                <w:sz w:val="20"/>
                <w:szCs w:val="20"/>
              </w:rPr>
            </w:pPr>
            <w:r w:rsidRPr="00EC6393">
              <w:rPr>
                <w:sz w:val="20"/>
                <w:szCs w:val="20"/>
              </w:rPr>
              <w:t>-.532</w:t>
            </w:r>
          </w:p>
        </w:tc>
        <w:tc>
          <w:tcPr>
            <w:tcW w:w="1170" w:type="dxa"/>
          </w:tcPr>
          <w:p w14:paraId="7DCD0D13" w14:textId="77777777" w:rsidR="0099657B" w:rsidRPr="00EC6393" w:rsidRDefault="0099657B" w:rsidP="00E01EC2">
            <w:pPr>
              <w:jc w:val="center"/>
              <w:rPr>
                <w:sz w:val="20"/>
                <w:szCs w:val="20"/>
              </w:rPr>
            </w:pPr>
            <w:r w:rsidRPr="00EC6393">
              <w:rPr>
                <w:sz w:val="20"/>
                <w:szCs w:val="20"/>
              </w:rPr>
              <w:t>.468</w:t>
            </w:r>
          </w:p>
        </w:tc>
        <w:tc>
          <w:tcPr>
            <w:tcW w:w="2070" w:type="dxa"/>
          </w:tcPr>
          <w:p w14:paraId="3E7B84B1" w14:textId="77777777" w:rsidR="0099657B" w:rsidRPr="00EC6393" w:rsidRDefault="0099657B" w:rsidP="00E01EC2">
            <w:pPr>
              <w:jc w:val="center"/>
              <w:rPr>
                <w:sz w:val="20"/>
                <w:szCs w:val="20"/>
              </w:rPr>
            </w:pPr>
            <w:r w:rsidRPr="00EC6393">
              <w:rPr>
                <w:sz w:val="20"/>
                <w:szCs w:val="20"/>
              </w:rPr>
              <w:t>Exploratory Trend (Not Significant)</w:t>
            </w:r>
          </w:p>
        </w:tc>
      </w:tr>
      <w:tr w:rsidR="0099657B" w:rsidRPr="00EC6393" w14:paraId="047C8157" w14:textId="77777777" w:rsidTr="00E01EC2">
        <w:trPr>
          <w:jc w:val="center"/>
        </w:trPr>
        <w:tc>
          <w:tcPr>
            <w:tcW w:w="3300" w:type="dxa"/>
          </w:tcPr>
          <w:p w14:paraId="0DA128A6" w14:textId="77777777" w:rsidR="0099657B" w:rsidRPr="00EC6393" w:rsidRDefault="0099657B" w:rsidP="00E01EC2">
            <w:pPr>
              <w:rPr>
                <w:sz w:val="20"/>
                <w:szCs w:val="20"/>
              </w:rPr>
            </w:pPr>
            <w:r w:rsidRPr="00EC6393">
              <w:rPr>
                <w:sz w:val="20"/>
                <w:szCs w:val="20"/>
              </w:rPr>
              <w:t>Reporting Behavior</w:t>
            </w:r>
          </w:p>
        </w:tc>
        <w:tc>
          <w:tcPr>
            <w:tcW w:w="1100" w:type="dxa"/>
          </w:tcPr>
          <w:p w14:paraId="7AA119D4" w14:textId="77777777" w:rsidR="0099657B" w:rsidRPr="00EC6393" w:rsidRDefault="0099657B" w:rsidP="00E01EC2">
            <w:pPr>
              <w:jc w:val="center"/>
              <w:rPr>
                <w:sz w:val="20"/>
                <w:szCs w:val="20"/>
              </w:rPr>
            </w:pPr>
            <w:r w:rsidRPr="00EC6393">
              <w:rPr>
                <w:sz w:val="20"/>
                <w:szCs w:val="20"/>
              </w:rPr>
              <w:t>.620</w:t>
            </w:r>
          </w:p>
        </w:tc>
        <w:tc>
          <w:tcPr>
            <w:tcW w:w="1100" w:type="dxa"/>
          </w:tcPr>
          <w:p w14:paraId="1168DCB2" w14:textId="77777777" w:rsidR="0099657B" w:rsidRPr="00EC6393" w:rsidRDefault="0099657B" w:rsidP="00E01EC2">
            <w:pPr>
              <w:jc w:val="center"/>
              <w:rPr>
                <w:sz w:val="20"/>
                <w:szCs w:val="20"/>
              </w:rPr>
            </w:pPr>
            <w:r w:rsidRPr="00EC6393">
              <w:rPr>
                <w:sz w:val="20"/>
                <w:szCs w:val="20"/>
              </w:rPr>
              <w:t>.380</w:t>
            </w:r>
          </w:p>
        </w:tc>
        <w:tc>
          <w:tcPr>
            <w:tcW w:w="1155" w:type="dxa"/>
          </w:tcPr>
          <w:p w14:paraId="7EE743BF" w14:textId="77777777" w:rsidR="0099657B" w:rsidRPr="00EC6393" w:rsidRDefault="0099657B" w:rsidP="00E01EC2">
            <w:pPr>
              <w:jc w:val="center"/>
              <w:rPr>
                <w:sz w:val="20"/>
                <w:szCs w:val="20"/>
              </w:rPr>
            </w:pPr>
            <w:r w:rsidRPr="00EC6393">
              <w:rPr>
                <w:sz w:val="20"/>
                <w:szCs w:val="20"/>
              </w:rPr>
              <w:t>.743</w:t>
            </w:r>
          </w:p>
        </w:tc>
        <w:tc>
          <w:tcPr>
            <w:tcW w:w="1170" w:type="dxa"/>
          </w:tcPr>
          <w:p w14:paraId="091EE13D" w14:textId="77777777" w:rsidR="0099657B" w:rsidRPr="00EC6393" w:rsidRDefault="0099657B" w:rsidP="00E01EC2">
            <w:pPr>
              <w:jc w:val="center"/>
              <w:rPr>
                <w:sz w:val="20"/>
                <w:szCs w:val="20"/>
              </w:rPr>
            </w:pPr>
            <w:r w:rsidRPr="00EC6393">
              <w:rPr>
                <w:sz w:val="20"/>
                <w:szCs w:val="20"/>
              </w:rPr>
              <w:t>.257</w:t>
            </w:r>
          </w:p>
        </w:tc>
        <w:tc>
          <w:tcPr>
            <w:tcW w:w="2070" w:type="dxa"/>
          </w:tcPr>
          <w:p w14:paraId="00B3958A" w14:textId="77777777" w:rsidR="0099657B" w:rsidRPr="00EC6393" w:rsidRDefault="0099657B" w:rsidP="00E01EC2">
            <w:pPr>
              <w:jc w:val="center"/>
              <w:rPr>
                <w:sz w:val="20"/>
                <w:szCs w:val="20"/>
              </w:rPr>
            </w:pPr>
            <w:r w:rsidRPr="00EC6393">
              <w:rPr>
                <w:sz w:val="20"/>
                <w:szCs w:val="20"/>
              </w:rPr>
              <w:t>Exploratory Trend (Not Significant)</w:t>
            </w:r>
          </w:p>
        </w:tc>
      </w:tr>
      <w:tr w:rsidR="0099657B" w:rsidRPr="00EC6393" w14:paraId="6ADA43DC" w14:textId="77777777" w:rsidTr="00E01EC2">
        <w:trPr>
          <w:jc w:val="center"/>
        </w:trPr>
        <w:tc>
          <w:tcPr>
            <w:tcW w:w="3300" w:type="dxa"/>
          </w:tcPr>
          <w:p w14:paraId="377A8E8B" w14:textId="77777777" w:rsidR="0099657B" w:rsidRPr="00EC6393" w:rsidRDefault="0099657B" w:rsidP="00E01EC2">
            <w:pPr>
              <w:rPr>
                <w:sz w:val="20"/>
                <w:szCs w:val="20"/>
              </w:rPr>
            </w:pPr>
            <w:r w:rsidRPr="00EC6393">
              <w:rPr>
                <w:sz w:val="20"/>
                <w:szCs w:val="20"/>
              </w:rPr>
              <w:t>General Cybersecurity Awareness and Practices</w:t>
            </w:r>
          </w:p>
        </w:tc>
        <w:tc>
          <w:tcPr>
            <w:tcW w:w="1100" w:type="dxa"/>
          </w:tcPr>
          <w:p w14:paraId="73BB48B6" w14:textId="77777777" w:rsidR="0099657B" w:rsidRPr="00EC6393" w:rsidRDefault="0099657B" w:rsidP="00E01EC2">
            <w:pPr>
              <w:jc w:val="center"/>
              <w:rPr>
                <w:sz w:val="20"/>
                <w:szCs w:val="20"/>
              </w:rPr>
            </w:pPr>
            <w:r w:rsidRPr="00EC6393">
              <w:rPr>
                <w:sz w:val="20"/>
                <w:szCs w:val="20"/>
              </w:rPr>
              <w:t>.011</w:t>
            </w:r>
          </w:p>
        </w:tc>
        <w:tc>
          <w:tcPr>
            <w:tcW w:w="1100" w:type="dxa"/>
          </w:tcPr>
          <w:p w14:paraId="72E16361" w14:textId="77777777" w:rsidR="0099657B" w:rsidRPr="00EC6393" w:rsidRDefault="0099657B" w:rsidP="00E01EC2">
            <w:pPr>
              <w:jc w:val="center"/>
              <w:rPr>
                <w:sz w:val="20"/>
                <w:szCs w:val="20"/>
              </w:rPr>
            </w:pPr>
            <w:r w:rsidRPr="00EC6393">
              <w:rPr>
                <w:sz w:val="20"/>
                <w:szCs w:val="20"/>
              </w:rPr>
              <w:t>.989</w:t>
            </w:r>
          </w:p>
        </w:tc>
        <w:tc>
          <w:tcPr>
            <w:tcW w:w="1155" w:type="dxa"/>
          </w:tcPr>
          <w:p w14:paraId="4BAE646B" w14:textId="77777777" w:rsidR="0099657B" w:rsidRPr="00EC6393" w:rsidRDefault="0099657B" w:rsidP="00E01EC2">
            <w:pPr>
              <w:jc w:val="center"/>
              <w:rPr>
                <w:sz w:val="20"/>
                <w:szCs w:val="20"/>
              </w:rPr>
            </w:pPr>
            <w:r w:rsidRPr="00EC6393">
              <w:rPr>
                <w:sz w:val="20"/>
                <w:szCs w:val="20"/>
              </w:rPr>
              <w:t>-.262</w:t>
            </w:r>
          </w:p>
        </w:tc>
        <w:tc>
          <w:tcPr>
            <w:tcW w:w="1170" w:type="dxa"/>
          </w:tcPr>
          <w:p w14:paraId="7C4F3129" w14:textId="77777777" w:rsidR="0099657B" w:rsidRPr="00EC6393" w:rsidRDefault="0099657B" w:rsidP="00E01EC2">
            <w:pPr>
              <w:jc w:val="center"/>
              <w:rPr>
                <w:sz w:val="20"/>
                <w:szCs w:val="20"/>
              </w:rPr>
            </w:pPr>
            <w:r w:rsidRPr="00EC6393">
              <w:rPr>
                <w:sz w:val="20"/>
                <w:szCs w:val="20"/>
              </w:rPr>
              <w:t>.738</w:t>
            </w:r>
          </w:p>
        </w:tc>
        <w:tc>
          <w:tcPr>
            <w:tcW w:w="2070" w:type="dxa"/>
          </w:tcPr>
          <w:p w14:paraId="051DFF5D" w14:textId="77777777" w:rsidR="0099657B" w:rsidRPr="00EC6393" w:rsidRDefault="0099657B" w:rsidP="00E01EC2">
            <w:pPr>
              <w:jc w:val="center"/>
              <w:rPr>
                <w:sz w:val="20"/>
                <w:szCs w:val="20"/>
              </w:rPr>
            </w:pPr>
            <w:r w:rsidRPr="00EC6393">
              <w:rPr>
                <w:sz w:val="20"/>
                <w:szCs w:val="20"/>
              </w:rPr>
              <w:t>Exploratory Trend (Not Significant)</w:t>
            </w:r>
          </w:p>
        </w:tc>
      </w:tr>
      <w:tr w:rsidR="0099657B" w:rsidRPr="00EC6393" w14:paraId="04DD862E" w14:textId="77777777" w:rsidTr="00E01EC2">
        <w:trPr>
          <w:jc w:val="center"/>
        </w:trPr>
        <w:tc>
          <w:tcPr>
            <w:tcW w:w="3300" w:type="dxa"/>
          </w:tcPr>
          <w:p w14:paraId="526A4E26" w14:textId="77777777" w:rsidR="0099657B" w:rsidRPr="00EC6393" w:rsidRDefault="0099657B" w:rsidP="00E01EC2">
            <w:pPr>
              <w:rPr>
                <w:sz w:val="20"/>
                <w:szCs w:val="20"/>
              </w:rPr>
            </w:pPr>
            <w:r w:rsidRPr="00EC6393">
              <w:rPr>
                <w:b/>
                <w:sz w:val="20"/>
                <w:szCs w:val="20"/>
              </w:rPr>
              <w:t>Overall (Grand Mean)</w:t>
            </w:r>
          </w:p>
        </w:tc>
        <w:tc>
          <w:tcPr>
            <w:tcW w:w="1100" w:type="dxa"/>
          </w:tcPr>
          <w:p w14:paraId="5344F221" w14:textId="77777777" w:rsidR="0099657B" w:rsidRPr="00EC6393" w:rsidRDefault="0099657B" w:rsidP="00E01EC2">
            <w:pPr>
              <w:jc w:val="center"/>
              <w:rPr>
                <w:sz w:val="20"/>
                <w:szCs w:val="20"/>
              </w:rPr>
            </w:pPr>
            <w:r w:rsidRPr="00EC6393">
              <w:rPr>
                <w:b/>
                <w:sz w:val="20"/>
                <w:szCs w:val="20"/>
              </w:rPr>
              <w:t>-.164</w:t>
            </w:r>
          </w:p>
        </w:tc>
        <w:tc>
          <w:tcPr>
            <w:tcW w:w="1100" w:type="dxa"/>
          </w:tcPr>
          <w:p w14:paraId="1709AC2A" w14:textId="77777777" w:rsidR="0099657B" w:rsidRPr="00EC6393" w:rsidRDefault="0099657B" w:rsidP="00E01EC2">
            <w:pPr>
              <w:jc w:val="center"/>
              <w:rPr>
                <w:sz w:val="20"/>
                <w:szCs w:val="20"/>
              </w:rPr>
            </w:pPr>
            <w:r w:rsidRPr="00EC6393">
              <w:rPr>
                <w:b/>
                <w:sz w:val="20"/>
                <w:szCs w:val="20"/>
              </w:rPr>
              <w:t>.836</w:t>
            </w:r>
          </w:p>
        </w:tc>
        <w:tc>
          <w:tcPr>
            <w:tcW w:w="1155" w:type="dxa"/>
          </w:tcPr>
          <w:p w14:paraId="691E885E" w14:textId="77777777" w:rsidR="0099657B" w:rsidRPr="00EC6393" w:rsidRDefault="0099657B" w:rsidP="00E01EC2">
            <w:pPr>
              <w:jc w:val="center"/>
              <w:rPr>
                <w:sz w:val="20"/>
                <w:szCs w:val="20"/>
              </w:rPr>
            </w:pPr>
            <w:r w:rsidRPr="00EC6393">
              <w:rPr>
                <w:b/>
                <w:sz w:val="20"/>
                <w:szCs w:val="20"/>
              </w:rPr>
              <w:t>.099</w:t>
            </w:r>
          </w:p>
        </w:tc>
        <w:tc>
          <w:tcPr>
            <w:tcW w:w="1170" w:type="dxa"/>
          </w:tcPr>
          <w:p w14:paraId="5362786E" w14:textId="77777777" w:rsidR="0099657B" w:rsidRPr="00EC6393" w:rsidRDefault="0099657B" w:rsidP="00E01EC2">
            <w:pPr>
              <w:jc w:val="center"/>
              <w:rPr>
                <w:sz w:val="20"/>
                <w:szCs w:val="20"/>
              </w:rPr>
            </w:pPr>
            <w:r w:rsidRPr="00EC6393">
              <w:rPr>
                <w:b/>
                <w:sz w:val="20"/>
                <w:szCs w:val="20"/>
              </w:rPr>
              <w:t>.901</w:t>
            </w:r>
          </w:p>
        </w:tc>
        <w:tc>
          <w:tcPr>
            <w:tcW w:w="2070" w:type="dxa"/>
          </w:tcPr>
          <w:p w14:paraId="03B2FE97" w14:textId="77777777" w:rsidR="0099657B" w:rsidRPr="00EC6393" w:rsidRDefault="0099657B" w:rsidP="00E01EC2">
            <w:pPr>
              <w:jc w:val="center"/>
              <w:rPr>
                <w:sz w:val="20"/>
                <w:szCs w:val="20"/>
              </w:rPr>
            </w:pPr>
            <w:r w:rsidRPr="00EC6393">
              <w:rPr>
                <w:b/>
                <w:sz w:val="20"/>
                <w:szCs w:val="20"/>
              </w:rPr>
              <w:t>Exploratory Trend (Not Significant)</w:t>
            </w:r>
          </w:p>
        </w:tc>
      </w:tr>
    </w:tbl>
    <w:p w14:paraId="41714357" w14:textId="77777777" w:rsidR="0099657B" w:rsidRPr="00EC6393" w:rsidRDefault="0099657B" w:rsidP="0099657B">
      <w:pPr>
        <w:pStyle w:val="IEEEParagraph"/>
        <w:ind w:firstLine="0"/>
        <w:rPr>
          <w:sz w:val="20"/>
          <w:szCs w:val="20"/>
        </w:rPr>
      </w:pPr>
    </w:p>
    <w:p w14:paraId="31313606" w14:textId="2EE2BA1E" w:rsidR="0099657B" w:rsidRDefault="0099657B" w:rsidP="002F0601">
      <w:pPr>
        <w:pStyle w:val="IEEEParagraph"/>
        <w:ind w:firstLine="0"/>
        <w:rPr>
          <w:sz w:val="20"/>
          <w:szCs w:val="20"/>
        </w:rPr>
      </w:pPr>
    </w:p>
    <w:p w14:paraId="2DC42E81" w14:textId="0071F00B" w:rsidR="002F0601" w:rsidRPr="002F0601" w:rsidRDefault="002F0601" w:rsidP="002F0601">
      <w:pPr>
        <w:pStyle w:val="IEEEParagraph"/>
        <w:rPr>
          <w:sz w:val="20"/>
          <w:szCs w:val="20"/>
        </w:rPr>
      </w:pPr>
      <w:r w:rsidRPr="002F0601">
        <w:rPr>
          <w:sz w:val="20"/>
          <w:szCs w:val="20"/>
        </w:rPr>
        <w:t xml:space="preserve">Table </w:t>
      </w:r>
      <w:r>
        <w:rPr>
          <w:sz w:val="20"/>
          <w:szCs w:val="20"/>
        </w:rPr>
        <w:t>9</w:t>
      </w:r>
      <w:r w:rsidRPr="002F0601">
        <w:rPr>
          <w:sz w:val="20"/>
          <w:szCs w:val="20"/>
        </w:rPr>
        <w:t xml:space="preserve"> presents the Pearson r correlation analysis between the respondents’ online security behaviors and their phishing susceptibility, measured through click behavior and data submission during the phishing simulation. The results indicate that none of the behavioral dimensions obtained statistically significant relationships with phishing susceptibility, as all p-values were greater than the 0.05 level of significance. This means that the study failed to establish sufficient statistical evidence to conclude that the respondents’ online security behaviors significantly influenced their likelihood of clicking phishing links or submitting sensitive information during the simulation. Consequently, all variables were interpreted as showing only an “Exploratory Trend (Not Significant).”</w:t>
      </w:r>
    </w:p>
    <w:p w14:paraId="5A38CF59" w14:textId="77777777" w:rsidR="002F0601" w:rsidRPr="002F0601" w:rsidRDefault="002F0601" w:rsidP="002F0601">
      <w:pPr>
        <w:pStyle w:val="IEEEParagraph"/>
        <w:rPr>
          <w:sz w:val="20"/>
          <w:szCs w:val="20"/>
        </w:rPr>
      </w:pPr>
    </w:p>
    <w:p w14:paraId="507763EB" w14:textId="77777777" w:rsidR="002F0601" w:rsidRPr="002F0601" w:rsidRDefault="002F0601" w:rsidP="002F0601">
      <w:pPr>
        <w:pStyle w:val="IEEEParagraph"/>
        <w:rPr>
          <w:sz w:val="20"/>
          <w:szCs w:val="20"/>
        </w:rPr>
      </w:pPr>
      <w:r w:rsidRPr="002F0601">
        <w:rPr>
          <w:sz w:val="20"/>
          <w:szCs w:val="20"/>
        </w:rPr>
        <w:t>For Technical Verification Behavior, the correlation with clicking phishing links yielded an r-value of .309 and a p-value of .691, indicating a weak positive relationship that is not statistically significant. Similarly, its correlation with submitting sensitive information showed a moderate positive relationship (r = .596), but the p-value of .404 indicates that the relationship remains insignificant. This suggests that although respondents who reported stronger technical verification behaviors appeared less likely to become susceptible, the relationship was not strong enough to confirm a meaningful association statistically.</w:t>
      </w:r>
    </w:p>
    <w:p w14:paraId="0F411F5E" w14:textId="77777777" w:rsidR="002F0601" w:rsidRPr="002F0601" w:rsidRDefault="002F0601" w:rsidP="002F0601">
      <w:pPr>
        <w:pStyle w:val="IEEEParagraph"/>
        <w:rPr>
          <w:sz w:val="20"/>
          <w:szCs w:val="20"/>
        </w:rPr>
      </w:pPr>
    </w:p>
    <w:p w14:paraId="505D0954" w14:textId="77777777" w:rsidR="002F0601" w:rsidRPr="002F0601" w:rsidRDefault="002F0601" w:rsidP="002F0601">
      <w:pPr>
        <w:pStyle w:val="IEEEParagraph"/>
        <w:rPr>
          <w:sz w:val="20"/>
          <w:szCs w:val="20"/>
        </w:rPr>
      </w:pPr>
      <w:r w:rsidRPr="002F0601">
        <w:rPr>
          <w:sz w:val="20"/>
          <w:szCs w:val="20"/>
        </w:rPr>
        <w:t>Visual Trust Behavior showed a strong negative correlation with click behavior (r = -.834) and a moderate negative correlation with data submission (r = -.532). Negative correlations imply that respondents who relied less on visual appearance, logos, and professional-looking designs tended to demonstrate lower phishing susceptibility. However, despite the relatively high correlation coefficients, the p-values (.166 and .468) remained above the significance threshold, indicating that the observed relationships may have occurred by chance and cannot be generalized statistically.</w:t>
      </w:r>
    </w:p>
    <w:p w14:paraId="1C3BAD7D" w14:textId="77777777" w:rsidR="002F0601" w:rsidRPr="002F0601" w:rsidRDefault="002F0601" w:rsidP="002F0601">
      <w:pPr>
        <w:pStyle w:val="IEEEParagraph"/>
        <w:rPr>
          <w:sz w:val="20"/>
          <w:szCs w:val="20"/>
        </w:rPr>
      </w:pPr>
    </w:p>
    <w:p w14:paraId="387B634F" w14:textId="77777777" w:rsidR="002F0601" w:rsidRPr="002F0601" w:rsidRDefault="002F0601" w:rsidP="002F0601">
      <w:pPr>
        <w:pStyle w:val="IEEEParagraph"/>
        <w:rPr>
          <w:sz w:val="20"/>
          <w:szCs w:val="20"/>
        </w:rPr>
      </w:pPr>
      <w:r w:rsidRPr="002F0601">
        <w:rPr>
          <w:sz w:val="20"/>
          <w:szCs w:val="20"/>
        </w:rPr>
        <w:t xml:space="preserve">Reporting Behavior produced moderate to strong positive correlations with phishing susceptibility, with r-values of .620 for clicking behavior and .743 for data submission. However, both relationships were statistically insignificant, with p-values of .380 and .257, respectively. Although respondents generally reported positive reporting behaviors in the survey, the phishing simulation </w:t>
      </w:r>
      <w:r w:rsidRPr="002F0601">
        <w:rPr>
          <w:sz w:val="20"/>
          <w:szCs w:val="20"/>
        </w:rPr>
        <w:lastRenderedPageBreak/>
        <w:t>results revealed that these behaviors did not significantly predict actual responses to phishing attacks. This finding may indicate a gap between self-reported cybersecurity practices and actual online behavior in realistic phishing situations.</w:t>
      </w:r>
    </w:p>
    <w:p w14:paraId="709DB1CD" w14:textId="77777777" w:rsidR="002F0601" w:rsidRPr="002F0601" w:rsidRDefault="002F0601" w:rsidP="002F0601">
      <w:pPr>
        <w:pStyle w:val="IEEEParagraph"/>
        <w:rPr>
          <w:sz w:val="20"/>
          <w:szCs w:val="20"/>
        </w:rPr>
      </w:pPr>
    </w:p>
    <w:p w14:paraId="6CBAF916" w14:textId="77777777" w:rsidR="002F0601" w:rsidRPr="002F0601" w:rsidRDefault="002F0601" w:rsidP="002F0601">
      <w:pPr>
        <w:pStyle w:val="IEEEParagraph"/>
        <w:rPr>
          <w:sz w:val="20"/>
          <w:szCs w:val="20"/>
        </w:rPr>
      </w:pPr>
      <w:r w:rsidRPr="002F0601">
        <w:rPr>
          <w:sz w:val="20"/>
          <w:szCs w:val="20"/>
        </w:rPr>
        <w:t>Meanwhile, General Cybersecurity Awareness and Practices demonstrated almost no relationship with phishing click behavior (r = .011, p = .989) and a weak negative relationship with data submission (r = -.262, p = .738). These findings suggest that general awareness of cybersecurity concepts and practices alone may not necessarily translate into effective resistance against phishing attacks. Similarly, the Overall Grand Mean showed very weak and statistically insignificant relationships with both click behavior (r = -.164, p = .836) and data submission (r = .099, p = .901), indicating that overall online security behavior did not significantly predict phishing susceptibility among the respondents.</w:t>
      </w:r>
    </w:p>
    <w:p w14:paraId="5BF2A552" w14:textId="77777777" w:rsidR="002F0601" w:rsidRPr="002F0601" w:rsidRDefault="002F0601" w:rsidP="002F0601">
      <w:pPr>
        <w:pStyle w:val="IEEEParagraph"/>
        <w:rPr>
          <w:sz w:val="20"/>
          <w:szCs w:val="20"/>
        </w:rPr>
      </w:pPr>
    </w:p>
    <w:p w14:paraId="4B0AE44B" w14:textId="06BD1D06" w:rsidR="002F0601" w:rsidRPr="00EC6393" w:rsidRDefault="002F0601" w:rsidP="002F0601">
      <w:pPr>
        <w:pStyle w:val="IEEEParagraph"/>
        <w:ind w:firstLine="0"/>
        <w:rPr>
          <w:sz w:val="20"/>
          <w:szCs w:val="20"/>
        </w:rPr>
      </w:pPr>
      <w:r w:rsidRPr="002F0601">
        <w:rPr>
          <w:sz w:val="20"/>
          <w:szCs w:val="20"/>
        </w:rPr>
        <w:t>Overall, the findings suggest that although students of Quezon City University generally demonstrated positive cybersecurity awareness and online security behaviors, these self-reported practices were not significantly associated with actual phishing susceptibility during the simulation. The results imply that awareness and perceived cybersecurity behavior alone may not be sufficient to prevent phishing victimization. Other factors such as situational judgment, impulsive decision-making, familiarity with phishing tactics, and real-world behavioral responses may also influence susceptibility to phishing attacks. Therefore, the study highlights the importance of combining theoretical cybersecurity education with practical simulation-based training to strengthen students’ real-world phishing detection and response capabilities.</w:t>
      </w:r>
    </w:p>
    <w:p w14:paraId="27FABC7C" w14:textId="77777777" w:rsidR="0099657B" w:rsidRPr="00EC6393" w:rsidRDefault="0099657B" w:rsidP="0099657B">
      <w:pPr>
        <w:pStyle w:val="IEEEParagraph"/>
        <w:rPr>
          <w:sz w:val="20"/>
          <w:szCs w:val="20"/>
        </w:rPr>
      </w:pPr>
    </w:p>
    <w:p w14:paraId="591D9C8A" w14:textId="77777777" w:rsidR="0099657B" w:rsidRPr="00EC6393" w:rsidRDefault="0099657B" w:rsidP="0099657B">
      <w:pPr>
        <w:pStyle w:val="IEEEParagraph"/>
        <w:rPr>
          <w:sz w:val="20"/>
          <w:szCs w:val="20"/>
        </w:rPr>
      </w:pPr>
    </w:p>
    <w:p w14:paraId="7AE2D1A0" w14:textId="77777777" w:rsidR="00C87C0C" w:rsidRPr="00EC6393" w:rsidRDefault="00C87C0C" w:rsidP="002F0601">
      <w:pPr>
        <w:pStyle w:val="IEEEParagraph"/>
        <w:ind w:firstLine="0"/>
        <w:rPr>
          <w:sz w:val="20"/>
          <w:szCs w:val="20"/>
        </w:rPr>
      </w:pPr>
    </w:p>
    <w:p w14:paraId="193C3F45" w14:textId="77777777" w:rsidR="0099657B" w:rsidRPr="00EC6393" w:rsidRDefault="0099657B" w:rsidP="0099657B">
      <w:pPr>
        <w:pStyle w:val="IEEEHeading1"/>
        <w:numPr>
          <w:ilvl w:val="0"/>
          <w:numId w:val="0"/>
        </w:numPr>
        <w:spacing w:before="0" w:after="240"/>
        <w:jc w:val="both"/>
        <w:rPr>
          <w:b/>
          <w:szCs w:val="20"/>
        </w:rPr>
      </w:pPr>
      <w:r w:rsidRPr="00EC6393">
        <w:rPr>
          <w:b/>
          <w:szCs w:val="20"/>
        </w:rPr>
        <w:t>CONCLUSION</w:t>
      </w:r>
    </w:p>
    <w:p w14:paraId="255F583C" w14:textId="77777777" w:rsidR="002F0601" w:rsidRPr="002F0601" w:rsidRDefault="002F0601" w:rsidP="002F0601">
      <w:pPr>
        <w:ind w:firstLine="360"/>
        <w:rPr>
          <w:sz w:val="20"/>
          <w:szCs w:val="20"/>
        </w:rPr>
      </w:pPr>
      <w:r w:rsidRPr="002F0601">
        <w:rPr>
          <w:sz w:val="20"/>
          <w:szCs w:val="20"/>
        </w:rPr>
        <w:t>The findings of the study revealed that the respondents generally demonstrated positive online security behaviors and a high level of cybersecurity awareness across the dimensions of technical verification behavior, reporting behavior, and general cybersecurity awareness and practices. Among these dimensions, general cybersecurity awareness and practices obtained the highest overall mean, indicating that students consistently practiced safe online behaviors such as using strong passwords, enabling two-factor authentication, and avoiding unnecessary sharing of personal information. However, visual trust behavior obtained comparatively lower scores, suggesting that respondents may still be influenced by visually convincing emails, websites, and branding elements commonly utilized in phishing attacks.</w:t>
      </w:r>
    </w:p>
    <w:p w14:paraId="55C8CE5C" w14:textId="77777777" w:rsidR="002F0601" w:rsidRPr="002F0601" w:rsidRDefault="002F0601" w:rsidP="002F0601">
      <w:pPr>
        <w:ind w:firstLine="360"/>
        <w:rPr>
          <w:sz w:val="20"/>
          <w:szCs w:val="20"/>
        </w:rPr>
      </w:pPr>
    </w:p>
    <w:p w14:paraId="13A19417" w14:textId="77777777" w:rsidR="002F0601" w:rsidRPr="002F0601" w:rsidRDefault="002F0601" w:rsidP="002F0601">
      <w:pPr>
        <w:ind w:firstLine="360"/>
        <w:rPr>
          <w:sz w:val="20"/>
          <w:szCs w:val="20"/>
        </w:rPr>
      </w:pPr>
      <w:r w:rsidRPr="002F0601">
        <w:rPr>
          <w:sz w:val="20"/>
          <w:szCs w:val="20"/>
        </w:rPr>
        <w:t>The results of the Gophish phishing simulation further revealed that despite the respondents’ high self-reported cybersecurity awareness, a considerable number of students remained vulnerable to phishing attacks. A total of 21.0% of respondents opened the phishing email and clicked the malicious link, while 9.0% submitted sensitive information through the simulated phishing page. Notably, none of the respondents reported the phishing email, indicating a significant gap in incident reporting behavior and practical phishing response. Among the year levels, 1st Year students demonstrated the highest susceptibility to phishing attacks, while 2nd Year and 3rd Year students exhibited lower vulnerability levels.</w:t>
      </w:r>
    </w:p>
    <w:p w14:paraId="38BAE2B7" w14:textId="77777777" w:rsidR="002F0601" w:rsidRPr="002F0601" w:rsidRDefault="002F0601" w:rsidP="002F0601">
      <w:pPr>
        <w:ind w:firstLine="360"/>
        <w:rPr>
          <w:sz w:val="20"/>
          <w:szCs w:val="20"/>
        </w:rPr>
      </w:pPr>
    </w:p>
    <w:p w14:paraId="74984E55" w14:textId="77777777" w:rsidR="002F0601" w:rsidRPr="002F0601" w:rsidRDefault="002F0601" w:rsidP="002F0601">
      <w:pPr>
        <w:ind w:firstLine="360"/>
        <w:rPr>
          <w:sz w:val="20"/>
          <w:szCs w:val="20"/>
        </w:rPr>
      </w:pPr>
      <w:r w:rsidRPr="002F0601">
        <w:rPr>
          <w:sz w:val="20"/>
          <w:szCs w:val="20"/>
        </w:rPr>
        <w:t>The One-Way ANOVA results established that there was a statistically significant difference in phishing susceptibility across year levels, indicating that academic level influences students’ vulnerability to phishing attacks. The findings suggest that students with lower academic exposure and cybersecurity experience are more likely to become susceptible to phishing attempts. However, the presence of phishing susceptibility even among higher year levels indicates that cybersecurity awareness alone does not guarantee protection against phishing attacks.</w:t>
      </w:r>
    </w:p>
    <w:p w14:paraId="12021A81" w14:textId="77777777" w:rsidR="002F0601" w:rsidRPr="002F0601" w:rsidRDefault="002F0601" w:rsidP="002F0601">
      <w:pPr>
        <w:ind w:firstLine="360"/>
        <w:rPr>
          <w:sz w:val="20"/>
          <w:szCs w:val="20"/>
        </w:rPr>
      </w:pPr>
    </w:p>
    <w:p w14:paraId="75BF71A5" w14:textId="77777777" w:rsidR="002F0601" w:rsidRPr="002F0601" w:rsidRDefault="002F0601" w:rsidP="002F0601">
      <w:pPr>
        <w:ind w:firstLine="360"/>
        <w:rPr>
          <w:sz w:val="20"/>
          <w:szCs w:val="20"/>
        </w:rPr>
      </w:pPr>
      <w:r w:rsidRPr="002F0601">
        <w:rPr>
          <w:sz w:val="20"/>
          <w:szCs w:val="20"/>
        </w:rPr>
        <w:t>Moreover, the Pearson r correlation analysis revealed that no significant relationship existed between the respondents’ online security behaviors and phishing susceptibility. Although some behavioral dimensions showed positive or negative correlation trends, all relationships were statistically insignificant. This implies that self-reported cybersecurity practices and awareness may not necessarily predict actual behavior during real-world phishing scenarios. The findings therefore highlight the existence of an awareness–behavior gap, wherein students may possess theoretical cybersecurity knowledge but still fail to consistently apply such knowledge when confronted with realistic phishing attempts.</w:t>
      </w:r>
    </w:p>
    <w:p w14:paraId="4C77BC47" w14:textId="77777777" w:rsidR="002F0601" w:rsidRPr="002F0601" w:rsidRDefault="002F0601" w:rsidP="002F0601">
      <w:pPr>
        <w:ind w:firstLine="360"/>
        <w:rPr>
          <w:sz w:val="20"/>
          <w:szCs w:val="20"/>
        </w:rPr>
      </w:pPr>
    </w:p>
    <w:p w14:paraId="2CD414F7" w14:textId="287EDB04" w:rsidR="00514EBC" w:rsidRPr="00EC6393" w:rsidRDefault="002F0601" w:rsidP="002F0601">
      <w:pPr>
        <w:ind w:firstLine="360"/>
        <w:rPr>
          <w:sz w:val="20"/>
          <w:szCs w:val="20"/>
        </w:rPr>
      </w:pPr>
      <w:r w:rsidRPr="002F0601">
        <w:rPr>
          <w:sz w:val="20"/>
          <w:szCs w:val="20"/>
        </w:rPr>
        <w:t>Overall, the study concludes that while students of Quezon City University generally possess strong cybersecurity awareness and positive online security practices, phishing susceptibility remains present due to gaps between awareness and actual behavioral responses. The findings emphasize the importance of strengthening experiential and simulation-based cybersecurity education programs that focus not only on theoretical awareness but also on practical phishing detection, decision-making, and incident reporting skills.</w:t>
      </w:r>
    </w:p>
    <w:p w14:paraId="12DA40C9" w14:textId="77777777" w:rsidR="00514EBC" w:rsidRPr="00EC6393" w:rsidRDefault="00514EBC" w:rsidP="00514EBC">
      <w:pPr>
        <w:rPr>
          <w:sz w:val="20"/>
          <w:szCs w:val="20"/>
        </w:rPr>
      </w:pPr>
    </w:p>
    <w:p w14:paraId="6941F015" w14:textId="50EE1716" w:rsidR="00856D4D" w:rsidRPr="00EC6393" w:rsidRDefault="00856D4D" w:rsidP="007D353D">
      <w:pPr>
        <w:pStyle w:val="Heading1"/>
        <w:spacing w:before="0" w:after="240"/>
        <w:jc w:val="both"/>
        <w:rPr>
          <w:rFonts w:ascii="Times New Roman" w:hAnsi="Times New Roman" w:cs="Times New Roman"/>
          <w:sz w:val="20"/>
          <w:szCs w:val="20"/>
        </w:rPr>
      </w:pPr>
      <w:r w:rsidRPr="00EC6393">
        <w:rPr>
          <w:rFonts w:ascii="Times New Roman" w:hAnsi="Times New Roman" w:cs="Times New Roman"/>
          <w:sz w:val="20"/>
          <w:szCs w:val="20"/>
        </w:rPr>
        <w:t>REFERENCES</w:t>
      </w:r>
    </w:p>
    <w:p w14:paraId="2BE57E5E" w14:textId="77777777" w:rsidR="007D353D" w:rsidRPr="00EC6393" w:rsidRDefault="007D353D" w:rsidP="007D353D">
      <w:pPr>
        <w:ind w:left="720" w:hanging="720"/>
        <w:jc w:val="both"/>
        <w:rPr>
          <w:sz w:val="20"/>
          <w:szCs w:val="20"/>
          <w:lang w:val="en-US"/>
        </w:rPr>
      </w:pPr>
      <w:r w:rsidRPr="00EC6393">
        <w:rPr>
          <w:sz w:val="20"/>
          <w:szCs w:val="20"/>
          <w:lang w:val="en-US"/>
        </w:rPr>
        <w:t xml:space="preserve">[1] A. Almansoori, M. Al-Emran, and K. Shaalan, “Exploring the frontiers of cybersecurity behavior: A systematic review of studies and theories,” </w:t>
      </w:r>
      <w:r w:rsidRPr="00EC6393">
        <w:rPr>
          <w:i/>
          <w:iCs/>
          <w:sz w:val="20"/>
          <w:szCs w:val="20"/>
          <w:lang w:val="en-US"/>
        </w:rPr>
        <w:t>Applied Sciences</w:t>
      </w:r>
      <w:r w:rsidRPr="00EC6393">
        <w:rPr>
          <w:sz w:val="20"/>
          <w:szCs w:val="20"/>
          <w:lang w:val="en-US"/>
        </w:rPr>
        <w:t xml:space="preserve">, vol. 13, no. 9, p. 5700, 2023. </w:t>
      </w:r>
      <w:hyperlink w:tgtFrame="_blank" w:history="1">
        <w:r w:rsidRPr="00EC6393">
          <w:rPr>
            <w:rStyle w:val="Hyperlink"/>
            <w:sz w:val="20"/>
            <w:szCs w:val="20"/>
            <w:lang w:val="en-US"/>
          </w:rPr>
          <w:t>https://www.mdpi.com/2076-3417/13/9/5700</w:t>
        </w:r>
      </w:hyperlink>
    </w:p>
    <w:p w14:paraId="1E2D9A44" w14:textId="77777777" w:rsidR="007D353D" w:rsidRPr="00EC6393" w:rsidRDefault="007D353D" w:rsidP="007D353D">
      <w:pPr>
        <w:ind w:left="720" w:hanging="720"/>
        <w:jc w:val="both"/>
        <w:rPr>
          <w:sz w:val="20"/>
          <w:szCs w:val="20"/>
          <w:lang w:val="en-US"/>
        </w:rPr>
      </w:pPr>
      <w:r w:rsidRPr="00EC6393">
        <w:rPr>
          <w:sz w:val="20"/>
          <w:szCs w:val="20"/>
          <w:lang w:val="en-US"/>
        </w:rPr>
        <w:t xml:space="preserve">[2] M. M. Ariola, </w:t>
      </w:r>
      <w:r w:rsidRPr="00EC6393">
        <w:rPr>
          <w:i/>
          <w:iCs/>
          <w:sz w:val="20"/>
          <w:szCs w:val="20"/>
          <w:lang w:val="en-US"/>
        </w:rPr>
        <w:t>Principles and Methods of Research</w:t>
      </w:r>
      <w:r w:rsidRPr="00EC6393">
        <w:rPr>
          <w:sz w:val="20"/>
          <w:szCs w:val="20"/>
          <w:lang w:val="en-US"/>
        </w:rPr>
        <w:t>. Manila: Rex Book Store, 2006.</w:t>
      </w:r>
    </w:p>
    <w:p w14:paraId="5683EC6E" w14:textId="77777777" w:rsidR="007D353D" w:rsidRPr="00EC6393" w:rsidRDefault="007D353D" w:rsidP="007D353D">
      <w:pPr>
        <w:ind w:left="720" w:hanging="720"/>
        <w:jc w:val="both"/>
        <w:rPr>
          <w:sz w:val="20"/>
          <w:szCs w:val="20"/>
          <w:lang w:val="en-US"/>
        </w:rPr>
      </w:pPr>
      <w:r w:rsidRPr="00EC6393">
        <w:rPr>
          <w:sz w:val="20"/>
          <w:szCs w:val="20"/>
          <w:lang w:val="en-US"/>
        </w:rPr>
        <w:t xml:space="preserve">[3] A. H. Asfoor, F. A. Rahim, and S. Yussof, “Identifying factors that influence security behaviors relating to phishing attacks susceptibility: A systematic literature review,” </w:t>
      </w:r>
      <w:r w:rsidRPr="00EC6393">
        <w:rPr>
          <w:i/>
          <w:iCs/>
          <w:sz w:val="20"/>
          <w:szCs w:val="20"/>
          <w:lang w:val="en-US"/>
        </w:rPr>
        <w:t>Journal of Theoretical and Applied Information Technology</w:t>
      </w:r>
      <w:r w:rsidRPr="00EC6393">
        <w:rPr>
          <w:sz w:val="20"/>
          <w:szCs w:val="20"/>
          <w:lang w:val="en-US"/>
        </w:rPr>
        <w:t>, vol. 98, no. 15, pp. 3127–3161, 2020.</w:t>
      </w:r>
    </w:p>
    <w:p w14:paraId="1E122DFA" w14:textId="77777777" w:rsidR="007D353D" w:rsidRPr="00EC6393" w:rsidRDefault="007D353D" w:rsidP="007D353D">
      <w:pPr>
        <w:ind w:left="720" w:hanging="720"/>
        <w:jc w:val="both"/>
        <w:rPr>
          <w:sz w:val="20"/>
          <w:szCs w:val="20"/>
          <w:lang w:val="en-US"/>
        </w:rPr>
      </w:pPr>
      <w:r w:rsidRPr="00EC6393">
        <w:rPr>
          <w:sz w:val="20"/>
          <w:szCs w:val="20"/>
          <w:lang w:val="en-US"/>
        </w:rPr>
        <w:t xml:space="preserve">[4] J. W. Best and J. V. Kahn, </w:t>
      </w:r>
      <w:r w:rsidRPr="00EC6393">
        <w:rPr>
          <w:i/>
          <w:iCs/>
          <w:sz w:val="20"/>
          <w:szCs w:val="20"/>
          <w:lang w:val="en-US"/>
        </w:rPr>
        <w:t>Research in Education</w:t>
      </w:r>
      <w:r w:rsidRPr="00EC6393">
        <w:rPr>
          <w:sz w:val="20"/>
          <w:szCs w:val="20"/>
          <w:lang w:val="en-US"/>
        </w:rPr>
        <w:t>, 10th ed. Upper Saddle River, NJ: Pearson Education, 2006.</w:t>
      </w:r>
    </w:p>
    <w:p w14:paraId="3A7A8685" w14:textId="77777777" w:rsidR="007D353D" w:rsidRPr="00EC6393" w:rsidRDefault="007D353D" w:rsidP="007D353D">
      <w:pPr>
        <w:ind w:left="720" w:hanging="720"/>
        <w:jc w:val="both"/>
        <w:rPr>
          <w:sz w:val="20"/>
          <w:szCs w:val="20"/>
          <w:lang w:val="en-US"/>
        </w:rPr>
      </w:pPr>
      <w:r w:rsidRPr="00EC6393">
        <w:rPr>
          <w:sz w:val="20"/>
          <w:szCs w:val="20"/>
          <w:lang w:val="en-US"/>
        </w:rPr>
        <w:t xml:space="preserve">[5] L. P. Calmorin and M. A. Calmorin, </w:t>
      </w:r>
      <w:r w:rsidRPr="00EC6393">
        <w:rPr>
          <w:i/>
          <w:iCs/>
          <w:sz w:val="20"/>
          <w:szCs w:val="20"/>
          <w:lang w:val="en-US"/>
        </w:rPr>
        <w:t>Research Methods and Thesis Writing</w:t>
      </w:r>
      <w:r w:rsidRPr="00EC6393">
        <w:rPr>
          <w:sz w:val="20"/>
          <w:szCs w:val="20"/>
          <w:lang w:val="en-US"/>
        </w:rPr>
        <w:t>, 2nd ed. Manila: Rex Book Store, 2007.</w:t>
      </w:r>
    </w:p>
    <w:p w14:paraId="098766B9" w14:textId="77777777" w:rsidR="007D353D" w:rsidRPr="00EC6393" w:rsidRDefault="007D353D" w:rsidP="007D353D">
      <w:pPr>
        <w:ind w:left="720" w:hanging="720"/>
        <w:jc w:val="both"/>
        <w:rPr>
          <w:sz w:val="20"/>
          <w:szCs w:val="20"/>
          <w:lang w:val="en-US"/>
        </w:rPr>
      </w:pPr>
      <w:r w:rsidRPr="00EC6393">
        <w:rPr>
          <w:sz w:val="20"/>
          <w:szCs w:val="20"/>
          <w:lang w:val="en-US"/>
        </w:rPr>
        <w:lastRenderedPageBreak/>
        <w:t xml:space="preserve">[6] “CICC warns public vs. SIM suspension scam,” </w:t>
      </w:r>
      <w:r w:rsidRPr="00EC6393">
        <w:rPr>
          <w:i/>
          <w:iCs/>
          <w:sz w:val="20"/>
          <w:szCs w:val="20"/>
          <w:lang w:val="en-US"/>
        </w:rPr>
        <w:t>Philippine News Agency</w:t>
      </w:r>
      <w:r w:rsidRPr="00EC6393">
        <w:rPr>
          <w:sz w:val="20"/>
          <w:szCs w:val="20"/>
          <w:lang w:val="en-US"/>
        </w:rPr>
        <w:t xml:space="preserve">, Sep. 26, 2024. </w:t>
      </w:r>
      <w:hyperlink w:tgtFrame="_blank" w:history="1">
        <w:r w:rsidRPr="00EC6393">
          <w:rPr>
            <w:rStyle w:val="Hyperlink"/>
            <w:sz w:val="20"/>
            <w:szCs w:val="20"/>
            <w:lang w:val="en-US"/>
          </w:rPr>
          <w:t>https://www.pna.gov.ph/articles/1234236</w:t>
        </w:r>
      </w:hyperlink>
    </w:p>
    <w:p w14:paraId="2A7C88D9" w14:textId="77777777" w:rsidR="007D353D" w:rsidRPr="00EC6393" w:rsidRDefault="007D353D" w:rsidP="007D353D">
      <w:pPr>
        <w:ind w:left="720" w:hanging="720"/>
        <w:jc w:val="both"/>
        <w:rPr>
          <w:sz w:val="20"/>
          <w:szCs w:val="20"/>
          <w:lang w:val="en-US"/>
        </w:rPr>
      </w:pPr>
      <w:r w:rsidRPr="00EC6393">
        <w:rPr>
          <w:sz w:val="20"/>
          <w:szCs w:val="20"/>
          <w:lang w:val="en-US"/>
        </w:rPr>
        <w:t xml:space="preserve">[7] J. Cohen, P. Cohen, S. G. West, and L. S. Aiken, </w:t>
      </w:r>
      <w:r w:rsidRPr="00EC6393">
        <w:rPr>
          <w:i/>
          <w:iCs/>
          <w:sz w:val="20"/>
          <w:szCs w:val="20"/>
          <w:lang w:val="en-US"/>
        </w:rPr>
        <w:t>Applied Multiple Regression/Correlation Analysis for the Behavioral Sciences</w:t>
      </w:r>
      <w:r w:rsidRPr="00EC6393">
        <w:rPr>
          <w:sz w:val="20"/>
          <w:szCs w:val="20"/>
          <w:lang w:val="en-US"/>
        </w:rPr>
        <w:t>, 3rd ed. Mahwah, NJ: Lawrence Erlbaum Associates, 2003.</w:t>
      </w:r>
    </w:p>
    <w:p w14:paraId="069AA4CF" w14:textId="77777777" w:rsidR="007D353D" w:rsidRPr="00EC6393" w:rsidRDefault="007D353D" w:rsidP="007D353D">
      <w:pPr>
        <w:ind w:left="720" w:hanging="720"/>
        <w:jc w:val="both"/>
        <w:rPr>
          <w:sz w:val="20"/>
          <w:szCs w:val="20"/>
          <w:lang w:val="en-US"/>
        </w:rPr>
      </w:pPr>
      <w:r w:rsidRPr="00EC6393">
        <w:rPr>
          <w:sz w:val="20"/>
          <w:szCs w:val="20"/>
          <w:lang w:val="en-US"/>
        </w:rPr>
        <w:t xml:space="preserve">[8] A. Diaz, A. T. Sherman, and A. Joshi, “Phishing in an academic community: A study of user susceptibility and behavior,” </w:t>
      </w:r>
      <w:r w:rsidRPr="00EC6393">
        <w:rPr>
          <w:i/>
          <w:iCs/>
          <w:sz w:val="20"/>
          <w:szCs w:val="20"/>
          <w:lang w:val="en-US"/>
        </w:rPr>
        <w:t>Cryptologia</w:t>
      </w:r>
      <w:r w:rsidRPr="00EC6393">
        <w:rPr>
          <w:sz w:val="20"/>
          <w:szCs w:val="20"/>
          <w:lang w:val="en-US"/>
        </w:rPr>
        <w:t xml:space="preserve">, vol. 44, no. 1, pp. 53–67, 2020. </w:t>
      </w:r>
      <w:hyperlink w:tgtFrame="_blank" w:history="1">
        <w:r w:rsidRPr="00EC6393">
          <w:rPr>
            <w:rStyle w:val="Hyperlink"/>
            <w:sz w:val="20"/>
            <w:szCs w:val="20"/>
            <w:lang w:val="en-US"/>
          </w:rPr>
          <w:t>https://doi.org/10.1080/01611194.2019.1623343</w:t>
        </w:r>
      </w:hyperlink>
    </w:p>
    <w:p w14:paraId="75B1409C" w14:textId="77777777" w:rsidR="007D353D" w:rsidRPr="00EC6393" w:rsidRDefault="007D353D" w:rsidP="007D353D">
      <w:pPr>
        <w:ind w:left="720" w:hanging="720"/>
        <w:jc w:val="both"/>
        <w:rPr>
          <w:sz w:val="20"/>
          <w:szCs w:val="20"/>
          <w:lang w:val="en-US"/>
        </w:rPr>
      </w:pPr>
      <w:r w:rsidRPr="00EC6393">
        <w:rPr>
          <w:sz w:val="20"/>
          <w:szCs w:val="20"/>
          <w:lang w:val="en-US"/>
        </w:rPr>
        <w:t xml:space="preserve">[9] A. P. Diman and R. T.K.A., “Examining individual tendency to respond to phishing e-mails from the perspective of Protection Motivation Theory,” </w:t>
      </w:r>
      <w:r w:rsidRPr="00EC6393">
        <w:rPr>
          <w:i/>
          <w:iCs/>
          <w:sz w:val="20"/>
          <w:szCs w:val="20"/>
          <w:lang w:val="en-US"/>
        </w:rPr>
        <w:t>Journal of Education and Social Sciences</w:t>
      </w:r>
      <w:r w:rsidRPr="00EC6393">
        <w:rPr>
          <w:sz w:val="20"/>
          <w:szCs w:val="20"/>
          <w:lang w:val="en-US"/>
        </w:rPr>
        <w:t>, vol. 25, no. 1, pp. 40–51, 2023.</w:t>
      </w:r>
    </w:p>
    <w:p w14:paraId="2C088F58" w14:textId="77777777" w:rsidR="007D353D" w:rsidRPr="00EC6393" w:rsidRDefault="007D353D" w:rsidP="007D353D">
      <w:pPr>
        <w:ind w:left="720" w:hanging="720"/>
        <w:jc w:val="both"/>
        <w:rPr>
          <w:sz w:val="20"/>
          <w:szCs w:val="20"/>
          <w:lang w:val="en-US"/>
        </w:rPr>
      </w:pPr>
      <w:r w:rsidRPr="00EC6393">
        <w:rPr>
          <w:sz w:val="20"/>
          <w:szCs w:val="20"/>
          <w:lang w:val="en-US"/>
        </w:rPr>
        <w:t xml:space="preserve">[10] J. Du, A. J. Kalafut, and G. Schymik, “The health belief model and phishing: Determinants of preventative security behaviors,” </w:t>
      </w:r>
      <w:r w:rsidRPr="00EC6393">
        <w:rPr>
          <w:i/>
          <w:iCs/>
          <w:sz w:val="20"/>
          <w:szCs w:val="20"/>
          <w:lang w:val="en-US"/>
        </w:rPr>
        <w:t>Journal of Cybersecurity</w:t>
      </w:r>
      <w:r w:rsidRPr="00EC6393">
        <w:rPr>
          <w:sz w:val="20"/>
          <w:szCs w:val="20"/>
          <w:lang w:val="en-US"/>
        </w:rPr>
        <w:t xml:space="preserve">, vol. 10, Art. no. tyae012, 2024. </w:t>
      </w:r>
      <w:hyperlink w:tgtFrame="_blank" w:history="1">
        <w:r w:rsidRPr="00EC6393">
          <w:rPr>
            <w:rStyle w:val="Hyperlink"/>
            <w:sz w:val="20"/>
            <w:szCs w:val="20"/>
            <w:lang w:val="en-US"/>
          </w:rPr>
          <w:t>https://doi.org/10.1093/cybsec/tyae012</w:t>
        </w:r>
      </w:hyperlink>
    </w:p>
    <w:p w14:paraId="5F6FE162" w14:textId="77777777" w:rsidR="007D353D" w:rsidRPr="00EC6393" w:rsidRDefault="007D353D" w:rsidP="007D353D">
      <w:pPr>
        <w:ind w:left="720" w:hanging="720"/>
        <w:jc w:val="both"/>
        <w:rPr>
          <w:sz w:val="20"/>
          <w:szCs w:val="20"/>
          <w:lang w:val="en-US"/>
        </w:rPr>
      </w:pPr>
      <w:r w:rsidRPr="00EC6393">
        <w:rPr>
          <w:sz w:val="20"/>
          <w:szCs w:val="20"/>
          <w:lang w:val="en-US"/>
        </w:rPr>
        <w:t xml:space="preserve">[11] Z. Fan, W. Li, K. B. Laskey, and K.-C. Chang, “Investigation of phishing susceptibility with explainable artificial intelligence,” </w:t>
      </w:r>
      <w:r w:rsidRPr="00EC6393">
        <w:rPr>
          <w:i/>
          <w:iCs/>
          <w:sz w:val="20"/>
          <w:szCs w:val="20"/>
          <w:lang w:val="en-US"/>
        </w:rPr>
        <w:t>Future Internet</w:t>
      </w:r>
      <w:r w:rsidRPr="00EC6393">
        <w:rPr>
          <w:sz w:val="20"/>
          <w:szCs w:val="20"/>
          <w:lang w:val="en-US"/>
        </w:rPr>
        <w:t xml:space="preserve">, vol. 16, no. 1, Art. no. 31, 2024. </w:t>
      </w:r>
      <w:hyperlink w:tgtFrame="_blank" w:history="1">
        <w:r w:rsidRPr="00EC6393">
          <w:rPr>
            <w:rStyle w:val="Hyperlink"/>
            <w:sz w:val="20"/>
            <w:szCs w:val="20"/>
            <w:lang w:val="en-US"/>
          </w:rPr>
          <w:t>https://doi.org/10.3390/fi16010031</w:t>
        </w:r>
      </w:hyperlink>
    </w:p>
    <w:p w14:paraId="62265234" w14:textId="77777777" w:rsidR="007D353D" w:rsidRPr="00EC6393" w:rsidRDefault="007D353D" w:rsidP="007D353D">
      <w:pPr>
        <w:ind w:left="720" w:hanging="720"/>
        <w:jc w:val="both"/>
        <w:rPr>
          <w:sz w:val="20"/>
          <w:szCs w:val="20"/>
          <w:lang w:val="en-US"/>
        </w:rPr>
      </w:pPr>
      <w:r w:rsidRPr="00EC6393">
        <w:rPr>
          <w:sz w:val="20"/>
          <w:szCs w:val="20"/>
          <w:lang w:val="en-US"/>
        </w:rPr>
        <w:t xml:space="preserve">[12] A. P. Field, </w:t>
      </w:r>
      <w:r w:rsidRPr="00EC6393">
        <w:rPr>
          <w:i/>
          <w:iCs/>
          <w:sz w:val="20"/>
          <w:szCs w:val="20"/>
          <w:lang w:val="en-US"/>
        </w:rPr>
        <w:t>Discovering Statistics Using IBM SPSS Statistics</w:t>
      </w:r>
      <w:r w:rsidRPr="00EC6393">
        <w:rPr>
          <w:sz w:val="20"/>
          <w:szCs w:val="20"/>
          <w:lang w:val="en-US"/>
        </w:rPr>
        <w:t>, 4th ed. London: SAGE Publications, 2013.</w:t>
      </w:r>
    </w:p>
    <w:p w14:paraId="732C7A6A" w14:textId="77777777" w:rsidR="007D353D" w:rsidRPr="00EC6393" w:rsidRDefault="007D353D" w:rsidP="007D353D">
      <w:pPr>
        <w:ind w:left="720" w:hanging="720"/>
        <w:jc w:val="both"/>
        <w:rPr>
          <w:sz w:val="20"/>
          <w:szCs w:val="20"/>
          <w:lang w:val="en-US"/>
        </w:rPr>
      </w:pPr>
      <w:r w:rsidRPr="00EC6393">
        <w:rPr>
          <w:sz w:val="20"/>
          <w:szCs w:val="20"/>
          <w:lang w:val="en-US"/>
        </w:rPr>
        <w:t xml:space="preserve">[13] H. Flores, “DICT: Scammers adapt to SIM Registration Act,” </w:t>
      </w:r>
      <w:r w:rsidRPr="00EC6393">
        <w:rPr>
          <w:i/>
          <w:iCs/>
          <w:sz w:val="20"/>
          <w:szCs w:val="20"/>
          <w:lang w:val="en-US"/>
        </w:rPr>
        <w:t>Philstar.com</w:t>
      </w:r>
      <w:r w:rsidRPr="00EC6393">
        <w:rPr>
          <w:sz w:val="20"/>
          <w:szCs w:val="20"/>
          <w:lang w:val="en-US"/>
        </w:rPr>
        <w:t xml:space="preserve">, May 17, 2023. </w:t>
      </w:r>
      <w:hyperlink w:tgtFrame="_blank" w:history="1">
        <w:r w:rsidRPr="00EC6393">
          <w:rPr>
            <w:rStyle w:val="Hyperlink"/>
            <w:sz w:val="20"/>
            <w:szCs w:val="20"/>
            <w:lang w:val="en-US"/>
          </w:rPr>
          <w:t>https://www.philstar.com/headlines/2023/05/17/2266888/dict-scammers-adapt-sim-registration-act</w:t>
        </w:r>
      </w:hyperlink>
    </w:p>
    <w:p w14:paraId="0C61396F" w14:textId="77777777" w:rsidR="007D353D" w:rsidRPr="00EC6393" w:rsidRDefault="007D353D" w:rsidP="007D353D">
      <w:pPr>
        <w:ind w:left="720" w:hanging="720"/>
        <w:jc w:val="both"/>
        <w:rPr>
          <w:sz w:val="20"/>
          <w:szCs w:val="20"/>
          <w:lang w:val="en-US"/>
        </w:rPr>
      </w:pPr>
      <w:r w:rsidRPr="00EC6393">
        <w:rPr>
          <w:sz w:val="20"/>
          <w:szCs w:val="20"/>
          <w:lang w:val="en-US"/>
        </w:rPr>
        <w:t xml:space="preserve">[14] C. L. Gan, Y. Y. Lee, and T. Liew, “Fishing for phishy messages: Predicting phishing susceptibility through the lens of cyber-routine activities theory and heuristic-systematic model,” </w:t>
      </w:r>
      <w:r w:rsidRPr="00EC6393">
        <w:rPr>
          <w:i/>
          <w:iCs/>
          <w:sz w:val="20"/>
          <w:szCs w:val="20"/>
          <w:lang w:val="en-US"/>
        </w:rPr>
        <w:t>Humanities and Social Sciences Communications</w:t>
      </w:r>
      <w:r w:rsidRPr="00EC6393">
        <w:rPr>
          <w:sz w:val="20"/>
          <w:szCs w:val="20"/>
          <w:lang w:val="en-US"/>
        </w:rPr>
        <w:t xml:space="preserve">, vol. 11, 2024. </w:t>
      </w:r>
      <w:hyperlink w:tgtFrame="_blank" w:history="1">
        <w:r w:rsidRPr="00EC6393">
          <w:rPr>
            <w:rStyle w:val="Hyperlink"/>
            <w:sz w:val="20"/>
            <w:szCs w:val="20"/>
            <w:lang w:val="en-US"/>
          </w:rPr>
          <w:t>https://doi.org/10.1057/s41599-024-04083-1</w:t>
        </w:r>
      </w:hyperlink>
    </w:p>
    <w:p w14:paraId="08E513CC" w14:textId="77777777" w:rsidR="007D353D" w:rsidRPr="00EC6393" w:rsidRDefault="007D353D" w:rsidP="007D353D">
      <w:pPr>
        <w:ind w:left="720" w:hanging="720"/>
        <w:jc w:val="both"/>
        <w:rPr>
          <w:sz w:val="20"/>
          <w:szCs w:val="20"/>
          <w:lang w:val="en-US"/>
        </w:rPr>
      </w:pPr>
      <w:r w:rsidRPr="00EC6393">
        <w:rPr>
          <w:sz w:val="20"/>
          <w:szCs w:val="20"/>
          <w:lang w:val="en-US"/>
        </w:rPr>
        <w:t xml:space="preserve">[15] J. Green, “Cybersecurity challenges in the digital age,” </w:t>
      </w:r>
      <w:r w:rsidRPr="00EC6393">
        <w:rPr>
          <w:i/>
          <w:iCs/>
          <w:sz w:val="20"/>
          <w:szCs w:val="20"/>
          <w:lang w:val="en-US"/>
        </w:rPr>
        <w:t>International Multidisciplinary Journal of Science, Technology &amp; Business</w:t>
      </w:r>
      <w:r w:rsidRPr="00EC6393">
        <w:rPr>
          <w:sz w:val="20"/>
          <w:szCs w:val="20"/>
          <w:lang w:val="en-US"/>
        </w:rPr>
        <w:t xml:space="preserve">, vol. 1, no. 4, pp. 19–23, 2022. </w:t>
      </w:r>
      <w:hyperlink w:tgtFrame="_blank" w:history="1">
        <w:r w:rsidRPr="00EC6393">
          <w:rPr>
            <w:rStyle w:val="Hyperlink"/>
            <w:sz w:val="20"/>
            <w:szCs w:val="20"/>
            <w:lang w:val="en-US"/>
          </w:rPr>
          <w:t>https://imjstb.com/index.php/Journal/article/view/22</w:t>
        </w:r>
      </w:hyperlink>
    </w:p>
    <w:p w14:paraId="57351CA0" w14:textId="77777777" w:rsidR="007D353D" w:rsidRPr="00EC6393" w:rsidRDefault="007D353D" w:rsidP="007D353D">
      <w:pPr>
        <w:ind w:left="720" w:hanging="720"/>
        <w:jc w:val="both"/>
        <w:rPr>
          <w:sz w:val="20"/>
          <w:szCs w:val="20"/>
          <w:lang w:val="en-US"/>
        </w:rPr>
      </w:pPr>
      <w:r w:rsidRPr="00EC6393">
        <w:rPr>
          <w:sz w:val="20"/>
          <w:szCs w:val="20"/>
          <w:lang w:val="en-US"/>
        </w:rPr>
        <w:t xml:space="preserve">[16] F. L. Greitzer, W. Li, K. B. Laskey, J. Lee, and J. Purl, “Experimental investigation of technical and human factors related to phishing susceptibility,” </w:t>
      </w:r>
      <w:r w:rsidRPr="00EC6393">
        <w:rPr>
          <w:i/>
          <w:iCs/>
          <w:sz w:val="20"/>
          <w:szCs w:val="20"/>
          <w:lang w:val="en-US"/>
        </w:rPr>
        <w:t>ACM Transactions on Social Computing</w:t>
      </w:r>
      <w:r w:rsidRPr="00EC6393">
        <w:rPr>
          <w:sz w:val="20"/>
          <w:szCs w:val="20"/>
          <w:lang w:val="en-US"/>
        </w:rPr>
        <w:t xml:space="preserve">, vol. 4, 2021. </w:t>
      </w:r>
      <w:hyperlink w:tgtFrame="_blank" w:history="1">
        <w:r w:rsidRPr="00EC6393">
          <w:rPr>
            <w:rStyle w:val="Hyperlink"/>
            <w:sz w:val="20"/>
            <w:szCs w:val="20"/>
            <w:lang w:val="en-US"/>
          </w:rPr>
          <w:t>https://doi.org/10.1145/3461672</w:t>
        </w:r>
      </w:hyperlink>
    </w:p>
    <w:p w14:paraId="2B9803B6" w14:textId="77777777" w:rsidR="007D353D" w:rsidRPr="00EC6393" w:rsidRDefault="007D353D" w:rsidP="007D353D">
      <w:pPr>
        <w:ind w:left="720" w:hanging="720"/>
        <w:jc w:val="both"/>
        <w:rPr>
          <w:sz w:val="20"/>
          <w:szCs w:val="20"/>
          <w:lang w:val="en-US"/>
        </w:rPr>
      </w:pPr>
      <w:r w:rsidRPr="00EC6393">
        <w:rPr>
          <w:sz w:val="20"/>
          <w:szCs w:val="20"/>
          <w:lang w:val="en-US"/>
        </w:rPr>
        <w:t xml:space="preserve">[17] A. K. Gwenhure, “University students’ security behavior against email phishing attacks: Insights from the health belief model,” </w:t>
      </w:r>
      <w:r w:rsidRPr="00EC6393">
        <w:rPr>
          <w:i/>
          <w:iCs/>
          <w:sz w:val="20"/>
          <w:szCs w:val="20"/>
          <w:lang w:val="en-US"/>
        </w:rPr>
        <w:t>Journal of Cybersecurity</w:t>
      </w:r>
      <w:r w:rsidRPr="00EC6393">
        <w:rPr>
          <w:sz w:val="20"/>
          <w:szCs w:val="20"/>
          <w:lang w:val="en-US"/>
        </w:rPr>
        <w:t xml:space="preserve">, vol. 11, no. 1, Art. no. tyaf034, 2025. </w:t>
      </w:r>
      <w:hyperlink w:tgtFrame="_blank" w:history="1">
        <w:r w:rsidRPr="00EC6393">
          <w:rPr>
            <w:rStyle w:val="Hyperlink"/>
            <w:sz w:val="20"/>
            <w:szCs w:val="20"/>
            <w:lang w:val="en-US"/>
          </w:rPr>
          <w:t>https://doi.org/10.1093/cybsec/tyaf034</w:t>
        </w:r>
      </w:hyperlink>
    </w:p>
    <w:p w14:paraId="01D331F1" w14:textId="77777777" w:rsidR="007D353D" w:rsidRPr="00EC6393" w:rsidRDefault="007D353D" w:rsidP="007D353D">
      <w:pPr>
        <w:ind w:left="720" w:hanging="720"/>
        <w:jc w:val="both"/>
        <w:rPr>
          <w:sz w:val="20"/>
          <w:szCs w:val="20"/>
          <w:lang w:val="en-US"/>
        </w:rPr>
      </w:pPr>
      <w:r w:rsidRPr="00EC6393">
        <w:rPr>
          <w:sz w:val="20"/>
          <w:szCs w:val="20"/>
          <w:lang w:val="en-US"/>
        </w:rPr>
        <w:t xml:space="preserve">[18] B. Harrison, E. Svetieva, and A. Vishwanath, “Individual processing of phishing emails: How attention and elaboration protect against phishing,” </w:t>
      </w:r>
      <w:r w:rsidRPr="00EC6393">
        <w:rPr>
          <w:i/>
          <w:iCs/>
          <w:sz w:val="20"/>
          <w:szCs w:val="20"/>
          <w:lang w:val="en-US"/>
        </w:rPr>
        <w:t>Online Information Review</w:t>
      </w:r>
      <w:r w:rsidRPr="00EC6393">
        <w:rPr>
          <w:sz w:val="20"/>
          <w:szCs w:val="20"/>
          <w:lang w:val="en-US"/>
        </w:rPr>
        <w:t xml:space="preserve">, vol. 40, no. 2, pp. 265–281, 2016. </w:t>
      </w:r>
      <w:hyperlink w:tgtFrame="_blank" w:history="1">
        <w:r w:rsidRPr="00EC6393">
          <w:rPr>
            <w:rStyle w:val="Hyperlink"/>
            <w:sz w:val="20"/>
            <w:szCs w:val="20"/>
            <w:lang w:val="en-US"/>
          </w:rPr>
          <w:t>https://doi.org/10.1108/OIR-04-2015-0106</w:t>
        </w:r>
      </w:hyperlink>
    </w:p>
    <w:p w14:paraId="1E2F8F58" w14:textId="77777777" w:rsidR="007D353D" w:rsidRPr="00EC6393" w:rsidRDefault="007D353D" w:rsidP="007D353D">
      <w:pPr>
        <w:ind w:left="720" w:hanging="720"/>
        <w:jc w:val="both"/>
        <w:rPr>
          <w:sz w:val="20"/>
          <w:szCs w:val="20"/>
          <w:lang w:val="en-US"/>
        </w:rPr>
      </w:pPr>
      <w:r w:rsidRPr="00EC6393">
        <w:rPr>
          <w:sz w:val="20"/>
          <w:szCs w:val="20"/>
          <w:lang w:val="en-US"/>
        </w:rPr>
        <w:t xml:space="preserve">[19] A. Jayatilaka, N. Asanka, G. Arachchilage, and M. A. Babar, “Why people still fall for phishing emails: An empirical investigation into how users make email response decisions,” </w:t>
      </w:r>
      <w:r w:rsidRPr="00EC6393">
        <w:rPr>
          <w:i/>
          <w:iCs/>
          <w:sz w:val="20"/>
          <w:szCs w:val="20"/>
          <w:lang w:val="en-US"/>
        </w:rPr>
        <w:t>Internet Society</w:t>
      </w:r>
      <w:r w:rsidRPr="00EC6393">
        <w:rPr>
          <w:sz w:val="20"/>
          <w:szCs w:val="20"/>
          <w:lang w:val="en-US"/>
        </w:rPr>
        <w:t xml:space="preserve">, 2024. </w:t>
      </w:r>
      <w:hyperlink w:tgtFrame="_blank" w:history="1">
        <w:r w:rsidRPr="00EC6393">
          <w:rPr>
            <w:rStyle w:val="Hyperlink"/>
            <w:sz w:val="20"/>
            <w:szCs w:val="20"/>
            <w:lang w:val="en-US"/>
          </w:rPr>
          <w:t>https://arxiv.org/pdf/2401.13199</w:t>
        </w:r>
      </w:hyperlink>
    </w:p>
    <w:p w14:paraId="219ADD91" w14:textId="77777777" w:rsidR="007D353D" w:rsidRPr="00EC6393" w:rsidRDefault="007D353D" w:rsidP="007D353D">
      <w:pPr>
        <w:ind w:left="720" w:hanging="720"/>
        <w:jc w:val="both"/>
        <w:rPr>
          <w:sz w:val="20"/>
          <w:szCs w:val="20"/>
          <w:lang w:val="en-US"/>
        </w:rPr>
      </w:pPr>
      <w:r w:rsidRPr="00EC6393">
        <w:rPr>
          <w:sz w:val="20"/>
          <w:szCs w:val="20"/>
          <w:lang w:val="en-US"/>
        </w:rPr>
        <w:t xml:space="preserve">[20] T. Kelley, M. J. Amon, and B. Bertenthal, “Statistical models for predicting threat detection from human behavior,” </w:t>
      </w:r>
      <w:r w:rsidRPr="00EC6393">
        <w:rPr>
          <w:i/>
          <w:iCs/>
          <w:sz w:val="20"/>
          <w:szCs w:val="20"/>
          <w:lang w:val="en-US"/>
        </w:rPr>
        <w:t>Frontiers in Psychology</w:t>
      </w:r>
      <w:r w:rsidRPr="00EC6393">
        <w:rPr>
          <w:sz w:val="20"/>
          <w:szCs w:val="20"/>
          <w:lang w:val="en-US"/>
        </w:rPr>
        <w:t xml:space="preserve">, vol. 9, 2018. </w:t>
      </w:r>
      <w:hyperlink w:tgtFrame="_blank" w:history="1">
        <w:r w:rsidRPr="00EC6393">
          <w:rPr>
            <w:rStyle w:val="Hyperlink"/>
            <w:sz w:val="20"/>
            <w:szCs w:val="20"/>
            <w:lang w:val="en-US"/>
          </w:rPr>
          <w:t>https://doi.org/10.3389/fpsyg.2018.00466</w:t>
        </w:r>
      </w:hyperlink>
    </w:p>
    <w:p w14:paraId="4D32CFCD" w14:textId="77777777" w:rsidR="007D353D" w:rsidRPr="00EC6393" w:rsidRDefault="007D353D" w:rsidP="007D353D">
      <w:pPr>
        <w:ind w:left="720" w:hanging="720"/>
        <w:jc w:val="both"/>
        <w:rPr>
          <w:sz w:val="20"/>
          <w:szCs w:val="20"/>
          <w:lang w:val="en-US"/>
        </w:rPr>
      </w:pPr>
      <w:r w:rsidRPr="00EC6393">
        <w:rPr>
          <w:sz w:val="20"/>
          <w:szCs w:val="20"/>
          <w:lang w:val="en-US"/>
        </w:rPr>
        <w:t xml:space="preserve">[21] N. Kshetri, Vasudha, and D. Hoxha, “knowCC: Knowledge, awareness of computer &amp; cyber ethics between CS/non-CS university students,” </w:t>
      </w:r>
      <w:r w:rsidRPr="00EC6393">
        <w:rPr>
          <w:i/>
          <w:iCs/>
          <w:sz w:val="20"/>
          <w:szCs w:val="20"/>
          <w:lang w:val="en-US"/>
        </w:rPr>
        <w:t>arXiv</w:t>
      </w:r>
      <w:r w:rsidRPr="00EC6393">
        <w:rPr>
          <w:sz w:val="20"/>
          <w:szCs w:val="20"/>
          <w:lang w:val="en-US"/>
        </w:rPr>
        <w:t xml:space="preserve">, 2023. </w:t>
      </w:r>
      <w:hyperlink w:tgtFrame="_blank" w:history="1">
        <w:r w:rsidRPr="00EC6393">
          <w:rPr>
            <w:rStyle w:val="Hyperlink"/>
            <w:sz w:val="20"/>
            <w:szCs w:val="20"/>
            <w:lang w:val="en-US"/>
          </w:rPr>
          <w:t>https://arxiv.org/abs/2310.12684</w:t>
        </w:r>
      </w:hyperlink>
    </w:p>
    <w:p w14:paraId="315ADA4B" w14:textId="77777777" w:rsidR="007D353D" w:rsidRPr="00EC6393" w:rsidRDefault="007D353D" w:rsidP="007D353D">
      <w:pPr>
        <w:ind w:left="720" w:hanging="720"/>
        <w:jc w:val="both"/>
        <w:rPr>
          <w:sz w:val="20"/>
          <w:szCs w:val="20"/>
          <w:lang w:val="en-US"/>
        </w:rPr>
      </w:pPr>
      <w:r w:rsidRPr="00EC6393">
        <w:rPr>
          <w:sz w:val="20"/>
          <w:szCs w:val="20"/>
          <w:lang w:val="en-US"/>
        </w:rPr>
        <w:t xml:space="preserve">[22] D. J. Lemay, R. B. Basnet, and T. Doleck, “Examining the relationship between threat and coping appraisal in phishing detection among college students,” </w:t>
      </w:r>
      <w:r w:rsidRPr="00EC6393">
        <w:rPr>
          <w:i/>
          <w:iCs/>
          <w:sz w:val="20"/>
          <w:szCs w:val="20"/>
          <w:lang w:val="en-US"/>
        </w:rPr>
        <w:t>Journal of Information Systems and Information Security</w:t>
      </w:r>
      <w:r w:rsidRPr="00EC6393">
        <w:rPr>
          <w:sz w:val="20"/>
          <w:szCs w:val="20"/>
          <w:lang w:val="en-US"/>
        </w:rPr>
        <w:t>, vol. 10, no. 1, pp. 1–15, 2020.</w:t>
      </w:r>
    </w:p>
    <w:p w14:paraId="05753B87" w14:textId="77777777" w:rsidR="007D353D" w:rsidRPr="00EC6393" w:rsidRDefault="007D353D" w:rsidP="007D353D">
      <w:pPr>
        <w:ind w:left="720" w:hanging="720"/>
        <w:jc w:val="both"/>
        <w:rPr>
          <w:sz w:val="20"/>
          <w:szCs w:val="20"/>
          <w:lang w:val="en-US"/>
        </w:rPr>
      </w:pPr>
      <w:r w:rsidRPr="00EC6393">
        <w:rPr>
          <w:sz w:val="20"/>
          <w:szCs w:val="20"/>
          <w:lang w:val="en-US"/>
        </w:rPr>
        <w:t xml:space="preserve">[23] C. León-Mantero, J. C. Casas-Rosal, C. Pedrosa-Jesús, and A. Maz-Machado, “Measuring attitude towards mathematics using Likert scale surveys: The weighted average,” </w:t>
      </w:r>
      <w:r w:rsidRPr="00EC6393">
        <w:rPr>
          <w:i/>
          <w:iCs/>
          <w:sz w:val="20"/>
          <w:szCs w:val="20"/>
          <w:lang w:val="en-US"/>
        </w:rPr>
        <w:t>PLOS ONE</w:t>
      </w:r>
      <w:r w:rsidRPr="00EC6393">
        <w:rPr>
          <w:sz w:val="20"/>
          <w:szCs w:val="20"/>
          <w:lang w:val="en-US"/>
        </w:rPr>
        <w:t xml:space="preserve">, vol. 15, no. 10, Art. no. e0239626, 2020. </w:t>
      </w:r>
      <w:hyperlink w:tgtFrame="_blank" w:history="1">
        <w:r w:rsidRPr="00EC6393">
          <w:rPr>
            <w:rStyle w:val="Hyperlink"/>
            <w:sz w:val="20"/>
            <w:szCs w:val="20"/>
            <w:lang w:val="en-US"/>
          </w:rPr>
          <w:t>https://doi.org/10.1371/journal.pone.0239626</w:t>
        </w:r>
      </w:hyperlink>
    </w:p>
    <w:p w14:paraId="7D795A12" w14:textId="77777777" w:rsidR="007D353D" w:rsidRPr="00EC6393" w:rsidRDefault="007D353D" w:rsidP="007D353D">
      <w:pPr>
        <w:ind w:left="720" w:hanging="720"/>
        <w:jc w:val="both"/>
        <w:rPr>
          <w:sz w:val="20"/>
          <w:szCs w:val="20"/>
          <w:lang w:val="en-US"/>
        </w:rPr>
      </w:pPr>
      <w:r w:rsidRPr="00EC6393">
        <w:rPr>
          <w:sz w:val="20"/>
          <w:szCs w:val="20"/>
          <w:lang w:val="en-US"/>
        </w:rPr>
        <w:t xml:space="preserve">[24] National Privacy Commission, “NPC issues cease and desist order against GCash over unauthorized transactions,” Press release, Nov. 13, 2024. </w:t>
      </w:r>
      <w:hyperlink w:tgtFrame="_blank" w:history="1">
        <w:r w:rsidRPr="00EC6393">
          <w:rPr>
            <w:rStyle w:val="Hyperlink"/>
            <w:sz w:val="20"/>
            <w:szCs w:val="20"/>
            <w:lang w:val="en-US"/>
          </w:rPr>
          <w:t>https://www.privacy.gov.ph</w:t>
        </w:r>
      </w:hyperlink>
    </w:p>
    <w:p w14:paraId="33814EF0" w14:textId="77777777" w:rsidR="007D353D" w:rsidRPr="00EC6393" w:rsidRDefault="007D353D" w:rsidP="007D353D">
      <w:pPr>
        <w:ind w:left="720" w:hanging="720"/>
        <w:jc w:val="both"/>
        <w:rPr>
          <w:sz w:val="20"/>
          <w:szCs w:val="20"/>
          <w:lang w:val="en-US"/>
        </w:rPr>
      </w:pPr>
      <w:r w:rsidRPr="00EC6393">
        <w:rPr>
          <w:sz w:val="20"/>
          <w:szCs w:val="20"/>
          <w:lang w:val="en-US"/>
        </w:rPr>
        <w:t xml:space="preserve">[25] C. D. Omorog and R. P. Medina, “Internet security awareness of Filipinos: A survey paper,” </w:t>
      </w:r>
      <w:r w:rsidRPr="00EC6393">
        <w:rPr>
          <w:i/>
          <w:iCs/>
          <w:sz w:val="20"/>
          <w:szCs w:val="20"/>
          <w:lang w:val="en-US"/>
        </w:rPr>
        <w:t>arXiv</w:t>
      </w:r>
      <w:r w:rsidRPr="00EC6393">
        <w:rPr>
          <w:sz w:val="20"/>
          <w:szCs w:val="20"/>
          <w:lang w:val="en-US"/>
        </w:rPr>
        <w:t xml:space="preserve">, 2020. </w:t>
      </w:r>
      <w:hyperlink w:tgtFrame="_blank" w:history="1">
        <w:r w:rsidRPr="00EC6393">
          <w:rPr>
            <w:rStyle w:val="Hyperlink"/>
            <w:sz w:val="20"/>
            <w:szCs w:val="20"/>
            <w:lang w:val="en-US"/>
          </w:rPr>
          <w:t>https://arxiv.org/abs/2012.03669</w:t>
        </w:r>
      </w:hyperlink>
    </w:p>
    <w:p w14:paraId="02BE2455" w14:textId="77777777" w:rsidR="007D353D" w:rsidRPr="00EC6393" w:rsidRDefault="007D353D" w:rsidP="007D353D">
      <w:pPr>
        <w:ind w:left="720" w:hanging="720"/>
        <w:jc w:val="both"/>
        <w:rPr>
          <w:sz w:val="20"/>
          <w:szCs w:val="20"/>
          <w:lang w:val="en-US"/>
        </w:rPr>
      </w:pPr>
      <w:r w:rsidRPr="00EC6393">
        <w:rPr>
          <w:sz w:val="20"/>
          <w:szCs w:val="20"/>
          <w:lang w:val="en-US"/>
        </w:rPr>
        <w:t xml:space="preserve">[26] G. Ong, “DICT to propose amendments to SIM registration law,” </w:t>
      </w:r>
      <w:r w:rsidRPr="00EC6393">
        <w:rPr>
          <w:i/>
          <w:iCs/>
          <w:sz w:val="20"/>
          <w:szCs w:val="20"/>
          <w:lang w:val="en-US"/>
        </w:rPr>
        <w:t>Philstar.com</w:t>
      </w:r>
      <w:r w:rsidRPr="00EC6393">
        <w:rPr>
          <w:sz w:val="20"/>
          <w:szCs w:val="20"/>
          <w:lang w:val="en-US"/>
        </w:rPr>
        <w:t xml:space="preserve">, Sep. 12, 2024. </w:t>
      </w:r>
      <w:hyperlink w:tgtFrame="_blank" w:history="1">
        <w:r w:rsidRPr="00EC6393">
          <w:rPr>
            <w:rStyle w:val="Hyperlink"/>
            <w:sz w:val="20"/>
            <w:szCs w:val="20"/>
            <w:lang w:val="en-US"/>
          </w:rPr>
          <w:t>https://qa.philstar.com/headlines/2024/09/12/2384626/dict-propose-amendments-sim-registration-law</w:t>
        </w:r>
      </w:hyperlink>
    </w:p>
    <w:p w14:paraId="53848DDF" w14:textId="77777777" w:rsidR="007D353D" w:rsidRPr="00EC6393" w:rsidRDefault="007D353D" w:rsidP="007D353D">
      <w:pPr>
        <w:ind w:left="720" w:hanging="720"/>
        <w:jc w:val="both"/>
        <w:rPr>
          <w:sz w:val="20"/>
          <w:szCs w:val="20"/>
          <w:lang w:val="en-US"/>
        </w:rPr>
      </w:pPr>
      <w:r w:rsidRPr="00EC6393">
        <w:rPr>
          <w:sz w:val="20"/>
          <w:szCs w:val="20"/>
          <w:lang w:val="en-US"/>
        </w:rPr>
        <w:t xml:space="preserve">[27] F. P. E. Putra, A. Zulfikri, G. Arifin, and R. M. Ilhamsyah, “Analysis of phishing attack trends, impacts and prevention methods: Literature study,” </w:t>
      </w:r>
      <w:r w:rsidRPr="00EC6393">
        <w:rPr>
          <w:i/>
          <w:iCs/>
          <w:sz w:val="20"/>
          <w:szCs w:val="20"/>
          <w:lang w:val="en-US"/>
        </w:rPr>
        <w:t>Brilliance: Research of Artificial Intelligence</w:t>
      </w:r>
      <w:r w:rsidRPr="00EC6393">
        <w:rPr>
          <w:sz w:val="20"/>
          <w:szCs w:val="20"/>
          <w:lang w:val="en-US"/>
        </w:rPr>
        <w:t xml:space="preserve">, vol. 4, no. 1, pp. 413–421, 2024. </w:t>
      </w:r>
      <w:hyperlink w:tgtFrame="_blank" w:history="1">
        <w:r w:rsidRPr="00EC6393">
          <w:rPr>
            <w:rStyle w:val="Hyperlink"/>
            <w:sz w:val="20"/>
            <w:szCs w:val="20"/>
            <w:lang w:val="en-US"/>
          </w:rPr>
          <w:t>https://itscience-indexing.com/jurnal/index.php/brilliance/article/view/4357</w:t>
        </w:r>
      </w:hyperlink>
    </w:p>
    <w:p w14:paraId="1F437850" w14:textId="77777777" w:rsidR="007D353D" w:rsidRPr="00EC6393" w:rsidRDefault="007D353D" w:rsidP="007D353D">
      <w:pPr>
        <w:ind w:left="720" w:hanging="720"/>
        <w:jc w:val="both"/>
        <w:rPr>
          <w:sz w:val="20"/>
          <w:szCs w:val="20"/>
          <w:lang w:val="en-US"/>
        </w:rPr>
      </w:pPr>
      <w:r w:rsidRPr="00EC6393">
        <w:rPr>
          <w:sz w:val="20"/>
          <w:szCs w:val="20"/>
          <w:lang w:val="en-US"/>
        </w:rPr>
        <w:t xml:space="preserve">[28] K. Senthilkumar, S. Easwaramoorthy, S. Chatchalermpun, and T. Daengsi, “Improving cybersecurity awareness using phishing attack simulation,” </w:t>
      </w:r>
      <w:r w:rsidRPr="00EC6393">
        <w:rPr>
          <w:i/>
          <w:iCs/>
          <w:sz w:val="20"/>
          <w:szCs w:val="20"/>
          <w:lang w:val="en-US"/>
        </w:rPr>
        <w:t>IOP Conference Series: Materials Science and Engineering</w:t>
      </w:r>
      <w:r w:rsidRPr="00EC6393">
        <w:rPr>
          <w:sz w:val="20"/>
          <w:szCs w:val="20"/>
          <w:lang w:val="en-US"/>
        </w:rPr>
        <w:t xml:space="preserve">, vol. 1088, no. 1, Art. no. 012015, 2021. </w:t>
      </w:r>
      <w:hyperlink w:tgtFrame="_blank" w:history="1">
        <w:r w:rsidRPr="00EC6393">
          <w:rPr>
            <w:rStyle w:val="Hyperlink"/>
            <w:sz w:val="20"/>
            <w:szCs w:val="20"/>
            <w:lang w:val="en-US"/>
          </w:rPr>
          <w:t>https://doi.org/10.1088/1757-899X/1088/1/012015</w:t>
        </w:r>
      </w:hyperlink>
    </w:p>
    <w:p w14:paraId="7A6B4670" w14:textId="77777777" w:rsidR="007D353D" w:rsidRPr="00EC6393" w:rsidRDefault="007D353D" w:rsidP="007D353D">
      <w:pPr>
        <w:ind w:left="720" w:hanging="720"/>
        <w:jc w:val="both"/>
        <w:rPr>
          <w:sz w:val="20"/>
          <w:szCs w:val="20"/>
          <w:lang w:val="en-US"/>
        </w:rPr>
      </w:pPr>
      <w:r w:rsidRPr="00EC6393">
        <w:rPr>
          <w:sz w:val="20"/>
          <w:szCs w:val="20"/>
          <w:lang w:val="en-US"/>
        </w:rPr>
        <w:t xml:space="preserve">[29] H. Shahbaznezhad, F. Kolini, and M. Rashidirad, “Employees’ behavior in phishing attacks: What individual, organizational, and technological factors matter?,” </w:t>
      </w:r>
      <w:r w:rsidRPr="00EC6393">
        <w:rPr>
          <w:i/>
          <w:iCs/>
          <w:sz w:val="20"/>
          <w:szCs w:val="20"/>
          <w:lang w:val="en-US"/>
        </w:rPr>
        <w:t>Journal of Computer Information Systems</w:t>
      </w:r>
      <w:r w:rsidRPr="00EC6393">
        <w:rPr>
          <w:sz w:val="20"/>
          <w:szCs w:val="20"/>
          <w:lang w:val="en-US"/>
        </w:rPr>
        <w:t xml:space="preserve">, vol. 61, 2020. </w:t>
      </w:r>
      <w:hyperlink w:tgtFrame="_blank" w:history="1">
        <w:r w:rsidRPr="00EC6393">
          <w:rPr>
            <w:rStyle w:val="Hyperlink"/>
            <w:sz w:val="20"/>
            <w:szCs w:val="20"/>
            <w:lang w:val="en-US"/>
          </w:rPr>
          <w:t>https://doi.org/10.1080/08874417.2020.1812134</w:t>
        </w:r>
      </w:hyperlink>
    </w:p>
    <w:p w14:paraId="007A2B6E" w14:textId="77777777" w:rsidR="007D353D" w:rsidRPr="00EC6393" w:rsidRDefault="007D353D" w:rsidP="007D353D">
      <w:pPr>
        <w:ind w:left="720" w:hanging="720"/>
        <w:jc w:val="both"/>
        <w:rPr>
          <w:sz w:val="20"/>
          <w:szCs w:val="20"/>
          <w:lang w:val="en-US"/>
        </w:rPr>
      </w:pPr>
      <w:r w:rsidRPr="00EC6393">
        <w:rPr>
          <w:sz w:val="20"/>
          <w:szCs w:val="20"/>
          <w:lang w:val="en-US"/>
        </w:rPr>
        <w:t xml:space="preserve">[30] “SIM Registration Law not a ‘silver bullet’ vs scams, says NTC,” </w:t>
      </w:r>
      <w:r w:rsidRPr="00EC6393">
        <w:rPr>
          <w:i/>
          <w:iCs/>
          <w:sz w:val="20"/>
          <w:szCs w:val="20"/>
          <w:lang w:val="en-US"/>
        </w:rPr>
        <w:t>GMA News Online</w:t>
      </w:r>
      <w:r w:rsidRPr="00EC6393">
        <w:rPr>
          <w:sz w:val="20"/>
          <w:szCs w:val="20"/>
          <w:lang w:val="en-US"/>
        </w:rPr>
        <w:t xml:space="preserve">, Jun. 18, 2024. </w:t>
      </w:r>
      <w:hyperlink w:tgtFrame="_blank" w:history="1">
        <w:r w:rsidRPr="00EC6393">
          <w:rPr>
            <w:rStyle w:val="Hyperlink"/>
            <w:sz w:val="20"/>
            <w:szCs w:val="20"/>
            <w:lang w:val="en-US"/>
          </w:rPr>
          <w:t>https://www.gmanetwork.com/news/topstories/nation/910387/sim-registration-law-silver-bullet-ntc/story/</w:t>
        </w:r>
      </w:hyperlink>
    </w:p>
    <w:p w14:paraId="69E0CE6F" w14:textId="77777777" w:rsidR="007D353D" w:rsidRPr="00EC6393" w:rsidRDefault="007D353D" w:rsidP="007D353D">
      <w:pPr>
        <w:ind w:left="720" w:hanging="720"/>
        <w:jc w:val="both"/>
        <w:rPr>
          <w:sz w:val="20"/>
          <w:szCs w:val="20"/>
          <w:lang w:val="en-US"/>
        </w:rPr>
      </w:pPr>
      <w:r w:rsidRPr="00EC6393">
        <w:rPr>
          <w:sz w:val="20"/>
          <w:szCs w:val="20"/>
          <w:lang w:val="en-US"/>
        </w:rPr>
        <w:t xml:space="preserve">[31] L. Stalans, E. Chan-Tin, A. Hart, M. Moran, and S. Kennison, “Predicting phishing victimization: Comparing prior victimization, cognitive and emotional styles, and vulnerable or protective email strategies,” </w:t>
      </w:r>
      <w:r w:rsidRPr="00EC6393">
        <w:rPr>
          <w:i/>
          <w:iCs/>
          <w:sz w:val="20"/>
          <w:szCs w:val="20"/>
          <w:lang w:val="en-US"/>
        </w:rPr>
        <w:t>International Journal of Cyber Criminology</w:t>
      </w:r>
      <w:r w:rsidRPr="00EC6393">
        <w:rPr>
          <w:sz w:val="20"/>
          <w:szCs w:val="20"/>
          <w:lang w:val="en-US"/>
        </w:rPr>
        <w:t xml:space="preserve">, vol. 17, no. 1, pp. 45–67, 2023. </w:t>
      </w:r>
      <w:hyperlink w:tgtFrame="_blank" w:history="1">
        <w:r w:rsidRPr="00EC6393">
          <w:rPr>
            <w:rStyle w:val="Hyperlink"/>
            <w:sz w:val="20"/>
            <w:szCs w:val="20"/>
            <w:lang w:val="en-US"/>
          </w:rPr>
          <w:t>https://doi.org/10.1080/15564886.2023.2218369</w:t>
        </w:r>
      </w:hyperlink>
    </w:p>
    <w:p w14:paraId="705C705C" w14:textId="77777777" w:rsidR="007D353D" w:rsidRPr="00EC6393" w:rsidRDefault="007D353D" w:rsidP="007D353D">
      <w:pPr>
        <w:ind w:left="720" w:hanging="720"/>
        <w:jc w:val="both"/>
        <w:rPr>
          <w:sz w:val="20"/>
          <w:szCs w:val="20"/>
          <w:lang w:val="en-US"/>
        </w:rPr>
      </w:pPr>
      <w:r w:rsidRPr="00EC6393">
        <w:rPr>
          <w:sz w:val="20"/>
          <w:szCs w:val="20"/>
          <w:lang w:val="en-US"/>
        </w:rPr>
        <w:t xml:space="preserve">[32] T. Sutter, A. S. Bozkir, B. Gehring, and P. Berlich, “Avoiding the hook: Influential factors of phishing awareness training on click-rates and a data-driven approach to predict email difficulty perception,” </w:t>
      </w:r>
      <w:r w:rsidRPr="00EC6393">
        <w:rPr>
          <w:i/>
          <w:iCs/>
          <w:sz w:val="20"/>
          <w:szCs w:val="20"/>
          <w:lang w:val="en-US"/>
        </w:rPr>
        <w:t>IEEE Access</w:t>
      </w:r>
      <w:r w:rsidRPr="00EC6393">
        <w:rPr>
          <w:sz w:val="20"/>
          <w:szCs w:val="20"/>
          <w:lang w:val="en-US"/>
        </w:rPr>
        <w:t xml:space="preserve">, vol. 10, 2022. </w:t>
      </w:r>
      <w:hyperlink w:tgtFrame="_blank" w:history="1">
        <w:r w:rsidRPr="00EC6393">
          <w:rPr>
            <w:rStyle w:val="Hyperlink"/>
            <w:sz w:val="20"/>
            <w:szCs w:val="20"/>
            <w:lang w:val="en-US"/>
          </w:rPr>
          <w:t>https://doi.org/10.1109/ACCESS.2022.3207272</w:t>
        </w:r>
      </w:hyperlink>
    </w:p>
    <w:p w14:paraId="254F5E47" w14:textId="77777777" w:rsidR="007D353D" w:rsidRPr="00EC6393" w:rsidRDefault="007D353D" w:rsidP="007D353D">
      <w:pPr>
        <w:ind w:left="720" w:hanging="720"/>
        <w:jc w:val="both"/>
        <w:rPr>
          <w:sz w:val="20"/>
          <w:szCs w:val="20"/>
          <w:lang w:val="en-US"/>
        </w:rPr>
      </w:pPr>
      <w:r w:rsidRPr="00EC6393">
        <w:rPr>
          <w:sz w:val="20"/>
          <w:szCs w:val="20"/>
          <w:lang w:val="en-US"/>
        </w:rPr>
        <w:t xml:space="preserve">[33] J. W. Tukey, “Comparing individual means in the analysis of variance,” </w:t>
      </w:r>
      <w:r w:rsidRPr="00EC6393">
        <w:rPr>
          <w:i/>
          <w:iCs/>
          <w:sz w:val="20"/>
          <w:szCs w:val="20"/>
          <w:lang w:val="en-US"/>
        </w:rPr>
        <w:t>Biometrics</w:t>
      </w:r>
      <w:r w:rsidRPr="00EC6393">
        <w:rPr>
          <w:sz w:val="20"/>
          <w:szCs w:val="20"/>
          <w:lang w:val="en-US"/>
        </w:rPr>
        <w:t xml:space="preserve">, vol. 5, no. 2, pp. 99–114, 1949. </w:t>
      </w:r>
      <w:hyperlink w:tgtFrame="_blank" w:history="1">
        <w:r w:rsidRPr="00EC6393">
          <w:rPr>
            <w:rStyle w:val="Hyperlink"/>
            <w:sz w:val="20"/>
            <w:szCs w:val="20"/>
            <w:lang w:val="en-US"/>
          </w:rPr>
          <w:t>https://doi.org/10.2307/3001913</w:t>
        </w:r>
      </w:hyperlink>
    </w:p>
    <w:p w14:paraId="70E09026" w14:textId="77777777" w:rsidR="007D353D" w:rsidRPr="00EC6393" w:rsidRDefault="007D353D" w:rsidP="007D353D">
      <w:pPr>
        <w:ind w:left="720" w:hanging="720"/>
        <w:jc w:val="both"/>
        <w:rPr>
          <w:sz w:val="20"/>
          <w:szCs w:val="20"/>
          <w:lang w:val="en-US"/>
        </w:rPr>
      </w:pPr>
      <w:r w:rsidRPr="00EC6393">
        <w:rPr>
          <w:sz w:val="20"/>
          <w:szCs w:val="20"/>
          <w:lang w:val="en-US"/>
        </w:rPr>
        <w:t xml:space="preserve">[34] M. M. Usita, “Patterns of mobile awareness and security practices: A clustering analysis on college faculty and students,” </w:t>
      </w:r>
      <w:r w:rsidRPr="00EC6393">
        <w:rPr>
          <w:i/>
          <w:iCs/>
          <w:sz w:val="20"/>
          <w:szCs w:val="20"/>
          <w:lang w:val="en-US"/>
        </w:rPr>
        <w:t>Asian Journal of Research in Computer Science</w:t>
      </w:r>
      <w:r w:rsidRPr="00EC6393">
        <w:rPr>
          <w:sz w:val="20"/>
          <w:szCs w:val="20"/>
          <w:lang w:val="en-US"/>
        </w:rPr>
        <w:t xml:space="preserve">, vol. 18, no. 12, pp. 81–96, 2025. </w:t>
      </w:r>
      <w:hyperlink w:tgtFrame="_blank" w:history="1">
        <w:r w:rsidRPr="00EC6393">
          <w:rPr>
            <w:rStyle w:val="Hyperlink"/>
            <w:sz w:val="20"/>
            <w:szCs w:val="20"/>
            <w:lang w:val="en-US"/>
          </w:rPr>
          <w:t>https://doi.org/10.9734/ajrcos/2025/v18i12792</w:t>
        </w:r>
      </w:hyperlink>
    </w:p>
    <w:p w14:paraId="7206F125" w14:textId="77777777" w:rsidR="007D353D" w:rsidRPr="00EC6393" w:rsidRDefault="007D353D" w:rsidP="007D353D">
      <w:pPr>
        <w:ind w:left="720" w:hanging="720"/>
        <w:jc w:val="both"/>
        <w:rPr>
          <w:sz w:val="20"/>
          <w:szCs w:val="20"/>
          <w:lang w:val="en-US"/>
        </w:rPr>
      </w:pPr>
      <w:r w:rsidRPr="00EC6393">
        <w:rPr>
          <w:sz w:val="20"/>
          <w:szCs w:val="20"/>
          <w:lang w:val="en-US"/>
        </w:rPr>
        <w:t xml:space="preserve">[35] A. Vishwanath, B. Harrison, and Y. J. Ng, “Suspicion, cognition, and automaticity model of phishing susceptibility,” </w:t>
      </w:r>
      <w:r w:rsidRPr="00EC6393">
        <w:rPr>
          <w:i/>
          <w:iCs/>
          <w:sz w:val="20"/>
          <w:szCs w:val="20"/>
          <w:lang w:val="en-US"/>
        </w:rPr>
        <w:t>Communication Research</w:t>
      </w:r>
      <w:r w:rsidRPr="00EC6393">
        <w:rPr>
          <w:sz w:val="20"/>
          <w:szCs w:val="20"/>
          <w:lang w:val="en-US"/>
        </w:rPr>
        <w:t xml:space="preserve">, vol. 45, no. 8, pp. 1146–1166, 2016. </w:t>
      </w:r>
      <w:hyperlink w:tgtFrame="_blank" w:history="1">
        <w:r w:rsidRPr="00EC6393">
          <w:rPr>
            <w:rStyle w:val="Hyperlink"/>
            <w:sz w:val="20"/>
            <w:szCs w:val="20"/>
            <w:lang w:val="en-US"/>
          </w:rPr>
          <w:t>https://doi.org/10.1177/0093650215627483</w:t>
        </w:r>
      </w:hyperlink>
    </w:p>
    <w:p w14:paraId="4EF490EA" w14:textId="2B425C8E" w:rsidR="00856D4D" w:rsidRPr="00EC6393" w:rsidRDefault="00856D4D" w:rsidP="007D353D">
      <w:pPr>
        <w:ind w:left="720" w:hanging="720"/>
        <w:jc w:val="both"/>
        <w:rPr>
          <w:sz w:val="20"/>
          <w:szCs w:val="20"/>
        </w:rPr>
      </w:pPr>
    </w:p>
    <w:sectPr w:rsidR="00856D4D" w:rsidRPr="00EC6393" w:rsidSect="00856D4D">
      <w:type w:val="continuous"/>
      <w:pgSz w:w="11907" w:h="16839" w:code="9"/>
      <w:pgMar w:top="720" w:right="605" w:bottom="605" w:left="605" w:header="288" w:footer="144"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E808C" w14:textId="77777777" w:rsidR="009E3FF0" w:rsidRDefault="009E3FF0" w:rsidP="00193588">
      <w:r>
        <w:separator/>
      </w:r>
    </w:p>
  </w:endnote>
  <w:endnote w:type="continuationSeparator" w:id="0">
    <w:p w14:paraId="138A989C" w14:textId="77777777" w:rsidR="009E3FF0" w:rsidRDefault="009E3FF0" w:rsidP="0019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619B9" w14:textId="066630AA" w:rsidR="00E01EC2" w:rsidRDefault="00E01EC2" w:rsidP="00856D4D">
    <w:pPr>
      <w:pStyle w:val="BodyText"/>
      <w:spacing w:line="14" w:lineRule="auto"/>
    </w:pPr>
    <w:r>
      <w:rPr>
        <w:noProof/>
        <w:lang w:val="en-IN" w:eastAsia="en-IN"/>
      </w:rPr>
      <mc:AlternateContent>
        <mc:Choice Requires="wps">
          <w:drawing>
            <wp:anchor distT="0" distB="0" distL="0" distR="0" simplePos="0" relativeHeight="251663360" behindDoc="1" locked="0" layoutInCell="1" allowOverlap="1" wp14:anchorId="76E9BF61" wp14:editId="005FDB5C">
              <wp:simplePos x="0" y="0"/>
              <wp:positionH relativeFrom="page">
                <wp:posOffset>381000</wp:posOffset>
              </wp:positionH>
              <wp:positionV relativeFrom="page">
                <wp:posOffset>10240010</wp:posOffset>
              </wp:positionV>
              <wp:extent cx="6839585" cy="17780"/>
              <wp:effectExtent l="0" t="0" r="0" b="0"/>
              <wp:wrapNone/>
              <wp:docPr id="103009146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2F1C4D" id="Graphic 3" o:spid="_x0000_s1026" style="position:absolute;margin-left:30pt;margin-top:806.3pt;width:538.55pt;height:1.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4u6SKwIAAMEEAAAOAAAAZHJzL2Uyb0RvYy54bWysVE1v2zAMvQ/YfxB0X+y0zUeNOMXQosOA oivQDDsrshwbk01NVGLn34+SI9foThuGADZlPpGPj2Q2d32j2UlZrKHN+XyWcqZaCUXdHnL+fff4 ac0ZOtEWQkOrcn5WyO+2Hz9sOpOpK6hAF8oyCtJi1pmcV86ZLElQVqoROAOjWnKWYBvh6GgPSWFF R9EbnVyl6TLpwBbGglSI9PVhcPJtiF+WSrpvZYnKMZ1z4ubC04bn3j+T7UZkBytMVcsLDfEPLBpR t5R0DPUgnGBHW/8RqqmlBYTSzSQ0CZRlLVWogaqZp++qea2EUaEWEgfNKBP+v7Dy+fRqXqynjuYJ 5E8kRZLOYDZ6/AEvmL60jccScdYHFc+jiqp3TNLH5fr6drFecCbJN1+t1kHlRGTxsjyi+6IgBBKn J3RDE4poiSpasm+jaamVvok6NNFxRk20nFET90MTjXD+nmfnTdYRk+Vqfp3eclbl/GaREifvbeCk dhBwzhcxomIpRPUNo9splkZogoq++DYh3oDx+W48M4oW/fE94KZ5/w4dBY3xpAZUQypfesg5ykH5 p4Ij6Lp4rLX2AqA97O+1ZSdByq5T/7tQnsDCNAwD4EdhD8X5xbKOdibn+OsorOJMf21pKP2CRcNG Yx8N6/Q9hDUM2lt0u/6HsIYZMnPuaH6eIY68yOJkEH8PGLD+Zgufjw7K2o9N4DYwuhxoT0L9l532 izg9B9TbP8/2NwAAAP//AwBQSwMEFAAGAAgAAAAhAPbnRAvhAAAADQEAAA8AAABkcnMvZG93bnJl di54bWxMj8FOwzAQRO9I/IO1SNyonQKhCnEqaNUDEqrUBtGrmyxJVHsdxW4b/p4tFzju7GjmTT4f nRUnHELnSUMyUSCQKl931Gj4KFd3MxAhGqqN9YQavjHAvLi+yk1W+zNt8LSNjeAQCpnR0MbYZ1KG qkVnwsT3SPz78oMzkc+hkfVgzhzurJwqlUpnOuKG1vS4aLE6bI+OS9x6p5avS3qbLZr3w2ZV7j5t qfXtzfjyDCLiGP/McMFndCiYae+PVAdhNaSKp0TW02Sagrg4kvunBMT+V3t8AFnk8v+K4gcAAP// AwBQSwECLQAUAAYACAAAACEAtoM4kv4AAADhAQAAEwAAAAAAAAAAAAAAAAAAAAAAW0NvbnRlbnRf VHlwZXNdLnhtbFBLAQItABQABgAIAAAAIQA4/SH/1gAAAJQBAAALAAAAAAAAAAAAAAAAAC8BAABf cmVscy8ucmVsc1BLAQItABQABgAIAAAAIQAD4u6SKwIAAMEEAAAOAAAAAAAAAAAAAAAAAC4CAABk cnMvZTJvRG9jLnhtbFBLAQItABQABgAIAAAAIQD250QL4QAAAA0BAAAPAAAAAAAAAAAAAAAAAIUE AABkcnMvZG93bnJldi54bWxQSwUGAAAAAAQABADzAAAAkwUAAAAA " path="m6671309,l,,,45084r6671309,l6671309,xe" fillcolor="gray" stroked="f">
              <v:path arrowok="t"/>
              <w10:wrap anchorx="page" anchory="page"/>
            </v:shape>
          </w:pict>
        </mc:Fallback>
      </mc:AlternateContent>
    </w:r>
    <w:r>
      <w:t xml:space="preserve"> </w:t>
    </w:r>
    <w:r w:rsidRPr="006B6E48">
      <w:t xml:space="preserve"> </w:t>
    </w:r>
    <w:r>
      <w:rPr>
        <w:rFonts w:eastAsia="Calibri"/>
      </w:rPr>
      <w:t xml:space="preserve"> </w:t>
    </w:r>
    <w:r>
      <w:t xml:space="preserve"> </w:t>
    </w:r>
    <w:r w:rsidRPr="00705C97">
      <w:t xml:space="preserve"> </w:t>
    </w:r>
    <w:r w:rsidRPr="00A345B0">
      <w:t xml:space="preserve"> </w:t>
    </w:r>
    <w:r>
      <w:rPr>
        <w:noProof/>
        <w:lang w:val="en-IN" w:eastAsia="en-IN"/>
      </w:rPr>
      <mc:AlternateContent>
        <mc:Choice Requires="wps">
          <w:drawing>
            <wp:anchor distT="0" distB="0" distL="0" distR="0" simplePos="0" relativeHeight="251664384" behindDoc="1" locked="0" layoutInCell="1" allowOverlap="1" wp14:anchorId="74372BDA" wp14:editId="1965A747">
              <wp:simplePos x="0" y="0"/>
              <wp:positionH relativeFrom="page">
                <wp:posOffset>411480</wp:posOffset>
              </wp:positionH>
              <wp:positionV relativeFrom="page">
                <wp:posOffset>10340340</wp:posOffset>
              </wp:positionV>
              <wp:extent cx="1005840" cy="251460"/>
              <wp:effectExtent l="0" t="0" r="0" b="0"/>
              <wp:wrapNone/>
              <wp:docPr id="55192412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51460"/>
                      </a:xfrm>
                      <a:prstGeom prst="rect">
                        <a:avLst/>
                      </a:prstGeom>
                    </wps:spPr>
                    <wps:txbx>
                      <w:txbxContent>
                        <w:p w14:paraId="16E4D00C" w14:textId="77777777" w:rsidR="00E01EC2" w:rsidRDefault="00E01EC2" w:rsidP="00856D4D">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F94467">
                            <w:rPr>
                              <w:noProof/>
                              <w:spacing w:val="-5"/>
                              <w:sz w:val="20"/>
                            </w:rPr>
                            <w:t>1</w:t>
                          </w:r>
                          <w:r>
                            <w:rPr>
                              <w:spacing w:val="-5"/>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2.4pt;margin-top:814.2pt;width:79.2pt;height:19.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" filled="f" stroked="f">
              <v:path arrowok="t"/>
              <v:textbox inset="0,0,0,0">
                <w:txbxContent>
                  <w:p w14:paraId="16E4D00C" w14:textId="77777777" w:rsidR="00E01EC2" w:rsidRDefault="00E01EC2" w:rsidP="00856D4D">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F94467">
                      <w:rPr>
                        <w:noProof/>
                        <w:spacing w:val="-5"/>
                        <w:sz w:val="20"/>
                      </w:rPr>
                      <w:t>1</w:t>
                    </w:r>
                    <w:r>
                      <w:rPr>
                        <w:spacing w:val="-5"/>
                        <w:sz w:val="20"/>
                      </w:rPr>
                      <w:fldChar w:fldCharType="end"/>
                    </w:r>
                  </w:p>
                </w:txbxContent>
              </v:textbox>
              <w10:wrap anchorx="page" anchory="page"/>
            </v:shape>
          </w:pict>
        </mc:Fallback>
      </mc:AlternateContent>
    </w:r>
    <w:r>
      <w:rPr>
        <w:rFonts w:ascii="Arial" w:eastAsia="Arial" w:hAnsi="Arial" w:cs="Arial"/>
        <w:sz w:val="20"/>
      </w:rPr>
      <w:tab/>
      <w:t xml:space="preserve"> </w:t>
    </w:r>
    <w:r>
      <w:rPr>
        <w:rFonts w:ascii="Arial" w:eastAsia="Arial" w:hAnsi="Arial" w:cs="Arial"/>
        <w:sz w:val="20"/>
      </w:rPr>
      <w:tab/>
    </w:r>
  </w:p>
  <w:p w14:paraId="13D5C319" w14:textId="77777777" w:rsidR="00E01EC2" w:rsidRPr="00A878E5" w:rsidRDefault="00E01EC2" w:rsidP="00856D4D">
    <w:pPr>
      <w:pStyle w:val="Footer"/>
    </w:pPr>
  </w:p>
  <w:p w14:paraId="0AAA5759" w14:textId="77777777" w:rsidR="00E01EC2" w:rsidRDefault="00E01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1EC06" w14:textId="77777777" w:rsidR="009E3FF0" w:rsidRDefault="009E3FF0" w:rsidP="00193588">
      <w:r>
        <w:separator/>
      </w:r>
    </w:p>
  </w:footnote>
  <w:footnote w:type="continuationSeparator" w:id="0">
    <w:p w14:paraId="6DE67A24" w14:textId="77777777" w:rsidR="009E3FF0" w:rsidRDefault="009E3FF0" w:rsidP="00193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6C0E3" w14:textId="3E23F6D1" w:rsidR="00E01EC2" w:rsidRDefault="00E01EC2" w:rsidP="00856D4D">
    <w:pPr>
      <w:pStyle w:val="BodyText"/>
      <w:tabs>
        <w:tab w:val="center" w:pos="5350"/>
      </w:tabs>
      <w:spacing w:line="14" w:lineRule="auto"/>
    </w:pPr>
    <w:r>
      <w:rPr>
        <w:rFonts w:eastAsia="Calibri"/>
      </w:rPr>
      <w:t xml:space="preserve"> </w:t>
    </w:r>
    <w:r>
      <w:rPr>
        <w:sz w:val="36"/>
      </w:rPr>
      <w:t xml:space="preserve">  </w:t>
    </w: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1265CC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6DB1DBF"/>
    <w:multiLevelType w:val="hybridMultilevel"/>
    <w:tmpl w:val="FC223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F178D2"/>
    <w:multiLevelType w:val="hybridMultilevel"/>
    <w:tmpl w:val="5A70C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CF7108"/>
    <w:multiLevelType w:val="multilevel"/>
    <w:tmpl w:val="0B38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BF0CCF"/>
    <w:multiLevelType w:val="hybridMultilevel"/>
    <w:tmpl w:val="D842E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A377E"/>
    <w:multiLevelType w:val="hybridMultilevel"/>
    <w:tmpl w:val="3F5E5090"/>
    <w:lvl w:ilvl="0" w:tplc="45C4DA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nsid w:val="2B9B1092"/>
    <w:multiLevelType w:val="multilevel"/>
    <w:tmpl w:val="A6D6DA7E"/>
    <w:lvl w:ilvl="0">
      <w:start w:val="1"/>
      <w:numFmt w:val="decimal"/>
      <w:lvlText w:val="%1."/>
      <w:lvlJc w:val="left"/>
      <w:pPr>
        <w:ind w:left="1170" w:hanging="360"/>
      </w:pPr>
    </w:lvl>
    <w:lvl w:ilvl="1">
      <w:start w:val="1"/>
      <w:numFmt w:val="decimal"/>
      <w:lvlText w:val="%1.%2."/>
      <w:lvlJc w:val="left"/>
      <w:pPr>
        <w:ind w:left="1980" w:hanging="360"/>
      </w:pPr>
    </w:lvl>
    <w:lvl w:ilvl="2">
      <w:start w:val="1"/>
      <w:numFmt w:val="decimal"/>
      <w:lvlText w:val="%1.%2.%3."/>
      <w:lvlJc w:val="left"/>
      <w:pPr>
        <w:ind w:left="4410" w:hanging="720"/>
      </w:pPr>
    </w:lvl>
    <w:lvl w:ilvl="3">
      <w:start w:val="1"/>
      <w:numFmt w:val="decimal"/>
      <w:lvlText w:val="%1.%2.%3.%4."/>
      <w:lvlJc w:val="left"/>
      <w:pPr>
        <w:ind w:left="5850" w:hanging="720"/>
      </w:pPr>
    </w:lvl>
    <w:lvl w:ilvl="4">
      <w:start w:val="1"/>
      <w:numFmt w:val="decimal"/>
      <w:lvlText w:val="%1.%2.%3.%4.%5."/>
      <w:lvlJc w:val="left"/>
      <w:pPr>
        <w:ind w:left="7650" w:hanging="1080"/>
      </w:pPr>
    </w:lvl>
    <w:lvl w:ilvl="5">
      <w:start w:val="1"/>
      <w:numFmt w:val="decimal"/>
      <w:lvlText w:val="%1.%2.%3.%4.%5.%6."/>
      <w:lvlJc w:val="left"/>
      <w:pPr>
        <w:ind w:left="9090" w:hanging="1080"/>
      </w:pPr>
    </w:lvl>
    <w:lvl w:ilvl="6">
      <w:start w:val="1"/>
      <w:numFmt w:val="decimal"/>
      <w:lvlText w:val="%1.%2.%3.%4.%5.%6.%7."/>
      <w:lvlJc w:val="left"/>
      <w:pPr>
        <w:ind w:left="10890" w:hanging="1440"/>
      </w:pPr>
    </w:lvl>
    <w:lvl w:ilvl="7">
      <w:start w:val="1"/>
      <w:numFmt w:val="decimal"/>
      <w:lvlText w:val="%1.%2.%3.%4.%5.%6.%7.%8."/>
      <w:lvlJc w:val="left"/>
      <w:pPr>
        <w:ind w:left="12330" w:hanging="1440"/>
      </w:pPr>
    </w:lvl>
    <w:lvl w:ilvl="8">
      <w:start w:val="1"/>
      <w:numFmt w:val="decimal"/>
      <w:lvlText w:val="%1.%2.%3.%4.%5.%6.%7.%8.%9."/>
      <w:lvlJc w:val="left"/>
      <w:pPr>
        <w:ind w:left="14130" w:hanging="1800"/>
      </w:pPr>
    </w:lvl>
  </w:abstractNum>
  <w:abstractNum w:abstractNumId="8">
    <w:nsid w:val="3B4A3E2C"/>
    <w:multiLevelType w:val="multilevel"/>
    <w:tmpl w:val="C106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92010B1"/>
    <w:multiLevelType w:val="multilevel"/>
    <w:tmpl w:val="1CCA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50232215"/>
    <w:multiLevelType w:val="multilevel"/>
    <w:tmpl w:val="27960308"/>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val="0"/>
        <w:iCs/>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C6D047B"/>
    <w:multiLevelType w:val="hybridMultilevel"/>
    <w:tmpl w:val="2564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CC3519"/>
    <w:multiLevelType w:val="hybridMultilevel"/>
    <w:tmpl w:val="A17EE9EA"/>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A22A4C"/>
    <w:multiLevelType w:val="hybridMultilevel"/>
    <w:tmpl w:val="E29E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nsid w:val="71D41BF3"/>
    <w:multiLevelType w:val="hybridMultilevel"/>
    <w:tmpl w:val="9D346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3E3896"/>
    <w:multiLevelType w:val="hybridMultilevel"/>
    <w:tmpl w:val="2A74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020A96"/>
    <w:multiLevelType w:val="hybridMultilevel"/>
    <w:tmpl w:val="B3A4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0"/>
  </w:num>
  <w:num w:numId="4">
    <w:abstractNumId w:val="0"/>
  </w:num>
  <w:num w:numId="5">
    <w:abstractNumId w:val="6"/>
  </w:num>
  <w:num w:numId="6">
    <w:abstractNumId w:val="14"/>
  </w:num>
  <w:num w:numId="7">
    <w:abstractNumId w:val="2"/>
  </w:num>
  <w:num w:numId="8">
    <w:abstractNumId w:val="7"/>
  </w:num>
  <w:num w:numId="9">
    <w:abstractNumId w:val="8"/>
  </w:num>
  <w:num w:numId="10">
    <w:abstractNumId w:val="3"/>
  </w:num>
  <w:num w:numId="11">
    <w:abstractNumId w:val="9"/>
  </w:num>
  <w:num w:numId="12">
    <w:abstractNumId w:val="17"/>
  </w:num>
  <w:num w:numId="13">
    <w:abstractNumId w:val="18"/>
  </w:num>
  <w:num w:numId="14">
    <w:abstractNumId w:val="12"/>
  </w:num>
  <w:num w:numId="15">
    <w:abstractNumId w:val="13"/>
  </w:num>
  <w:num w:numId="16">
    <w:abstractNumId w:val="5"/>
  </w:num>
  <w:num w:numId="17">
    <w:abstractNumId w:val="1"/>
  </w:num>
  <w:num w:numId="18">
    <w:abstractNumId w:val="4"/>
  </w:num>
  <w:num w:numId="19">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activeWritingStyle w:appName="MSWord" w:lang="en-AU" w:vendorID="64" w:dllVersion="6" w:nlCheck="1" w:checkStyle="0"/>
  <w:activeWritingStyle w:appName="MSWord" w:lang="en-GB" w:vendorID="64" w:dllVersion="6" w:nlCheck="1" w:checkStyle="1"/>
  <w:activeWritingStyle w:appName="MSWord" w:lang="en-US" w:vendorID="64" w:dllVersion="6" w:nlCheck="1" w:checkStyle="0"/>
  <w:activeWritingStyle w:appName="MSWord" w:lang="en-PH" w:vendorID="64" w:dllVersion="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PH" w:vendorID="64" w:dllVersion="4096" w:nlCheck="1" w:checkStyle="0"/>
  <w:activeWritingStyle w:appName="MSWord" w:lang="en-AU" w:vendorID="64" w:dllVersion="131078" w:nlCheck="1" w:checkStyle="1"/>
  <w:activeWritingStyle w:appName="MSWord" w:lang="en-PH"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17DF"/>
    <w:rsid w:val="000034F1"/>
    <w:rsid w:val="000051A2"/>
    <w:rsid w:val="00007373"/>
    <w:rsid w:val="00011AD4"/>
    <w:rsid w:val="00014D0E"/>
    <w:rsid w:val="00017719"/>
    <w:rsid w:val="00027F1D"/>
    <w:rsid w:val="000324F0"/>
    <w:rsid w:val="0003296C"/>
    <w:rsid w:val="000344CC"/>
    <w:rsid w:val="00051E04"/>
    <w:rsid w:val="00054001"/>
    <w:rsid w:val="00054421"/>
    <w:rsid w:val="00054D64"/>
    <w:rsid w:val="00055B72"/>
    <w:rsid w:val="00062E46"/>
    <w:rsid w:val="000630FD"/>
    <w:rsid w:val="00070767"/>
    <w:rsid w:val="00071A92"/>
    <w:rsid w:val="00071E4B"/>
    <w:rsid w:val="00074AC8"/>
    <w:rsid w:val="00081408"/>
    <w:rsid w:val="00081EBE"/>
    <w:rsid w:val="00086EDC"/>
    <w:rsid w:val="000877BA"/>
    <w:rsid w:val="0009312F"/>
    <w:rsid w:val="000A07C6"/>
    <w:rsid w:val="000A398C"/>
    <w:rsid w:val="000A7474"/>
    <w:rsid w:val="000B36A3"/>
    <w:rsid w:val="000B4E12"/>
    <w:rsid w:val="000C013C"/>
    <w:rsid w:val="000C4E25"/>
    <w:rsid w:val="000C7ACA"/>
    <w:rsid w:val="000D2998"/>
    <w:rsid w:val="000D3022"/>
    <w:rsid w:val="000E1817"/>
    <w:rsid w:val="000E3F84"/>
    <w:rsid w:val="000E5FA5"/>
    <w:rsid w:val="000E7C5A"/>
    <w:rsid w:val="000F507E"/>
    <w:rsid w:val="001056DF"/>
    <w:rsid w:val="00105F90"/>
    <w:rsid w:val="00114025"/>
    <w:rsid w:val="0011422B"/>
    <w:rsid w:val="001160D2"/>
    <w:rsid w:val="0013099A"/>
    <w:rsid w:val="001348A5"/>
    <w:rsid w:val="00151B8E"/>
    <w:rsid w:val="001522CB"/>
    <w:rsid w:val="00154303"/>
    <w:rsid w:val="00162038"/>
    <w:rsid w:val="00182170"/>
    <w:rsid w:val="001916A4"/>
    <w:rsid w:val="001928FB"/>
    <w:rsid w:val="00192BC7"/>
    <w:rsid w:val="00193588"/>
    <w:rsid w:val="001A16D8"/>
    <w:rsid w:val="001A50EA"/>
    <w:rsid w:val="001A7621"/>
    <w:rsid w:val="001B4839"/>
    <w:rsid w:val="001C0D69"/>
    <w:rsid w:val="001C220A"/>
    <w:rsid w:val="001C3D63"/>
    <w:rsid w:val="001D330A"/>
    <w:rsid w:val="001D412A"/>
    <w:rsid w:val="001E2111"/>
    <w:rsid w:val="001E22D2"/>
    <w:rsid w:val="001E6F8A"/>
    <w:rsid w:val="001F16CD"/>
    <w:rsid w:val="001F47D2"/>
    <w:rsid w:val="00201D2F"/>
    <w:rsid w:val="002053BD"/>
    <w:rsid w:val="00207808"/>
    <w:rsid w:val="0021485B"/>
    <w:rsid w:val="00215671"/>
    <w:rsid w:val="00215A90"/>
    <w:rsid w:val="00216F61"/>
    <w:rsid w:val="0022285A"/>
    <w:rsid w:val="0022396B"/>
    <w:rsid w:val="00224C61"/>
    <w:rsid w:val="00224EC6"/>
    <w:rsid w:val="00226B89"/>
    <w:rsid w:val="00245680"/>
    <w:rsid w:val="0025355B"/>
    <w:rsid w:val="00270DB5"/>
    <w:rsid w:val="0027227B"/>
    <w:rsid w:val="00272B4D"/>
    <w:rsid w:val="00273075"/>
    <w:rsid w:val="00273AC7"/>
    <w:rsid w:val="00273D2C"/>
    <w:rsid w:val="00274389"/>
    <w:rsid w:val="002802E5"/>
    <w:rsid w:val="0028391D"/>
    <w:rsid w:val="00285ECD"/>
    <w:rsid w:val="002868B5"/>
    <w:rsid w:val="00290E1B"/>
    <w:rsid w:val="00291B17"/>
    <w:rsid w:val="002A1E50"/>
    <w:rsid w:val="002A323C"/>
    <w:rsid w:val="002A6742"/>
    <w:rsid w:val="002A6F59"/>
    <w:rsid w:val="002B2A3B"/>
    <w:rsid w:val="002B41C1"/>
    <w:rsid w:val="002C06A0"/>
    <w:rsid w:val="002C1A7F"/>
    <w:rsid w:val="002C1B26"/>
    <w:rsid w:val="002C2FF6"/>
    <w:rsid w:val="002C4239"/>
    <w:rsid w:val="002C559D"/>
    <w:rsid w:val="002C6DCB"/>
    <w:rsid w:val="002D2D42"/>
    <w:rsid w:val="002D3DC1"/>
    <w:rsid w:val="002D78EB"/>
    <w:rsid w:val="002D7E8C"/>
    <w:rsid w:val="002F0601"/>
    <w:rsid w:val="002F6DA9"/>
    <w:rsid w:val="002F72D0"/>
    <w:rsid w:val="003003AB"/>
    <w:rsid w:val="00311C49"/>
    <w:rsid w:val="0031443F"/>
    <w:rsid w:val="00314728"/>
    <w:rsid w:val="0032119E"/>
    <w:rsid w:val="00321304"/>
    <w:rsid w:val="00321E63"/>
    <w:rsid w:val="00322DCD"/>
    <w:rsid w:val="00324162"/>
    <w:rsid w:val="00331F84"/>
    <w:rsid w:val="00333DA3"/>
    <w:rsid w:val="00342349"/>
    <w:rsid w:val="003423C7"/>
    <w:rsid w:val="00352CED"/>
    <w:rsid w:val="00355FC8"/>
    <w:rsid w:val="00356346"/>
    <w:rsid w:val="00357EB0"/>
    <w:rsid w:val="00363AD6"/>
    <w:rsid w:val="00377876"/>
    <w:rsid w:val="00391B16"/>
    <w:rsid w:val="0039206A"/>
    <w:rsid w:val="003950A4"/>
    <w:rsid w:val="003B28AB"/>
    <w:rsid w:val="003C4A7B"/>
    <w:rsid w:val="003C76F7"/>
    <w:rsid w:val="003D2E24"/>
    <w:rsid w:val="003E1E35"/>
    <w:rsid w:val="003E3577"/>
    <w:rsid w:val="003F1241"/>
    <w:rsid w:val="003F3A61"/>
    <w:rsid w:val="00410A5D"/>
    <w:rsid w:val="00410C3B"/>
    <w:rsid w:val="00414909"/>
    <w:rsid w:val="00417B7D"/>
    <w:rsid w:val="0042509D"/>
    <w:rsid w:val="00425A6A"/>
    <w:rsid w:val="00426FBB"/>
    <w:rsid w:val="0043190C"/>
    <w:rsid w:val="00433420"/>
    <w:rsid w:val="00443289"/>
    <w:rsid w:val="00456739"/>
    <w:rsid w:val="00466CAD"/>
    <w:rsid w:val="0047176F"/>
    <w:rsid w:val="0047429A"/>
    <w:rsid w:val="004824AC"/>
    <w:rsid w:val="00482CC5"/>
    <w:rsid w:val="0048348F"/>
    <w:rsid w:val="0048374C"/>
    <w:rsid w:val="00486DF3"/>
    <w:rsid w:val="00487498"/>
    <w:rsid w:val="0048771D"/>
    <w:rsid w:val="0049012F"/>
    <w:rsid w:val="0049597D"/>
    <w:rsid w:val="004A6605"/>
    <w:rsid w:val="004A72F7"/>
    <w:rsid w:val="004A731C"/>
    <w:rsid w:val="004B2E6C"/>
    <w:rsid w:val="004C1C0D"/>
    <w:rsid w:val="004C3CA7"/>
    <w:rsid w:val="004C45FA"/>
    <w:rsid w:val="004E1BD8"/>
    <w:rsid w:val="004E2512"/>
    <w:rsid w:val="004E452A"/>
    <w:rsid w:val="004E56F1"/>
    <w:rsid w:val="004E6BEE"/>
    <w:rsid w:val="004E78E3"/>
    <w:rsid w:val="004F0DE4"/>
    <w:rsid w:val="004F63D3"/>
    <w:rsid w:val="005004BF"/>
    <w:rsid w:val="00502E89"/>
    <w:rsid w:val="00505D13"/>
    <w:rsid w:val="00510E95"/>
    <w:rsid w:val="005122D4"/>
    <w:rsid w:val="00512801"/>
    <w:rsid w:val="00514EBC"/>
    <w:rsid w:val="00527D56"/>
    <w:rsid w:val="0053221F"/>
    <w:rsid w:val="00534435"/>
    <w:rsid w:val="00535204"/>
    <w:rsid w:val="00536FAE"/>
    <w:rsid w:val="00542C85"/>
    <w:rsid w:val="00550EBA"/>
    <w:rsid w:val="00553510"/>
    <w:rsid w:val="00554186"/>
    <w:rsid w:val="00554AF3"/>
    <w:rsid w:val="00566799"/>
    <w:rsid w:val="00576B51"/>
    <w:rsid w:val="00584634"/>
    <w:rsid w:val="00585769"/>
    <w:rsid w:val="00591130"/>
    <w:rsid w:val="005A02A5"/>
    <w:rsid w:val="005A0C60"/>
    <w:rsid w:val="005A3F28"/>
    <w:rsid w:val="005A40BE"/>
    <w:rsid w:val="005B13E2"/>
    <w:rsid w:val="005B1914"/>
    <w:rsid w:val="005B472C"/>
    <w:rsid w:val="005B47D7"/>
    <w:rsid w:val="005C08B2"/>
    <w:rsid w:val="005C476B"/>
    <w:rsid w:val="005C5526"/>
    <w:rsid w:val="005C62C6"/>
    <w:rsid w:val="005C6A31"/>
    <w:rsid w:val="005C6B12"/>
    <w:rsid w:val="005D6DCB"/>
    <w:rsid w:val="005D7B9E"/>
    <w:rsid w:val="005E4178"/>
    <w:rsid w:val="005F0834"/>
    <w:rsid w:val="005F15CF"/>
    <w:rsid w:val="005F2F34"/>
    <w:rsid w:val="005F6B9C"/>
    <w:rsid w:val="005F6DC3"/>
    <w:rsid w:val="005F7ACE"/>
    <w:rsid w:val="00601A8E"/>
    <w:rsid w:val="00602812"/>
    <w:rsid w:val="00614796"/>
    <w:rsid w:val="00615206"/>
    <w:rsid w:val="0061725C"/>
    <w:rsid w:val="006173EA"/>
    <w:rsid w:val="0062033E"/>
    <w:rsid w:val="00622A67"/>
    <w:rsid w:val="00624482"/>
    <w:rsid w:val="00627B5A"/>
    <w:rsid w:val="00646944"/>
    <w:rsid w:val="0064799C"/>
    <w:rsid w:val="00652CC8"/>
    <w:rsid w:val="00654156"/>
    <w:rsid w:val="006564B2"/>
    <w:rsid w:val="00661ED7"/>
    <w:rsid w:val="00666BA0"/>
    <w:rsid w:val="0066783A"/>
    <w:rsid w:val="006704DA"/>
    <w:rsid w:val="00670CDB"/>
    <w:rsid w:val="00681336"/>
    <w:rsid w:val="00683013"/>
    <w:rsid w:val="0069113F"/>
    <w:rsid w:val="006930D8"/>
    <w:rsid w:val="00696904"/>
    <w:rsid w:val="006A67B7"/>
    <w:rsid w:val="006B47CA"/>
    <w:rsid w:val="006C1B97"/>
    <w:rsid w:val="006C4F95"/>
    <w:rsid w:val="006C7AAA"/>
    <w:rsid w:val="006D1C2A"/>
    <w:rsid w:val="006D264F"/>
    <w:rsid w:val="006D54B0"/>
    <w:rsid w:val="006D7E12"/>
    <w:rsid w:val="006D7F69"/>
    <w:rsid w:val="006E2A8D"/>
    <w:rsid w:val="006E7574"/>
    <w:rsid w:val="006F2D37"/>
    <w:rsid w:val="0070154D"/>
    <w:rsid w:val="00703430"/>
    <w:rsid w:val="007069BE"/>
    <w:rsid w:val="0072147C"/>
    <w:rsid w:val="0072768E"/>
    <w:rsid w:val="00731C25"/>
    <w:rsid w:val="007355A9"/>
    <w:rsid w:val="007370DB"/>
    <w:rsid w:val="007432B0"/>
    <w:rsid w:val="00744F93"/>
    <w:rsid w:val="00745C86"/>
    <w:rsid w:val="0075112C"/>
    <w:rsid w:val="00757B5C"/>
    <w:rsid w:val="00761F79"/>
    <w:rsid w:val="00764603"/>
    <w:rsid w:val="0076604D"/>
    <w:rsid w:val="0077387B"/>
    <w:rsid w:val="007803D3"/>
    <w:rsid w:val="00783257"/>
    <w:rsid w:val="007907BD"/>
    <w:rsid w:val="00790909"/>
    <w:rsid w:val="00790DB8"/>
    <w:rsid w:val="007935B5"/>
    <w:rsid w:val="007A046B"/>
    <w:rsid w:val="007A3759"/>
    <w:rsid w:val="007A3B92"/>
    <w:rsid w:val="007A6D4E"/>
    <w:rsid w:val="007B086F"/>
    <w:rsid w:val="007B5A07"/>
    <w:rsid w:val="007C3F36"/>
    <w:rsid w:val="007C437D"/>
    <w:rsid w:val="007C55CA"/>
    <w:rsid w:val="007D14AB"/>
    <w:rsid w:val="007D353D"/>
    <w:rsid w:val="007D3E71"/>
    <w:rsid w:val="007D463C"/>
    <w:rsid w:val="007D7909"/>
    <w:rsid w:val="007E5D6A"/>
    <w:rsid w:val="007E645D"/>
    <w:rsid w:val="007F02C1"/>
    <w:rsid w:val="007F0386"/>
    <w:rsid w:val="007F312A"/>
    <w:rsid w:val="007F75CA"/>
    <w:rsid w:val="00807884"/>
    <w:rsid w:val="00812246"/>
    <w:rsid w:val="00821E08"/>
    <w:rsid w:val="00833794"/>
    <w:rsid w:val="00834EFD"/>
    <w:rsid w:val="00840CA1"/>
    <w:rsid w:val="00844B24"/>
    <w:rsid w:val="0084515F"/>
    <w:rsid w:val="0085092D"/>
    <w:rsid w:val="008523B2"/>
    <w:rsid w:val="00852FEC"/>
    <w:rsid w:val="008556A2"/>
    <w:rsid w:val="00856D4D"/>
    <w:rsid w:val="008603FD"/>
    <w:rsid w:val="00862BBA"/>
    <w:rsid w:val="00865495"/>
    <w:rsid w:val="00877D4C"/>
    <w:rsid w:val="00881E9E"/>
    <w:rsid w:val="00883903"/>
    <w:rsid w:val="00894F61"/>
    <w:rsid w:val="0089763B"/>
    <w:rsid w:val="008B5F85"/>
    <w:rsid w:val="008B6AE3"/>
    <w:rsid w:val="008B733A"/>
    <w:rsid w:val="008C2567"/>
    <w:rsid w:val="008D1045"/>
    <w:rsid w:val="008E5996"/>
    <w:rsid w:val="008E5ED8"/>
    <w:rsid w:val="00900026"/>
    <w:rsid w:val="00901AE1"/>
    <w:rsid w:val="009118E4"/>
    <w:rsid w:val="00913F1A"/>
    <w:rsid w:val="00916DF0"/>
    <w:rsid w:val="009205B4"/>
    <w:rsid w:val="00920E41"/>
    <w:rsid w:val="00925A64"/>
    <w:rsid w:val="00926287"/>
    <w:rsid w:val="00932BE6"/>
    <w:rsid w:val="00936DDF"/>
    <w:rsid w:val="00941155"/>
    <w:rsid w:val="00947BE1"/>
    <w:rsid w:val="00955B59"/>
    <w:rsid w:val="0096082E"/>
    <w:rsid w:val="00965E0B"/>
    <w:rsid w:val="00970546"/>
    <w:rsid w:val="00972F36"/>
    <w:rsid w:val="009748D6"/>
    <w:rsid w:val="00975FB3"/>
    <w:rsid w:val="00980638"/>
    <w:rsid w:val="00980DE5"/>
    <w:rsid w:val="00986645"/>
    <w:rsid w:val="00992262"/>
    <w:rsid w:val="009926BC"/>
    <w:rsid w:val="00993C0D"/>
    <w:rsid w:val="0099657B"/>
    <w:rsid w:val="0099751A"/>
    <w:rsid w:val="009A0594"/>
    <w:rsid w:val="009A4319"/>
    <w:rsid w:val="009A6C3F"/>
    <w:rsid w:val="009B73F2"/>
    <w:rsid w:val="009C12BD"/>
    <w:rsid w:val="009C4467"/>
    <w:rsid w:val="009C50FE"/>
    <w:rsid w:val="009E3FF0"/>
    <w:rsid w:val="009E40DB"/>
    <w:rsid w:val="009E4D41"/>
    <w:rsid w:val="009E7E8C"/>
    <w:rsid w:val="009F3CAD"/>
    <w:rsid w:val="009F4806"/>
    <w:rsid w:val="009F4F0A"/>
    <w:rsid w:val="00A03E75"/>
    <w:rsid w:val="00A07832"/>
    <w:rsid w:val="00A16C4D"/>
    <w:rsid w:val="00A171B5"/>
    <w:rsid w:val="00A31171"/>
    <w:rsid w:val="00A32BFA"/>
    <w:rsid w:val="00A407E4"/>
    <w:rsid w:val="00A45FCE"/>
    <w:rsid w:val="00A54ECF"/>
    <w:rsid w:val="00A56B91"/>
    <w:rsid w:val="00A612DC"/>
    <w:rsid w:val="00A75671"/>
    <w:rsid w:val="00A7694F"/>
    <w:rsid w:val="00A76FC7"/>
    <w:rsid w:val="00A773CC"/>
    <w:rsid w:val="00A8028A"/>
    <w:rsid w:val="00A8757A"/>
    <w:rsid w:val="00A9318B"/>
    <w:rsid w:val="00A94AC1"/>
    <w:rsid w:val="00A97AF7"/>
    <w:rsid w:val="00AB18B7"/>
    <w:rsid w:val="00AB5C57"/>
    <w:rsid w:val="00AD2D00"/>
    <w:rsid w:val="00AD335D"/>
    <w:rsid w:val="00AD55B4"/>
    <w:rsid w:val="00AE4065"/>
    <w:rsid w:val="00AF0EC4"/>
    <w:rsid w:val="00AF792B"/>
    <w:rsid w:val="00B01B61"/>
    <w:rsid w:val="00B11F0C"/>
    <w:rsid w:val="00B15146"/>
    <w:rsid w:val="00B2667F"/>
    <w:rsid w:val="00B33D2F"/>
    <w:rsid w:val="00B45108"/>
    <w:rsid w:val="00B519D7"/>
    <w:rsid w:val="00B51E25"/>
    <w:rsid w:val="00B52A1B"/>
    <w:rsid w:val="00B55D5E"/>
    <w:rsid w:val="00B66C1F"/>
    <w:rsid w:val="00B708E8"/>
    <w:rsid w:val="00B70AC1"/>
    <w:rsid w:val="00B713D8"/>
    <w:rsid w:val="00B71C16"/>
    <w:rsid w:val="00B81801"/>
    <w:rsid w:val="00B83EA7"/>
    <w:rsid w:val="00B842D2"/>
    <w:rsid w:val="00B94516"/>
    <w:rsid w:val="00BA0E22"/>
    <w:rsid w:val="00BB16C5"/>
    <w:rsid w:val="00BB1E15"/>
    <w:rsid w:val="00BB2855"/>
    <w:rsid w:val="00BB359A"/>
    <w:rsid w:val="00BB6809"/>
    <w:rsid w:val="00BC092D"/>
    <w:rsid w:val="00BC1959"/>
    <w:rsid w:val="00BC5343"/>
    <w:rsid w:val="00BD19C1"/>
    <w:rsid w:val="00BD25B8"/>
    <w:rsid w:val="00C012E1"/>
    <w:rsid w:val="00C06BB4"/>
    <w:rsid w:val="00C10331"/>
    <w:rsid w:val="00C10D20"/>
    <w:rsid w:val="00C12E0C"/>
    <w:rsid w:val="00C205F5"/>
    <w:rsid w:val="00C21916"/>
    <w:rsid w:val="00C349F6"/>
    <w:rsid w:val="00C457CA"/>
    <w:rsid w:val="00C471DA"/>
    <w:rsid w:val="00C53E60"/>
    <w:rsid w:val="00C53FB6"/>
    <w:rsid w:val="00C57FB7"/>
    <w:rsid w:val="00C60E7A"/>
    <w:rsid w:val="00C61F0C"/>
    <w:rsid w:val="00C65F3F"/>
    <w:rsid w:val="00C66191"/>
    <w:rsid w:val="00C72414"/>
    <w:rsid w:val="00C76FE8"/>
    <w:rsid w:val="00C818AA"/>
    <w:rsid w:val="00C82E59"/>
    <w:rsid w:val="00C8667B"/>
    <w:rsid w:val="00C86F2C"/>
    <w:rsid w:val="00C87C0C"/>
    <w:rsid w:val="00C90993"/>
    <w:rsid w:val="00C93340"/>
    <w:rsid w:val="00C93EF1"/>
    <w:rsid w:val="00CA4CE3"/>
    <w:rsid w:val="00CA6C24"/>
    <w:rsid w:val="00CB1577"/>
    <w:rsid w:val="00CB2D37"/>
    <w:rsid w:val="00CB3D0D"/>
    <w:rsid w:val="00CB7585"/>
    <w:rsid w:val="00CC3BB4"/>
    <w:rsid w:val="00CD1EDE"/>
    <w:rsid w:val="00CD4F3F"/>
    <w:rsid w:val="00CD6AD9"/>
    <w:rsid w:val="00CD760F"/>
    <w:rsid w:val="00CE13B9"/>
    <w:rsid w:val="00CE4030"/>
    <w:rsid w:val="00CE427A"/>
    <w:rsid w:val="00CF4314"/>
    <w:rsid w:val="00D244FD"/>
    <w:rsid w:val="00D311F8"/>
    <w:rsid w:val="00D36B52"/>
    <w:rsid w:val="00D377C8"/>
    <w:rsid w:val="00D41274"/>
    <w:rsid w:val="00D43BF3"/>
    <w:rsid w:val="00D50346"/>
    <w:rsid w:val="00D53BE3"/>
    <w:rsid w:val="00D548B2"/>
    <w:rsid w:val="00D6309E"/>
    <w:rsid w:val="00D767BB"/>
    <w:rsid w:val="00D81E21"/>
    <w:rsid w:val="00D939B0"/>
    <w:rsid w:val="00D9602A"/>
    <w:rsid w:val="00DA2AEC"/>
    <w:rsid w:val="00DA31A2"/>
    <w:rsid w:val="00DB16E0"/>
    <w:rsid w:val="00DB2DF9"/>
    <w:rsid w:val="00DB465D"/>
    <w:rsid w:val="00DB554C"/>
    <w:rsid w:val="00DB7E63"/>
    <w:rsid w:val="00DC2055"/>
    <w:rsid w:val="00DC33EC"/>
    <w:rsid w:val="00DD5B6D"/>
    <w:rsid w:val="00DD71E8"/>
    <w:rsid w:val="00DD7F83"/>
    <w:rsid w:val="00DE3C5A"/>
    <w:rsid w:val="00DF45CF"/>
    <w:rsid w:val="00E0014A"/>
    <w:rsid w:val="00E00E10"/>
    <w:rsid w:val="00E01EC2"/>
    <w:rsid w:val="00E039FE"/>
    <w:rsid w:val="00E060FE"/>
    <w:rsid w:val="00E0641E"/>
    <w:rsid w:val="00E06664"/>
    <w:rsid w:val="00E0707C"/>
    <w:rsid w:val="00E10970"/>
    <w:rsid w:val="00E13446"/>
    <w:rsid w:val="00E15AA5"/>
    <w:rsid w:val="00E16FE8"/>
    <w:rsid w:val="00E23E15"/>
    <w:rsid w:val="00E27F69"/>
    <w:rsid w:val="00E301A0"/>
    <w:rsid w:val="00E304BC"/>
    <w:rsid w:val="00E31CEB"/>
    <w:rsid w:val="00E32853"/>
    <w:rsid w:val="00E356F0"/>
    <w:rsid w:val="00E401F8"/>
    <w:rsid w:val="00E41A1C"/>
    <w:rsid w:val="00E45BAC"/>
    <w:rsid w:val="00E46425"/>
    <w:rsid w:val="00E47D0E"/>
    <w:rsid w:val="00E60179"/>
    <w:rsid w:val="00E602E2"/>
    <w:rsid w:val="00E65018"/>
    <w:rsid w:val="00E66D5E"/>
    <w:rsid w:val="00E94339"/>
    <w:rsid w:val="00E97563"/>
    <w:rsid w:val="00EB0B63"/>
    <w:rsid w:val="00EC265C"/>
    <w:rsid w:val="00EC6393"/>
    <w:rsid w:val="00ED45D5"/>
    <w:rsid w:val="00ED61CB"/>
    <w:rsid w:val="00EE51C3"/>
    <w:rsid w:val="00EF045E"/>
    <w:rsid w:val="00EF0CFF"/>
    <w:rsid w:val="00EF37B3"/>
    <w:rsid w:val="00F0456D"/>
    <w:rsid w:val="00F06A72"/>
    <w:rsid w:val="00F10A0A"/>
    <w:rsid w:val="00F136F0"/>
    <w:rsid w:val="00F160F6"/>
    <w:rsid w:val="00F173D5"/>
    <w:rsid w:val="00F178C6"/>
    <w:rsid w:val="00F20BBB"/>
    <w:rsid w:val="00F323EC"/>
    <w:rsid w:val="00F36196"/>
    <w:rsid w:val="00F36CAA"/>
    <w:rsid w:val="00F4035C"/>
    <w:rsid w:val="00F42C14"/>
    <w:rsid w:val="00F43BD8"/>
    <w:rsid w:val="00F4472E"/>
    <w:rsid w:val="00F562F3"/>
    <w:rsid w:val="00F67887"/>
    <w:rsid w:val="00F7067C"/>
    <w:rsid w:val="00F7380E"/>
    <w:rsid w:val="00F74740"/>
    <w:rsid w:val="00F74B89"/>
    <w:rsid w:val="00F75133"/>
    <w:rsid w:val="00F83272"/>
    <w:rsid w:val="00F86609"/>
    <w:rsid w:val="00F8760D"/>
    <w:rsid w:val="00F94467"/>
    <w:rsid w:val="00F94930"/>
    <w:rsid w:val="00F9551F"/>
    <w:rsid w:val="00FA3899"/>
    <w:rsid w:val="00FA4909"/>
    <w:rsid w:val="00FA6751"/>
    <w:rsid w:val="00FB1048"/>
    <w:rsid w:val="00FB4171"/>
    <w:rsid w:val="00FB62C4"/>
    <w:rsid w:val="00FB7701"/>
    <w:rsid w:val="00FD1AC5"/>
    <w:rsid w:val="00FD5CF0"/>
    <w:rsid w:val="00FE066B"/>
    <w:rsid w:val="00FE239E"/>
    <w:rsid w:val="00FE4299"/>
    <w:rsid w:val="00FE42F7"/>
    <w:rsid w:val="00FE5C78"/>
    <w:rsid w:val="00FF666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DF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PH"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A1B"/>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3F124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tabs>
        <w:tab w:val="clear" w:pos="288"/>
        <w:tab w:val="num" w:pos="360"/>
      </w:tabs>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uiPriority w:val="39"/>
    <w:qFormat/>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customStyle="1" w:styleId="thesis">
    <w:name w:val="thesis"/>
    <w:basedOn w:val="NoSpacing"/>
    <w:link w:val="thesisChar"/>
    <w:qFormat/>
    <w:rsid w:val="00947BE1"/>
    <w:pPr>
      <w:spacing w:line="480" w:lineRule="auto"/>
      <w:jc w:val="both"/>
    </w:pPr>
    <w:rPr>
      <w:rFonts w:ascii="Calibri" w:eastAsia="Calibri" w:hAnsi="Calibri"/>
      <w:kern w:val="1"/>
      <w:lang w:val="x-none" w:eastAsia="ar-SA"/>
    </w:rPr>
  </w:style>
  <w:style w:type="character" w:customStyle="1" w:styleId="thesisChar">
    <w:name w:val="thesis Char"/>
    <w:link w:val="thesis"/>
    <w:rsid w:val="00947BE1"/>
    <w:rPr>
      <w:rFonts w:ascii="Calibri" w:eastAsia="Calibri" w:hAnsi="Calibri"/>
      <w:kern w:val="1"/>
      <w:sz w:val="24"/>
      <w:szCs w:val="24"/>
      <w:lang w:val="x-none" w:eastAsia="ar-SA"/>
    </w:rPr>
  </w:style>
  <w:style w:type="paragraph" w:styleId="NoSpacing">
    <w:name w:val="No Spacing"/>
    <w:link w:val="NoSpacingChar"/>
    <w:uiPriority w:val="1"/>
    <w:qFormat/>
    <w:rsid w:val="00947BE1"/>
    <w:rPr>
      <w:sz w:val="24"/>
      <w:szCs w:val="24"/>
      <w:lang w:val="en-AU" w:eastAsia="zh-CN"/>
    </w:rPr>
  </w:style>
  <w:style w:type="paragraph" w:styleId="BalloonText">
    <w:name w:val="Balloon Text"/>
    <w:basedOn w:val="Normal"/>
    <w:link w:val="BalloonTextChar"/>
    <w:rsid w:val="002B41C1"/>
    <w:rPr>
      <w:sz w:val="18"/>
      <w:szCs w:val="18"/>
    </w:rPr>
  </w:style>
  <w:style w:type="character" w:customStyle="1" w:styleId="BalloonTextChar">
    <w:name w:val="Balloon Text Char"/>
    <w:link w:val="BalloonText"/>
    <w:rsid w:val="002B41C1"/>
    <w:rPr>
      <w:sz w:val="18"/>
      <w:szCs w:val="18"/>
      <w:lang w:val="en-AU" w:eastAsia="zh-CN"/>
    </w:rPr>
  </w:style>
  <w:style w:type="character" w:styleId="Hyperlink">
    <w:name w:val="Hyperlink"/>
    <w:rsid w:val="00A612DC"/>
    <w:rPr>
      <w:color w:val="0563C1"/>
      <w:u w:val="single"/>
    </w:rPr>
  </w:style>
  <w:style w:type="character" w:customStyle="1" w:styleId="UnresolvedMention1">
    <w:name w:val="Unresolved Mention1"/>
    <w:uiPriority w:val="99"/>
    <w:semiHidden/>
    <w:unhideWhenUsed/>
    <w:rsid w:val="00A612DC"/>
    <w:rPr>
      <w:color w:val="605E5C"/>
      <w:shd w:val="clear" w:color="auto" w:fill="E1DFDD"/>
    </w:rPr>
  </w:style>
  <w:style w:type="paragraph" w:styleId="NormalWeb">
    <w:name w:val="Normal (Web)"/>
    <w:basedOn w:val="Normal"/>
    <w:uiPriority w:val="99"/>
    <w:unhideWhenUsed/>
    <w:rsid w:val="00790DB8"/>
    <w:pPr>
      <w:spacing w:before="100" w:beforeAutospacing="1" w:after="100" w:afterAutospacing="1"/>
    </w:pPr>
    <w:rPr>
      <w:rFonts w:eastAsia="Times New Roman"/>
      <w:lang w:val="en-PH" w:eastAsia="en-US"/>
    </w:rPr>
  </w:style>
  <w:style w:type="paragraph" w:styleId="BodyText">
    <w:name w:val="Body Text"/>
    <w:basedOn w:val="Normal"/>
    <w:link w:val="BodyTextChar"/>
    <w:uiPriority w:val="1"/>
    <w:qFormat/>
    <w:rsid w:val="0047176F"/>
    <w:pPr>
      <w:widowControl w:val="0"/>
      <w:autoSpaceDE w:val="0"/>
      <w:autoSpaceDN w:val="0"/>
    </w:pPr>
    <w:rPr>
      <w:rFonts w:eastAsia="Times New Roman"/>
      <w:lang w:val="en-US" w:eastAsia="en-US"/>
    </w:rPr>
  </w:style>
  <w:style w:type="character" w:customStyle="1" w:styleId="BodyTextChar">
    <w:name w:val="Body Text Char"/>
    <w:link w:val="BodyText"/>
    <w:uiPriority w:val="1"/>
    <w:rsid w:val="0047176F"/>
    <w:rPr>
      <w:rFonts w:eastAsia="Times New Roman"/>
      <w:sz w:val="24"/>
      <w:szCs w:val="24"/>
      <w:lang w:val="en-US"/>
    </w:rPr>
  </w:style>
  <w:style w:type="paragraph" w:styleId="Header">
    <w:name w:val="header"/>
    <w:basedOn w:val="Normal"/>
    <w:link w:val="HeaderChar"/>
    <w:rsid w:val="00193588"/>
    <w:pPr>
      <w:tabs>
        <w:tab w:val="center" w:pos="4680"/>
        <w:tab w:val="right" w:pos="9360"/>
      </w:tabs>
    </w:pPr>
  </w:style>
  <w:style w:type="character" w:customStyle="1" w:styleId="HeaderChar">
    <w:name w:val="Header Char"/>
    <w:link w:val="Header"/>
    <w:rsid w:val="00193588"/>
    <w:rPr>
      <w:sz w:val="24"/>
      <w:szCs w:val="24"/>
      <w:lang w:val="en-AU" w:eastAsia="zh-CN"/>
    </w:rPr>
  </w:style>
  <w:style w:type="paragraph" w:styleId="Footer">
    <w:name w:val="footer"/>
    <w:basedOn w:val="Normal"/>
    <w:link w:val="FooterChar"/>
    <w:uiPriority w:val="99"/>
    <w:rsid w:val="00193588"/>
    <w:pPr>
      <w:tabs>
        <w:tab w:val="center" w:pos="4680"/>
        <w:tab w:val="right" w:pos="9360"/>
      </w:tabs>
    </w:pPr>
  </w:style>
  <w:style w:type="character" w:customStyle="1" w:styleId="FooterChar">
    <w:name w:val="Footer Char"/>
    <w:link w:val="Footer"/>
    <w:uiPriority w:val="99"/>
    <w:rsid w:val="00193588"/>
    <w:rPr>
      <w:sz w:val="24"/>
      <w:szCs w:val="24"/>
      <w:lang w:val="en-AU" w:eastAsia="zh-CN"/>
    </w:rPr>
  </w:style>
  <w:style w:type="table" w:styleId="TableClassic1">
    <w:name w:val="Table Classic 1"/>
    <w:basedOn w:val="TableNormal"/>
    <w:rsid w:val="007F31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69113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986645"/>
    <w:pPr>
      <w:ind w:left="720"/>
      <w:contextualSpacing/>
    </w:pPr>
  </w:style>
  <w:style w:type="table" w:customStyle="1" w:styleId="TableGrid10">
    <w:name w:val="Table Grid1"/>
    <w:basedOn w:val="TableNormal"/>
    <w:next w:val="TableGrid"/>
    <w:uiPriority w:val="39"/>
    <w:qFormat/>
    <w:rsid w:val="00070767"/>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4796"/>
    <w:rPr>
      <w:rFonts w:ascii="Arial" w:hAnsi="Arial" w:cs="Arial"/>
      <w:b/>
      <w:bCs/>
      <w:kern w:val="32"/>
      <w:sz w:val="32"/>
      <w:szCs w:val="32"/>
      <w:lang w:val="en-AU" w:eastAsia="zh-CN"/>
    </w:rPr>
  </w:style>
  <w:style w:type="paragraph" w:styleId="Bibliography">
    <w:name w:val="Bibliography"/>
    <w:basedOn w:val="Normal"/>
    <w:next w:val="Normal"/>
    <w:uiPriority w:val="37"/>
    <w:unhideWhenUsed/>
    <w:rsid w:val="00646944"/>
  </w:style>
  <w:style w:type="character" w:customStyle="1" w:styleId="NoSpacingChar">
    <w:name w:val="No Spacing Char"/>
    <w:link w:val="NoSpacing"/>
    <w:uiPriority w:val="1"/>
    <w:qFormat/>
    <w:rsid w:val="00F4035C"/>
    <w:rPr>
      <w:sz w:val="24"/>
      <w:szCs w:val="24"/>
      <w:lang w:val="en-AU" w:eastAsia="zh-CN"/>
    </w:rPr>
  </w:style>
  <w:style w:type="character" w:customStyle="1" w:styleId="mord">
    <w:name w:val="mord"/>
    <w:basedOn w:val="DefaultParagraphFont"/>
    <w:rsid w:val="005C6B12"/>
  </w:style>
  <w:style w:type="character" w:customStyle="1" w:styleId="mrel">
    <w:name w:val="mrel"/>
    <w:basedOn w:val="DefaultParagraphFont"/>
    <w:rsid w:val="005C6B12"/>
  </w:style>
  <w:style w:type="character" w:customStyle="1" w:styleId="mopen">
    <w:name w:val="mopen"/>
    <w:basedOn w:val="DefaultParagraphFont"/>
    <w:rsid w:val="005C6B12"/>
  </w:style>
  <w:style w:type="character" w:customStyle="1" w:styleId="mop">
    <w:name w:val="mop"/>
    <w:basedOn w:val="DefaultParagraphFont"/>
    <w:rsid w:val="005C6B12"/>
  </w:style>
  <w:style w:type="character" w:customStyle="1" w:styleId="mclose">
    <w:name w:val="mclose"/>
    <w:basedOn w:val="DefaultParagraphFont"/>
    <w:rsid w:val="005C6B12"/>
  </w:style>
  <w:style w:type="character" w:customStyle="1" w:styleId="mbin">
    <w:name w:val="mbin"/>
    <w:basedOn w:val="DefaultParagraphFont"/>
    <w:rsid w:val="005C6B12"/>
  </w:style>
  <w:style w:type="character" w:styleId="Strong">
    <w:name w:val="Strong"/>
    <w:basedOn w:val="DefaultParagraphFont"/>
    <w:uiPriority w:val="22"/>
    <w:qFormat/>
    <w:rsid w:val="005C6B12"/>
    <w:rPr>
      <w:b/>
      <w:bCs/>
    </w:rPr>
  </w:style>
  <w:style w:type="character" w:styleId="Emphasis">
    <w:name w:val="Emphasis"/>
    <w:basedOn w:val="DefaultParagraphFont"/>
    <w:uiPriority w:val="20"/>
    <w:qFormat/>
    <w:rsid w:val="00487498"/>
    <w:rPr>
      <w:i/>
      <w:iCs/>
    </w:rPr>
  </w:style>
  <w:style w:type="character" w:customStyle="1" w:styleId="UnresolvedMention">
    <w:name w:val="Unresolved Mention"/>
    <w:basedOn w:val="DefaultParagraphFont"/>
    <w:uiPriority w:val="99"/>
    <w:semiHidden/>
    <w:unhideWhenUsed/>
    <w:rsid w:val="007D353D"/>
    <w:rPr>
      <w:color w:val="605E5C"/>
      <w:shd w:val="clear" w:color="auto" w:fill="E1DFDD"/>
    </w:rPr>
  </w:style>
  <w:style w:type="character" w:customStyle="1" w:styleId="Heading4Char">
    <w:name w:val="Heading 4 Char"/>
    <w:basedOn w:val="DefaultParagraphFont"/>
    <w:link w:val="Heading4"/>
    <w:semiHidden/>
    <w:rsid w:val="003F1241"/>
    <w:rPr>
      <w:rFonts w:asciiTheme="majorHAnsi" w:eastAsiaTheme="majorEastAsia" w:hAnsiTheme="majorHAnsi" w:cstheme="majorBidi"/>
      <w:i/>
      <w:iCs/>
      <w:color w:val="2F5496" w:themeColor="accent1" w:themeShade="BF"/>
      <w:sz w:val="24"/>
      <w:szCs w:val="24"/>
      <w:lang w:val="en-AU" w:eastAsia="zh-CN"/>
    </w:rPr>
  </w:style>
  <w:style w:type="character" w:customStyle="1" w:styleId="katex-mathml">
    <w:name w:val="katex-mathml"/>
    <w:basedOn w:val="DefaultParagraphFont"/>
    <w:rsid w:val="003F1241"/>
  </w:style>
  <w:style w:type="character" w:customStyle="1" w:styleId="delimsizing">
    <w:name w:val="delimsizing"/>
    <w:basedOn w:val="DefaultParagraphFont"/>
    <w:rsid w:val="003F1241"/>
  </w:style>
  <w:style w:type="character" w:customStyle="1" w:styleId="vlist-s">
    <w:name w:val="vlist-s"/>
    <w:basedOn w:val="DefaultParagraphFont"/>
    <w:rsid w:val="003F1241"/>
  </w:style>
  <w:style w:type="character" w:customStyle="1" w:styleId="whitespace-normal">
    <w:name w:val="whitespace-normal"/>
    <w:basedOn w:val="DefaultParagraphFont"/>
    <w:rsid w:val="003F1241"/>
  </w:style>
  <w:style w:type="character" w:styleId="PlaceholderText">
    <w:name w:val="Placeholder Text"/>
    <w:basedOn w:val="DefaultParagraphFont"/>
    <w:uiPriority w:val="99"/>
    <w:semiHidden/>
    <w:rsid w:val="003423C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PH"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A1B"/>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3F124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tabs>
        <w:tab w:val="clear" w:pos="288"/>
        <w:tab w:val="num" w:pos="360"/>
      </w:tabs>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uiPriority w:val="39"/>
    <w:qFormat/>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customStyle="1" w:styleId="thesis">
    <w:name w:val="thesis"/>
    <w:basedOn w:val="NoSpacing"/>
    <w:link w:val="thesisChar"/>
    <w:qFormat/>
    <w:rsid w:val="00947BE1"/>
    <w:pPr>
      <w:spacing w:line="480" w:lineRule="auto"/>
      <w:jc w:val="both"/>
    </w:pPr>
    <w:rPr>
      <w:rFonts w:ascii="Calibri" w:eastAsia="Calibri" w:hAnsi="Calibri"/>
      <w:kern w:val="1"/>
      <w:lang w:val="x-none" w:eastAsia="ar-SA"/>
    </w:rPr>
  </w:style>
  <w:style w:type="character" w:customStyle="1" w:styleId="thesisChar">
    <w:name w:val="thesis Char"/>
    <w:link w:val="thesis"/>
    <w:rsid w:val="00947BE1"/>
    <w:rPr>
      <w:rFonts w:ascii="Calibri" w:eastAsia="Calibri" w:hAnsi="Calibri"/>
      <w:kern w:val="1"/>
      <w:sz w:val="24"/>
      <w:szCs w:val="24"/>
      <w:lang w:val="x-none" w:eastAsia="ar-SA"/>
    </w:rPr>
  </w:style>
  <w:style w:type="paragraph" w:styleId="NoSpacing">
    <w:name w:val="No Spacing"/>
    <w:link w:val="NoSpacingChar"/>
    <w:uiPriority w:val="1"/>
    <w:qFormat/>
    <w:rsid w:val="00947BE1"/>
    <w:rPr>
      <w:sz w:val="24"/>
      <w:szCs w:val="24"/>
      <w:lang w:val="en-AU" w:eastAsia="zh-CN"/>
    </w:rPr>
  </w:style>
  <w:style w:type="paragraph" w:styleId="BalloonText">
    <w:name w:val="Balloon Text"/>
    <w:basedOn w:val="Normal"/>
    <w:link w:val="BalloonTextChar"/>
    <w:rsid w:val="002B41C1"/>
    <w:rPr>
      <w:sz w:val="18"/>
      <w:szCs w:val="18"/>
    </w:rPr>
  </w:style>
  <w:style w:type="character" w:customStyle="1" w:styleId="BalloonTextChar">
    <w:name w:val="Balloon Text Char"/>
    <w:link w:val="BalloonText"/>
    <w:rsid w:val="002B41C1"/>
    <w:rPr>
      <w:sz w:val="18"/>
      <w:szCs w:val="18"/>
      <w:lang w:val="en-AU" w:eastAsia="zh-CN"/>
    </w:rPr>
  </w:style>
  <w:style w:type="character" w:styleId="Hyperlink">
    <w:name w:val="Hyperlink"/>
    <w:rsid w:val="00A612DC"/>
    <w:rPr>
      <w:color w:val="0563C1"/>
      <w:u w:val="single"/>
    </w:rPr>
  </w:style>
  <w:style w:type="character" w:customStyle="1" w:styleId="UnresolvedMention1">
    <w:name w:val="Unresolved Mention1"/>
    <w:uiPriority w:val="99"/>
    <w:semiHidden/>
    <w:unhideWhenUsed/>
    <w:rsid w:val="00A612DC"/>
    <w:rPr>
      <w:color w:val="605E5C"/>
      <w:shd w:val="clear" w:color="auto" w:fill="E1DFDD"/>
    </w:rPr>
  </w:style>
  <w:style w:type="paragraph" w:styleId="NormalWeb">
    <w:name w:val="Normal (Web)"/>
    <w:basedOn w:val="Normal"/>
    <w:uiPriority w:val="99"/>
    <w:unhideWhenUsed/>
    <w:rsid w:val="00790DB8"/>
    <w:pPr>
      <w:spacing w:before="100" w:beforeAutospacing="1" w:after="100" w:afterAutospacing="1"/>
    </w:pPr>
    <w:rPr>
      <w:rFonts w:eastAsia="Times New Roman"/>
      <w:lang w:val="en-PH" w:eastAsia="en-US"/>
    </w:rPr>
  </w:style>
  <w:style w:type="paragraph" w:styleId="BodyText">
    <w:name w:val="Body Text"/>
    <w:basedOn w:val="Normal"/>
    <w:link w:val="BodyTextChar"/>
    <w:uiPriority w:val="1"/>
    <w:qFormat/>
    <w:rsid w:val="0047176F"/>
    <w:pPr>
      <w:widowControl w:val="0"/>
      <w:autoSpaceDE w:val="0"/>
      <w:autoSpaceDN w:val="0"/>
    </w:pPr>
    <w:rPr>
      <w:rFonts w:eastAsia="Times New Roman"/>
      <w:lang w:val="en-US" w:eastAsia="en-US"/>
    </w:rPr>
  </w:style>
  <w:style w:type="character" w:customStyle="1" w:styleId="BodyTextChar">
    <w:name w:val="Body Text Char"/>
    <w:link w:val="BodyText"/>
    <w:uiPriority w:val="1"/>
    <w:rsid w:val="0047176F"/>
    <w:rPr>
      <w:rFonts w:eastAsia="Times New Roman"/>
      <w:sz w:val="24"/>
      <w:szCs w:val="24"/>
      <w:lang w:val="en-US"/>
    </w:rPr>
  </w:style>
  <w:style w:type="paragraph" w:styleId="Header">
    <w:name w:val="header"/>
    <w:basedOn w:val="Normal"/>
    <w:link w:val="HeaderChar"/>
    <w:rsid w:val="00193588"/>
    <w:pPr>
      <w:tabs>
        <w:tab w:val="center" w:pos="4680"/>
        <w:tab w:val="right" w:pos="9360"/>
      </w:tabs>
    </w:pPr>
  </w:style>
  <w:style w:type="character" w:customStyle="1" w:styleId="HeaderChar">
    <w:name w:val="Header Char"/>
    <w:link w:val="Header"/>
    <w:rsid w:val="00193588"/>
    <w:rPr>
      <w:sz w:val="24"/>
      <w:szCs w:val="24"/>
      <w:lang w:val="en-AU" w:eastAsia="zh-CN"/>
    </w:rPr>
  </w:style>
  <w:style w:type="paragraph" w:styleId="Footer">
    <w:name w:val="footer"/>
    <w:basedOn w:val="Normal"/>
    <w:link w:val="FooterChar"/>
    <w:uiPriority w:val="99"/>
    <w:rsid w:val="00193588"/>
    <w:pPr>
      <w:tabs>
        <w:tab w:val="center" w:pos="4680"/>
        <w:tab w:val="right" w:pos="9360"/>
      </w:tabs>
    </w:pPr>
  </w:style>
  <w:style w:type="character" w:customStyle="1" w:styleId="FooterChar">
    <w:name w:val="Footer Char"/>
    <w:link w:val="Footer"/>
    <w:uiPriority w:val="99"/>
    <w:rsid w:val="00193588"/>
    <w:rPr>
      <w:sz w:val="24"/>
      <w:szCs w:val="24"/>
      <w:lang w:val="en-AU" w:eastAsia="zh-CN"/>
    </w:rPr>
  </w:style>
  <w:style w:type="table" w:styleId="TableClassic1">
    <w:name w:val="Table Classic 1"/>
    <w:basedOn w:val="TableNormal"/>
    <w:rsid w:val="007F31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69113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986645"/>
    <w:pPr>
      <w:ind w:left="720"/>
      <w:contextualSpacing/>
    </w:pPr>
  </w:style>
  <w:style w:type="table" w:customStyle="1" w:styleId="TableGrid10">
    <w:name w:val="Table Grid1"/>
    <w:basedOn w:val="TableNormal"/>
    <w:next w:val="TableGrid"/>
    <w:uiPriority w:val="39"/>
    <w:qFormat/>
    <w:rsid w:val="00070767"/>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4796"/>
    <w:rPr>
      <w:rFonts w:ascii="Arial" w:hAnsi="Arial" w:cs="Arial"/>
      <w:b/>
      <w:bCs/>
      <w:kern w:val="32"/>
      <w:sz w:val="32"/>
      <w:szCs w:val="32"/>
      <w:lang w:val="en-AU" w:eastAsia="zh-CN"/>
    </w:rPr>
  </w:style>
  <w:style w:type="paragraph" w:styleId="Bibliography">
    <w:name w:val="Bibliography"/>
    <w:basedOn w:val="Normal"/>
    <w:next w:val="Normal"/>
    <w:uiPriority w:val="37"/>
    <w:unhideWhenUsed/>
    <w:rsid w:val="00646944"/>
  </w:style>
  <w:style w:type="character" w:customStyle="1" w:styleId="NoSpacingChar">
    <w:name w:val="No Spacing Char"/>
    <w:link w:val="NoSpacing"/>
    <w:uiPriority w:val="1"/>
    <w:qFormat/>
    <w:rsid w:val="00F4035C"/>
    <w:rPr>
      <w:sz w:val="24"/>
      <w:szCs w:val="24"/>
      <w:lang w:val="en-AU" w:eastAsia="zh-CN"/>
    </w:rPr>
  </w:style>
  <w:style w:type="character" w:customStyle="1" w:styleId="mord">
    <w:name w:val="mord"/>
    <w:basedOn w:val="DefaultParagraphFont"/>
    <w:rsid w:val="005C6B12"/>
  </w:style>
  <w:style w:type="character" w:customStyle="1" w:styleId="mrel">
    <w:name w:val="mrel"/>
    <w:basedOn w:val="DefaultParagraphFont"/>
    <w:rsid w:val="005C6B12"/>
  </w:style>
  <w:style w:type="character" w:customStyle="1" w:styleId="mopen">
    <w:name w:val="mopen"/>
    <w:basedOn w:val="DefaultParagraphFont"/>
    <w:rsid w:val="005C6B12"/>
  </w:style>
  <w:style w:type="character" w:customStyle="1" w:styleId="mop">
    <w:name w:val="mop"/>
    <w:basedOn w:val="DefaultParagraphFont"/>
    <w:rsid w:val="005C6B12"/>
  </w:style>
  <w:style w:type="character" w:customStyle="1" w:styleId="mclose">
    <w:name w:val="mclose"/>
    <w:basedOn w:val="DefaultParagraphFont"/>
    <w:rsid w:val="005C6B12"/>
  </w:style>
  <w:style w:type="character" w:customStyle="1" w:styleId="mbin">
    <w:name w:val="mbin"/>
    <w:basedOn w:val="DefaultParagraphFont"/>
    <w:rsid w:val="005C6B12"/>
  </w:style>
  <w:style w:type="character" w:styleId="Strong">
    <w:name w:val="Strong"/>
    <w:basedOn w:val="DefaultParagraphFont"/>
    <w:uiPriority w:val="22"/>
    <w:qFormat/>
    <w:rsid w:val="005C6B12"/>
    <w:rPr>
      <w:b/>
      <w:bCs/>
    </w:rPr>
  </w:style>
  <w:style w:type="character" w:styleId="Emphasis">
    <w:name w:val="Emphasis"/>
    <w:basedOn w:val="DefaultParagraphFont"/>
    <w:uiPriority w:val="20"/>
    <w:qFormat/>
    <w:rsid w:val="00487498"/>
    <w:rPr>
      <w:i/>
      <w:iCs/>
    </w:rPr>
  </w:style>
  <w:style w:type="character" w:customStyle="1" w:styleId="UnresolvedMention">
    <w:name w:val="Unresolved Mention"/>
    <w:basedOn w:val="DefaultParagraphFont"/>
    <w:uiPriority w:val="99"/>
    <w:semiHidden/>
    <w:unhideWhenUsed/>
    <w:rsid w:val="007D353D"/>
    <w:rPr>
      <w:color w:val="605E5C"/>
      <w:shd w:val="clear" w:color="auto" w:fill="E1DFDD"/>
    </w:rPr>
  </w:style>
  <w:style w:type="character" w:customStyle="1" w:styleId="Heading4Char">
    <w:name w:val="Heading 4 Char"/>
    <w:basedOn w:val="DefaultParagraphFont"/>
    <w:link w:val="Heading4"/>
    <w:semiHidden/>
    <w:rsid w:val="003F1241"/>
    <w:rPr>
      <w:rFonts w:asciiTheme="majorHAnsi" w:eastAsiaTheme="majorEastAsia" w:hAnsiTheme="majorHAnsi" w:cstheme="majorBidi"/>
      <w:i/>
      <w:iCs/>
      <w:color w:val="2F5496" w:themeColor="accent1" w:themeShade="BF"/>
      <w:sz w:val="24"/>
      <w:szCs w:val="24"/>
      <w:lang w:val="en-AU" w:eastAsia="zh-CN"/>
    </w:rPr>
  </w:style>
  <w:style w:type="character" w:customStyle="1" w:styleId="katex-mathml">
    <w:name w:val="katex-mathml"/>
    <w:basedOn w:val="DefaultParagraphFont"/>
    <w:rsid w:val="003F1241"/>
  </w:style>
  <w:style w:type="character" w:customStyle="1" w:styleId="delimsizing">
    <w:name w:val="delimsizing"/>
    <w:basedOn w:val="DefaultParagraphFont"/>
    <w:rsid w:val="003F1241"/>
  </w:style>
  <w:style w:type="character" w:customStyle="1" w:styleId="vlist-s">
    <w:name w:val="vlist-s"/>
    <w:basedOn w:val="DefaultParagraphFont"/>
    <w:rsid w:val="003F1241"/>
  </w:style>
  <w:style w:type="character" w:customStyle="1" w:styleId="whitespace-normal">
    <w:name w:val="whitespace-normal"/>
    <w:basedOn w:val="DefaultParagraphFont"/>
    <w:rsid w:val="003F1241"/>
  </w:style>
  <w:style w:type="character" w:styleId="PlaceholderText">
    <w:name w:val="Placeholder Text"/>
    <w:basedOn w:val="DefaultParagraphFont"/>
    <w:uiPriority w:val="99"/>
    <w:semiHidden/>
    <w:rsid w:val="003423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3703">
      <w:bodyDiv w:val="1"/>
      <w:marLeft w:val="0"/>
      <w:marRight w:val="0"/>
      <w:marTop w:val="0"/>
      <w:marBottom w:val="0"/>
      <w:divBdr>
        <w:top w:val="none" w:sz="0" w:space="0" w:color="auto"/>
        <w:left w:val="none" w:sz="0" w:space="0" w:color="auto"/>
        <w:bottom w:val="none" w:sz="0" w:space="0" w:color="auto"/>
        <w:right w:val="none" w:sz="0" w:space="0" w:color="auto"/>
      </w:divBdr>
    </w:div>
    <w:div w:id="19481116">
      <w:bodyDiv w:val="1"/>
      <w:marLeft w:val="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45762983">
      <w:bodyDiv w:val="1"/>
      <w:marLeft w:val="0"/>
      <w:marRight w:val="0"/>
      <w:marTop w:val="0"/>
      <w:marBottom w:val="0"/>
      <w:divBdr>
        <w:top w:val="none" w:sz="0" w:space="0" w:color="auto"/>
        <w:left w:val="none" w:sz="0" w:space="0" w:color="auto"/>
        <w:bottom w:val="none" w:sz="0" w:space="0" w:color="auto"/>
        <w:right w:val="none" w:sz="0" w:space="0" w:color="auto"/>
      </w:divBdr>
    </w:div>
    <w:div w:id="66418335">
      <w:bodyDiv w:val="1"/>
      <w:marLeft w:val="0"/>
      <w:marRight w:val="0"/>
      <w:marTop w:val="0"/>
      <w:marBottom w:val="0"/>
      <w:divBdr>
        <w:top w:val="none" w:sz="0" w:space="0" w:color="auto"/>
        <w:left w:val="none" w:sz="0" w:space="0" w:color="auto"/>
        <w:bottom w:val="none" w:sz="0" w:space="0" w:color="auto"/>
        <w:right w:val="none" w:sz="0" w:space="0" w:color="auto"/>
      </w:divBdr>
    </w:div>
    <w:div w:id="69810979">
      <w:bodyDiv w:val="1"/>
      <w:marLeft w:val="0"/>
      <w:marRight w:val="0"/>
      <w:marTop w:val="0"/>
      <w:marBottom w:val="0"/>
      <w:divBdr>
        <w:top w:val="none" w:sz="0" w:space="0" w:color="auto"/>
        <w:left w:val="none" w:sz="0" w:space="0" w:color="auto"/>
        <w:bottom w:val="none" w:sz="0" w:space="0" w:color="auto"/>
        <w:right w:val="none" w:sz="0" w:space="0" w:color="auto"/>
      </w:divBdr>
    </w:div>
    <w:div w:id="74328383">
      <w:bodyDiv w:val="1"/>
      <w:marLeft w:val="0"/>
      <w:marRight w:val="0"/>
      <w:marTop w:val="0"/>
      <w:marBottom w:val="0"/>
      <w:divBdr>
        <w:top w:val="none" w:sz="0" w:space="0" w:color="auto"/>
        <w:left w:val="none" w:sz="0" w:space="0" w:color="auto"/>
        <w:bottom w:val="none" w:sz="0" w:space="0" w:color="auto"/>
        <w:right w:val="none" w:sz="0" w:space="0" w:color="auto"/>
      </w:divBdr>
    </w:div>
    <w:div w:id="80952443">
      <w:bodyDiv w:val="1"/>
      <w:marLeft w:val="0"/>
      <w:marRight w:val="0"/>
      <w:marTop w:val="0"/>
      <w:marBottom w:val="0"/>
      <w:divBdr>
        <w:top w:val="none" w:sz="0" w:space="0" w:color="auto"/>
        <w:left w:val="none" w:sz="0" w:space="0" w:color="auto"/>
        <w:bottom w:val="none" w:sz="0" w:space="0" w:color="auto"/>
        <w:right w:val="none" w:sz="0" w:space="0" w:color="auto"/>
      </w:divBdr>
    </w:div>
    <w:div w:id="84349485">
      <w:bodyDiv w:val="1"/>
      <w:marLeft w:val="0"/>
      <w:marRight w:val="0"/>
      <w:marTop w:val="0"/>
      <w:marBottom w:val="0"/>
      <w:divBdr>
        <w:top w:val="none" w:sz="0" w:space="0" w:color="auto"/>
        <w:left w:val="none" w:sz="0" w:space="0" w:color="auto"/>
        <w:bottom w:val="none" w:sz="0" w:space="0" w:color="auto"/>
        <w:right w:val="none" w:sz="0" w:space="0" w:color="auto"/>
      </w:divBdr>
    </w:div>
    <w:div w:id="104154760">
      <w:bodyDiv w:val="1"/>
      <w:marLeft w:val="0"/>
      <w:marRight w:val="0"/>
      <w:marTop w:val="0"/>
      <w:marBottom w:val="0"/>
      <w:divBdr>
        <w:top w:val="none" w:sz="0" w:space="0" w:color="auto"/>
        <w:left w:val="none" w:sz="0" w:space="0" w:color="auto"/>
        <w:bottom w:val="none" w:sz="0" w:space="0" w:color="auto"/>
        <w:right w:val="none" w:sz="0" w:space="0" w:color="auto"/>
      </w:divBdr>
    </w:div>
    <w:div w:id="107358475">
      <w:bodyDiv w:val="1"/>
      <w:marLeft w:val="0"/>
      <w:marRight w:val="0"/>
      <w:marTop w:val="0"/>
      <w:marBottom w:val="0"/>
      <w:divBdr>
        <w:top w:val="none" w:sz="0" w:space="0" w:color="auto"/>
        <w:left w:val="none" w:sz="0" w:space="0" w:color="auto"/>
        <w:bottom w:val="none" w:sz="0" w:space="0" w:color="auto"/>
        <w:right w:val="none" w:sz="0" w:space="0" w:color="auto"/>
      </w:divBdr>
      <w:divsChild>
        <w:div w:id="1245990150">
          <w:marLeft w:val="0"/>
          <w:marRight w:val="0"/>
          <w:marTop w:val="0"/>
          <w:marBottom w:val="0"/>
          <w:divBdr>
            <w:top w:val="none" w:sz="0" w:space="0" w:color="auto"/>
            <w:left w:val="none" w:sz="0" w:space="0" w:color="auto"/>
            <w:bottom w:val="none" w:sz="0" w:space="0" w:color="auto"/>
            <w:right w:val="none" w:sz="0" w:space="0" w:color="auto"/>
          </w:divBdr>
          <w:divsChild>
            <w:div w:id="3569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4752">
      <w:bodyDiv w:val="1"/>
      <w:marLeft w:val="0"/>
      <w:marRight w:val="0"/>
      <w:marTop w:val="0"/>
      <w:marBottom w:val="0"/>
      <w:divBdr>
        <w:top w:val="none" w:sz="0" w:space="0" w:color="auto"/>
        <w:left w:val="none" w:sz="0" w:space="0" w:color="auto"/>
        <w:bottom w:val="none" w:sz="0" w:space="0" w:color="auto"/>
        <w:right w:val="none" w:sz="0" w:space="0" w:color="auto"/>
      </w:divBdr>
    </w:div>
    <w:div w:id="112678064">
      <w:bodyDiv w:val="1"/>
      <w:marLeft w:val="0"/>
      <w:marRight w:val="0"/>
      <w:marTop w:val="0"/>
      <w:marBottom w:val="0"/>
      <w:divBdr>
        <w:top w:val="none" w:sz="0" w:space="0" w:color="auto"/>
        <w:left w:val="none" w:sz="0" w:space="0" w:color="auto"/>
        <w:bottom w:val="none" w:sz="0" w:space="0" w:color="auto"/>
        <w:right w:val="none" w:sz="0" w:space="0" w:color="auto"/>
      </w:divBdr>
    </w:div>
    <w:div w:id="134416255">
      <w:bodyDiv w:val="1"/>
      <w:marLeft w:val="0"/>
      <w:marRight w:val="0"/>
      <w:marTop w:val="0"/>
      <w:marBottom w:val="0"/>
      <w:divBdr>
        <w:top w:val="none" w:sz="0" w:space="0" w:color="auto"/>
        <w:left w:val="none" w:sz="0" w:space="0" w:color="auto"/>
        <w:bottom w:val="none" w:sz="0" w:space="0" w:color="auto"/>
        <w:right w:val="none" w:sz="0" w:space="0" w:color="auto"/>
      </w:divBdr>
    </w:div>
    <w:div w:id="151027612">
      <w:bodyDiv w:val="1"/>
      <w:marLeft w:val="0"/>
      <w:marRight w:val="0"/>
      <w:marTop w:val="0"/>
      <w:marBottom w:val="0"/>
      <w:divBdr>
        <w:top w:val="none" w:sz="0" w:space="0" w:color="auto"/>
        <w:left w:val="none" w:sz="0" w:space="0" w:color="auto"/>
        <w:bottom w:val="none" w:sz="0" w:space="0" w:color="auto"/>
        <w:right w:val="none" w:sz="0" w:space="0" w:color="auto"/>
      </w:divBdr>
    </w:div>
    <w:div w:id="170529408">
      <w:bodyDiv w:val="1"/>
      <w:marLeft w:val="0"/>
      <w:marRight w:val="0"/>
      <w:marTop w:val="0"/>
      <w:marBottom w:val="0"/>
      <w:divBdr>
        <w:top w:val="none" w:sz="0" w:space="0" w:color="auto"/>
        <w:left w:val="none" w:sz="0" w:space="0" w:color="auto"/>
        <w:bottom w:val="none" w:sz="0" w:space="0" w:color="auto"/>
        <w:right w:val="none" w:sz="0" w:space="0" w:color="auto"/>
      </w:divBdr>
    </w:div>
    <w:div w:id="184830361">
      <w:bodyDiv w:val="1"/>
      <w:marLeft w:val="0"/>
      <w:marRight w:val="0"/>
      <w:marTop w:val="0"/>
      <w:marBottom w:val="0"/>
      <w:divBdr>
        <w:top w:val="none" w:sz="0" w:space="0" w:color="auto"/>
        <w:left w:val="none" w:sz="0" w:space="0" w:color="auto"/>
        <w:bottom w:val="none" w:sz="0" w:space="0" w:color="auto"/>
        <w:right w:val="none" w:sz="0" w:space="0" w:color="auto"/>
      </w:divBdr>
      <w:divsChild>
        <w:div w:id="75254589">
          <w:marLeft w:val="0"/>
          <w:marRight w:val="0"/>
          <w:marTop w:val="0"/>
          <w:marBottom w:val="0"/>
          <w:divBdr>
            <w:top w:val="none" w:sz="0" w:space="0" w:color="auto"/>
            <w:left w:val="none" w:sz="0" w:space="0" w:color="auto"/>
            <w:bottom w:val="none" w:sz="0" w:space="0" w:color="auto"/>
            <w:right w:val="none" w:sz="0" w:space="0" w:color="auto"/>
          </w:divBdr>
          <w:divsChild>
            <w:div w:id="1159270261">
              <w:marLeft w:val="0"/>
              <w:marRight w:val="0"/>
              <w:marTop w:val="0"/>
              <w:marBottom w:val="0"/>
              <w:divBdr>
                <w:top w:val="none" w:sz="0" w:space="0" w:color="auto"/>
                <w:left w:val="none" w:sz="0" w:space="0" w:color="auto"/>
                <w:bottom w:val="none" w:sz="0" w:space="0" w:color="auto"/>
                <w:right w:val="none" w:sz="0" w:space="0" w:color="auto"/>
              </w:divBdr>
              <w:divsChild>
                <w:div w:id="2139444605">
                  <w:marLeft w:val="0"/>
                  <w:marRight w:val="0"/>
                  <w:marTop w:val="0"/>
                  <w:marBottom w:val="0"/>
                  <w:divBdr>
                    <w:top w:val="none" w:sz="0" w:space="0" w:color="auto"/>
                    <w:left w:val="none" w:sz="0" w:space="0" w:color="auto"/>
                    <w:bottom w:val="none" w:sz="0" w:space="0" w:color="auto"/>
                    <w:right w:val="none" w:sz="0" w:space="0" w:color="auto"/>
                  </w:divBdr>
                  <w:divsChild>
                    <w:div w:id="37709524">
                      <w:marLeft w:val="0"/>
                      <w:marRight w:val="0"/>
                      <w:marTop w:val="0"/>
                      <w:marBottom w:val="0"/>
                      <w:divBdr>
                        <w:top w:val="none" w:sz="0" w:space="0" w:color="auto"/>
                        <w:left w:val="none" w:sz="0" w:space="0" w:color="auto"/>
                        <w:bottom w:val="none" w:sz="0" w:space="0" w:color="auto"/>
                        <w:right w:val="none" w:sz="0" w:space="0" w:color="auto"/>
                      </w:divBdr>
                      <w:divsChild>
                        <w:div w:id="202277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45154">
          <w:marLeft w:val="0"/>
          <w:marRight w:val="0"/>
          <w:marTop w:val="0"/>
          <w:marBottom w:val="0"/>
          <w:divBdr>
            <w:top w:val="none" w:sz="0" w:space="0" w:color="auto"/>
            <w:left w:val="none" w:sz="0" w:space="0" w:color="auto"/>
            <w:bottom w:val="none" w:sz="0" w:space="0" w:color="auto"/>
            <w:right w:val="none" w:sz="0" w:space="0" w:color="auto"/>
          </w:divBdr>
          <w:divsChild>
            <w:div w:id="6177082">
              <w:marLeft w:val="0"/>
              <w:marRight w:val="0"/>
              <w:marTop w:val="0"/>
              <w:marBottom w:val="0"/>
              <w:divBdr>
                <w:top w:val="none" w:sz="0" w:space="0" w:color="auto"/>
                <w:left w:val="none" w:sz="0" w:space="0" w:color="auto"/>
                <w:bottom w:val="none" w:sz="0" w:space="0" w:color="auto"/>
                <w:right w:val="none" w:sz="0" w:space="0" w:color="auto"/>
              </w:divBdr>
            </w:div>
            <w:div w:id="1533423704">
              <w:marLeft w:val="0"/>
              <w:marRight w:val="0"/>
              <w:marTop w:val="0"/>
              <w:marBottom w:val="0"/>
              <w:divBdr>
                <w:top w:val="none" w:sz="0" w:space="0" w:color="auto"/>
                <w:left w:val="none" w:sz="0" w:space="0" w:color="auto"/>
                <w:bottom w:val="none" w:sz="0" w:space="0" w:color="auto"/>
                <w:right w:val="none" w:sz="0" w:space="0" w:color="auto"/>
              </w:divBdr>
            </w:div>
            <w:div w:id="723408555">
              <w:marLeft w:val="0"/>
              <w:marRight w:val="0"/>
              <w:marTop w:val="0"/>
              <w:marBottom w:val="0"/>
              <w:divBdr>
                <w:top w:val="single" w:sz="6" w:space="9" w:color="D0D0D0"/>
                <w:left w:val="single" w:sz="6" w:space="9" w:color="D0D0D0"/>
                <w:bottom w:val="single" w:sz="6" w:space="9" w:color="D0D0D0"/>
                <w:right w:val="single" w:sz="6" w:space="9" w:color="D0D0D0"/>
              </w:divBdr>
            </w:div>
          </w:divsChild>
        </w:div>
      </w:divsChild>
    </w:div>
    <w:div w:id="215623317">
      <w:bodyDiv w:val="1"/>
      <w:marLeft w:val="0"/>
      <w:marRight w:val="0"/>
      <w:marTop w:val="0"/>
      <w:marBottom w:val="0"/>
      <w:divBdr>
        <w:top w:val="none" w:sz="0" w:space="0" w:color="auto"/>
        <w:left w:val="none" w:sz="0" w:space="0" w:color="auto"/>
        <w:bottom w:val="none" w:sz="0" w:space="0" w:color="auto"/>
        <w:right w:val="none" w:sz="0" w:space="0" w:color="auto"/>
      </w:divBdr>
    </w:div>
    <w:div w:id="215628390">
      <w:bodyDiv w:val="1"/>
      <w:marLeft w:val="0"/>
      <w:marRight w:val="0"/>
      <w:marTop w:val="0"/>
      <w:marBottom w:val="0"/>
      <w:divBdr>
        <w:top w:val="none" w:sz="0" w:space="0" w:color="auto"/>
        <w:left w:val="none" w:sz="0" w:space="0" w:color="auto"/>
        <w:bottom w:val="none" w:sz="0" w:space="0" w:color="auto"/>
        <w:right w:val="none" w:sz="0" w:space="0" w:color="auto"/>
      </w:divBdr>
    </w:div>
    <w:div w:id="217474632">
      <w:bodyDiv w:val="1"/>
      <w:marLeft w:val="0"/>
      <w:marRight w:val="0"/>
      <w:marTop w:val="0"/>
      <w:marBottom w:val="0"/>
      <w:divBdr>
        <w:top w:val="none" w:sz="0" w:space="0" w:color="auto"/>
        <w:left w:val="none" w:sz="0" w:space="0" w:color="auto"/>
        <w:bottom w:val="none" w:sz="0" w:space="0" w:color="auto"/>
        <w:right w:val="none" w:sz="0" w:space="0" w:color="auto"/>
      </w:divBdr>
    </w:div>
    <w:div w:id="218908246">
      <w:bodyDiv w:val="1"/>
      <w:marLeft w:val="0"/>
      <w:marRight w:val="0"/>
      <w:marTop w:val="0"/>
      <w:marBottom w:val="0"/>
      <w:divBdr>
        <w:top w:val="none" w:sz="0" w:space="0" w:color="auto"/>
        <w:left w:val="none" w:sz="0" w:space="0" w:color="auto"/>
        <w:bottom w:val="none" w:sz="0" w:space="0" w:color="auto"/>
        <w:right w:val="none" w:sz="0" w:space="0" w:color="auto"/>
      </w:divBdr>
    </w:div>
    <w:div w:id="265817584">
      <w:bodyDiv w:val="1"/>
      <w:marLeft w:val="0"/>
      <w:marRight w:val="0"/>
      <w:marTop w:val="0"/>
      <w:marBottom w:val="0"/>
      <w:divBdr>
        <w:top w:val="none" w:sz="0" w:space="0" w:color="auto"/>
        <w:left w:val="none" w:sz="0" w:space="0" w:color="auto"/>
        <w:bottom w:val="none" w:sz="0" w:space="0" w:color="auto"/>
        <w:right w:val="none" w:sz="0" w:space="0" w:color="auto"/>
      </w:divBdr>
    </w:div>
    <w:div w:id="267153741">
      <w:bodyDiv w:val="1"/>
      <w:marLeft w:val="0"/>
      <w:marRight w:val="0"/>
      <w:marTop w:val="0"/>
      <w:marBottom w:val="0"/>
      <w:divBdr>
        <w:top w:val="none" w:sz="0" w:space="0" w:color="auto"/>
        <w:left w:val="none" w:sz="0" w:space="0" w:color="auto"/>
        <w:bottom w:val="none" w:sz="0" w:space="0" w:color="auto"/>
        <w:right w:val="none" w:sz="0" w:space="0" w:color="auto"/>
      </w:divBdr>
    </w:div>
    <w:div w:id="285089796">
      <w:bodyDiv w:val="1"/>
      <w:marLeft w:val="0"/>
      <w:marRight w:val="0"/>
      <w:marTop w:val="0"/>
      <w:marBottom w:val="0"/>
      <w:divBdr>
        <w:top w:val="none" w:sz="0" w:space="0" w:color="auto"/>
        <w:left w:val="none" w:sz="0" w:space="0" w:color="auto"/>
        <w:bottom w:val="none" w:sz="0" w:space="0" w:color="auto"/>
        <w:right w:val="none" w:sz="0" w:space="0" w:color="auto"/>
      </w:divBdr>
    </w:div>
    <w:div w:id="292715990">
      <w:bodyDiv w:val="1"/>
      <w:marLeft w:val="0"/>
      <w:marRight w:val="0"/>
      <w:marTop w:val="0"/>
      <w:marBottom w:val="0"/>
      <w:divBdr>
        <w:top w:val="none" w:sz="0" w:space="0" w:color="auto"/>
        <w:left w:val="none" w:sz="0" w:space="0" w:color="auto"/>
        <w:bottom w:val="none" w:sz="0" w:space="0" w:color="auto"/>
        <w:right w:val="none" w:sz="0" w:space="0" w:color="auto"/>
      </w:divBdr>
    </w:div>
    <w:div w:id="299112411">
      <w:bodyDiv w:val="1"/>
      <w:marLeft w:val="0"/>
      <w:marRight w:val="0"/>
      <w:marTop w:val="0"/>
      <w:marBottom w:val="0"/>
      <w:divBdr>
        <w:top w:val="none" w:sz="0" w:space="0" w:color="auto"/>
        <w:left w:val="none" w:sz="0" w:space="0" w:color="auto"/>
        <w:bottom w:val="none" w:sz="0" w:space="0" w:color="auto"/>
        <w:right w:val="none" w:sz="0" w:space="0" w:color="auto"/>
      </w:divBdr>
    </w:div>
    <w:div w:id="302783278">
      <w:bodyDiv w:val="1"/>
      <w:marLeft w:val="0"/>
      <w:marRight w:val="0"/>
      <w:marTop w:val="0"/>
      <w:marBottom w:val="0"/>
      <w:divBdr>
        <w:top w:val="none" w:sz="0" w:space="0" w:color="auto"/>
        <w:left w:val="none" w:sz="0" w:space="0" w:color="auto"/>
        <w:bottom w:val="none" w:sz="0" w:space="0" w:color="auto"/>
        <w:right w:val="none" w:sz="0" w:space="0" w:color="auto"/>
      </w:divBdr>
    </w:div>
    <w:div w:id="315915410">
      <w:bodyDiv w:val="1"/>
      <w:marLeft w:val="0"/>
      <w:marRight w:val="0"/>
      <w:marTop w:val="0"/>
      <w:marBottom w:val="0"/>
      <w:divBdr>
        <w:top w:val="none" w:sz="0" w:space="0" w:color="auto"/>
        <w:left w:val="none" w:sz="0" w:space="0" w:color="auto"/>
        <w:bottom w:val="none" w:sz="0" w:space="0" w:color="auto"/>
        <w:right w:val="none" w:sz="0" w:space="0" w:color="auto"/>
      </w:divBdr>
    </w:div>
    <w:div w:id="316229097">
      <w:bodyDiv w:val="1"/>
      <w:marLeft w:val="0"/>
      <w:marRight w:val="0"/>
      <w:marTop w:val="0"/>
      <w:marBottom w:val="0"/>
      <w:divBdr>
        <w:top w:val="none" w:sz="0" w:space="0" w:color="auto"/>
        <w:left w:val="none" w:sz="0" w:space="0" w:color="auto"/>
        <w:bottom w:val="none" w:sz="0" w:space="0" w:color="auto"/>
        <w:right w:val="none" w:sz="0" w:space="0" w:color="auto"/>
      </w:divBdr>
    </w:div>
    <w:div w:id="317922457">
      <w:bodyDiv w:val="1"/>
      <w:marLeft w:val="0"/>
      <w:marRight w:val="0"/>
      <w:marTop w:val="0"/>
      <w:marBottom w:val="0"/>
      <w:divBdr>
        <w:top w:val="none" w:sz="0" w:space="0" w:color="auto"/>
        <w:left w:val="none" w:sz="0" w:space="0" w:color="auto"/>
        <w:bottom w:val="none" w:sz="0" w:space="0" w:color="auto"/>
        <w:right w:val="none" w:sz="0" w:space="0" w:color="auto"/>
      </w:divBdr>
    </w:div>
    <w:div w:id="324403917">
      <w:bodyDiv w:val="1"/>
      <w:marLeft w:val="0"/>
      <w:marRight w:val="0"/>
      <w:marTop w:val="0"/>
      <w:marBottom w:val="0"/>
      <w:divBdr>
        <w:top w:val="none" w:sz="0" w:space="0" w:color="auto"/>
        <w:left w:val="none" w:sz="0" w:space="0" w:color="auto"/>
        <w:bottom w:val="none" w:sz="0" w:space="0" w:color="auto"/>
        <w:right w:val="none" w:sz="0" w:space="0" w:color="auto"/>
      </w:divBdr>
    </w:div>
    <w:div w:id="325402834">
      <w:bodyDiv w:val="1"/>
      <w:marLeft w:val="0"/>
      <w:marRight w:val="0"/>
      <w:marTop w:val="0"/>
      <w:marBottom w:val="0"/>
      <w:divBdr>
        <w:top w:val="none" w:sz="0" w:space="0" w:color="auto"/>
        <w:left w:val="none" w:sz="0" w:space="0" w:color="auto"/>
        <w:bottom w:val="none" w:sz="0" w:space="0" w:color="auto"/>
        <w:right w:val="none" w:sz="0" w:space="0" w:color="auto"/>
      </w:divBdr>
    </w:div>
    <w:div w:id="326641429">
      <w:bodyDiv w:val="1"/>
      <w:marLeft w:val="0"/>
      <w:marRight w:val="0"/>
      <w:marTop w:val="0"/>
      <w:marBottom w:val="0"/>
      <w:divBdr>
        <w:top w:val="none" w:sz="0" w:space="0" w:color="auto"/>
        <w:left w:val="none" w:sz="0" w:space="0" w:color="auto"/>
        <w:bottom w:val="none" w:sz="0" w:space="0" w:color="auto"/>
        <w:right w:val="none" w:sz="0" w:space="0" w:color="auto"/>
      </w:divBdr>
    </w:div>
    <w:div w:id="328556861">
      <w:bodyDiv w:val="1"/>
      <w:marLeft w:val="0"/>
      <w:marRight w:val="0"/>
      <w:marTop w:val="0"/>
      <w:marBottom w:val="0"/>
      <w:divBdr>
        <w:top w:val="none" w:sz="0" w:space="0" w:color="auto"/>
        <w:left w:val="none" w:sz="0" w:space="0" w:color="auto"/>
        <w:bottom w:val="none" w:sz="0" w:space="0" w:color="auto"/>
        <w:right w:val="none" w:sz="0" w:space="0" w:color="auto"/>
      </w:divBdr>
    </w:div>
    <w:div w:id="332270104">
      <w:bodyDiv w:val="1"/>
      <w:marLeft w:val="0"/>
      <w:marRight w:val="0"/>
      <w:marTop w:val="0"/>
      <w:marBottom w:val="0"/>
      <w:divBdr>
        <w:top w:val="none" w:sz="0" w:space="0" w:color="auto"/>
        <w:left w:val="none" w:sz="0" w:space="0" w:color="auto"/>
        <w:bottom w:val="none" w:sz="0" w:space="0" w:color="auto"/>
        <w:right w:val="none" w:sz="0" w:space="0" w:color="auto"/>
      </w:divBdr>
    </w:div>
    <w:div w:id="333341196">
      <w:bodyDiv w:val="1"/>
      <w:marLeft w:val="0"/>
      <w:marRight w:val="0"/>
      <w:marTop w:val="0"/>
      <w:marBottom w:val="0"/>
      <w:divBdr>
        <w:top w:val="none" w:sz="0" w:space="0" w:color="auto"/>
        <w:left w:val="none" w:sz="0" w:space="0" w:color="auto"/>
        <w:bottom w:val="none" w:sz="0" w:space="0" w:color="auto"/>
        <w:right w:val="none" w:sz="0" w:space="0" w:color="auto"/>
      </w:divBdr>
    </w:div>
    <w:div w:id="390229790">
      <w:bodyDiv w:val="1"/>
      <w:marLeft w:val="0"/>
      <w:marRight w:val="0"/>
      <w:marTop w:val="0"/>
      <w:marBottom w:val="0"/>
      <w:divBdr>
        <w:top w:val="none" w:sz="0" w:space="0" w:color="auto"/>
        <w:left w:val="none" w:sz="0" w:space="0" w:color="auto"/>
        <w:bottom w:val="none" w:sz="0" w:space="0" w:color="auto"/>
        <w:right w:val="none" w:sz="0" w:space="0" w:color="auto"/>
      </w:divBdr>
    </w:div>
    <w:div w:id="407699551">
      <w:bodyDiv w:val="1"/>
      <w:marLeft w:val="0"/>
      <w:marRight w:val="0"/>
      <w:marTop w:val="0"/>
      <w:marBottom w:val="0"/>
      <w:divBdr>
        <w:top w:val="none" w:sz="0" w:space="0" w:color="auto"/>
        <w:left w:val="none" w:sz="0" w:space="0" w:color="auto"/>
        <w:bottom w:val="none" w:sz="0" w:space="0" w:color="auto"/>
        <w:right w:val="none" w:sz="0" w:space="0" w:color="auto"/>
      </w:divBdr>
    </w:div>
    <w:div w:id="421100288">
      <w:bodyDiv w:val="1"/>
      <w:marLeft w:val="0"/>
      <w:marRight w:val="0"/>
      <w:marTop w:val="0"/>
      <w:marBottom w:val="0"/>
      <w:divBdr>
        <w:top w:val="none" w:sz="0" w:space="0" w:color="auto"/>
        <w:left w:val="none" w:sz="0" w:space="0" w:color="auto"/>
        <w:bottom w:val="none" w:sz="0" w:space="0" w:color="auto"/>
        <w:right w:val="none" w:sz="0" w:space="0" w:color="auto"/>
      </w:divBdr>
    </w:div>
    <w:div w:id="446117649">
      <w:bodyDiv w:val="1"/>
      <w:marLeft w:val="0"/>
      <w:marRight w:val="0"/>
      <w:marTop w:val="0"/>
      <w:marBottom w:val="0"/>
      <w:divBdr>
        <w:top w:val="none" w:sz="0" w:space="0" w:color="auto"/>
        <w:left w:val="none" w:sz="0" w:space="0" w:color="auto"/>
        <w:bottom w:val="none" w:sz="0" w:space="0" w:color="auto"/>
        <w:right w:val="none" w:sz="0" w:space="0" w:color="auto"/>
      </w:divBdr>
    </w:div>
    <w:div w:id="466123467">
      <w:bodyDiv w:val="1"/>
      <w:marLeft w:val="0"/>
      <w:marRight w:val="0"/>
      <w:marTop w:val="0"/>
      <w:marBottom w:val="0"/>
      <w:divBdr>
        <w:top w:val="none" w:sz="0" w:space="0" w:color="auto"/>
        <w:left w:val="none" w:sz="0" w:space="0" w:color="auto"/>
        <w:bottom w:val="none" w:sz="0" w:space="0" w:color="auto"/>
        <w:right w:val="none" w:sz="0" w:space="0" w:color="auto"/>
      </w:divBdr>
    </w:div>
    <w:div w:id="468017938">
      <w:bodyDiv w:val="1"/>
      <w:marLeft w:val="0"/>
      <w:marRight w:val="0"/>
      <w:marTop w:val="0"/>
      <w:marBottom w:val="0"/>
      <w:divBdr>
        <w:top w:val="none" w:sz="0" w:space="0" w:color="auto"/>
        <w:left w:val="none" w:sz="0" w:space="0" w:color="auto"/>
        <w:bottom w:val="none" w:sz="0" w:space="0" w:color="auto"/>
        <w:right w:val="none" w:sz="0" w:space="0" w:color="auto"/>
      </w:divBdr>
    </w:div>
    <w:div w:id="477848444">
      <w:bodyDiv w:val="1"/>
      <w:marLeft w:val="0"/>
      <w:marRight w:val="0"/>
      <w:marTop w:val="0"/>
      <w:marBottom w:val="0"/>
      <w:divBdr>
        <w:top w:val="none" w:sz="0" w:space="0" w:color="auto"/>
        <w:left w:val="none" w:sz="0" w:space="0" w:color="auto"/>
        <w:bottom w:val="none" w:sz="0" w:space="0" w:color="auto"/>
        <w:right w:val="none" w:sz="0" w:space="0" w:color="auto"/>
      </w:divBdr>
    </w:div>
    <w:div w:id="484250167">
      <w:bodyDiv w:val="1"/>
      <w:marLeft w:val="0"/>
      <w:marRight w:val="0"/>
      <w:marTop w:val="0"/>
      <w:marBottom w:val="0"/>
      <w:divBdr>
        <w:top w:val="none" w:sz="0" w:space="0" w:color="auto"/>
        <w:left w:val="none" w:sz="0" w:space="0" w:color="auto"/>
        <w:bottom w:val="none" w:sz="0" w:space="0" w:color="auto"/>
        <w:right w:val="none" w:sz="0" w:space="0" w:color="auto"/>
      </w:divBdr>
    </w:div>
    <w:div w:id="498352732">
      <w:bodyDiv w:val="1"/>
      <w:marLeft w:val="0"/>
      <w:marRight w:val="0"/>
      <w:marTop w:val="0"/>
      <w:marBottom w:val="0"/>
      <w:divBdr>
        <w:top w:val="none" w:sz="0" w:space="0" w:color="auto"/>
        <w:left w:val="none" w:sz="0" w:space="0" w:color="auto"/>
        <w:bottom w:val="none" w:sz="0" w:space="0" w:color="auto"/>
        <w:right w:val="none" w:sz="0" w:space="0" w:color="auto"/>
      </w:divBdr>
    </w:div>
    <w:div w:id="527722919">
      <w:bodyDiv w:val="1"/>
      <w:marLeft w:val="0"/>
      <w:marRight w:val="0"/>
      <w:marTop w:val="0"/>
      <w:marBottom w:val="0"/>
      <w:divBdr>
        <w:top w:val="none" w:sz="0" w:space="0" w:color="auto"/>
        <w:left w:val="none" w:sz="0" w:space="0" w:color="auto"/>
        <w:bottom w:val="none" w:sz="0" w:space="0" w:color="auto"/>
        <w:right w:val="none" w:sz="0" w:space="0" w:color="auto"/>
      </w:divBdr>
    </w:div>
    <w:div w:id="528564519">
      <w:bodyDiv w:val="1"/>
      <w:marLeft w:val="0"/>
      <w:marRight w:val="0"/>
      <w:marTop w:val="0"/>
      <w:marBottom w:val="0"/>
      <w:divBdr>
        <w:top w:val="none" w:sz="0" w:space="0" w:color="auto"/>
        <w:left w:val="none" w:sz="0" w:space="0" w:color="auto"/>
        <w:bottom w:val="none" w:sz="0" w:space="0" w:color="auto"/>
        <w:right w:val="none" w:sz="0" w:space="0" w:color="auto"/>
      </w:divBdr>
    </w:div>
    <w:div w:id="534851714">
      <w:bodyDiv w:val="1"/>
      <w:marLeft w:val="0"/>
      <w:marRight w:val="0"/>
      <w:marTop w:val="0"/>
      <w:marBottom w:val="0"/>
      <w:divBdr>
        <w:top w:val="none" w:sz="0" w:space="0" w:color="auto"/>
        <w:left w:val="none" w:sz="0" w:space="0" w:color="auto"/>
        <w:bottom w:val="none" w:sz="0" w:space="0" w:color="auto"/>
        <w:right w:val="none" w:sz="0" w:space="0" w:color="auto"/>
      </w:divBdr>
    </w:div>
    <w:div w:id="544876304">
      <w:bodyDiv w:val="1"/>
      <w:marLeft w:val="0"/>
      <w:marRight w:val="0"/>
      <w:marTop w:val="0"/>
      <w:marBottom w:val="0"/>
      <w:divBdr>
        <w:top w:val="none" w:sz="0" w:space="0" w:color="auto"/>
        <w:left w:val="none" w:sz="0" w:space="0" w:color="auto"/>
        <w:bottom w:val="none" w:sz="0" w:space="0" w:color="auto"/>
        <w:right w:val="none" w:sz="0" w:space="0" w:color="auto"/>
      </w:divBdr>
    </w:div>
    <w:div w:id="558781933">
      <w:bodyDiv w:val="1"/>
      <w:marLeft w:val="0"/>
      <w:marRight w:val="0"/>
      <w:marTop w:val="0"/>
      <w:marBottom w:val="0"/>
      <w:divBdr>
        <w:top w:val="none" w:sz="0" w:space="0" w:color="auto"/>
        <w:left w:val="none" w:sz="0" w:space="0" w:color="auto"/>
        <w:bottom w:val="none" w:sz="0" w:space="0" w:color="auto"/>
        <w:right w:val="none" w:sz="0" w:space="0" w:color="auto"/>
      </w:divBdr>
    </w:div>
    <w:div w:id="561526676">
      <w:bodyDiv w:val="1"/>
      <w:marLeft w:val="0"/>
      <w:marRight w:val="0"/>
      <w:marTop w:val="0"/>
      <w:marBottom w:val="0"/>
      <w:divBdr>
        <w:top w:val="none" w:sz="0" w:space="0" w:color="auto"/>
        <w:left w:val="none" w:sz="0" w:space="0" w:color="auto"/>
        <w:bottom w:val="none" w:sz="0" w:space="0" w:color="auto"/>
        <w:right w:val="none" w:sz="0" w:space="0" w:color="auto"/>
      </w:divBdr>
    </w:div>
    <w:div w:id="562833374">
      <w:bodyDiv w:val="1"/>
      <w:marLeft w:val="0"/>
      <w:marRight w:val="0"/>
      <w:marTop w:val="0"/>
      <w:marBottom w:val="0"/>
      <w:divBdr>
        <w:top w:val="none" w:sz="0" w:space="0" w:color="auto"/>
        <w:left w:val="none" w:sz="0" w:space="0" w:color="auto"/>
        <w:bottom w:val="none" w:sz="0" w:space="0" w:color="auto"/>
        <w:right w:val="none" w:sz="0" w:space="0" w:color="auto"/>
      </w:divBdr>
    </w:div>
    <w:div w:id="581597663">
      <w:bodyDiv w:val="1"/>
      <w:marLeft w:val="0"/>
      <w:marRight w:val="0"/>
      <w:marTop w:val="0"/>
      <w:marBottom w:val="0"/>
      <w:divBdr>
        <w:top w:val="none" w:sz="0" w:space="0" w:color="auto"/>
        <w:left w:val="none" w:sz="0" w:space="0" w:color="auto"/>
        <w:bottom w:val="none" w:sz="0" w:space="0" w:color="auto"/>
        <w:right w:val="none" w:sz="0" w:space="0" w:color="auto"/>
      </w:divBdr>
    </w:div>
    <w:div w:id="585767120">
      <w:bodyDiv w:val="1"/>
      <w:marLeft w:val="0"/>
      <w:marRight w:val="0"/>
      <w:marTop w:val="0"/>
      <w:marBottom w:val="0"/>
      <w:divBdr>
        <w:top w:val="none" w:sz="0" w:space="0" w:color="auto"/>
        <w:left w:val="none" w:sz="0" w:space="0" w:color="auto"/>
        <w:bottom w:val="none" w:sz="0" w:space="0" w:color="auto"/>
        <w:right w:val="none" w:sz="0" w:space="0" w:color="auto"/>
      </w:divBdr>
    </w:div>
    <w:div w:id="618532471">
      <w:bodyDiv w:val="1"/>
      <w:marLeft w:val="0"/>
      <w:marRight w:val="0"/>
      <w:marTop w:val="0"/>
      <w:marBottom w:val="0"/>
      <w:divBdr>
        <w:top w:val="none" w:sz="0" w:space="0" w:color="auto"/>
        <w:left w:val="none" w:sz="0" w:space="0" w:color="auto"/>
        <w:bottom w:val="none" w:sz="0" w:space="0" w:color="auto"/>
        <w:right w:val="none" w:sz="0" w:space="0" w:color="auto"/>
      </w:divBdr>
    </w:div>
    <w:div w:id="629439473">
      <w:bodyDiv w:val="1"/>
      <w:marLeft w:val="0"/>
      <w:marRight w:val="0"/>
      <w:marTop w:val="0"/>
      <w:marBottom w:val="0"/>
      <w:divBdr>
        <w:top w:val="none" w:sz="0" w:space="0" w:color="auto"/>
        <w:left w:val="none" w:sz="0" w:space="0" w:color="auto"/>
        <w:bottom w:val="none" w:sz="0" w:space="0" w:color="auto"/>
        <w:right w:val="none" w:sz="0" w:space="0" w:color="auto"/>
      </w:divBdr>
    </w:div>
    <w:div w:id="672420142">
      <w:bodyDiv w:val="1"/>
      <w:marLeft w:val="0"/>
      <w:marRight w:val="0"/>
      <w:marTop w:val="0"/>
      <w:marBottom w:val="0"/>
      <w:divBdr>
        <w:top w:val="none" w:sz="0" w:space="0" w:color="auto"/>
        <w:left w:val="none" w:sz="0" w:space="0" w:color="auto"/>
        <w:bottom w:val="none" w:sz="0" w:space="0" w:color="auto"/>
        <w:right w:val="none" w:sz="0" w:space="0" w:color="auto"/>
      </w:divBdr>
    </w:div>
    <w:div w:id="719136167">
      <w:bodyDiv w:val="1"/>
      <w:marLeft w:val="0"/>
      <w:marRight w:val="0"/>
      <w:marTop w:val="0"/>
      <w:marBottom w:val="0"/>
      <w:divBdr>
        <w:top w:val="none" w:sz="0" w:space="0" w:color="auto"/>
        <w:left w:val="none" w:sz="0" w:space="0" w:color="auto"/>
        <w:bottom w:val="none" w:sz="0" w:space="0" w:color="auto"/>
        <w:right w:val="none" w:sz="0" w:space="0" w:color="auto"/>
      </w:divBdr>
    </w:div>
    <w:div w:id="753206149">
      <w:bodyDiv w:val="1"/>
      <w:marLeft w:val="0"/>
      <w:marRight w:val="0"/>
      <w:marTop w:val="0"/>
      <w:marBottom w:val="0"/>
      <w:divBdr>
        <w:top w:val="none" w:sz="0" w:space="0" w:color="auto"/>
        <w:left w:val="none" w:sz="0" w:space="0" w:color="auto"/>
        <w:bottom w:val="none" w:sz="0" w:space="0" w:color="auto"/>
        <w:right w:val="none" w:sz="0" w:space="0" w:color="auto"/>
      </w:divBdr>
    </w:div>
    <w:div w:id="779178643">
      <w:bodyDiv w:val="1"/>
      <w:marLeft w:val="0"/>
      <w:marRight w:val="0"/>
      <w:marTop w:val="0"/>
      <w:marBottom w:val="0"/>
      <w:divBdr>
        <w:top w:val="none" w:sz="0" w:space="0" w:color="auto"/>
        <w:left w:val="none" w:sz="0" w:space="0" w:color="auto"/>
        <w:bottom w:val="none" w:sz="0" w:space="0" w:color="auto"/>
        <w:right w:val="none" w:sz="0" w:space="0" w:color="auto"/>
      </w:divBdr>
    </w:div>
    <w:div w:id="788473561">
      <w:bodyDiv w:val="1"/>
      <w:marLeft w:val="0"/>
      <w:marRight w:val="0"/>
      <w:marTop w:val="0"/>
      <w:marBottom w:val="0"/>
      <w:divBdr>
        <w:top w:val="none" w:sz="0" w:space="0" w:color="auto"/>
        <w:left w:val="none" w:sz="0" w:space="0" w:color="auto"/>
        <w:bottom w:val="none" w:sz="0" w:space="0" w:color="auto"/>
        <w:right w:val="none" w:sz="0" w:space="0" w:color="auto"/>
      </w:divBdr>
    </w:div>
    <w:div w:id="806241090">
      <w:bodyDiv w:val="1"/>
      <w:marLeft w:val="0"/>
      <w:marRight w:val="0"/>
      <w:marTop w:val="0"/>
      <w:marBottom w:val="0"/>
      <w:divBdr>
        <w:top w:val="none" w:sz="0" w:space="0" w:color="auto"/>
        <w:left w:val="none" w:sz="0" w:space="0" w:color="auto"/>
        <w:bottom w:val="none" w:sz="0" w:space="0" w:color="auto"/>
        <w:right w:val="none" w:sz="0" w:space="0" w:color="auto"/>
      </w:divBdr>
    </w:div>
    <w:div w:id="847595995">
      <w:bodyDiv w:val="1"/>
      <w:marLeft w:val="0"/>
      <w:marRight w:val="0"/>
      <w:marTop w:val="0"/>
      <w:marBottom w:val="0"/>
      <w:divBdr>
        <w:top w:val="none" w:sz="0" w:space="0" w:color="auto"/>
        <w:left w:val="none" w:sz="0" w:space="0" w:color="auto"/>
        <w:bottom w:val="none" w:sz="0" w:space="0" w:color="auto"/>
        <w:right w:val="none" w:sz="0" w:space="0" w:color="auto"/>
      </w:divBdr>
    </w:div>
    <w:div w:id="848717766">
      <w:bodyDiv w:val="1"/>
      <w:marLeft w:val="0"/>
      <w:marRight w:val="0"/>
      <w:marTop w:val="0"/>
      <w:marBottom w:val="0"/>
      <w:divBdr>
        <w:top w:val="none" w:sz="0" w:space="0" w:color="auto"/>
        <w:left w:val="none" w:sz="0" w:space="0" w:color="auto"/>
        <w:bottom w:val="none" w:sz="0" w:space="0" w:color="auto"/>
        <w:right w:val="none" w:sz="0" w:space="0" w:color="auto"/>
      </w:divBdr>
    </w:div>
    <w:div w:id="852836274">
      <w:bodyDiv w:val="1"/>
      <w:marLeft w:val="0"/>
      <w:marRight w:val="0"/>
      <w:marTop w:val="0"/>
      <w:marBottom w:val="0"/>
      <w:divBdr>
        <w:top w:val="none" w:sz="0" w:space="0" w:color="auto"/>
        <w:left w:val="none" w:sz="0" w:space="0" w:color="auto"/>
        <w:bottom w:val="none" w:sz="0" w:space="0" w:color="auto"/>
        <w:right w:val="none" w:sz="0" w:space="0" w:color="auto"/>
      </w:divBdr>
    </w:div>
    <w:div w:id="888686120">
      <w:bodyDiv w:val="1"/>
      <w:marLeft w:val="0"/>
      <w:marRight w:val="0"/>
      <w:marTop w:val="0"/>
      <w:marBottom w:val="0"/>
      <w:divBdr>
        <w:top w:val="none" w:sz="0" w:space="0" w:color="auto"/>
        <w:left w:val="none" w:sz="0" w:space="0" w:color="auto"/>
        <w:bottom w:val="none" w:sz="0" w:space="0" w:color="auto"/>
        <w:right w:val="none" w:sz="0" w:space="0" w:color="auto"/>
      </w:divBdr>
    </w:div>
    <w:div w:id="890267204">
      <w:bodyDiv w:val="1"/>
      <w:marLeft w:val="0"/>
      <w:marRight w:val="0"/>
      <w:marTop w:val="0"/>
      <w:marBottom w:val="0"/>
      <w:divBdr>
        <w:top w:val="none" w:sz="0" w:space="0" w:color="auto"/>
        <w:left w:val="none" w:sz="0" w:space="0" w:color="auto"/>
        <w:bottom w:val="none" w:sz="0" w:space="0" w:color="auto"/>
        <w:right w:val="none" w:sz="0" w:space="0" w:color="auto"/>
      </w:divBdr>
    </w:div>
    <w:div w:id="891120081">
      <w:bodyDiv w:val="1"/>
      <w:marLeft w:val="0"/>
      <w:marRight w:val="0"/>
      <w:marTop w:val="0"/>
      <w:marBottom w:val="0"/>
      <w:divBdr>
        <w:top w:val="none" w:sz="0" w:space="0" w:color="auto"/>
        <w:left w:val="none" w:sz="0" w:space="0" w:color="auto"/>
        <w:bottom w:val="none" w:sz="0" w:space="0" w:color="auto"/>
        <w:right w:val="none" w:sz="0" w:space="0" w:color="auto"/>
      </w:divBdr>
    </w:div>
    <w:div w:id="901451967">
      <w:bodyDiv w:val="1"/>
      <w:marLeft w:val="0"/>
      <w:marRight w:val="0"/>
      <w:marTop w:val="0"/>
      <w:marBottom w:val="0"/>
      <w:divBdr>
        <w:top w:val="none" w:sz="0" w:space="0" w:color="auto"/>
        <w:left w:val="none" w:sz="0" w:space="0" w:color="auto"/>
        <w:bottom w:val="none" w:sz="0" w:space="0" w:color="auto"/>
        <w:right w:val="none" w:sz="0" w:space="0" w:color="auto"/>
      </w:divBdr>
    </w:div>
    <w:div w:id="904292063">
      <w:bodyDiv w:val="1"/>
      <w:marLeft w:val="0"/>
      <w:marRight w:val="0"/>
      <w:marTop w:val="0"/>
      <w:marBottom w:val="0"/>
      <w:divBdr>
        <w:top w:val="none" w:sz="0" w:space="0" w:color="auto"/>
        <w:left w:val="none" w:sz="0" w:space="0" w:color="auto"/>
        <w:bottom w:val="none" w:sz="0" w:space="0" w:color="auto"/>
        <w:right w:val="none" w:sz="0" w:space="0" w:color="auto"/>
      </w:divBdr>
    </w:div>
    <w:div w:id="906577057">
      <w:bodyDiv w:val="1"/>
      <w:marLeft w:val="0"/>
      <w:marRight w:val="0"/>
      <w:marTop w:val="0"/>
      <w:marBottom w:val="0"/>
      <w:divBdr>
        <w:top w:val="none" w:sz="0" w:space="0" w:color="auto"/>
        <w:left w:val="none" w:sz="0" w:space="0" w:color="auto"/>
        <w:bottom w:val="none" w:sz="0" w:space="0" w:color="auto"/>
        <w:right w:val="none" w:sz="0" w:space="0" w:color="auto"/>
      </w:divBdr>
    </w:div>
    <w:div w:id="920215266">
      <w:bodyDiv w:val="1"/>
      <w:marLeft w:val="0"/>
      <w:marRight w:val="0"/>
      <w:marTop w:val="0"/>
      <w:marBottom w:val="0"/>
      <w:divBdr>
        <w:top w:val="none" w:sz="0" w:space="0" w:color="auto"/>
        <w:left w:val="none" w:sz="0" w:space="0" w:color="auto"/>
        <w:bottom w:val="none" w:sz="0" w:space="0" w:color="auto"/>
        <w:right w:val="none" w:sz="0" w:space="0" w:color="auto"/>
      </w:divBdr>
    </w:div>
    <w:div w:id="934167315">
      <w:bodyDiv w:val="1"/>
      <w:marLeft w:val="0"/>
      <w:marRight w:val="0"/>
      <w:marTop w:val="0"/>
      <w:marBottom w:val="0"/>
      <w:divBdr>
        <w:top w:val="none" w:sz="0" w:space="0" w:color="auto"/>
        <w:left w:val="none" w:sz="0" w:space="0" w:color="auto"/>
        <w:bottom w:val="none" w:sz="0" w:space="0" w:color="auto"/>
        <w:right w:val="none" w:sz="0" w:space="0" w:color="auto"/>
      </w:divBdr>
    </w:div>
    <w:div w:id="940457233">
      <w:bodyDiv w:val="1"/>
      <w:marLeft w:val="0"/>
      <w:marRight w:val="0"/>
      <w:marTop w:val="0"/>
      <w:marBottom w:val="0"/>
      <w:divBdr>
        <w:top w:val="none" w:sz="0" w:space="0" w:color="auto"/>
        <w:left w:val="none" w:sz="0" w:space="0" w:color="auto"/>
        <w:bottom w:val="none" w:sz="0" w:space="0" w:color="auto"/>
        <w:right w:val="none" w:sz="0" w:space="0" w:color="auto"/>
      </w:divBdr>
    </w:div>
    <w:div w:id="955020666">
      <w:bodyDiv w:val="1"/>
      <w:marLeft w:val="0"/>
      <w:marRight w:val="0"/>
      <w:marTop w:val="0"/>
      <w:marBottom w:val="0"/>
      <w:divBdr>
        <w:top w:val="none" w:sz="0" w:space="0" w:color="auto"/>
        <w:left w:val="none" w:sz="0" w:space="0" w:color="auto"/>
        <w:bottom w:val="none" w:sz="0" w:space="0" w:color="auto"/>
        <w:right w:val="none" w:sz="0" w:space="0" w:color="auto"/>
      </w:divBdr>
    </w:div>
    <w:div w:id="996877830">
      <w:bodyDiv w:val="1"/>
      <w:marLeft w:val="0"/>
      <w:marRight w:val="0"/>
      <w:marTop w:val="0"/>
      <w:marBottom w:val="0"/>
      <w:divBdr>
        <w:top w:val="none" w:sz="0" w:space="0" w:color="auto"/>
        <w:left w:val="none" w:sz="0" w:space="0" w:color="auto"/>
        <w:bottom w:val="none" w:sz="0" w:space="0" w:color="auto"/>
        <w:right w:val="none" w:sz="0" w:space="0" w:color="auto"/>
      </w:divBdr>
    </w:div>
    <w:div w:id="998534196">
      <w:bodyDiv w:val="1"/>
      <w:marLeft w:val="0"/>
      <w:marRight w:val="0"/>
      <w:marTop w:val="0"/>
      <w:marBottom w:val="0"/>
      <w:divBdr>
        <w:top w:val="none" w:sz="0" w:space="0" w:color="auto"/>
        <w:left w:val="none" w:sz="0" w:space="0" w:color="auto"/>
        <w:bottom w:val="none" w:sz="0" w:space="0" w:color="auto"/>
        <w:right w:val="none" w:sz="0" w:space="0" w:color="auto"/>
      </w:divBdr>
    </w:div>
    <w:div w:id="1016730090">
      <w:bodyDiv w:val="1"/>
      <w:marLeft w:val="0"/>
      <w:marRight w:val="0"/>
      <w:marTop w:val="0"/>
      <w:marBottom w:val="0"/>
      <w:divBdr>
        <w:top w:val="none" w:sz="0" w:space="0" w:color="auto"/>
        <w:left w:val="none" w:sz="0" w:space="0" w:color="auto"/>
        <w:bottom w:val="none" w:sz="0" w:space="0" w:color="auto"/>
        <w:right w:val="none" w:sz="0" w:space="0" w:color="auto"/>
      </w:divBdr>
    </w:div>
    <w:div w:id="1113865562">
      <w:bodyDiv w:val="1"/>
      <w:marLeft w:val="0"/>
      <w:marRight w:val="0"/>
      <w:marTop w:val="0"/>
      <w:marBottom w:val="0"/>
      <w:divBdr>
        <w:top w:val="none" w:sz="0" w:space="0" w:color="auto"/>
        <w:left w:val="none" w:sz="0" w:space="0" w:color="auto"/>
        <w:bottom w:val="none" w:sz="0" w:space="0" w:color="auto"/>
        <w:right w:val="none" w:sz="0" w:space="0" w:color="auto"/>
      </w:divBdr>
    </w:div>
    <w:div w:id="1127040980">
      <w:bodyDiv w:val="1"/>
      <w:marLeft w:val="0"/>
      <w:marRight w:val="0"/>
      <w:marTop w:val="0"/>
      <w:marBottom w:val="0"/>
      <w:divBdr>
        <w:top w:val="none" w:sz="0" w:space="0" w:color="auto"/>
        <w:left w:val="none" w:sz="0" w:space="0" w:color="auto"/>
        <w:bottom w:val="none" w:sz="0" w:space="0" w:color="auto"/>
        <w:right w:val="none" w:sz="0" w:space="0" w:color="auto"/>
      </w:divBdr>
    </w:div>
    <w:div w:id="1144202498">
      <w:bodyDiv w:val="1"/>
      <w:marLeft w:val="0"/>
      <w:marRight w:val="0"/>
      <w:marTop w:val="0"/>
      <w:marBottom w:val="0"/>
      <w:divBdr>
        <w:top w:val="none" w:sz="0" w:space="0" w:color="auto"/>
        <w:left w:val="none" w:sz="0" w:space="0" w:color="auto"/>
        <w:bottom w:val="none" w:sz="0" w:space="0" w:color="auto"/>
        <w:right w:val="none" w:sz="0" w:space="0" w:color="auto"/>
      </w:divBdr>
    </w:div>
    <w:div w:id="1150250320">
      <w:bodyDiv w:val="1"/>
      <w:marLeft w:val="0"/>
      <w:marRight w:val="0"/>
      <w:marTop w:val="0"/>
      <w:marBottom w:val="0"/>
      <w:divBdr>
        <w:top w:val="none" w:sz="0" w:space="0" w:color="auto"/>
        <w:left w:val="none" w:sz="0" w:space="0" w:color="auto"/>
        <w:bottom w:val="none" w:sz="0" w:space="0" w:color="auto"/>
        <w:right w:val="none" w:sz="0" w:space="0" w:color="auto"/>
      </w:divBdr>
    </w:div>
    <w:div w:id="1176657054">
      <w:bodyDiv w:val="1"/>
      <w:marLeft w:val="0"/>
      <w:marRight w:val="0"/>
      <w:marTop w:val="0"/>
      <w:marBottom w:val="0"/>
      <w:divBdr>
        <w:top w:val="none" w:sz="0" w:space="0" w:color="auto"/>
        <w:left w:val="none" w:sz="0" w:space="0" w:color="auto"/>
        <w:bottom w:val="none" w:sz="0" w:space="0" w:color="auto"/>
        <w:right w:val="none" w:sz="0" w:space="0" w:color="auto"/>
      </w:divBdr>
    </w:div>
    <w:div w:id="1206677237">
      <w:bodyDiv w:val="1"/>
      <w:marLeft w:val="0"/>
      <w:marRight w:val="0"/>
      <w:marTop w:val="0"/>
      <w:marBottom w:val="0"/>
      <w:divBdr>
        <w:top w:val="none" w:sz="0" w:space="0" w:color="auto"/>
        <w:left w:val="none" w:sz="0" w:space="0" w:color="auto"/>
        <w:bottom w:val="none" w:sz="0" w:space="0" w:color="auto"/>
        <w:right w:val="none" w:sz="0" w:space="0" w:color="auto"/>
      </w:divBdr>
    </w:div>
    <w:div w:id="1237863486">
      <w:bodyDiv w:val="1"/>
      <w:marLeft w:val="0"/>
      <w:marRight w:val="0"/>
      <w:marTop w:val="0"/>
      <w:marBottom w:val="0"/>
      <w:divBdr>
        <w:top w:val="none" w:sz="0" w:space="0" w:color="auto"/>
        <w:left w:val="none" w:sz="0" w:space="0" w:color="auto"/>
        <w:bottom w:val="none" w:sz="0" w:space="0" w:color="auto"/>
        <w:right w:val="none" w:sz="0" w:space="0" w:color="auto"/>
      </w:divBdr>
    </w:div>
    <w:div w:id="1256524268">
      <w:bodyDiv w:val="1"/>
      <w:marLeft w:val="0"/>
      <w:marRight w:val="0"/>
      <w:marTop w:val="0"/>
      <w:marBottom w:val="0"/>
      <w:divBdr>
        <w:top w:val="none" w:sz="0" w:space="0" w:color="auto"/>
        <w:left w:val="none" w:sz="0" w:space="0" w:color="auto"/>
        <w:bottom w:val="none" w:sz="0" w:space="0" w:color="auto"/>
        <w:right w:val="none" w:sz="0" w:space="0" w:color="auto"/>
      </w:divBdr>
    </w:div>
    <w:div w:id="1267931215">
      <w:bodyDiv w:val="1"/>
      <w:marLeft w:val="0"/>
      <w:marRight w:val="0"/>
      <w:marTop w:val="0"/>
      <w:marBottom w:val="0"/>
      <w:divBdr>
        <w:top w:val="none" w:sz="0" w:space="0" w:color="auto"/>
        <w:left w:val="none" w:sz="0" w:space="0" w:color="auto"/>
        <w:bottom w:val="none" w:sz="0" w:space="0" w:color="auto"/>
        <w:right w:val="none" w:sz="0" w:space="0" w:color="auto"/>
      </w:divBdr>
    </w:div>
    <w:div w:id="1268349002">
      <w:bodyDiv w:val="1"/>
      <w:marLeft w:val="0"/>
      <w:marRight w:val="0"/>
      <w:marTop w:val="0"/>
      <w:marBottom w:val="0"/>
      <w:divBdr>
        <w:top w:val="none" w:sz="0" w:space="0" w:color="auto"/>
        <w:left w:val="none" w:sz="0" w:space="0" w:color="auto"/>
        <w:bottom w:val="none" w:sz="0" w:space="0" w:color="auto"/>
        <w:right w:val="none" w:sz="0" w:space="0" w:color="auto"/>
      </w:divBdr>
    </w:div>
    <w:div w:id="1273441429">
      <w:bodyDiv w:val="1"/>
      <w:marLeft w:val="0"/>
      <w:marRight w:val="0"/>
      <w:marTop w:val="0"/>
      <w:marBottom w:val="0"/>
      <w:divBdr>
        <w:top w:val="none" w:sz="0" w:space="0" w:color="auto"/>
        <w:left w:val="none" w:sz="0" w:space="0" w:color="auto"/>
        <w:bottom w:val="none" w:sz="0" w:space="0" w:color="auto"/>
        <w:right w:val="none" w:sz="0" w:space="0" w:color="auto"/>
      </w:divBdr>
    </w:div>
    <w:div w:id="1281113128">
      <w:bodyDiv w:val="1"/>
      <w:marLeft w:val="0"/>
      <w:marRight w:val="0"/>
      <w:marTop w:val="0"/>
      <w:marBottom w:val="0"/>
      <w:divBdr>
        <w:top w:val="none" w:sz="0" w:space="0" w:color="auto"/>
        <w:left w:val="none" w:sz="0" w:space="0" w:color="auto"/>
        <w:bottom w:val="none" w:sz="0" w:space="0" w:color="auto"/>
        <w:right w:val="none" w:sz="0" w:space="0" w:color="auto"/>
      </w:divBdr>
    </w:div>
    <w:div w:id="1293563170">
      <w:bodyDiv w:val="1"/>
      <w:marLeft w:val="0"/>
      <w:marRight w:val="0"/>
      <w:marTop w:val="0"/>
      <w:marBottom w:val="0"/>
      <w:divBdr>
        <w:top w:val="none" w:sz="0" w:space="0" w:color="auto"/>
        <w:left w:val="none" w:sz="0" w:space="0" w:color="auto"/>
        <w:bottom w:val="none" w:sz="0" w:space="0" w:color="auto"/>
        <w:right w:val="none" w:sz="0" w:space="0" w:color="auto"/>
      </w:divBdr>
    </w:div>
    <w:div w:id="1323776466">
      <w:bodyDiv w:val="1"/>
      <w:marLeft w:val="0"/>
      <w:marRight w:val="0"/>
      <w:marTop w:val="0"/>
      <w:marBottom w:val="0"/>
      <w:divBdr>
        <w:top w:val="none" w:sz="0" w:space="0" w:color="auto"/>
        <w:left w:val="none" w:sz="0" w:space="0" w:color="auto"/>
        <w:bottom w:val="none" w:sz="0" w:space="0" w:color="auto"/>
        <w:right w:val="none" w:sz="0" w:space="0" w:color="auto"/>
      </w:divBdr>
    </w:div>
    <w:div w:id="1347713139">
      <w:bodyDiv w:val="1"/>
      <w:marLeft w:val="0"/>
      <w:marRight w:val="0"/>
      <w:marTop w:val="0"/>
      <w:marBottom w:val="0"/>
      <w:divBdr>
        <w:top w:val="none" w:sz="0" w:space="0" w:color="auto"/>
        <w:left w:val="none" w:sz="0" w:space="0" w:color="auto"/>
        <w:bottom w:val="none" w:sz="0" w:space="0" w:color="auto"/>
        <w:right w:val="none" w:sz="0" w:space="0" w:color="auto"/>
      </w:divBdr>
    </w:div>
    <w:div w:id="1360858847">
      <w:bodyDiv w:val="1"/>
      <w:marLeft w:val="0"/>
      <w:marRight w:val="0"/>
      <w:marTop w:val="0"/>
      <w:marBottom w:val="0"/>
      <w:divBdr>
        <w:top w:val="none" w:sz="0" w:space="0" w:color="auto"/>
        <w:left w:val="none" w:sz="0" w:space="0" w:color="auto"/>
        <w:bottom w:val="none" w:sz="0" w:space="0" w:color="auto"/>
        <w:right w:val="none" w:sz="0" w:space="0" w:color="auto"/>
      </w:divBdr>
    </w:div>
    <w:div w:id="1366756416">
      <w:bodyDiv w:val="1"/>
      <w:marLeft w:val="0"/>
      <w:marRight w:val="0"/>
      <w:marTop w:val="0"/>
      <w:marBottom w:val="0"/>
      <w:divBdr>
        <w:top w:val="none" w:sz="0" w:space="0" w:color="auto"/>
        <w:left w:val="none" w:sz="0" w:space="0" w:color="auto"/>
        <w:bottom w:val="none" w:sz="0" w:space="0" w:color="auto"/>
        <w:right w:val="none" w:sz="0" w:space="0" w:color="auto"/>
      </w:divBdr>
    </w:div>
    <w:div w:id="1369256730">
      <w:bodyDiv w:val="1"/>
      <w:marLeft w:val="0"/>
      <w:marRight w:val="0"/>
      <w:marTop w:val="0"/>
      <w:marBottom w:val="0"/>
      <w:divBdr>
        <w:top w:val="none" w:sz="0" w:space="0" w:color="auto"/>
        <w:left w:val="none" w:sz="0" w:space="0" w:color="auto"/>
        <w:bottom w:val="none" w:sz="0" w:space="0" w:color="auto"/>
        <w:right w:val="none" w:sz="0" w:space="0" w:color="auto"/>
      </w:divBdr>
    </w:div>
    <w:div w:id="1384711724">
      <w:bodyDiv w:val="1"/>
      <w:marLeft w:val="0"/>
      <w:marRight w:val="0"/>
      <w:marTop w:val="0"/>
      <w:marBottom w:val="0"/>
      <w:divBdr>
        <w:top w:val="none" w:sz="0" w:space="0" w:color="auto"/>
        <w:left w:val="none" w:sz="0" w:space="0" w:color="auto"/>
        <w:bottom w:val="none" w:sz="0" w:space="0" w:color="auto"/>
        <w:right w:val="none" w:sz="0" w:space="0" w:color="auto"/>
      </w:divBdr>
    </w:div>
    <w:div w:id="1389692575">
      <w:bodyDiv w:val="1"/>
      <w:marLeft w:val="0"/>
      <w:marRight w:val="0"/>
      <w:marTop w:val="0"/>
      <w:marBottom w:val="0"/>
      <w:divBdr>
        <w:top w:val="none" w:sz="0" w:space="0" w:color="auto"/>
        <w:left w:val="none" w:sz="0" w:space="0" w:color="auto"/>
        <w:bottom w:val="none" w:sz="0" w:space="0" w:color="auto"/>
        <w:right w:val="none" w:sz="0" w:space="0" w:color="auto"/>
      </w:divBdr>
    </w:div>
    <w:div w:id="1405832484">
      <w:bodyDiv w:val="1"/>
      <w:marLeft w:val="0"/>
      <w:marRight w:val="0"/>
      <w:marTop w:val="0"/>
      <w:marBottom w:val="0"/>
      <w:divBdr>
        <w:top w:val="none" w:sz="0" w:space="0" w:color="auto"/>
        <w:left w:val="none" w:sz="0" w:space="0" w:color="auto"/>
        <w:bottom w:val="none" w:sz="0" w:space="0" w:color="auto"/>
        <w:right w:val="none" w:sz="0" w:space="0" w:color="auto"/>
      </w:divBdr>
    </w:div>
    <w:div w:id="1408529814">
      <w:bodyDiv w:val="1"/>
      <w:marLeft w:val="0"/>
      <w:marRight w:val="0"/>
      <w:marTop w:val="0"/>
      <w:marBottom w:val="0"/>
      <w:divBdr>
        <w:top w:val="none" w:sz="0" w:space="0" w:color="auto"/>
        <w:left w:val="none" w:sz="0" w:space="0" w:color="auto"/>
        <w:bottom w:val="none" w:sz="0" w:space="0" w:color="auto"/>
        <w:right w:val="none" w:sz="0" w:space="0" w:color="auto"/>
      </w:divBdr>
    </w:div>
    <w:div w:id="1414427626">
      <w:bodyDiv w:val="1"/>
      <w:marLeft w:val="0"/>
      <w:marRight w:val="0"/>
      <w:marTop w:val="0"/>
      <w:marBottom w:val="0"/>
      <w:divBdr>
        <w:top w:val="none" w:sz="0" w:space="0" w:color="auto"/>
        <w:left w:val="none" w:sz="0" w:space="0" w:color="auto"/>
        <w:bottom w:val="none" w:sz="0" w:space="0" w:color="auto"/>
        <w:right w:val="none" w:sz="0" w:space="0" w:color="auto"/>
      </w:divBdr>
    </w:div>
    <w:div w:id="1417899694">
      <w:bodyDiv w:val="1"/>
      <w:marLeft w:val="0"/>
      <w:marRight w:val="0"/>
      <w:marTop w:val="0"/>
      <w:marBottom w:val="0"/>
      <w:divBdr>
        <w:top w:val="none" w:sz="0" w:space="0" w:color="auto"/>
        <w:left w:val="none" w:sz="0" w:space="0" w:color="auto"/>
        <w:bottom w:val="none" w:sz="0" w:space="0" w:color="auto"/>
        <w:right w:val="none" w:sz="0" w:space="0" w:color="auto"/>
      </w:divBdr>
    </w:div>
    <w:div w:id="1420785505">
      <w:bodyDiv w:val="1"/>
      <w:marLeft w:val="0"/>
      <w:marRight w:val="0"/>
      <w:marTop w:val="0"/>
      <w:marBottom w:val="0"/>
      <w:divBdr>
        <w:top w:val="none" w:sz="0" w:space="0" w:color="auto"/>
        <w:left w:val="none" w:sz="0" w:space="0" w:color="auto"/>
        <w:bottom w:val="none" w:sz="0" w:space="0" w:color="auto"/>
        <w:right w:val="none" w:sz="0" w:space="0" w:color="auto"/>
      </w:divBdr>
    </w:div>
    <w:div w:id="1434739704">
      <w:bodyDiv w:val="1"/>
      <w:marLeft w:val="0"/>
      <w:marRight w:val="0"/>
      <w:marTop w:val="0"/>
      <w:marBottom w:val="0"/>
      <w:divBdr>
        <w:top w:val="none" w:sz="0" w:space="0" w:color="auto"/>
        <w:left w:val="none" w:sz="0" w:space="0" w:color="auto"/>
        <w:bottom w:val="none" w:sz="0" w:space="0" w:color="auto"/>
        <w:right w:val="none" w:sz="0" w:space="0" w:color="auto"/>
      </w:divBdr>
      <w:divsChild>
        <w:div w:id="503666585">
          <w:marLeft w:val="0"/>
          <w:marRight w:val="0"/>
          <w:marTop w:val="0"/>
          <w:marBottom w:val="0"/>
          <w:divBdr>
            <w:top w:val="none" w:sz="0" w:space="0" w:color="auto"/>
            <w:left w:val="none" w:sz="0" w:space="0" w:color="auto"/>
            <w:bottom w:val="none" w:sz="0" w:space="0" w:color="auto"/>
            <w:right w:val="none" w:sz="0" w:space="0" w:color="auto"/>
          </w:divBdr>
          <w:divsChild>
            <w:div w:id="563099686">
              <w:marLeft w:val="0"/>
              <w:marRight w:val="0"/>
              <w:marTop w:val="0"/>
              <w:marBottom w:val="0"/>
              <w:divBdr>
                <w:top w:val="none" w:sz="0" w:space="0" w:color="auto"/>
                <w:left w:val="none" w:sz="0" w:space="0" w:color="auto"/>
                <w:bottom w:val="none" w:sz="0" w:space="0" w:color="auto"/>
                <w:right w:val="none" w:sz="0" w:space="0" w:color="auto"/>
              </w:divBdr>
              <w:divsChild>
                <w:div w:id="1045645425">
                  <w:marLeft w:val="0"/>
                  <w:marRight w:val="0"/>
                  <w:marTop w:val="0"/>
                  <w:marBottom w:val="0"/>
                  <w:divBdr>
                    <w:top w:val="none" w:sz="0" w:space="0" w:color="auto"/>
                    <w:left w:val="none" w:sz="0" w:space="0" w:color="auto"/>
                    <w:bottom w:val="none" w:sz="0" w:space="0" w:color="auto"/>
                    <w:right w:val="none" w:sz="0" w:space="0" w:color="auto"/>
                  </w:divBdr>
                  <w:divsChild>
                    <w:div w:id="1452016478">
                      <w:marLeft w:val="0"/>
                      <w:marRight w:val="0"/>
                      <w:marTop w:val="0"/>
                      <w:marBottom w:val="0"/>
                      <w:divBdr>
                        <w:top w:val="none" w:sz="0" w:space="0" w:color="auto"/>
                        <w:left w:val="none" w:sz="0" w:space="0" w:color="auto"/>
                        <w:bottom w:val="none" w:sz="0" w:space="0" w:color="auto"/>
                        <w:right w:val="none" w:sz="0" w:space="0" w:color="auto"/>
                      </w:divBdr>
                      <w:divsChild>
                        <w:div w:id="14260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168739">
          <w:marLeft w:val="0"/>
          <w:marRight w:val="0"/>
          <w:marTop w:val="0"/>
          <w:marBottom w:val="0"/>
          <w:divBdr>
            <w:top w:val="none" w:sz="0" w:space="0" w:color="auto"/>
            <w:left w:val="none" w:sz="0" w:space="0" w:color="auto"/>
            <w:bottom w:val="none" w:sz="0" w:space="0" w:color="auto"/>
            <w:right w:val="none" w:sz="0" w:space="0" w:color="auto"/>
          </w:divBdr>
          <w:divsChild>
            <w:div w:id="409272658">
              <w:marLeft w:val="0"/>
              <w:marRight w:val="0"/>
              <w:marTop w:val="0"/>
              <w:marBottom w:val="0"/>
              <w:divBdr>
                <w:top w:val="none" w:sz="0" w:space="0" w:color="auto"/>
                <w:left w:val="none" w:sz="0" w:space="0" w:color="auto"/>
                <w:bottom w:val="none" w:sz="0" w:space="0" w:color="auto"/>
                <w:right w:val="none" w:sz="0" w:space="0" w:color="auto"/>
              </w:divBdr>
            </w:div>
            <w:div w:id="561137943">
              <w:marLeft w:val="0"/>
              <w:marRight w:val="0"/>
              <w:marTop w:val="0"/>
              <w:marBottom w:val="0"/>
              <w:divBdr>
                <w:top w:val="none" w:sz="0" w:space="0" w:color="auto"/>
                <w:left w:val="none" w:sz="0" w:space="0" w:color="auto"/>
                <w:bottom w:val="none" w:sz="0" w:space="0" w:color="auto"/>
                <w:right w:val="none" w:sz="0" w:space="0" w:color="auto"/>
              </w:divBdr>
            </w:div>
            <w:div w:id="420874797">
              <w:marLeft w:val="0"/>
              <w:marRight w:val="0"/>
              <w:marTop w:val="0"/>
              <w:marBottom w:val="0"/>
              <w:divBdr>
                <w:top w:val="single" w:sz="6" w:space="9" w:color="D0D0D0"/>
                <w:left w:val="single" w:sz="6" w:space="9" w:color="D0D0D0"/>
                <w:bottom w:val="single" w:sz="6" w:space="9" w:color="D0D0D0"/>
                <w:right w:val="single" w:sz="6" w:space="9" w:color="D0D0D0"/>
              </w:divBdr>
            </w:div>
          </w:divsChild>
        </w:div>
      </w:divsChild>
    </w:div>
    <w:div w:id="1459105684">
      <w:bodyDiv w:val="1"/>
      <w:marLeft w:val="0"/>
      <w:marRight w:val="0"/>
      <w:marTop w:val="0"/>
      <w:marBottom w:val="0"/>
      <w:divBdr>
        <w:top w:val="none" w:sz="0" w:space="0" w:color="auto"/>
        <w:left w:val="none" w:sz="0" w:space="0" w:color="auto"/>
        <w:bottom w:val="none" w:sz="0" w:space="0" w:color="auto"/>
        <w:right w:val="none" w:sz="0" w:space="0" w:color="auto"/>
      </w:divBdr>
    </w:div>
    <w:div w:id="1501307043">
      <w:bodyDiv w:val="1"/>
      <w:marLeft w:val="0"/>
      <w:marRight w:val="0"/>
      <w:marTop w:val="0"/>
      <w:marBottom w:val="0"/>
      <w:divBdr>
        <w:top w:val="none" w:sz="0" w:space="0" w:color="auto"/>
        <w:left w:val="none" w:sz="0" w:space="0" w:color="auto"/>
        <w:bottom w:val="none" w:sz="0" w:space="0" w:color="auto"/>
        <w:right w:val="none" w:sz="0" w:space="0" w:color="auto"/>
      </w:divBdr>
    </w:div>
    <w:div w:id="1511025681">
      <w:bodyDiv w:val="1"/>
      <w:marLeft w:val="0"/>
      <w:marRight w:val="0"/>
      <w:marTop w:val="0"/>
      <w:marBottom w:val="0"/>
      <w:divBdr>
        <w:top w:val="none" w:sz="0" w:space="0" w:color="auto"/>
        <w:left w:val="none" w:sz="0" w:space="0" w:color="auto"/>
        <w:bottom w:val="none" w:sz="0" w:space="0" w:color="auto"/>
        <w:right w:val="none" w:sz="0" w:space="0" w:color="auto"/>
      </w:divBdr>
    </w:div>
    <w:div w:id="1546329933">
      <w:bodyDiv w:val="1"/>
      <w:marLeft w:val="0"/>
      <w:marRight w:val="0"/>
      <w:marTop w:val="0"/>
      <w:marBottom w:val="0"/>
      <w:divBdr>
        <w:top w:val="none" w:sz="0" w:space="0" w:color="auto"/>
        <w:left w:val="none" w:sz="0" w:space="0" w:color="auto"/>
        <w:bottom w:val="none" w:sz="0" w:space="0" w:color="auto"/>
        <w:right w:val="none" w:sz="0" w:space="0" w:color="auto"/>
      </w:divBdr>
    </w:div>
    <w:div w:id="1558281822">
      <w:bodyDiv w:val="1"/>
      <w:marLeft w:val="0"/>
      <w:marRight w:val="0"/>
      <w:marTop w:val="0"/>
      <w:marBottom w:val="0"/>
      <w:divBdr>
        <w:top w:val="none" w:sz="0" w:space="0" w:color="auto"/>
        <w:left w:val="none" w:sz="0" w:space="0" w:color="auto"/>
        <w:bottom w:val="none" w:sz="0" w:space="0" w:color="auto"/>
        <w:right w:val="none" w:sz="0" w:space="0" w:color="auto"/>
      </w:divBdr>
    </w:div>
    <w:div w:id="1571385227">
      <w:bodyDiv w:val="1"/>
      <w:marLeft w:val="0"/>
      <w:marRight w:val="0"/>
      <w:marTop w:val="0"/>
      <w:marBottom w:val="0"/>
      <w:divBdr>
        <w:top w:val="none" w:sz="0" w:space="0" w:color="auto"/>
        <w:left w:val="none" w:sz="0" w:space="0" w:color="auto"/>
        <w:bottom w:val="none" w:sz="0" w:space="0" w:color="auto"/>
        <w:right w:val="none" w:sz="0" w:space="0" w:color="auto"/>
      </w:divBdr>
    </w:div>
    <w:div w:id="1577088623">
      <w:bodyDiv w:val="1"/>
      <w:marLeft w:val="0"/>
      <w:marRight w:val="0"/>
      <w:marTop w:val="0"/>
      <w:marBottom w:val="0"/>
      <w:divBdr>
        <w:top w:val="none" w:sz="0" w:space="0" w:color="auto"/>
        <w:left w:val="none" w:sz="0" w:space="0" w:color="auto"/>
        <w:bottom w:val="none" w:sz="0" w:space="0" w:color="auto"/>
        <w:right w:val="none" w:sz="0" w:space="0" w:color="auto"/>
      </w:divBdr>
    </w:div>
    <w:div w:id="1605336424">
      <w:bodyDiv w:val="1"/>
      <w:marLeft w:val="0"/>
      <w:marRight w:val="0"/>
      <w:marTop w:val="0"/>
      <w:marBottom w:val="0"/>
      <w:divBdr>
        <w:top w:val="none" w:sz="0" w:space="0" w:color="auto"/>
        <w:left w:val="none" w:sz="0" w:space="0" w:color="auto"/>
        <w:bottom w:val="none" w:sz="0" w:space="0" w:color="auto"/>
        <w:right w:val="none" w:sz="0" w:space="0" w:color="auto"/>
      </w:divBdr>
    </w:div>
    <w:div w:id="1617638548">
      <w:bodyDiv w:val="1"/>
      <w:marLeft w:val="0"/>
      <w:marRight w:val="0"/>
      <w:marTop w:val="0"/>
      <w:marBottom w:val="0"/>
      <w:divBdr>
        <w:top w:val="none" w:sz="0" w:space="0" w:color="auto"/>
        <w:left w:val="none" w:sz="0" w:space="0" w:color="auto"/>
        <w:bottom w:val="none" w:sz="0" w:space="0" w:color="auto"/>
        <w:right w:val="none" w:sz="0" w:space="0" w:color="auto"/>
      </w:divBdr>
    </w:div>
    <w:div w:id="1622954238">
      <w:bodyDiv w:val="1"/>
      <w:marLeft w:val="0"/>
      <w:marRight w:val="0"/>
      <w:marTop w:val="0"/>
      <w:marBottom w:val="0"/>
      <w:divBdr>
        <w:top w:val="none" w:sz="0" w:space="0" w:color="auto"/>
        <w:left w:val="none" w:sz="0" w:space="0" w:color="auto"/>
        <w:bottom w:val="none" w:sz="0" w:space="0" w:color="auto"/>
        <w:right w:val="none" w:sz="0" w:space="0" w:color="auto"/>
      </w:divBdr>
    </w:div>
    <w:div w:id="1650741231">
      <w:bodyDiv w:val="1"/>
      <w:marLeft w:val="0"/>
      <w:marRight w:val="0"/>
      <w:marTop w:val="0"/>
      <w:marBottom w:val="0"/>
      <w:divBdr>
        <w:top w:val="none" w:sz="0" w:space="0" w:color="auto"/>
        <w:left w:val="none" w:sz="0" w:space="0" w:color="auto"/>
        <w:bottom w:val="none" w:sz="0" w:space="0" w:color="auto"/>
        <w:right w:val="none" w:sz="0" w:space="0" w:color="auto"/>
      </w:divBdr>
    </w:div>
    <w:div w:id="1663125286">
      <w:bodyDiv w:val="1"/>
      <w:marLeft w:val="0"/>
      <w:marRight w:val="0"/>
      <w:marTop w:val="0"/>
      <w:marBottom w:val="0"/>
      <w:divBdr>
        <w:top w:val="none" w:sz="0" w:space="0" w:color="auto"/>
        <w:left w:val="none" w:sz="0" w:space="0" w:color="auto"/>
        <w:bottom w:val="none" w:sz="0" w:space="0" w:color="auto"/>
        <w:right w:val="none" w:sz="0" w:space="0" w:color="auto"/>
      </w:divBdr>
    </w:div>
    <w:div w:id="1664745501">
      <w:bodyDiv w:val="1"/>
      <w:marLeft w:val="0"/>
      <w:marRight w:val="0"/>
      <w:marTop w:val="0"/>
      <w:marBottom w:val="0"/>
      <w:divBdr>
        <w:top w:val="none" w:sz="0" w:space="0" w:color="auto"/>
        <w:left w:val="none" w:sz="0" w:space="0" w:color="auto"/>
        <w:bottom w:val="none" w:sz="0" w:space="0" w:color="auto"/>
        <w:right w:val="none" w:sz="0" w:space="0" w:color="auto"/>
      </w:divBdr>
    </w:div>
    <w:div w:id="1678266940">
      <w:bodyDiv w:val="1"/>
      <w:marLeft w:val="0"/>
      <w:marRight w:val="0"/>
      <w:marTop w:val="0"/>
      <w:marBottom w:val="0"/>
      <w:divBdr>
        <w:top w:val="none" w:sz="0" w:space="0" w:color="auto"/>
        <w:left w:val="none" w:sz="0" w:space="0" w:color="auto"/>
        <w:bottom w:val="none" w:sz="0" w:space="0" w:color="auto"/>
        <w:right w:val="none" w:sz="0" w:space="0" w:color="auto"/>
      </w:divBdr>
    </w:div>
    <w:div w:id="1682581238">
      <w:bodyDiv w:val="1"/>
      <w:marLeft w:val="0"/>
      <w:marRight w:val="0"/>
      <w:marTop w:val="0"/>
      <w:marBottom w:val="0"/>
      <w:divBdr>
        <w:top w:val="none" w:sz="0" w:space="0" w:color="auto"/>
        <w:left w:val="none" w:sz="0" w:space="0" w:color="auto"/>
        <w:bottom w:val="none" w:sz="0" w:space="0" w:color="auto"/>
        <w:right w:val="none" w:sz="0" w:space="0" w:color="auto"/>
      </w:divBdr>
    </w:div>
    <w:div w:id="1704675957">
      <w:bodyDiv w:val="1"/>
      <w:marLeft w:val="0"/>
      <w:marRight w:val="0"/>
      <w:marTop w:val="0"/>
      <w:marBottom w:val="0"/>
      <w:divBdr>
        <w:top w:val="none" w:sz="0" w:space="0" w:color="auto"/>
        <w:left w:val="none" w:sz="0" w:space="0" w:color="auto"/>
        <w:bottom w:val="none" w:sz="0" w:space="0" w:color="auto"/>
        <w:right w:val="none" w:sz="0" w:space="0" w:color="auto"/>
      </w:divBdr>
    </w:div>
    <w:div w:id="1707560093">
      <w:bodyDiv w:val="1"/>
      <w:marLeft w:val="0"/>
      <w:marRight w:val="0"/>
      <w:marTop w:val="0"/>
      <w:marBottom w:val="0"/>
      <w:divBdr>
        <w:top w:val="none" w:sz="0" w:space="0" w:color="auto"/>
        <w:left w:val="none" w:sz="0" w:space="0" w:color="auto"/>
        <w:bottom w:val="none" w:sz="0" w:space="0" w:color="auto"/>
        <w:right w:val="none" w:sz="0" w:space="0" w:color="auto"/>
      </w:divBdr>
    </w:div>
    <w:div w:id="1711372344">
      <w:bodyDiv w:val="1"/>
      <w:marLeft w:val="0"/>
      <w:marRight w:val="0"/>
      <w:marTop w:val="0"/>
      <w:marBottom w:val="0"/>
      <w:divBdr>
        <w:top w:val="none" w:sz="0" w:space="0" w:color="auto"/>
        <w:left w:val="none" w:sz="0" w:space="0" w:color="auto"/>
        <w:bottom w:val="none" w:sz="0" w:space="0" w:color="auto"/>
        <w:right w:val="none" w:sz="0" w:space="0" w:color="auto"/>
      </w:divBdr>
    </w:div>
    <w:div w:id="1713725799">
      <w:bodyDiv w:val="1"/>
      <w:marLeft w:val="0"/>
      <w:marRight w:val="0"/>
      <w:marTop w:val="0"/>
      <w:marBottom w:val="0"/>
      <w:divBdr>
        <w:top w:val="none" w:sz="0" w:space="0" w:color="auto"/>
        <w:left w:val="none" w:sz="0" w:space="0" w:color="auto"/>
        <w:bottom w:val="none" w:sz="0" w:space="0" w:color="auto"/>
        <w:right w:val="none" w:sz="0" w:space="0" w:color="auto"/>
      </w:divBdr>
    </w:div>
    <w:div w:id="1746106227">
      <w:bodyDiv w:val="1"/>
      <w:marLeft w:val="0"/>
      <w:marRight w:val="0"/>
      <w:marTop w:val="0"/>
      <w:marBottom w:val="0"/>
      <w:divBdr>
        <w:top w:val="none" w:sz="0" w:space="0" w:color="auto"/>
        <w:left w:val="none" w:sz="0" w:space="0" w:color="auto"/>
        <w:bottom w:val="none" w:sz="0" w:space="0" w:color="auto"/>
        <w:right w:val="none" w:sz="0" w:space="0" w:color="auto"/>
      </w:divBdr>
    </w:div>
    <w:div w:id="1754349507">
      <w:bodyDiv w:val="1"/>
      <w:marLeft w:val="0"/>
      <w:marRight w:val="0"/>
      <w:marTop w:val="0"/>
      <w:marBottom w:val="0"/>
      <w:divBdr>
        <w:top w:val="none" w:sz="0" w:space="0" w:color="auto"/>
        <w:left w:val="none" w:sz="0" w:space="0" w:color="auto"/>
        <w:bottom w:val="none" w:sz="0" w:space="0" w:color="auto"/>
        <w:right w:val="none" w:sz="0" w:space="0" w:color="auto"/>
      </w:divBdr>
    </w:div>
    <w:div w:id="1768503681">
      <w:bodyDiv w:val="1"/>
      <w:marLeft w:val="0"/>
      <w:marRight w:val="0"/>
      <w:marTop w:val="0"/>
      <w:marBottom w:val="0"/>
      <w:divBdr>
        <w:top w:val="none" w:sz="0" w:space="0" w:color="auto"/>
        <w:left w:val="none" w:sz="0" w:space="0" w:color="auto"/>
        <w:bottom w:val="none" w:sz="0" w:space="0" w:color="auto"/>
        <w:right w:val="none" w:sz="0" w:space="0" w:color="auto"/>
      </w:divBdr>
    </w:div>
    <w:div w:id="1785004972">
      <w:bodyDiv w:val="1"/>
      <w:marLeft w:val="0"/>
      <w:marRight w:val="0"/>
      <w:marTop w:val="0"/>
      <w:marBottom w:val="0"/>
      <w:divBdr>
        <w:top w:val="none" w:sz="0" w:space="0" w:color="auto"/>
        <w:left w:val="none" w:sz="0" w:space="0" w:color="auto"/>
        <w:bottom w:val="none" w:sz="0" w:space="0" w:color="auto"/>
        <w:right w:val="none" w:sz="0" w:space="0" w:color="auto"/>
      </w:divBdr>
    </w:div>
    <w:div w:id="1793398168">
      <w:bodyDiv w:val="1"/>
      <w:marLeft w:val="0"/>
      <w:marRight w:val="0"/>
      <w:marTop w:val="0"/>
      <w:marBottom w:val="0"/>
      <w:divBdr>
        <w:top w:val="none" w:sz="0" w:space="0" w:color="auto"/>
        <w:left w:val="none" w:sz="0" w:space="0" w:color="auto"/>
        <w:bottom w:val="none" w:sz="0" w:space="0" w:color="auto"/>
        <w:right w:val="none" w:sz="0" w:space="0" w:color="auto"/>
      </w:divBdr>
    </w:div>
    <w:div w:id="1796371204">
      <w:bodyDiv w:val="1"/>
      <w:marLeft w:val="0"/>
      <w:marRight w:val="0"/>
      <w:marTop w:val="0"/>
      <w:marBottom w:val="0"/>
      <w:divBdr>
        <w:top w:val="none" w:sz="0" w:space="0" w:color="auto"/>
        <w:left w:val="none" w:sz="0" w:space="0" w:color="auto"/>
        <w:bottom w:val="none" w:sz="0" w:space="0" w:color="auto"/>
        <w:right w:val="none" w:sz="0" w:space="0" w:color="auto"/>
      </w:divBdr>
    </w:div>
    <w:div w:id="1804468322">
      <w:bodyDiv w:val="1"/>
      <w:marLeft w:val="0"/>
      <w:marRight w:val="0"/>
      <w:marTop w:val="0"/>
      <w:marBottom w:val="0"/>
      <w:divBdr>
        <w:top w:val="none" w:sz="0" w:space="0" w:color="auto"/>
        <w:left w:val="none" w:sz="0" w:space="0" w:color="auto"/>
        <w:bottom w:val="none" w:sz="0" w:space="0" w:color="auto"/>
        <w:right w:val="none" w:sz="0" w:space="0" w:color="auto"/>
      </w:divBdr>
    </w:div>
    <w:div w:id="1821380682">
      <w:bodyDiv w:val="1"/>
      <w:marLeft w:val="0"/>
      <w:marRight w:val="0"/>
      <w:marTop w:val="0"/>
      <w:marBottom w:val="0"/>
      <w:divBdr>
        <w:top w:val="none" w:sz="0" w:space="0" w:color="auto"/>
        <w:left w:val="none" w:sz="0" w:space="0" w:color="auto"/>
        <w:bottom w:val="none" w:sz="0" w:space="0" w:color="auto"/>
        <w:right w:val="none" w:sz="0" w:space="0" w:color="auto"/>
      </w:divBdr>
    </w:div>
    <w:div w:id="1823890767">
      <w:bodyDiv w:val="1"/>
      <w:marLeft w:val="0"/>
      <w:marRight w:val="0"/>
      <w:marTop w:val="0"/>
      <w:marBottom w:val="0"/>
      <w:divBdr>
        <w:top w:val="none" w:sz="0" w:space="0" w:color="auto"/>
        <w:left w:val="none" w:sz="0" w:space="0" w:color="auto"/>
        <w:bottom w:val="none" w:sz="0" w:space="0" w:color="auto"/>
        <w:right w:val="none" w:sz="0" w:space="0" w:color="auto"/>
      </w:divBdr>
    </w:div>
    <w:div w:id="1879852332">
      <w:bodyDiv w:val="1"/>
      <w:marLeft w:val="0"/>
      <w:marRight w:val="0"/>
      <w:marTop w:val="0"/>
      <w:marBottom w:val="0"/>
      <w:divBdr>
        <w:top w:val="none" w:sz="0" w:space="0" w:color="auto"/>
        <w:left w:val="none" w:sz="0" w:space="0" w:color="auto"/>
        <w:bottom w:val="none" w:sz="0" w:space="0" w:color="auto"/>
        <w:right w:val="none" w:sz="0" w:space="0" w:color="auto"/>
      </w:divBdr>
    </w:div>
    <w:div w:id="1903834769">
      <w:bodyDiv w:val="1"/>
      <w:marLeft w:val="0"/>
      <w:marRight w:val="0"/>
      <w:marTop w:val="0"/>
      <w:marBottom w:val="0"/>
      <w:divBdr>
        <w:top w:val="none" w:sz="0" w:space="0" w:color="auto"/>
        <w:left w:val="none" w:sz="0" w:space="0" w:color="auto"/>
        <w:bottom w:val="none" w:sz="0" w:space="0" w:color="auto"/>
        <w:right w:val="none" w:sz="0" w:space="0" w:color="auto"/>
      </w:divBdr>
    </w:div>
    <w:div w:id="1907109660">
      <w:bodyDiv w:val="1"/>
      <w:marLeft w:val="0"/>
      <w:marRight w:val="0"/>
      <w:marTop w:val="0"/>
      <w:marBottom w:val="0"/>
      <w:divBdr>
        <w:top w:val="none" w:sz="0" w:space="0" w:color="auto"/>
        <w:left w:val="none" w:sz="0" w:space="0" w:color="auto"/>
        <w:bottom w:val="none" w:sz="0" w:space="0" w:color="auto"/>
        <w:right w:val="none" w:sz="0" w:space="0" w:color="auto"/>
      </w:divBdr>
    </w:div>
    <w:div w:id="1923371659">
      <w:bodyDiv w:val="1"/>
      <w:marLeft w:val="0"/>
      <w:marRight w:val="0"/>
      <w:marTop w:val="0"/>
      <w:marBottom w:val="0"/>
      <w:divBdr>
        <w:top w:val="none" w:sz="0" w:space="0" w:color="auto"/>
        <w:left w:val="none" w:sz="0" w:space="0" w:color="auto"/>
        <w:bottom w:val="none" w:sz="0" w:space="0" w:color="auto"/>
        <w:right w:val="none" w:sz="0" w:space="0" w:color="auto"/>
      </w:divBdr>
    </w:div>
    <w:div w:id="1981107721">
      <w:bodyDiv w:val="1"/>
      <w:marLeft w:val="0"/>
      <w:marRight w:val="0"/>
      <w:marTop w:val="0"/>
      <w:marBottom w:val="0"/>
      <w:divBdr>
        <w:top w:val="none" w:sz="0" w:space="0" w:color="auto"/>
        <w:left w:val="none" w:sz="0" w:space="0" w:color="auto"/>
        <w:bottom w:val="none" w:sz="0" w:space="0" w:color="auto"/>
        <w:right w:val="none" w:sz="0" w:space="0" w:color="auto"/>
      </w:divBdr>
      <w:divsChild>
        <w:div w:id="1916817723">
          <w:marLeft w:val="0"/>
          <w:marRight w:val="0"/>
          <w:marTop w:val="0"/>
          <w:marBottom w:val="0"/>
          <w:divBdr>
            <w:top w:val="none" w:sz="0" w:space="0" w:color="auto"/>
            <w:left w:val="none" w:sz="0" w:space="0" w:color="auto"/>
            <w:bottom w:val="none" w:sz="0" w:space="0" w:color="auto"/>
            <w:right w:val="none" w:sz="0" w:space="0" w:color="auto"/>
          </w:divBdr>
          <w:divsChild>
            <w:div w:id="669410741">
              <w:marLeft w:val="0"/>
              <w:marRight w:val="0"/>
              <w:marTop w:val="0"/>
              <w:marBottom w:val="0"/>
              <w:divBdr>
                <w:top w:val="none" w:sz="0" w:space="0" w:color="auto"/>
                <w:left w:val="none" w:sz="0" w:space="0" w:color="auto"/>
                <w:bottom w:val="none" w:sz="0" w:space="0" w:color="auto"/>
                <w:right w:val="none" w:sz="0" w:space="0" w:color="auto"/>
              </w:divBdr>
              <w:divsChild>
                <w:div w:id="1004748075">
                  <w:marLeft w:val="0"/>
                  <w:marRight w:val="0"/>
                  <w:marTop w:val="0"/>
                  <w:marBottom w:val="0"/>
                  <w:divBdr>
                    <w:top w:val="none" w:sz="0" w:space="0" w:color="auto"/>
                    <w:left w:val="none" w:sz="0" w:space="0" w:color="auto"/>
                    <w:bottom w:val="none" w:sz="0" w:space="0" w:color="auto"/>
                    <w:right w:val="none" w:sz="0" w:space="0" w:color="auto"/>
                  </w:divBdr>
                  <w:divsChild>
                    <w:div w:id="479348712">
                      <w:marLeft w:val="0"/>
                      <w:marRight w:val="0"/>
                      <w:marTop w:val="0"/>
                      <w:marBottom w:val="0"/>
                      <w:divBdr>
                        <w:top w:val="none" w:sz="0" w:space="0" w:color="auto"/>
                        <w:left w:val="none" w:sz="0" w:space="0" w:color="auto"/>
                        <w:bottom w:val="none" w:sz="0" w:space="0" w:color="auto"/>
                        <w:right w:val="none" w:sz="0" w:space="0" w:color="auto"/>
                      </w:divBdr>
                      <w:divsChild>
                        <w:div w:id="1962494205">
                          <w:marLeft w:val="0"/>
                          <w:marRight w:val="0"/>
                          <w:marTop w:val="0"/>
                          <w:marBottom w:val="0"/>
                          <w:divBdr>
                            <w:top w:val="none" w:sz="0" w:space="0" w:color="auto"/>
                            <w:left w:val="none" w:sz="0" w:space="0" w:color="auto"/>
                            <w:bottom w:val="none" w:sz="0" w:space="0" w:color="auto"/>
                            <w:right w:val="none" w:sz="0" w:space="0" w:color="auto"/>
                          </w:divBdr>
                          <w:divsChild>
                            <w:div w:id="10435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677369">
      <w:bodyDiv w:val="1"/>
      <w:marLeft w:val="0"/>
      <w:marRight w:val="0"/>
      <w:marTop w:val="0"/>
      <w:marBottom w:val="0"/>
      <w:divBdr>
        <w:top w:val="none" w:sz="0" w:space="0" w:color="auto"/>
        <w:left w:val="none" w:sz="0" w:space="0" w:color="auto"/>
        <w:bottom w:val="none" w:sz="0" w:space="0" w:color="auto"/>
        <w:right w:val="none" w:sz="0" w:space="0" w:color="auto"/>
      </w:divBdr>
    </w:div>
    <w:div w:id="2012488499">
      <w:bodyDiv w:val="1"/>
      <w:marLeft w:val="0"/>
      <w:marRight w:val="0"/>
      <w:marTop w:val="0"/>
      <w:marBottom w:val="0"/>
      <w:divBdr>
        <w:top w:val="none" w:sz="0" w:space="0" w:color="auto"/>
        <w:left w:val="none" w:sz="0" w:space="0" w:color="auto"/>
        <w:bottom w:val="none" w:sz="0" w:space="0" w:color="auto"/>
        <w:right w:val="none" w:sz="0" w:space="0" w:color="auto"/>
      </w:divBdr>
    </w:div>
    <w:div w:id="2012876021">
      <w:bodyDiv w:val="1"/>
      <w:marLeft w:val="0"/>
      <w:marRight w:val="0"/>
      <w:marTop w:val="0"/>
      <w:marBottom w:val="0"/>
      <w:divBdr>
        <w:top w:val="none" w:sz="0" w:space="0" w:color="auto"/>
        <w:left w:val="none" w:sz="0" w:space="0" w:color="auto"/>
        <w:bottom w:val="none" w:sz="0" w:space="0" w:color="auto"/>
        <w:right w:val="none" w:sz="0" w:space="0" w:color="auto"/>
      </w:divBdr>
    </w:div>
    <w:div w:id="2022200710">
      <w:bodyDiv w:val="1"/>
      <w:marLeft w:val="0"/>
      <w:marRight w:val="0"/>
      <w:marTop w:val="0"/>
      <w:marBottom w:val="0"/>
      <w:divBdr>
        <w:top w:val="none" w:sz="0" w:space="0" w:color="auto"/>
        <w:left w:val="none" w:sz="0" w:space="0" w:color="auto"/>
        <w:bottom w:val="none" w:sz="0" w:space="0" w:color="auto"/>
        <w:right w:val="none" w:sz="0" w:space="0" w:color="auto"/>
      </w:divBdr>
    </w:div>
    <w:div w:id="2036541670">
      <w:bodyDiv w:val="1"/>
      <w:marLeft w:val="0"/>
      <w:marRight w:val="0"/>
      <w:marTop w:val="0"/>
      <w:marBottom w:val="0"/>
      <w:divBdr>
        <w:top w:val="none" w:sz="0" w:space="0" w:color="auto"/>
        <w:left w:val="none" w:sz="0" w:space="0" w:color="auto"/>
        <w:bottom w:val="none" w:sz="0" w:space="0" w:color="auto"/>
        <w:right w:val="none" w:sz="0" w:space="0" w:color="auto"/>
      </w:divBdr>
    </w:div>
    <w:div w:id="2048681066">
      <w:bodyDiv w:val="1"/>
      <w:marLeft w:val="0"/>
      <w:marRight w:val="0"/>
      <w:marTop w:val="0"/>
      <w:marBottom w:val="0"/>
      <w:divBdr>
        <w:top w:val="none" w:sz="0" w:space="0" w:color="auto"/>
        <w:left w:val="none" w:sz="0" w:space="0" w:color="auto"/>
        <w:bottom w:val="none" w:sz="0" w:space="0" w:color="auto"/>
        <w:right w:val="none" w:sz="0" w:space="0" w:color="auto"/>
      </w:divBdr>
    </w:div>
    <w:div w:id="2054962134">
      <w:bodyDiv w:val="1"/>
      <w:marLeft w:val="0"/>
      <w:marRight w:val="0"/>
      <w:marTop w:val="0"/>
      <w:marBottom w:val="0"/>
      <w:divBdr>
        <w:top w:val="none" w:sz="0" w:space="0" w:color="auto"/>
        <w:left w:val="none" w:sz="0" w:space="0" w:color="auto"/>
        <w:bottom w:val="none" w:sz="0" w:space="0" w:color="auto"/>
        <w:right w:val="none" w:sz="0" w:space="0" w:color="auto"/>
      </w:divBdr>
    </w:div>
    <w:div w:id="2062753749">
      <w:bodyDiv w:val="1"/>
      <w:marLeft w:val="0"/>
      <w:marRight w:val="0"/>
      <w:marTop w:val="0"/>
      <w:marBottom w:val="0"/>
      <w:divBdr>
        <w:top w:val="none" w:sz="0" w:space="0" w:color="auto"/>
        <w:left w:val="none" w:sz="0" w:space="0" w:color="auto"/>
        <w:bottom w:val="none" w:sz="0" w:space="0" w:color="auto"/>
        <w:right w:val="none" w:sz="0" w:space="0" w:color="auto"/>
      </w:divBdr>
    </w:div>
    <w:div w:id="2071420168">
      <w:bodyDiv w:val="1"/>
      <w:marLeft w:val="0"/>
      <w:marRight w:val="0"/>
      <w:marTop w:val="0"/>
      <w:marBottom w:val="0"/>
      <w:divBdr>
        <w:top w:val="none" w:sz="0" w:space="0" w:color="auto"/>
        <w:left w:val="none" w:sz="0" w:space="0" w:color="auto"/>
        <w:bottom w:val="none" w:sz="0" w:space="0" w:color="auto"/>
        <w:right w:val="none" w:sz="0" w:space="0" w:color="auto"/>
      </w:divBdr>
    </w:div>
    <w:div w:id="2079399554">
      <w:bodyDiv w:val="1"/>
      <w:marLeft w:val="0"/>
      <w:marRight w:val="0"/>
      <w:marTop w:val="0"/>
      <w:marBottom w:val="0"/>
      <w:divBdr>
        <w:top w:val="none" w:sz="0" w:space="0" w:color="auto"/>
        <w:left w:val="none" w:sz="0" w:space="0" w:color="auto"/>
        <w:bottom w:val="none" w:sz="0" w:space="0" w:color="auto"/>
        <w:right w:val="none" w:sz="0" w:space="0" w:color="auto"/>
      </w:divBdr>
    </w:div>
    <w:div w:id="2080977196">
      <w:bodyDiv w:val="1"/>
      <w:marLeft w:val="0"/>
      <w:marRight w:val="0"/>
      <w:marTop w:val="0"/>
      <w:marBottom w:val="0"/>
      <w:divBdr>
        <w:top w:val="none" w:sz="0" w:space="0" w:color="auto"/>
        <w:left w:val="none" w:sz="0" w:space="0" w:color="auto"/>
        <w:bottom w:val="none" w:sz="0" w:space="0" w:color="auto"/>
        <w:right w:val="none" w:sz="0" w:space="0" w:color="auto"/>
      </w:divBdr>
    </w:div>
    <w:div w:id="2119253901">
      <w:bodyDiv w:val="1"/>
      <w:marLeft w:val="0"/>
      <w:marRight w:val="0"/>
      <w:marTop w:val="0"/>
      <w:marBottom w:val="0"/>
      <w:divBdr>
        <w:top w:val="none" w:sz="0" w:space="0" w:color="auto"/>
        <w:left w:val="none" w:sz="0" w:space="0" w:color="auto"/>
        <w:bottom w:val="none" w:sz="0" w:space="0" w:color="auto"/>
        <w:right w:val="none" w:sz="0" w:space="0" w:color="auto"/>
      </w:divBdr>
    </w:div>
    <w:div w:id="2132091737">
      <w:bodyDiv w:val="1"/>
      <w:marLeft w:val="0"/>
      <w:marRight w:val="0"/>
      <w:marTop w:val="0"/>
      <w:marBottom w:val="0"/>
      <w:divBdr>
        <w:top w:val="none" w:sz="0" w:space="0" w:color="auto"/>
        <w:left w:val="none" w:sz="0" w:space="0" w:color="auto"/>
        <w:bottom w:val="none" w:sz="0" w:space="0" w:color="auto"/>
        <w:right w:val="none" w:sz="0" w:space="0" w:color="auto"/>
      </w:divBdr>
    </w:div>
    <w:div w:id="2138836392">
      <w:bodyDiv w:val="1"/>
      <w:marLeft w:val="0"/>
      <w:marRight w:val="0"/>
      <w:marTop w:val="0"/>
      <w:marBottom w:val="0"/>
      <w:divBdr>
        <w:top w:val="none" w:sz="0" w:space="0" w:color="auto"/>
        <w:left w:val="none" w:sz="0" w:space="0" w:color="auto"/>
        <w:bottom w:val="none" w:sz="0" w:space="0" w:color="auto"/>
        <w:right w:val="none" w:sz="0" w:space="0" w:color="auto"/>
      </w:divBdr>
    </w:div>
    <w:div w:id="214041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TPa19</b:Tag>
    <b:SourceType>Book</b:SourceType>
    <b:Guid>{421ECFAA-1982-4FCE-98D4-47A25446732A}</b:Guid>
    <b:Title>Soft Computing in Data Analytics </b:Title>
    <b:Year>2019</b:Year>
    <b:Pages>743-757</b:Pages>
    <b:Author>
      <b:Author>
        <b:NameList>
          <b:Person>
            <b:Last>T. Pandu Ranga Vital</b:Last>
            <b:First>B.</b:First>
            <b:Middle>G. Lakshmi, H. Swapna Rekha, M. Dhana Lakshmi</b:Middle>
          </b:Person>
        </b:NameList>
      </b:Author>
    </b:Author>
    <b:City>Springer, Singapore</b:City>
    <b:Publisher>Springer</b:Publisher>
    <b:RefOrder>17</b:RefOrder>
  </b:Source>
  <b:Source>
    <b:Tag>7Be23</b:Tag>
    <b:SourceType>InternetSite</b:SourceType>
    <b:Guid>{1FFC4436-F2BD-4818-89C0-F3E21A1006D5}</b:Guid>
    <b:Title>7 Benefits of Data Analytics in Higher Education</b:Title>
    <b:Year>2023</b:Year>
    <b:ProductionCompany>Cambridge Spark</b:ProductionCompany>
    <b:Month>April</b:Month>
    <b:Day>20</b:Day>
    <b:YearAccessed>2025</b:YearAccessed>
    <b:MonthAccessed>February</b:MonthAccessed>
    <b:DayAccessed>06</b:DayAccessed>
    <b:URL>https://www.cambridgespark.com/info/7-benefits-of-data-analytics-in-higher-education</b:URL>
    <b:RefOrder>18</b:RefOrder>
  </b:Source>
  <b:Source>
    <b:Tag>NaW22</b:Tag>
    <b:SourceType>JournalArticle</b:SourceType>
    <b:Guid>{5300DE0A-3248-4F84-B3E5-E1A9227CCDBF}</b:Guid>
    <b:Author>
      <b:Author>
        <b:NameList>
          <b:Person>
            <b:Last>Na Wang</b:Last>
            <b:First>Minghao</b:First>
            <b:Middle>Yao, Jinsong Li</b:Middle>
          </b:Person>
        </b:NameList>
      </b:Author>
    </b:Author>
    <b:Title>Research on Student Achievement Analysis Method Based on Decision Tree Algorithm</b:Title>
    <b:Year>2022</b:Year>
    <b:Pages>352-355</b:Pages>
    <b:RefOrder>19</b:RefOrder>
  </b:Source>
  <b:Source>
    <b:Tag>Sha23</b:Tag>
    <b:SourceType>JournalArticle</b:SourceType>
    <b:Guid>{86931B36-3D50-421D-9619-390FAA65EEDB}</b:Guid>
    <b:Title>A Comprehensive Survey on Usage of Learning Analytics for Enhancing Learner's Performance in Learning Portals</b:Title>
    <b:Year>2023</b:Year>
    <b:Author>
      <b:Author>
        <b:NameList>
          <b:Person>
            <b:Last>Shabnam Ara S.J</b:Last>
            <b:First>R.</b:First>
            <b:Middle>Tanuja,S. Manjula, K R Venugopal</b:Middle>
          </b:Person>
        </b:NameList>
      </b:Author>
    </b:Author>
    <b:JournalName>Journal of Educational Technology Systems</b:JournalName>
    <b:RefOrder>20</b:RefOrder>
  </b:Source>
  <b:Source>
    <b:Tag>His25</b:Tag>
    <b:SourceType>InternetSite</b:SourceType>
    <b:Guid>{BF72D3C2-2533-4C28-A1D8-32B866D8C0E0}</b:Guid>
    <b:Title>History | Professional Regulation Commission</b:Title>
    <b:YearAccessed>2025</b:YearAccessed>
    <b:MonthAccessed>January</b:MonthAccessed>
    <b:DayAccessed>31</b:DayAccessed>
    <b:URL>https://www.prc.gov.ph/history</b:URL>
    <b:RefOrder>21</b:RefOrder>
  </b:Source>
  <b:Source>
    <b:Tag>htt25</b:Tag>
    <b:SourceType>JournalArticle</b:SourceType>
    <b:Guid>{3B4B382B-F783-49DE-8C38-BD10D41727DB}</b:Guid>
    <b:Title>Teachers' and Students' Opinions about Students' Attention Problems during the Lesson</b:Title>
    <b:YearAccessed>2025</b:YearAccessed>
    <b:MonthAccessed>January</b:MonthAccessed>
    <b:DayAccessed>31</b:DayAccessed>
    <b:URL>https://eric.ed.gov/?id=EJ1232893</b:URL>
    <b:Year>2019</b:Year>
    <b:Author>
      <b:Author>
        <b:NameList>
          <b:Person>
            <b:Last>Cicekci</b:Last>
            <b:First>Mehmet</b:First>
            <b:Middle>Ali</b:Middle>
          </b:Person>
          <b:Person>
            <b:Last>Sadik</b:Last>
            <b:First>Fatma</b:First>
          </b:Person>
        </b:NameList>
      </b:Author>
    </b:Author>
    <b:JournalName>Journal of Education and Learning</b:JournalName>
    <b:Pages>15-30</b:Pages>
    <b:Volume>VIII</b:Volume>
    <b:RefOrder>22</b:RefOrder>
  </b:Source>
  <b:Source>
    <b:Tag>LIL24</b:Tag>
    <b:SourceType>DocumentFromInternetSite</b:SourceType>
    <b:Guid>{A34B5135-1A66-4683-BC69-F13B54186DB8}</b:Guid>
    <b:Title>Factors Influencing the Licensure Examination for</b:Title>
    <b:Year>2024</b:Year>
    <b:Month>October</b:Month>
    <b:YearAccessed>2025</b:YearAccessed>
    <b:MonthAccessed>February</b:MonthAccessed>
    <b:DayAccessed>3</b:DayAccessed>
    <b:URL>https://www.irejournals.com/formatedpaper/1706450.pdf</b:URL>
    <b:Author>
      <b:Author>
        <b:NameList>
          <b:Person>
            <b:Last>CAYE</b:Last>
            <b:First>LILY</b:First>
            <b:Middle>B.</b:Middle>
          </b:Person>
        </b:NameList>
      </b:Author>
    </b:Author>
    <b:RefOrder>23</b:RefOrder>
  </b:Source>
  <b:Source>
    <b:Tag>Jay20</b:Tag>
    <b:SourceType>JournalArticle</b:SourceType>
    <b:Guid>{D5A06A58-A926-4F53-8D05-D56CF61F8417}</b:Guid>
    <b:Author>
      <b:Author>
        <b:NameList>
          <b:Person>
            <b:Last>Jay-cen Tamayo Amanonce</b:Last>
            <b:First>Ariel</b:First>
            <b:Middle>Macarubbo Maramag</b:Middle>
          </b:Person>
        </b:NameList>
      </b:Author>
    </b:Author>
    <b:Title>Licensure Examination Performance and Academic Achievement</b:Title>
    <b:JournalName>International Journal of Evaluation and Research in Education (IJERE)</b:JournalName>
    <b:Year>2020</b:Year>
    <b:Pages>510~516</b:Pages>
    <b:Volume>9</b:Volume>
    <b:Issue>3</b:Issue>
    <b:RefOrder>24</b:RefOrder>
  </b:Source>
  <b:Source>
    <b:Tag>Jan17</b:Tag>
    <b:SourceType>Report</b:SourceType>
    <b:Guid>{4B961246-0E6D-46ED-AFB4-774020F1196D}</b:Guid>
    <b:Author>
      <b:Author>
        <b:NameList>
          <b:Person>
            <b:Last>Mateo</b:Last>
            <b:First>Janvic</b:First>
          </b:Person>
        </b:NameList>
      </b:Author>
    </b:Author>
    <b:Title>Teacher performance in board exams worsening </b:Title>
    <b:Year>2017</b:Year>
    <b:Publisher>The Philippine Star</b:Publisher>
    <b:City>Mandaluyong</b:City>
    <b:RefOrder>25</b:RefOrder>
  </b:Source>
  <b:Source>
    <b:Tag>Sta23</b:Tag>
    <b:SourceType>DocumentFromInternetSite</b:SourceType>
    <b:Guid>{80F5C906-BA46-4098-9F9C-65783AC63A16}</b:Guid>
    <b:Title>State of Philippine Education Report 2023</b:Title>
    <b:Year>2023</b:Year>
    <b:YearAccessed>2025</b:YearAccessed>
    <b:MonthAccessed>January</b:MonthAccessed>
    <b:DayAccessed>31</b:DayAccessed>
    <b:URL>https://pbed.ph/blogs/47/PBEd/State%20of%20Philippine%20Education%20Report%202023</b:URL>
    <b:RefOrder>26</b:RefOrder>
  </b:Source>
  <b:Source>
    <b:Tag>Cab25</b:Tag>
    <b:SourceType>JournalArticle</b:SourceType>
    <b:Guid>{B943184C-0CAF-4C21-826E-1DE2EF72B9C5}</b:Guid>
    <b:Title>Graduates Are Failing in the Examination: An Ethical Investigation on the Experiences of Board Licensure Examination for Professional Teachers (BLEPT) Takers</b:Title>
    <b:YearAccessed>20125</b:YearAccessed>
    <b:MonthAccessed>January</b:MonthAccessed>
    <b:DayAccessed>31</b:DayAccessed>
    <b:Author>
      <b:Author>
        <b:NameList>
          <b:Person>
            <b:Last>Cabahug M</b:Last>
            <b:First>Bonghanoy</b:First>
            <b:Middle>S, Tubog Jr. J, Asingua A, Chen Q, Tulid C</b:Middle>
          </b:Person>
        </b:NameList>
      </b:Author>
    </b:Author>
    <b:Year>2024</b:Year>
    <b:JournalName>American Journal of Multidisciplinary Research and Innovation</b:JournalName>
    <b:Pages>1-6</b:Pages>
    <b:Volume>3</b:Volume>
    <b:Issue>2</b:Issue>
    <b:RefOrder>7</b:RefOrder>
  </b:Source>
  <b:Source>
    <b:Tag>Dim24</b:Tag>
    <b:SourceType>JournalArticle</b:SourceType>
    <b:Guid>{C8C00638-7AE8-4584-B510-C4FEC27C4B50}</b:Guid>
    <b:Author>
      <b:Author>
        <b:NameList>
          <b:Person>
            <b:Last>Dimas</b:Last>
            <b:First>Ruby</b:First>
            <b:Middle>B.</b:Middle>
          </b:Person>
        </b:NameList>
      </b:Author>
    </b:Author>
    <b:Title>Factors Affecting the Licensure Examination for Teachers (LET) Performance of BSEd Graduates</b:Title>
    <b:JournalName>Pakistan Journal of Life and Social Sciences</b:JournalName>
    <b:Year>2024</b:Year>
    <b:RefOrder>9</b:RefOrder>
  </b:Source>
  <b:Source>
    <b:Tag>Alf25</b:Tag>
    <b:SourceType>DocumentFromInternetSite</b:SourceType>
    <b:Guid>{D01B4843-075A-44A3-9D53-7791EA7A4E41}</b:Guid>
    <b:Author>
      <b:Author>
        <b:NameList>
          <b:Person>
            <b:Last>A</b:Last>
            <b:First>Alfozan</b:First>
          </b:Person>
        </b:NameList>
      </b:Author>
    </b:Author>
    <b:Title>Leadership Dynamics in Organizational Change: An In-Depth Exploration of Public and Private Sectors in Saudi Arabia</b:Title>
    <b:YearAccessed>2025</b:YearAccessed>
    <b:MonthAccessed>January</b:MonthAccessed>
    <b:DayAccessed>31</b:DayAccessed>
    <b:RefOrder>27</b:RefOrder>
  </b:Source>
  <b:Source>
    <b:Tag>Mer25</b:Tag>
    <b:SourceType>InternetSite</b:SourceType>
    <b:Guid>{7E30AAFA-94D1-4725-8019-16EFD38D0A3E}</b:Guid>
    <b:Title>Study highlights insufficient preparation for future Filipino teachers </b:Title>
    <b:YearAccessed>2025</b:YearAccessed>
    <b:MonthAccessed>January</b:MonthAccessed>
    <b:DayAccessed>31</b:DayAccessed>
    <b:URL>https://mb.com.ph/2023/02/02/study-highlights-insufficient-preparation-for-future-filipino-teachers/</b:URL>
    <b:Author>
      <b:Author>
        <b:NameList>
          <b:Person>
            <b:Last>Hernando-Malipot</b:Last>
            <b:First>Merlina</b:First>
          </b:Person>
        </b:NameList>
      </b:Author>
    </b:Author>
    <b:ProductionCompany>Manila Bulletin</b:ProductionCompany>
    <b:RefOrder>28</b:RefOrder>
  </b:Source>
  <b:Source>
    <b:Tag>Vic15</b:Tag>
    <b:SourceType>DocumentFromInternetSite</b:SourceType>
    <b:Guid>{A50AB946-07DA-4430-9B57-6C42E9D467F3}</b:Guid>
    <b:Author>
      <b:Author>
        <b:NameList>
          <b:Person>
            <b:Last>Vico</b:Last>
            <b:First>A.</b:First>
          </b:Person>
        </b:NameList>
      </b:Author>
    </b:Author>
    <b:Title>PREDICTORS OF PERFORMANCE IN THE LICENSURE EXAMINATION FOR TEACHERS OF THE GRADUATES OF HIGHER EDUCATION INSTITUTIONS IN ABRA</b:Title>
    <b:Year>2015</b:Year>
    <b:YearAccessed>2025</b:YearAccessed>
    <b:MonthAccessed>January</b:MonthAccessed>
    <b:DayAccessed>31</b:DayAccessed>
    <b:RefOrder>29</b:RefOrder>
  </b:Source>
  <b:Source>
    <b:Tag>PSa21</b:Tag>
    <b:SourceType>DocumentFromInternetSite</b:SourceType>
    <b:Guid>{9E15CD3A-AD58-4F08-A26A-E0856148FB9F}</b:Guid>
    <b:Author>
      <b:Author>
        <b:NameList>
          <b:Person>
            <b:Last>P. San</b:Last>
            <b:First>Luis</b:First>
            <b:Middle>C</b:Middle>
          </b:Person>
        </b:NameList>
      </b:Author>
    </b:Author>
    <b:Title>AUTOMATED LICENSURE EXAMINATION REVIEWER FOR TEACHERS (A.L.E.R.T.): AN INNOVATIVE INTERVENTION REVIEW SYSTEM FOR LSPU CTE STUDENTS</b:Title>
    <b:Year>2021</b:Year>
    <b:YearAccessed>2025</b:YearAccessed>
    <b:MonthAccessed>January</b:MonthAccessed>
    <b:DayAccessed>31</b:DayAccessed>
    <b:RefOrder>30</b:RefOrder>
  </b:Source>
  <b:Source>
    <b:Tag>How20</b:Tag>
    <b:SourceType>InternetSite</b:SourceType>
    <b:Guid>{CA98ECD2-529B-47B6-918E-FBAE04033850}</b:Guid>
    <b:Title>How Important Is Technology in Education? Benefits, Challenges, and Impact on Students</b:Title>
    <b:Year>2020</b:Year>
    <b:YearAccessed>2025</b:YearAccessed>
    <b:MonthAccessed>January</b:MonthAccessed>
    <b:DayAccessed>31</b:DayAccessed>
    <b:URL>https://soeonline.american.edu/blog/technology-in-education/</b:URL>
    <b:ProductionCompany>American.edu</b:ProductionCompany>
    <b:RefOrder>31</b:RefOrder>
  </b:Source>
  <b:Source>
    <b:Tag>PRC24</b:Tag>
    <b:SourceType>InternetSite</b:SourceType>
    <b:Guid>{5B9890B5-1AF8-426B-842C-2B0441FF3E2B}</b:Guid>
    <b:Title>LET PASSING RATE: Exam Statistics in the Previous Years</b:Title>
    <b:InternetSiteTitle>Board Exams PH</b:InternetSiteTitle>
    <b:Year>2024</b:Year>
    <b:Month>December</b:Month>
    <b:Day>13</b:Day>
    <b:URL>https://boardexams.ph/list-of-passers/september-2024-licensure-exam-for-teachers-let-secondary-level/</b:URL>
    <b:Author>
      <b:Author>
        <b:NameList>
          <b:Person>
            <b:Last>PRC</b:Last>
          </b:Person>
        </b:NameList>
      </b:Author>
    </b:Author>
    <b:RefOrder>32</b:RefOrder>
  </b:Source>
  <b:Source>
    <b:Tag>PRC241</b:Tag>
    <b:SourceType>InternetSite</b:SourceType>
    <b:Guid>{AB8B066B-52BD-4073-94AA-8BE17F49642C}</b:Guid>
    <b:Author>
      <b:Author>
        <b:NameList>
          <b:Person>
            <b:Last>PRC</b:Last>
          </b:Person>
        </b:NameList>
      </b:Author>
    </b:Author>
    <b:Title>LET PASSING RATE: Exam Statistics in the Previous Years</b:Title>
    <b:ProductionCompany>Board Exams PH</b:ProductionCompany>
    <b:Year>2024</b:Year>
    <b:Month>December</b:Month>
    <b:Day>13</b:Day>
    <b:YearAccessed>2025</b:YearAccessed>
    <b:MonthAccessed>Febuary</b:MonthAccessed>
    <b:URL>https://boardexams.ph/list-of-passers/september-2024-licensure-exam-for-teachers-let-secondary-level/</b:URL>
    <b:RefOrder>6</b:RefOrder>
  </b:Source>
  <b:Source>
    <b:Tag>MLa21</b:Tag>
    <b:SourceType>JournalArticle</b:SourceType>
    <b:Guid>{AE9F4E4A-7CE8-4C4D-8A81-9FBEEB893AEE}</b:Guid>
    <b:Title>Cost analysis of LET review programs in the Philippines,</b:Title>
    <b:Year>2021</b:Year>
    <b:Author>
      <b:Author>
        <b:NameList>
          <b:Person>
            <b:Last>Lacambra</b:Last>
            <b:First>M.</b:First>
          </b:Person>
        </b:NameList>
      </b:Author>
    </b:Author>
    <b:JournalName>Philippine Journal of Education</b:JournalName>
    <b:Pages>45-56</b:Pages>
    <b:Volume>94</b:Volume>
    <b:Issue>2</b:Issue>
    <b:RefOrder>8</b:RefOrder>
  </b:Source>
  <b:Source>
    <b:Tag>BST24</b:Tag>
    <b:SourceType>JournalArticle</b:SourceType>
    <b:Guid>{BC0890D6-E717-4276-9F34-638C1F32B221}</b:Guid>
    <b:Author>
      <b:Author>
        <b:NameList>
          <b:Person>
            <b:Last>M</b:Last>
            <b:First>B.</b:First>
            <b:Middle>S. T. J. J. A. A. C. Q. T. C. Cabahug</b:Middle>
          </b:Person>
        </b:NameList>
      </b:Author>
    </b:Author>
    <b:Title>Graduates Are Failing in the Examination: An Ethical Investigation on the Experiences of Board Licensure Examination for Professional Teachers (BLEPT) Takers</b:Title>
    <b:JournalName>American Journal of Multidisciplinary Research and Innovation</b:JournalName>
    <b:Year>2024</b:Year>
    <b:Pages>1-6</b:Pages>
    <b:Volume>3</b:Volume>
    <b:Issue>2</b:Issue>
    <b:RefOrder>33</b:RefOrder>
  </b:Source>
  <b:Source>
    <b:Tag>MJa10</b:Tag>
    <b:SourceType>Report</b:SourceType>
    <b:Guid>{42D2C847-8209-4920-A18A-269364C36202}</b:Guid>
    <b:Title>PRC to intensify campaign vs review centers</b:Title>
    <b:Year>2010</b:Year>
    <b:Author>
      <b:Author>
        <b:NameList>
          <b:Person>
            <b:Last>Jaymalin</b:Last>
            <b:First>M.</b:First>
          </b:Person>
        </b:NameList>
      </b:Author>
    </b:Author>
    <b:Publisher>The Philippine Star</b:Publisher>
    <b:City>Manila</b:City>
    <b:RefOrder>12</b:RefOrder>
  </b:Source>
  <b:Source>
    <b:Tag>PUN06</b:Tag>
    <b:SourceType>DocumentFromInternetSite</b:SourceType>
    <b:Guid>{0CAD99F2-7916-4BB5-B83A-B0E1D81AA99C}</b:Guid>
    <b:Title>Implementing Rules and Regulations Governing the Establishment and Operation of Review Centers and Similar Entities</b:Title>
    <b:Year> 2006</b:Year>
    <b:Author>
      <b:Author>
        <b:NameList>
          <b:Person>
            <b:Last>PUNO</b:Last>
            <b:First>C.</b:First>
            <b:Middle>S.</b:Middle>
          </b:Person>
        </b:NameList>
      </b:Author>
    </b:Author>
    <b:Month>Nov</b:Month>
    <b:Day>3</b:Day>
    <b:URL>https://legaldex.com/laws/implementing-rules-and-regulations-governing-the-establishment-and-operation-of</b:URL>
    <b:RefOrder>13</b:RefOrder>
  </b:Source>
  <b:Source>
    <b:Tag>Jou24</b:Tag>
    <b:SourceType>JournalArticle</b:SourceType>
    <b:Guid>{1C4FD95F-B35C-490D-ABF5-DB8D019C430A}</b:Guid>
    <b:Title>Challenges and Dilemmas of Digitalization in Philippine Education</b:Title>
    <b:Year>2024</b:Year>
    <b:Author>
      <b:Author>
        <b:NameList>
          <b:Person>
            <b:Last>Governance</b:Last>
            <b:First>Journal</b:First>
            <b:Middle>of Public Administration and</b:Middle>
          </b:Person>
        </b:NameList>
      </b:Author>
    </b:Author>
    <b:JournalName>Journal of Public Administration and Governance</b:JournalName>
    <b:Pages>37-52</b:Pages>
    <b:Volume>14</b:Volume>
    <b:Issue>2</b:Issue>
    <b:RefOrder>10</b:RefOrder>
  </b:Source>
  <b:Source>
    <b:Tag>RFe23</b:Tag>
    <b:SourceType>JournalArticle</b:SourceType>
    <b:Guid>{A327A07A-BA3A-4656-8B5E-3DE35E1FD491}</b:Guid>
    <b:Author>
      <b:Author>
        <b:NameList>
          <b:Person>
            <b:Last>Schmid</b:Last>
            <b:First>R.</b:First>
            <b:Middle>F. e. a.</b:Middle>
          </b:Person>
        </b:NameList>
      </b:Author>
    </b:Author>
    <b:Title>A meta-analysis of online learning, blended learning, the flipped classroom, and traditional classroom in higher education</b:Title>
    <b:JournalName>Computers and Education: Artificial Intelligence</b:JournalName>
    <b:Year>2023</b:Year>
    <b:RefOrder>14</b:RefOrder>
  </b:Source>
  <b:Source>
    <b:Tag>AGP17</b:Tag>
    <b:SourceType>JournalArticle</b:SourceType>
    <b:Guid>{21048BA0-3573-4833-8CEC-91388D4846E0}</b:Guid>
    <b:Author>
      <b:Author>
        <b:NameList>
          <b:Person>
            <b:Last>Picciano</b:Last>
            <b:First>A.</b:First>
            <b:Middle>G.</b:Middle>
          </b:Person>
        </b:NameList>
      </b:Author>
    </b:Author>
    <b:Title>Theories and Frameworks for Online Education: Seeking an Integrated Model</b:Title>
    <b:JournalName>Online Learning</b:JournalName>
    <b:Year>2017</b:Year>
    <b:Pages>166-190</b:Pages>
    <b:Volume>21</b:Volume>
    <b:Issue>3</b:Issue>
    <b:RefOrder>16</b:RefOrder>
  </b:Source>
  <b:Source>
    <b:Tag>PaP24</b:Tag>
    <b:SourceType>JournalArticle</b:SourceType>
    <b:Guid>{977D74B0-E6AA-4011-902D-EDD0442054F3}</b:Guid>
    <b:Author>
      <b:Author>
        <b:NameList>
          <b:Person>
            <b:Last>Paderes</b:Last>
            <b:First>P.</b:First>
            <b:Middle>a.</b:Middle>
          </b:Person>
        </b:NameList>
      </b:Author>
    </b:Author>
    <b:Title>Readiness of Bachelor of Secondary Education Graduating Students for the Licensure Examination for Professional Teachers</b:Title>
    <b:JournalName>International Journal of Research and Innovation in Social Science (IJRISS)</b:JournalName>
    <b:Year>2024</b:Year>
    <b:RefOrder>15</b:RefOrder>
  </b:Source>
  <b:Source>
    <b:Tag>JMV20</b:Tag>
    <b:SourceType>JournalArticle</b:SourceType>
    <b:Guid>{CD3561C2-BF59-444A-BFA8-29CF5ADBEC35}</b:Guid>
    <b:Author>
      <b:Author>
        <b:NameList>
          <b:Person>
            <b:Last>Lucero</b:Last>
            <b:First>J.</b:First>
            <b:Middle>M. V. J. T. C. P. G. F. J. Harold R.</b:Middle>
          </b:Person>
        </b:NameList>
      </b:Author>
    </b:Author>
    <b:Title>Assessment of E-Learning Readiness of Faculty Members and Students in the Government and Private Higher Education Institutions in the Philippines</b:Title>
    <b:JournalName>International Journal of Computing Sciences Research</b:JournalName>
    <b:Year>2020</b:Year>
    <b:Pages>398 to 406</b:Pages>
    <b:Volume>5</b:Volume>
    <b:RefOrder>11</b:RefOrder>
  </b:Source>
  <b:Source>
    <b:Tag>BGL19</b:Tag>
    <b:SourceType>ConferenceProceedings</b:SourceType>
    <b:Guid>{ACC1B13B-02A4-4730-AB66-C3339F761B9D}</b:Guid>
    <b:Title>Soft Computing in Data Analytics</b:Title>
    <b:Year>2019</b:Year>
    <b:Author>
      <b:Author>
        <b:NameList>
          <b:Person>
            <b:Last>Vital</b:Last>
            <b:First>B.</b:First>
            <b:Middle>G. L. H. S. R. M. D. L. T. Pandu Ranga</b:Middle>
          </b:Person>
        </b:NameList>
      </b:Author>
    </b:Author>
    <b:ConferenceName>Springer</b:ConferenceName>
    <b:City>Singapore</b:City>
    <b:RefOrder>1</b:RefOrder>
  </b:Source>
  <b:Source>
    <b:Tag>Has</b:Tag>
    <b:SourceType>JournalArticle</b:SourceType>
    <b:Guid>{FE6BC018-4FDE-4932-BB2B-D2F752F44E3B}</b:Guid>
    <b:Author>
      <b:Author>
        <b:NameList>
          <b:Person>
            <b:Last>Hassan Khosravi</b:Last>
            <b:First>Simon</b:First>
            <b:Middle>Buckingham Shum b, Guanliang Chen c, Cristina Conati, Yi-Shan Tsai c, Judy Kay e, Simon Knight b, Roberto Martinez-Maldonado c, Shazia Sadiq, Dragan Gaˇsevi´c</b:Middle>
          </b:Person>
        </b:NameList>
      </b:Author>
    </b:Author>
    <b:Title>Explainable Artificial Intelligence in education</b:Title>
    <b:JournalName>Computers and Education: Artificial Intelligence</b:JournalName>
    <b:Year>2022</b:Year>
    <b:RefOrder>4</b:RefOrder>
  </b:Source>
  <b:Source>
    <b:Tag>MYJ22</b:Tag>
    <b:SourceType>ConferenceProceedings</b:SourceType>
    <b:Guid>{DC9A190D-8E87-413F-9F24-7758C34A72EF}</b:Guid>
    <b:Author>
      <b:Author>
        <b:NameList>
          <b:Person>
            <b:Last>Wang</b:Last>
            <b:First>M.</b:First>
            <b:Middle>Y. J. L. Na</b:Middle>
          </b:Person>
        </b:NameList>
      </b:Author>
    </b:Author>
    <b:Title>Research on Student Achievement Analysis Method Based on Decision Tree Algorithm</b:Title>
    <b:Year>2022</b:Year>
    <b:Pages>352-355</b:Pages>
    <b:ConferenceName>IEEE</b:ConferenceName>
    <b:City>Frankfurt, Germany </b:City>
    <b:RefOrder>2</b:RefOrder>
  </b:Source>
  <b:Source>
    <b:Tag>RTM232</b:Tag>
    <b:SourceType>JournalArticle</b:SourceType>
    <b:Guid>{ABD3B678-C889-452C-9E73-C64EDCDEFE0B}</b:Guid>
    <b:Author>
      <b:Author>
        <b:NameList>
          <b:Person>
            <b:Last>S.J</b:Last>
            <b:First>R.</b:First>
            <b:Middle>T. M. K. R. V. Shabnam Ara</b:Middle>
          </b:Person>
        </b:NameList>
      </b:Author>
    </b:Author>
    <b:Title>A Comprehensive Survey on Usage of Learning Analytics for Enhancing Learner's Performance in Learning Portals</b:Title>
    <b:JournalName>Journal of Educational Technology Systems</b:JournalName>
    <b:Year>2023</b:Year>
    <b:RefOrder>3</b:RefOrder>
  </b:Source>
  <b:Source>
    <b:Tag>Gio25</b:Tag>
    <b:SourceType>DocumentFromInternetSite</b:SourceType>
    <b:Guid>{DFED6C46-536A-404D-9487-7A401CA79CF3}</b:Guid>
    <b:Author>
      <b:Author>
        <b:NameList>
          <b:Person>
            <b:Last>Giovanni De Gasperis</b:Last>
            <b:First>Sante</b:First>
            <b:Middle>Dino Facchini</b:Middle>
          </b:Person>
        </b:NameList>
      </b:Author>
    </b:Author>
    <b:Title>A Comparative Study of Rule-Based and Data-Driven Approaches in Industrial Monitoring</b:Title>
    <b:Year>2025</b:Year>
    <b:YearAccessed>2026</b:YearAccessed>
    <b:MonthAccessed>08</b:MonthAccessed>
    <b:DayAccessed>Jan</b:DayAccessed>
    <b:URL>https://arxiv.org/pdf/2509.15848v1</b:URL>
    <b:RefOrder>5</b:RefOrder>
  </b:Source>
</b:Sources>
</file>

<file path=customXml/itemProps1.xml><?xml version="1.0" encoding="utf-8"?>
<ds:datastoreItem xmlns:ds="http://schemas.openxmlformats.org/officeDocument/2006/customXml" ds:itemID="{592BFAEA-EDCE-42B4-8489-935996A8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8418</Words>
  <Characters>47985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LET Do IT: An Online Licensure Examination for Teachers Reviewer with Performance Analytics</vt:lpstr>
    </vt:vector>
  </TitlesOfParts>
  <Company/>
  <LinksUpToDate>false</LinksUpToDate>
  <CharactersWithSpaces>56291</CharactersWithSpaces>
  <SharedDoc>false</SharedDoc>
  <HLinks>
    <vt:vector size="24" baseType="variant">
      <vt:variant>
        <vt:i4>2162797</vt:i4>
      </vt:variant>
      <vt:variant>
        <vt:i4>11</vt:i4>
      </vt:variant>
      <vt:variant>
        <vt:i4>0</vt:i4>
      </vt:variant>
      <vt:variant>
        <vt:i4>5</vt:i4>
      </vt:variant>
      <vt:variant>
        <vt:lpwstr>http://www.deped.gov.ph/2021/01/21/deped-human-</vt:lpwstr>
      </vt:variant>
      <vt:variant>
        <vt:lpwstr/>
      </vt:variant>
      <vt:variant>
        <vt:i4>1245285</vt:i4>
      </vt:variant>
      <vt:variant>
        <vt:i4>6</vt:i4>
      </vt:variant>
      <vt:variant>
        <vt:i4>0</vt:i4>
      </vt:variant>
      <vt:variant>
        <vt:i4>5</vt:i4>
      </vt:variant>
      <vt:variant>
        <vt:lpwstr>mailto:3noriel.domondon@fcpc.edu.ph</vt:lpwstr>
      </vt:variant>
      <vt:variant>
        <vt:lpwstr/>
      </vt:variant>
      <vt:variant>
        <vt:i4>6357058</vt:i4>
      </vt:variant>
      <vt:variant>
        <vt:i4>3</vt:i4>
      </vt:variant>
      <vt:variant>
        <vt:i4>0</vt:i4>
      </vt:variant>
      <vt:variant>
        <vt:i4>5</vt:i4>
      </vt:variant>
      <vt:variant>
        <vt:lpwstr>mailto:wendyll.ojastro@fcpc.edu.ph</vt:lpwstr>
      </vt:variant>
      <vt:variant>
        <vt:lpwstr/>
      </vt:variant>
      <vt:variant>
        <vt:i4>6488088</vt:i4>
      </vt:variant>
      <vt:variant>
        <vt:i4>0</vt:i4>
      </vt:variant>
      <vt:variant>
        <vt:i4>0</vt:i4>
      </vt:variant>
      <vt:variant>
        <vt:i4>5</vt:i4>
      </vt:variant>
      <vt:variant>
        <vt:lpwstr>mailto:1aerodedom.emeterio@fcpc.edu.ph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 Do IT: An Online Licensure Examination for Teachers Reviewer with Performance Analytics</dc:title>
  <dc:subject/>
  <dc:creator>Causal Productions;Lady Joy P. Porras1;Harold R. Lucero2;Princess Ann R. Valdez3;Nataniel P. Herras4;Teodorico J. Gabucan Jr5</dc:creator>
  <cp:keywords/>
  <cp:lastModifiedBy>qwert</cp:lastModifiedBy>
  <cp:revision>3</cp:revision>
  <cp:lastPrinted>2026-01-09T07:39:00Z</cp:lastPrinted>
  <dcterms:created xsi:type="dcterms:W3CDTF">2026-05-16T05:50:00Z</dcterms:created>
  <dcterms:modified xsi:type="dcterms:W3CDTF">2026-05-18T06:41:00Z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da833f96-9db0-3ab0-b797-2ae87e24a79c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6507f377-4a0f-4127-b036-8b19c2d31f18</vt:lpwstr>
  </property>
</Properties>
</file>