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CF270" w14:textId="56EB5811" w:rsidR="006105B2" w:rsidRDefault="00470012" w:rsidP="00470012">
      <w:pPr>
        <w:jc w:val="center"/>
        <w:rPr>
          <w:rFonts w:ascii="Times New Roman" w:hAnsi="Times New Roman" w:cs="Times New Roman"/>
          <w:b/>
          <w:bCs/>
          <w:sz w:val="32"/>
          <w:szCs w:val="32"/>
          <w:lang w:val="en-US"/>
        </w:rPr>
      </w:pPr>
      <w:r w:rsidRPr="00470012">
        <w:rPr>
          <w:rFonts w:ascii="Times New Roman" w:hAnsi="Times New Roman" w:cs="Times New Roman"/>
          <w:b/>
          <w:bCs/>
          <w:sz w:val="32"/>
          <w:szCs w:val="32"/>
          <w:lang w:val="en-US"/>
        </w:rPr>
        <w:t>Toxicity of Decamethrin on h</w:t>
      </w:r>
      <w:r w:rsidR="0083230B">
        <w:rPr>
          <w:rFonts w:ascii="Times New Roman" w:hAnsi="Times New Roman" w:cs="Times New Roman"/>
          <w:b/>
          <w:bCs/>
          <w:sz w:val="32"/>
          <w:szCs w:val="32"/>
          <w:lang w:val="en-US"/>
        </w:rPr>
        <w:t xml:space="preserve">aematology profile </w:t>
      </w:r>
      <w:r w:rsidRPr="00470012">
        <w:rPr>
          <w:rFonts w:ascii="Times New Roman" w:hAnsi="Times New Roman" w:cs="Times New Roman"/>
          <w:b/>
          <w:bCs/>
          <w:sz w:val="32"/>
          <w:szCs w:val="32"/>
          <w:lang w:val="en-US"/>
        </w:rPr>
        <w:t xml:space="preserve">of climbing perch </w:t>
      </w:r>
      <w:r w:rsidRPr="00470012">
        <w:rPr>
          <w:rFonts w:ascii="Times New Roman" w:hAnsi="Times New Roman" w:cs="Times New Roman"/>
          <w:b/>
          <w:bCs/>
          <w:i/>
          <w:iCs/>
          <w:sz w:val="32"/>
          <w:szCs w:val="32"/>
          <w:lang w:val="en-US"/>
        </w:rPr>
        <w:t>Anabas testudineus</w:t>
      </w:r>
      <w:r w:rsidRPr="00470012">
        <w:rPr>
          <w:rFonts w:ascii="Times New Roman" w:hAnsi="Times New Roman" w:cs="Times New Roman"/>
          <w:b/>
          <w:bCs/>
          <w:sz w:val="32"/>
          <w:szCs w:val="32"/>
          <w:lang w:val="en-US"/>
        </w:rPr>
        <w:t xml:space="preserve"> (Bloch.)</w:t>
      </w:r>
    </w:p>
    <w:p w14:paraId="31DE1FF2" w14:textId="77777777" w:rsidR="009F5EBC" w:rsidRDefault="009F5EBC" w:rsidP="00470012">
      <w:pPr>
        <w:jc w:val="center"/>
        <w:rPr>
          <w:rFonts w:ascii="Times New Roman" w:hAnsi="Times New Roman" w:cs="Times New Roman"/>
          <w:b/>
          <w:bCs/>
          <w:sz w:val="32"/>
          <w:szCs w:val="32"/>
          <w:lang w:val="en-US"/>
        </w:rPr>
      </w:pPr>
    </w:p>
    <w:p w14:paraId="26D11972" w14:textId="77777777" w:rsidR="00807C58" w:rsidRDefault="00807C58" w:rsidP="00470012">
      <w:pPr>
        <w:jc w:val="center"/>
        <w:rPr>
          <w:rFonts w:ascii="Times New Roman" w:hAnsi="Times New Roman" w:cs="Times New Roman"/>
          <w:lang w:val="en-US"/>
        </w:rPr>
      </w:pPr>
      <w:bookmarkStart w:id="0" w:name="_GoBack"/>
      <w:bookmarkEnd w:id="0"/>
    </w:p>
    <w:p w14:paraId="4CAD4F48" w14:textId="07D314C5" w:rsidR="009F5EBC" w:rsidRDefault="009F5EBC" w:rsidP="00470012">
      <w:pPr>
        <w:jc w:val="center"/>
        <w:rPr>
          <w:rFonts w:ascii="Times New Roman" w:hAnsi="Times New Roman" w:cs="Times New Roman"/>
          <w:b/>
          <w:bCs/>
          <w:u w:val="single"/>
          <w:lang w:val="en-US"/>
        </w:rPr>
      </w:pPr>
      <w:r w:rsidRPr="00807C58">
        <w:rPr>
          <w:rFonts w:ascii="Times New Roman" w:hAnsi="Times New Roman" w:cs="Times New Roman"/>
          <w:b/>
          <w:bCs/>
          <w:u w:val="single"/>
          <w:lang w:val="en-US"/>
        </w:rPr>
        <w:t>ABSTRACT</w:t>
      </w:r>
    </w:p>
    <w:p w14:paraId="4795E223" w14:textId="77777777" w:rsidR="003948F0" w:rsidRPr="00807C58" w:rsidRDefault="003948F0" w:rsidP="00470012">
      <w:pPr>
        <w:jc w:val="center"/>
        <w:rPr>
          <w:rFonts w:ascii="Times New Roman" w:hAnsi="Times New Roman" w:cs="Times New Roman"/>
          <w:b/>
          <w:bCs/>
          <w:u w:val="single"/>
          <w:lang w:val="en-US"/>
        </w:rPr>
      </w:pPr>
    </w:p>
    <w:p w14:paraId="6633B8D3" w14:textId="68ADD4A8" w:rsidR="00EE03CF" w:rsidRDefault="003948F0" w:rsidP="003948F0">
      <w:pPr>
        <w:pStyle w:val="BodyText"/>
        <w:spacing w:line="360" w:lineRule="auto"/>
        <w:rPr>
          <w:rFonts w:ascii="Times New Roman" w:hAnsi="Times New Roman"/>
          <w:shd w:val="clear" w:color="auto" w:fill="FFFFFF"/>
          <w:lang w:val="en-IN"/>
        </w:rPr>
      </w:pPr>
      <w:r w:rsidRPr="003948F0">
        <w:rPr>
          <w:rFonts w:ascii="Times New Roman" w:hAnsi="Times New Roman"/>
          <w:shd w:val="clear" w:color="auto" w:fill="FFFFFF"/>
          <w:lang w:val="en-IN"/>
        </w:rPr>
        <w:t xml:space="preserve">The present investigation was undertaken to study the chronic toxic effects of a sublethal concentration (0.08 ppm) of decamethrin on the haematological profile of </w:t>
      </w:r>
      <w:r w:rsidRPr="003948F0">
        <w:rPr>
          <w:rFonts w:ascii="Times New Roman" w:hAnsi="Times New Roman"/>
          <w:i/>
          <w:iCs/>
          <w:shd w:val="clear" w:color="auto" w:fill="FFFFFF"/>
          <w:lang w:val="en-IN"/>
        </w:rPr>
        <w:t>Anabas testudineus</w:t>
      </w:r>
      <w:r w:rsidRPr="003948F0">
        <w:rPr>
          <w:rFonts w:ascii="Times New Roman" w:hAnsi="Times New Roman"/>
          <w:shd w:val="clear" w:color="auto" w:fill="FFFFFF"/>
          <w:lang w:val="en-IN"/>
        </w:rPr>
        <w:t xml:space="preserve"> over an exposure period of 20 days. The treated fish exhibited several behavioural responses, including loss of natural coloration, turning almost reddish in colour, loss of equilibrium, and jerky movements before death. The treated group also showed significant alterations in the haematological profile, with decreases observed in haemoglobin (Hb), red blood cell (RBC), and white blood cell (WBC) counts. In contrast, differential leukocyte count (DLC) parameters such as neutrophils, monocytes, and esinophils showed increased values. These findings indicate that decamethrin exerts adverse chronic toxic effects on fish health. Therefore, it is suggested that maintaining decamethrin concentration below 0.08 mg/L in water is more suitable for the culture of </w:t>
      </w:r>
      <w:r w:rsidRPr="003948F0">
        <w:rPr>
          <w:rFonts w:ascii="Times New Roman" w:hAnsi="Times New Roman"/>
          <w:i/>
          <w:iCs/>
          <w:shd w:val="clear" w:color="auto" w:fill="FFFFFF"/>
          <w:lang w:val="en-IN"/>
        </w:rPr>
        <w:t>Anabas testudineus</w:t>
      </w:r>
      <w:r w:rsidRPr="003948F0">
        <w:rPr>
          <w:rFonts w:ascii="Times New Roman" w:hAnsi="Times New Roman"/>
          <w:shd w:val="clear" w:color="auto" w:fill="FFFFFF"/>
          <w:lang w:val="en-IN"/>
        </w:rPr>
        <w:t xml:space="preserve"> to ensure optimum growth performance and survival rate compared to higher concentrations.</w:t>
      </w:r>
    </w:p>
    <w:p w14:paraId="347A1ABC" w14:textId="77777777" w:rsidR="003948F0" w:rsidRPr="00EE03CF" w:rsidRDefault="003948F0" w:rsidP="00EE03CF">
      <w:pPr>
        <w:pStyle w:val="BodyText"/>
        <w:spacing w:line="276" w:lineRule="auto"/>
        <w:rPr>
          <w:rFonts w:ascii="Times New Roman" w:hAnsi="Times New Roman"/>
          <w:iCs/>
        </w:rPr>
      </w:pPr>
    </w:p>
    <w:p w14:paraId="69467714" w14:textId="6D914E66" w:rsidR="00EE03CF" w:rsidRDefault="00EE03CF" w:rsidP="00EE03CF">
      <w:pPr>
        <w:pStyle w:val="BodyText"/>
        <w:rPr>
          <w:rFonts w:ascii="Times New Roman" w:hAnsi="Times New Roman"/>
        </w:rPr>
      </w:pPr>
      <w:r w:rsidRPr="00B14EA4">
        <w:rPr>
          <w:rFonts w:ascii="Times New Roman" w:hAnsi="Times New Roman"/>
          <w:b/>
        </w:rPr>
        <w:t>Key words :</w:t>
      </w:r>
      <w:r w:rsidRPr="00700ED7">
        <w:rPr>
          <w:rFonts w:ascii="Times New Roman" w:hAnsi="Times New Roman"/>
        </w:rPr>
        <w:t xml:space="preserve"> </w:t>
      </w:r>
      <w:r>
        <w:rPr>
          <w:rFonts w:ascii="Times New Roman" w:hAnsi="Times New Roman"/>
        </w:rPr>
        <w:t xml:space="preserve"> </w:t>
      </w:r>
      <w:r w:rsidR="00807C58" w:rsidRPr="00D13965">
        <w:rPr>
          <w:rFonts w:ascii="Times New Roman" w:hAnsi="Times New Roman"/>
          <w:i/>
          <w:iCs/>
          <w:shd w:val="clear" w:color="auto" w:fill="FFFFFF"/>
        </w:rPr>
        <w:t>Anabas testudineus</w:t>
      </w:r>
      <w:r>
        <w:rPr>
          <w:rFonts w:ascii="Times New Roman" w:hAnsi="Times New Roman"/>
        </w:rPr>
        <w:t xml:space="preserve">, </w:t>
      </w:r>
      <w:r w:rsidR="00807C58">
        <w:rPr>
          <w:rFonts w:ascii="Times New Roman" w:hAnsi="Times New Roman"/>
        </w:rPr>
        <w:t xml:space="preserve">decamethrin, insecticide, </w:t>
      </w:r>
      <w:r>
        <w:rPr>
          <w:rFonts w:ascii="Times New Roman" w:hAnsi="Times New Roman"/>
        </w:rPr>
        <w:t>haematology</w:t>
      </w:r>
      <w:r w:rsidR="00807C58">
        <w:rPr>
          <w:rFonts w:ascii="Times New Roman" w:hAnsi="Times New Roman"/>
        </w:rPr>
        <w:t xml:space="preserve"> profile, pyrethroid</w:t>
      </w:r>
      <w:r>
        <w:rPr>
          <w:rFonts w:ascii="Times New Roman" w:hAnsi="Times New Roman"/>
        </w:rPr>
        <w:t>.</w:t>
      </w:r>
    </w:p>
    <w:p w14:paraId="4F5320D8" w14:textId="77777777" w:rsidR="00EE03CF" w:rsidRDefault="00EE03CF" w:rsidP="00EE03CF">
      <w:pPr>
        <w:pStyle w:val="BodyText"/>
        <w:rPr>
          <w:rFonts w:ascii="Times New Roman" w:hAnsi="Times New Roman"/>
        </w:rPr>
      </w:pPr>
    </w:p>
    <w:p w14:paraId="431FCB7F" w14:textId="77777777" w:rsidR="00EE03CF" w:rsidRPr="00F03765" w:rsidRDefault="00EE03CF" w:rsidP="00EE03CF">
      <w:pPr>
        <w:spacing w:after="0"/>
        <w:jc w:val="both"/>
        <w:rPr>
          <w:rFonts w:ascii="Times New Roman" w:hAnsi="Times New Roman" w:cs="Times New Roman"/>
          <w:b/>
          <w:bCs/>
        </w:rPr>
      </w:pPr>
      <w:r w:rsidRPr="00F03765">
        <w:rPr>
          <w:rFonts w:ascii="Times New Roman" w:hAnsi="Times New Roman" w:cs="Times New Roman"/>
          <w:b/>
          <w:bCs/>
        </w:rPr>
        <w:t>INTRODUCTION :</w:t>
      </w:r>
    </w:p>
    <w:p w14:paraId="35CE967D" w14:textId="77777777" w:rsidR="00EE03CF" w:rsidRPr="00C81886" w:rsidRDefault="00EE03CF" w:rsidP="00EE03CF">
      <w:pPr>
        <w:spacing w:after="0"/>
        <w:jc w:val="both"/>
        <w:rPr>
          <w:b/>
          <w:bCs/>
          <w:sz w:val="28"/>
          <w:szCs w:val="28"/>
        </w:rPr>
      </w:pPr>
    </w:p>
    <w:p w14:paraId="47474F82" w14:textId="77777777" w:rsidR="003948F0" w:rsidRPr="003948F0" w:rsidRDefault="00807C58"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 xml:space="preserve"> </w:t>
      </w:r>
      <w:r w:rsidR="003948F0" w:rsidRPr="003948F0">
        <w:rPr>
          <w:rFonts w:ascii="Times New Roman" w:hAnsi="Times New Roman" w:cs="Times New Roman"/>
        </w:rPr>
        <w:t xml:space="preserve">The environment is increasingly contaminated with different kinds of pollutants. Pesticides are among the major anthropogenic pollutants that play an important role in controlling various pests responsible for crop damage and in improving agricultural production. Insecticides, fungicides, and herbicides constitute major sources of potential environmental hazards, affecting not only birds, fish, and other animals but also humans when they enter the food chain (Khan </w:t>
      </w:r>
      <w:r w:rsidR="003948F0" w:rsidRPr="003948F0">
        <w:rPr>
          <w:rFonts w:ascii="Times New Roman" w:hAnsi="Times New Roman" w:cs="Times New Roman"/>
          <w:i/>
          <w:iCs/>
        </w:rPr>
        <w:t>et al</w:t>
      </w:r>
      <w:r w:rsidR="003948F0" w:rsidRPr="003948F0">
        <w:rPr>
          <w:rFonts w:ascii="Times New Roman" w:hAnsi="Times New Roman" w:cs="Times New Roman"/>
        </w:rPr>
        <w:t xml:space="preserve">., 2012). The indiscriminate use of pesticides in agricultural fields causes serious environmental hazards, particularly affecting aquatic fauna. Unfortunately, most pesticides are non-biodegradable and tend to persist in the environment for long periods. Sublethal concentrations of these chemicals may cause ecological imbalance in aquatic </w:t>
      </w:r>
      <w:r w:rsidR="003948F0" w:rsidRPr="003948F0">
        <w:rPr>
          <w:rFonts w:ascii="Times New Roman" w:hAnsi="Times New Roman" w:cs="Times New Roman"/>
        </w:rPr>
        <w:lastRenderedPageBreak/>
        <w:t xml:space="preserve">organisms after prolonged exposure, probably due to the cumulative impact of impaired metabolic functions (Abedi </w:t>
      </w:r>
      <w:r w:rsidR="003948F0" w:rsidRPr="003948F0">
        <w:rPr>
          <w:rFonts w:ascii="Times New Roman" w:hAnsi="Times New Roman" w:cs="Times New Roman"/>
          <w:i/>
          <w:iCs/>
        </w:rPr>
        <w:t>et al.</w:t>
      </w:r>
      <w:r w:rsidR="003948F0" w:rsidRPr="003948F0">
        <w:rPr>
          <w:rFonts w:ascii="Times New Roman" w:hAnsi="Times New Roman" w:cs="Times New Roman"/>
        </w:rPr>
        <w:t>, 2013).</w:t>
      </w:r>
    </w:p>
    <w:p w14:paraId="15C1FAA8" w14:textId="77777777" w:rsidR="003948F0" w:rsidRPr="003948F0" w:rsidRDefault="003948F0"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Anabas testudineus, locally known as “Kawai,” is a freshwater edible fish commonly found in paddy fields, ditches, swamps, and other stagnant water bodies. It possesses a suprabranchial accessory respiratory organ that enables it to survive for extended periods outside water. Fish are highly sensitive to pesticides, heavy metals, and other environmental pollutants; therefore, they are widely used as bioindicators for assessing the impact of pollutants on aquatic ecosystems. Haematological studies in fishes have gained greater significance due to the increasing emphasis on pisciculture and the growing concern regarding pollution of natural freshwater resources in tropical regions. Such studies are considered effective and sensitive indicators for monitoring physiological and pathological changes in fishes (Summarwar and Verma, 2012).</w:t>
      </w:r>
    </w:p>
    <w:p w14:paraId="4DB9BCFF" w14:textId="77777777" w:rsidR="003948F0" w:rsidRPr="003948F0" w:rsidRDefault="003948F0"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 xml:space="preserve">Hence, the present study was undertaken to investigate the alterations in the haematological profile and behavioural responses of the air-breathing climbing perch, </w:t>
      </w:r>
      <w:r w:rsidRPr="003948F0">
        <w:rPr>
          <w:rFonts w:ascii="Times New Roman" w:hAnsi="Times New Roman" w:cs="Times New Roman"/>
          <w:i/>
          <w:iCs/>
        </w:rPr>
        <w:t>Anabas testudineus</w:t>
      </w:r>
      <w:r w:rsidRPr="003948F0">
        <w:rPr>
          <w:rFonts w:ascii="Times New Roman" w:hAnsi="Times New Roman" w:cs="Times New Roman"/>
        </w:rPr>
        <w:t>, induced by exposure to decamethrin.</w:t>
      </w:r>
    </w:p>
    <w:p w14:paraId="37DDFD8D" w14:textId="699464CA" w:rsidR="00EE03CF" w:rsidRPr="00931BA8" w:rsidRDefault="00EE03CF" w:rsidP="003948F0">
      <w:pPr>
        <w:autoSpaceDE w:val="0"/>
        <w:autoSpaceDN w:val="0"/>
        <w:adjustRightInd w:val="0"/>
        <w:spacing w:after="0" w:line="360" w:lineRule="auto"/>
        <w:jc w:val="both"/>
        <w:rPr>
          <w:rFonts w:ascii="Times New Roman" w:hAnsi="Times New Roman" w:cs="Times New Roman"/>
          <w:i/>
          <w:iCs/>
        </w:rPr>
      </w:pPr>
    </w:p>
    <w:p w14:paraId="5A54CB09" w14:textId="77777777" w:rsidR="00EE03CF" w:rsidRPr="00931BA8" w:rsidRDefault="00EE03CF" w:rsidP="00EE03CF">
      <w:pPr>
        <w:spacing w:after="0" w:line="360" w:lineRule="auto"/>
        <w:jc w:val="both"/>
        <w:rPr>
          <w:rFonts w:ascii="Times New Roman" w:hAnsi="Times New Roman" w:cs="Times New Roman"/>
        </w:rPr>
      </w:pPr>
    </w:p>
    <w:p w14:paraId="01FDF6AF" w14:textId="77777777" w:rsidR="00EE03CF" w:rsidRPr="006D66B9" w:rsidRDefault="00EE03CF" w:rsidP="00EE03CF">
      <w:pPr>
        <w:spacing w:after="0" w:line="360" w:lineRule="auto"/>
        <w:jc w:val="both"/>
        <w:rPr>
          <w:rFonts w:ascii="Times New Roman" w:hAnsi="Times New Roman" w:cs="Times New Roman"/>
          <w:b/>
          <w:bCs/>
        </w:rPr>
      </w:pPr>
      <w:r w:rsidRPr="006D66B9">
        <w:rPr>
          <w:rFonts w:ascii="Times New Roman" w:hAnsi="Times New Roman" w:cs="Times New Roman"/>
          <w:b/>
          <w:bCs/>
        </w:rPr>
        <w:t>MATERIALS AND METHODS :</w:t>
      </w:r>
    </w:p>
    <w:p w14:paraId="77D01EE8" w14:textId="487B424D"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i/>
          <w:iCs/>
          <w:shd w:val="clear" w:color="auto" w:fill="F8F9FA"/>
        </w:rPr>
        <w:t xml:space="preserve">Anabas testudineus, </w:t>
      </w:r>
      <w:r w:rsidRPr="00515527">
        <w:rPr>
          <w:rFonts w:ascii="Times New Roman" w:hAnsi="Times New Roman"/>
          <w:shd w:val="clear" w:color="auto" w:fill="F8F9FA"/>
        </w:rPr>
        <w:t>with an average body weight of 30–35 g, were procured from the local fish market and transported to the laboratory in open containers. To protect them from external infections, the fishes were bathed in 0.1% potassium permanganate solution. Thereafter, the fish were acclimatized to laboratory conditions for 15 days. During the acclimatization period, they were fed artificial floating pellet feed manufactured by Growel Feeds Pvt. Ltd., containing 32% crude protein. The daily ration was provided once a day at the rate of 3% of the body weight.</w:t>
      </w:r>
    </w:p>
    <w:p w14:paraId="063E98F4" w14:textId="77777777"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shd w:val="clear" w:color="auto" w:fill="F8F9FA"/>
        </w:rPr>
        <w:t>To determine the acute LC₅₀ values of decamethrin for 24, 48, 72, and 96 hours, the method described by the American Public Health Association (2005) was followed. The LC₅₀ values obtained for these exposure periods were 3.05 mg/L, 2.25 mg/L, 1.50 mg/L, and 0.80 mg/L, respectively. The sublethal concentration was determined following the method of Hart et al. (1945). Based on the calculation method of Finney (1978), a sublethal concentration of 0.08 ppm was selected for the experiment.</w:t>
      </w:r>
    </w:p>
    <w:p w14:paraId="2A7E870F" w14:textId="77777777"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shd w:val="clear" w:color="auto" w:fill="F8F9FA"/>
        </w:rPr>
        <w:t xml:space="preserve">Ten acclimatized fish were exposed to the sublethal concentration (0.08 ppm) of decamethrin, while another group of ten fish was simultaneously maintained as the control under identical laboratory conditions for 20 days. At the end of the exposure period, on the 20th day, the fish </w:t>
      </w:r>
      <w:r w:rsidRPr="00515527">
        <w:rPr>
          <w:rFonts w:ascii="Times New Roman" w:hAnsi="Times New Roman"/>
          <w:shd w:val="clear" w:color="auto" w:fill="F8F9FA"/>
        </w:rPr>
        <w:lastRenderedPageBreak/>
        <w:t xml:space="preserve">were anaesthetized with 1:4000 MS-222 (tricaine methanesulfonate) for two minutes. Blood samples were then collected from the caudal region of the experimental fish. Haematological parameters including haemoglobin (Hb), red blood cell (RBC) count, white blood cell (WBC) count, lymphocytes, neutrophils, monocytes, basophils, eosinophils, and packed cell volume (PCV) were estimated following the methods described by Akela </w:t>
      </w:r>
      <w:r w:rsidRPr="00515527">
        <w:rPr>
          <w:rFonts w:ascii="Times New Roman" w:hAnsi="Times New Roman"/>
          <w:i/>
          <w:iCs/>
          <w:shd w:val="clear" w:color="auto" w:fill="F8F9FA"/>
        </w:rPr>
        <w:t>et a</w:t>
      </w:r>
      <w:r w:rsidRPr="00515527">
        <w:rPr>
          <w:rFonts w:ascii="Times New Roman" w:hAnsi="Times New Roman"/>
          <w:shd w:val="clear" w:color="auto" w:fill="F8F9FA"/>
        </w:rPr>
        <w:t>l. (1996) and Shrivastav (1979).</w:t>
      </w:r>
    </w:p>
    <w:p w14:paraId="6B8C0982" w14:textId="77777777" w:rsidR="00EE03CF" w:rsidRDefault="00EE03CF" w:rsidP="00EE03CF">
      <w:pPr>
        <w:spacing w:after="0" w:line="240" w:lineRule="auto"/>
        <w:jc w:val="both"/>
        <w:rPr>
          <w:b/>
          <w:bCs/>
        </w:rPr>
      </w:pPr>
    </w:p>
    <w:p w14:paraId="7655A959" w14:textId="77777777" w:rsidR="00EE03CF" w:rsidRDefault="00EE03CF" w:rsidP="00EE03CF">
      <w:pPr>
        <w:spacing w:after="0" w:line="360" w:lineRule="auto"/>
        <w:jc w:val="both"/>
        <w:rPr>
          <w:rFonts w:ascii="Times New Roman" w:hAnsi="Times New Roman" w:cs="Times New Roman"/>
          <w:b/>
          <w:bCs/>
        </w:rPr>
      </w:pPr>
      <w:r w:rsidRPr="006D66B9">
        <w:rPr>
          <w:rFonts w:ascii="Times New Roman" w:hAnsi="Times New Roman" w:cs="Times New Roman"/>
          <w:b/>
          <w:bCs/>
        </w:rPr>
        <w:t>RESULT :</w:t>
      </w:r>
    </w:p>
    <w:p w14:paraId="3CDA5EF6" w14:textId="77777777" w:rsidR="00515527" w:rsidRPr="006D66B9" w:rsidRDefault="00515527" w:rsidP="00EE03CF">
      <w:pPr>
        <w:spacing w:after="0" w:line="360" w:lineRule="auto"/>
        <w:jc w:val="both"/>
        <w:rPr>
          <w:rFonts w:ascii="Times New Roman" w:hAnsi="Times New Roman" w:cs="Times New Roman"/>
          <w:b/>
          <w:bCs/>
        </w:rPr>
      </w:pPr>
    </w:p>
    <w:p w14:paraId="687733AF" w14:textId="72DDCA15" w:rsidR="00515527" w:rsidRPr="00515527" w:rsidRDefault="00EE03CF" w:rsidP="00515527">
      <w:pPr>
        <w:spacing w:line="360" w:lineRule="auto"/>
        <w:jc w:val="both"/>
        <w:rPr>
          <w:rFonts w:ascii="Times New Roman" w:hAnsi="Times New Roman" w:cs="Times New Roman"/>
          <w:b/>
        </w:rPr>
      </w:pPr>
      <w:r w:rsidRPr="006D66B9">
        <w:rPr>
          <w:rFonts w:ascii="Times New Roman" w:hAnsi="Times New Roman" w:cs="Times New Roman"/>
          <w:b/>
        </w:rPr>
        <w:t>BEHAVIOURAL RESPONSE :</w:t>
      </w:r>
    </w:p>
    <w:p w14:paraId="4006BB88"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The control fish remained at the bottom of the aquarium and exhibited normal behaviour with minimal disturbance. Mortalities, if any, were removed immediately, and behavioural abnormalities were assessed at regular intervals using a modified behavioural protocol checklist described by Klesius et al. (2000). Behavioural scores were assigned daily to individual fish based on the following criteria: 0 = no observable behavioural changes; 1 = abnormal swimming, lethargy or unresponsiveness, and changes in skin coloration; 2 = hyperactivity or excitability with rapid opercular movement; and 3 = death. Mean behavioural scores were calculated for each replicate treatment.</w:t>
      </w:r>
    </w:p>
    <w:p w14:paraId="5D552D04"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Immediately after introduction into the test solution, the experimental fish showed increased swimming activity, frequent surfacing, and hyperactivity. After 24 hours of exposure, restlessness, rapid surfacing, peeling of skin, and fading of body colour became prominent. Following 48 hours of exposure, the fishes exhibited slightly reduced activity with gradual intensification of colour fading. Gill adhesion and the formation of a thin mucus layer on the gills, operculum, and body surface were also observed at this stage.</w:t>
      </w:r>
    </w:p>
    <w:p w14:paraId="27ACDFC6"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 xml:space="preserve">After 72 hours of exposure, increased surfacing and frequent air gulping were noticed. The fishes also showed loss of balance and jerky swimming movements. School formation, a characteristic behaviour of </w:t>
      </w:r>
      <w:r w:rsidRPr="00515527">
        <w:rPr>
          <w:rFonts w:ascii="Times New Roman" w:hAnsi="Times New Roman" w:cs="Times New Roman"/>
          <w:i/>
          <w:iCs/>
        </w:rPr>
        <w:t>Anabas testudineus</w:t>
      </w:r>
      <w:r w:rsidRPr="00515527">
        <w:rPr>
          <w:rFonts w:ascii="Times New Roman" w:hAnsi="Times New Roman" w:cs="Times New Roman"/>
        </w:rPr>
        <w:t>, was considerably weakened in treated fish compared to the control group. After 96 hours of exposure, ulceration on the trunk and at the base of the caudal and pectoral fins was observed in approximately 95% of the treated fish. A thick mucus layer covering the entire body and gills was present in almost all exposed fish. The treated fish lost their natural coloration and became almost reddish in appearance. Loss of equilibrium prior to death was a common symptom observed in all test fishes.</w:t>
      </w:r>
    </w:p>
    <w:p w14:paraId="2E11894B" w14:textId="77777777" w:rsidR="00515527" w:rsidRPr="00515527" w:rsidRDefault="00515527" w:rsidP="00515527">
      <w:pPr>
        <w:tabs>
          <w:tab w:val="left" w:pos="3137"/>
        </w:tabs>
        <w:spacing w:line="360" w:lineRule="auto"/>
        <w:jc w:val="both"/>
        <w:rPr>
          <w:rFonts w:ascii="Times New Roman" w:hAnsi="Times New Roman" w:cs="Times New Roman"/>
          <w:b/>
          <w:bCs/>
        </w:rPr>
      </w:pPr>
      <w:r w:rsidRPr="00515527">
        <w:rPr>
          <w:rFonts w:ascii="Times New Roman" w:hAnsi="Times New Roman" w:cs="Times New Roman"/>
          <w:b/>
          <w:bCs/>
        </w:rPr>
        <w:lastRenderedPageBreak/>
        <w:t>Haematological Studies</w:t>
      </w:r>
    </w:p>
    <w:p w14:paraId="71CCDE55"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Table 1 clearly shows that the haemoglobin (Hb) level in the control group was 12.56 ± 0.06 g/dL, which significantly decreased to 6.79 ± 0.11 g/dL in the decamethrin-treated group, showing a highly significant difference (P &lt; 0.001). Similarly, the red blood cell (RBC) count decreased from 6.39 ± 0.01 in the control group to 4.58 ± 0.08 in the treated group, which was also highly significant (P &lt; 0.001) (Table 1, Figure 1).</w:t>
      </w:r>
    </w:p>
    <w:p w14:paraId="5B7A45C8"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The values of neutrophils, monocytes, and eosinophils increased significantly in the treated group, recording 16.1 ± 0.04, 8.0 ± 0.03, and 1.4 ± 0.02, respectively, as compared to the control values of 7.84 ± 2.01, 5.0 ± 0.05, and 1.1 ± 0.03. Among these, neutrophils showed highly significant variation (P &lt; 0.001), while eosinophils showed significant variation (P &lt; 0.01).</w:t>
      </w:r>
    </w:p>
    <w:p w14:paraId="7CD400DD"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In contrast, lymphocyte and basophil counts showed reductions in the treated group. The lymphocyte count decreased from 68.33 ± 2.42 in the control group to 45.0 ± 0.02 in the treated group, showing significant variation (P &lt; 0.01). Basophils showed only minor variation and were statistically non-significant.</w:t>
      </w:r>
    </w:p>
    <w:p w14:paraId="6C321E1C"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Similarly, packed cell volume (PCV) decreased markedly in the treated group (12.01 ± 0.03) compared to the control group (35.97 ± 0.06), indicating significant variation (P &lt; 0.01) (Table 1, Figure 2).</w:t>
      </w:r>
    </w:p>
    <w:p w14:paraId="59BA13E1"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 xml:space="preserve">At the haematological level, exposure to decamethrin caused marked alterations in several blood parameters. The levels of Hb, RBC, WBC, lymphocytes, and PCV decreased, whereas neutrophils, monocytes, and eosinophils increased. These alterations were either significant, highly significant, or non-significant depending on the parameter studied. Such haematological disturbances may lead to pathological conditions such as anaemia, leukocytopenia, neutropenia, lymphopenia, eosinophilia, and impaired erythropoiesis, indicating severe physiological stress in </w:t>
      </w:r>
      <w:r w:rsidRPr="00515527">
        <w:rPr>
          <w:rFonts w:ascii="Times New Roman" w:hAnsi="Times New Roman" w:cs="Times New Roman"/>
          <w:i/>
          <w:iCs/>
        </w:rPr>
        <w:t>Anabas testudineus</w:t>
      </w:r>
      <w:r w:rsidRPr="00515527">
        <w:rPr>
          <w:rFonts w:ascii="Times New Roman" w:hAnsi="Times New Roman" w:cs="Times New Roman"/>
        </w:rPr>
        <w:t xml:space="preserve"> exposed to decamethrin.</w:t>
      </w:r>
    </w:p>
    <w:p w14:paraId="62F38CF3" w14:textId="77777777" w:rsidR="00EE03CF" w:rsidRPr="00856285" w:rsidRDefault="00EE03CF" w:rsidP="00EE03CF">
      <w:pPr>
        <w:tabs>
          <w:tab w:val="left" w:pos="3137"/>
        </w:tabs>
        <w:spacing w:line="360" w:lineRule="auto"/>
        <w:jc w:val="both"/>
        <w:rPr>
          <w:rFonts w:ascii="Times New Roman" w:hAnsi="Times New Roman" w:cs="Times New Roman"/>
          <w:b/>
          <w:sz w:val="28"/>
          <w:szCs w:val="28"/>
          <w:u w:val="single"/>
        </w:rPr>
      </w:pPr>
      <w:r>
        <w:rPr>
          <w:rFonts w:ascii="Times New Roman" w:hAnsi="Times New Roman" w:cs="Times New Roman"/>
        </w:rPr>
        <w:tab/>
      </w:r>
      <w:r>
        <w:rPr>
          <w:rFonts w:ascii="Times New Roman" w:hAnsi="Times New Roman" w:cs="Times New Roman"/>
          <w:b/>
          <w:sz w:val="28"/>
          <w:szCs w:val="28"/>
          <w:u w:val="single"/>
        </w:rPr>
        <w:t>TABLE-1</w:t>
      </w:r>
    </w:p>
    <w:p w14:paraId="34732AAF" w14:textId="6B6BB2FC" w:rsidR="00EE03CF" w:rsidRPr="000E5BF3" w:rsidRDefault="00EE03CF" w:rsidP="00EE03CF">
      <w:pPr>
        <w:rPr>
          <w:rFonts w:ascii="Times New Roman" w:hAnsi="Times New Roman" w:cs="Times New Roman"/>
          <w:b/>
          <w:bCs/>
          <w:i/>
        </w:rPr>
      </w:pPr>
      <w:r w:rsidRPr="00AC6C6F">
        <w:rPr>
          <w:rFonts w:ascii="Times New Roman" w:hAnsi="Times New Roman" w:cs="Times New Roman"/>
          <w:b/>
        </w:rPr>
        <w:t xml:space="preserve">Showing the effects of </w:t>
      </w:r>
      <w:r w:rsidR="000E5BF3">
        <w:rPr>
          <w:rFonts w:ascii="Times New Roman" w:hAnsi="Times New Roman" w:cs="Times New Roman"/>
          <w:b/>
        </w:rPr>
        <w:t>Decamethrin</w:t>
      </w:r>
      <w:r w:rsidRPr="00AC6C6F">
        <w:rPr>
          <w:rFonts w:ascii="Times New Roman" w:hAnsi="Times New Roman" w:cs="Times New Roman"/>
          <w:b/>
        </w:rPr>
        <w:t xml:space="preserve"> on Hb, RBC, WBC, DLC, PCV of </w:t>
      </w:r>
      <w:r w:rsidR="000E5BF3" w:rsidRPr="000E5BF3">
        <w:rPr>
          <w:rFonts w:ascii="Times New Roman" w:hAnsi="Times New Roman"/>
          <w:b/>
          <w:bCs/>
          <w:i/>
          <w:iCs/>
          <w:shd w:val="clear" w:color="auto" w:fill="F8F9FA"/>
        </w:rPr>
        <w:t>Anabas testudineus</w:t>
      </w:r>
      <w:r w:rsidRPr="000E5BF3">
        <w:rPr>
          <w:rFonts w:ascii="Times New Roman" w:hAnsi="Times New Roman" w:cs="Times New Roman"/>
          <w:b/>
          <w:bCs/>
          <w:i/>
        </w:rPr>
        <w:t>.</w:t>
      </w:r>
    </w:p>
    <w:tbl>
      <w:tblPr>
        <w:tblStyle w:val="TableGrid"/>
        <w:tblpPr w:leftFromText="180" w:rightFromText="180" w:vertAnchor="text" w:horzAnchor="margin" w:tblpY="444"/>
        <w:tblW w:w="0" w:type="auto"/>
        <w:tblLook w:val="04A0" w:firstRow="1" w:lastRow="0" w:firstColumn="1" w:lastColumn="0" w:noHBand="0" w:noVBand="1"/>
      </w:tblPr>
      <w:tblGrid>
        <w:gridCol w:w="2445"/>
        <w:gridCol w:w="2523"/>
        <w:gridCol w:w="2430"/>
      </w:tblGrid>
      <w:tr w:rsidR="00EE03CF" w14:paraId="7F4678C6" w14:textId="77777777" w:rsidTr="007A6410">
        <w:trPr>
          <w:trHeight w:val="612"/>
        </w:trPr>
        <w:tc>
          <w:tcPr>
            <w:tcW w:w="4968" w:type="dxa"/>
            <w:gridSpan w:val="2"/>
          </w:tcPr>
          <w:p w14:paraId="41393E56" w14:textId="77777777" w:rsidR="00EE03CF" w:rsidRPr="001B0DAE" w:rsidRDefault="00EE03CF" w:rsidP="007A6410">
            <w:pPr>
              <w:jc w:val="center"/>
              <w:rPr>
                <w:rFonts w:cs="Times New Roman"/>
                <w:b/>
                <w:sz w:val="28"/>
                <w:szCs w:val="28"/>
              </w:rPr>
            </w:pPr>
            <w:r w:rsidRPr="001B0DAE">
              <w:rPr>
                <w:rFonts w:cs="Times New Roman"/>
                <w:b/>
                <w:sz w:val="28"/>
                <w:szCs w:val="28"/>
              </w:rPr>
              <w:t>Variable</w:t>
            </w:r>
          </w:p>
        </w:tc>
        <w:tc>
          <w:tcPr>
            <w:tcW w:w="2430" w:type="dxa"/>
          </w:tcPr>
          <w:p w14:paraId="4C193D03" w14:textId="2E274551" w:rsidR="00EE03CF" w:rsidRPr="001B0DAE" w:rsidRDefault="000E5BF3" w:rsidP="007A6410">
            <w:pPr>
              <w:jc w:val="both"/>
              <w:rPr>
                <w:rFonts w:cs="Times New Roman"/>
                <w:b/>
                <w:sz w:val="28"/>
                <w:szCs w:val="28"/>
              </w:rPr>
            </w:pPr>
            <w:r w:rsidRPr="000E5BF3">
              <w:rPr>
                <w:rFonts w:ascii="Times New Roman" w:hAnsi="Times New Roman" w:cs="Times New Roman"/>
                <w:b/>
                <w:bCs/>
              </w:rPr>
              <w:t>Decamethrin</w:t>
            </w:r>
            <w:r w:rsidRPr="000E5BF3">
              <w:rPr>
                <w:rFonts w:cs="Times New Roman"/>
                <w:b/>
                <w:bCs/>
                <w:sz w:val="28"/>
                <w:szCs w:val="28"/>
              </w:rPr>
              <w:t xml:space="preserve"> </w:t>
            </w:r>
            <w:r w:rsidR="00EE03CF" w:rsidRPr="000E5BF3">
              <w:rPr>
                <w:rFonts w:cs="Times New Roman"/>
                <w:b/>
                <w:bCs/>
                <w:sz w:val="28"/>
                <w:szCs w:val="28"/>
              </w:rPr>
              <w:t xml:space="preserve"> </w:t>
            </w:r>
            <w:r w:rsidR="00EE03CF">
              <w:rPr>
                <w:rFonts w:cs="Times New Roman"/>
                <w:b/>
                <w:sz w:val="28"/>
                <w:szCs w:val="28"/>
              </w:rPr>
              <w:t>(</w:t>
            </w:r>
            <w:r w:rsidR="00134BCB">
              <w:rPr>
                <w:rFonts w:cs="Times New Roman"/>
                <w:b/>
                <w:sz w:val="28"/>
                <w:szCs w:val="28"/>
              </w:rPr>
              <w:t>20 days</w:t>
            </w:r>
            <w:r w:rsidR="00EE03CF" w:rsidRPr="001B0DAE">
              <w:rPr>
                <w:rFonts w:cs="Times New Roman"/>
                <w:b/>
                <w:sz w:val="28"/>
                <w:szCs w:val="28"/>
              </w:rPr>
              <w:t>) exposure</w:t>
            </w:r>
          </w:p>
        </w:tc>
      </w:tr>
      <w:tr w:rsidR="00EE03CF" w14:paraId="62ED5006" w14:textId="77777777" w:rsidTr="007A6410">
        <w:trPr>
          <w:trHeight w:val="717"/>
        </w:trPr>
        <w:tc>
          <w:tcPr>
            <w:tcW w:w="2445" w:type="dxa"/>
          </w:tcPr>
          <w:p w14:paraId="4D943838" w14:textId="77777777" w:rsidR="00EE03CF" w:rsidRPr="001B0DAE" w:rsidRDefault="00EE03CF" w:rsidP="007A6410">
            <w:pPr>
              <w:spacing w:line="480" w:lineRule="auto"/>
              <w:rPr>
                <w:rFonts w:cs="Times New Roman"/>
                <w:b/>
                <w:sz w:val="28"/>
                <w:szCs w:val="28"/>
              </w:rPr>
            </w:pPr>
            <w:r w:rsidRPr="001B0DAE">
              <w:rPr>
                <w:rFonts w:cs="Times New Roman"/>
                <w:b/>
                <w:sz w:val="28"/>
                <w:szCs w:val="28"/>
              </w:rPr>
              <w:lastRenderedPageBreak/>
              <w:t>Parameter</w:t>
            </w:r>
          </w:p>
        </w:tc>
        <w:tc>
          <w:tcPr>
            <w:tcW w:w="2523" w:type="dxa"/>
          </w:tcPr>
          <w:p w14:paraId="4A3D9296" w14:textId="77777777" w:rsidR="00EE03CF" w:rsidRPr="001B0DAE" w:rsidRDefault="00EE03CF" w:rsidP="007A6410">
            <w:pPr>
              <w:spacing w:line="480" w:lineRule="auto"/>
              <w:rPr>
                <w:rFonts w:cs="Times New Roman"/>
                <w:b/>
                <w:sz w:val="28"/>
                <w:szCs w:val="28"/>
              </w:rPr>
            </w:pPr>
            <w:r w:rsidRPr="001B0DAE">
              <w:rPr>
                <w:rFonts w:cs="Times New Roman"/>
                <w:b/>
                <w:sz w:val="28"/>
                <w:szCs w:val="28"/>
              </w:rPr>
              <w:t>Control</w:t>
            </w:r>
          </w:p>
        </w:tc>
        <w:tc>
          <w:tcPr>
            <w:tcW w:w="2430" w:type="dxa"/>
          </w:tcPr>
          <w:p w14:paraId="372D60F4" w14:textId="0220A046" w:rsidR="00EE03CF" w:rsidRPr="001B0DAE" w:rsidRDefault="00EE03CF" w:rsidP="007A6410">
            <w:pPr>
              <w:spacing w:line="480" w:lineRule="auto"/>
              <w:rPr>
                <w:rFonts w:cs="Times New Roman"/>
                <w:b/>
                <w:sz w:val="28"/>
                <w:szCs w:val="28"/>
              </w:rPr>
            </w:pPr>
            <w:r>
              <w:rPr>
                <w:rFonts w:cs="Times New Roman"/>
                <w:b/>
                <w:sz w:val="28"/>
                <w:szCs w:val="28"/>
              </w:rPr>
              <w:t xml:space="preserve">             </w:t>
            </w:r>
            <w:r w:rsidR="000E5BF3">
              <w:rPr>
                <w:rFonts w:cs="Times New Roman"/>
                <w:b/>
                <w:sz w:val="28"/>
                <w:szCs w:val="28"/>
              </w:rPr>
              <w:t>0.08</w:t>
            </w:r>
            <w:r>
              <w:rPr>
                <w:rFonts w:cs="Times New Roman"/>
                <w:b/>
                <w:sz w:val="28"/>
                <w:szCs w:val="28"/>
              </w:rPr>
              <w:t xml:space="preserve"> mg/l</w:t>
            </w:r>
          </w:p>
        </w:tc>
      </w:tr>
      <w:tr w:rsidR="00EE03CF" w14:paraId="5C63DB6C" w14:textId="77777777" w:rsidTr="007A6410">
        <w:trPr>
          <w:trHeight w:val="415"/>
        </w:trPr>
        <w:tc>
          <w:tcPr>
            <w:tcW w:w="2445" w:type="dxa"/>
          </w:tcPr>
          <w:p w14:paraId="4523D8C9"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Blood Hb (gm/l)</w:t>
            </w:r>
          </w:p>
        </w:tc>
        <w:tc>
          <w:tcPr>
            <w:tcW w:w="2523" w:type="dxa"/>
          </w:tcPr>
          <w:p w14:paraId="0B40725C"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12.56 </w:t>
            </w:r>
            <w:r w:rsidRPr="001B0DAE">
              <w:rPr>
                <w:rFonts w:asciiTheme="majorHAnsi" w:hAnsiTheme="majorHAnsi" w:cs="Times New Roman"/>
              </w:rPr>
              <w:t>±0.06</w:t>
            </w:r>
          </w:p>
        </w:tc>
        <w:tc>
          <w:tcPr>
            <w:tcW w:w="2430" w:type="dxa"/>
          </w:tcPr>
          <w:p w14:paraId="426FF702"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.79±0.12</w:t>
            </w:r>
            <w:r>
              <w:rPr>
                <w:rFonts w:asciiTheme="majorHAnsi" w:hAnsiTheme="majorHAnsi" w:cs="Times New Roman"/>
              </w:rPr>
              <w:t xml:space="preserve">    ***</w:t>
            </w:r>
          </w:p>
        </w:tc>
      </w:tr>
      <w:tr w:rsidR="00EE03CF" w14:paraId="30BEB0C4" w14:textId="77777777" w:rsidTr="007A6410">
        <w:trPr>
          <w:trHeight w:val="341"/>
        </w:trPr>
        <w:tc>
          <w:tcPr>
            <w:tcW w:w="2445" w:type="dxa"/>
          </w:tcPr>
          <w:p w14:paraId="7DE593F3"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TEC(RBC) (x 10</w:t>
            </w:r>
            <w:r w:rsidRPr="001B0DAE">
              <w:rPr>
                <w:rFonts w:asciiTheme="majorHAnsi" w:hAnsiTheme="majorHAnsi" w:cs="Times New Roman"/>
                <w:vertAlign w:val="superscript"/>
              </w:rPr>
              <w:t>6</w:t>
            </w:r>
            <w:r w:rsidRPr="001B0DAE">
              <w:rPr>
                <w:rFonts w:asciiTheme="majorHAnsi" w:hAnsiTheme="majorHAnsi" w:cs="Times New Roman"/>
              </w:rPr>
              <w:t>µl)</w:t>
            </w:r>
          </w:p>
        </w:tc>
        <w:tc>
          <w:tcPr>
            <w:tcW w:w="2523" w:type="dxa"/>
          </w:tcPr>
          <w:p w14:paraId="6B69C9AF"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.39±0.01</w:t>
            </w:r>
          </w:p>
        </w:tc>
        <w:tc>
          <w:tcPr>
            <w:tcW w:w="2430" w:type="dxa"/>
          </w:tcPr>
          <w:p w14:paraId="546B3AE1" w14:textId="77777777" w:rsidR="00EE03CF" w:rsidRPr="001B0DAE" w:rsidRDefault="00EE03CF" w:rsidP="007A6410">
            <w:pPr>
              <w:rPr>
                <w:rFonts w:asciiTheme="majorHAnsi" w:hAnsiTheme="majorHAnsi" w:cs="Times New Roman"/>
              </w:rPr>
            </w:pPr>
            <w:r>
              <w:rPr>
                <w:rFonts w:asciiTheme="majorHAnsi" w:hAnsiTheme="majorHAnsi" w:cs="Times New Roman"/>
              </w:rPr>
              <w:t>4.5</w:t>
            </w:r>
            <w:r w:rsidRPr="001B0DAE">
              <w:rPr>
                <w:rFonts w:asciiTheme="majorHAnsi" w:hAnsiTheme="majorHAnsi" w:cs="Times New Roman"/>
              </w:rPr>
              <w:t>8±0.08</w:t>
            </w:r>
            <w:r>
              <w:rPr>
                <w:rFonts w:asciiTheme="majorHAnsi" w:hAnsiTheme="majorHAnsi" w:cs="Times New Roman"/>
              </w:rPr>
              <w:t xml:space="preserve">    ***</w:t>
            </w:r>
          </w:p>
        </w:tc>
      </w:tr>
      <w:tr w:rsidR="00EE03CF" w14:paraId="4ADC7778" w14:textId="77777777" w:rsidTr="007A6410">
        <w:trPr>
          <w:trHeight w:val="496"/>
        </w:trPr>
        <w:tc>
          <w:tcPr>
            <w:tcW w:w="2445" w:type="dxa"/>
          </w:tcPr>
          <w:p w14:paraId="1E901FAE"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DLC (WBC) (% values)</w:t>
            </w:r>
          </w:p>
        </w:tc>
        <w:tc>
          <w:tcPr>
            <w:tcW w:w="2523" w:type="dxa"/>
          </w:tcPr>
          <w:p w14:paraId="1A1C0CD6" w14:textId="33C30FED" w:rsidR="00EE03CF" w:rsidRPr="001B0DAE" w:rsidRDefault="00867350" w:rsidP="007A6410">
            <w:pPr>
              <w:rPr>
                <w:rFonts w:asciiTheme="majorHAnsi" w:hAnsiTheme="majorHAnsi" w:cs="Times New Roman"/>
              </w:rPr>
            </w:pPr>
            <w:r>
              <w:rPr>
                <w:rFonts w:asciiTheme="majorHAnsi" w:hAnsiTheme="majorHAnsi" w:cs="Times New Roman"/>
              </w:rPr>
              <w:t>3.9%</w:t>
            </w:r>
          </w:p>
        </w:tc>
        <w:tc>
          <w:tcPr>
            <w:tcW w:w="2430" w:type="dxa"/>
          </w:tcPr>
          <w:p w14:paraId="4125312E" w14:textId="753161C2" w:rsidR="00EE03CF" w:rsidRPr="001B0DAE" w:rsidRDefault="00867350" w:rsidP="007A6410">
            <w:pPr>
              <w:rPr>
                <w:rFonts w:asciiTheme="majorHAnsi" w:hAnsiTheme="majorHAnsi" w:cs="Times New Roman"/>
              </w:rPr>
            </w:pPr>
            <w:r>
              <w:rPr>
                <w:rFonts w:asciiTheme="majorHAnsi" w:hAnsiTheme="majorHAnsi" w:cs="Times New Roman"/>
              </w:rPr>
              <w:t>2.7%        ***</w:t>
            </w:r>
          </w:p>
        </w:tc>
      </w:tr>
      <w:tr w:rsidR="00EE03CF" w14:paraId="7A4680EB" w14:textId="77777777" w:rsidTr="007A6410">
        <w:trPr>
          <w:trHeight w:val="417"/>
        </w:trPr>
        <w:tc>
          <w:tcPr>
            <w:tcW w:w="2445" w:type="dxa"/>
          </w:tcPr>
          <w:p w14:paraId="06E0148F" w14:textId="709A5D3F" w:rsidR="00EE03CF" w:rsidRPr="001B0DAE" w:rsidRDefault="00EE03CF" w:rsidP="007A6410">
            <w:pPr>
              <w:rPr>
                <w:rFonts w:asciiTheme="majorHAnsi" w:hAnsiTheme="majorHAnsi" w:cs="Times New Roman"/>
              </w:rPr>
            </w:pPr>
            <w:r w:rsidRPr="001B0DAE">
              <w:rPr>
                <w:rFonts w:asciiTheme="majorHAnsi" w:hAnsiTheme="majorHAnsi" w:cs="Times New Roman"/>
              </w:rPr>
              <w:t>Neutrophils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5D815CE2" w14:textId="77777777" w:rsidR="00EE03CF" w:rsidRPr="001B0DAE" w:rsidRDefault="00EE03CF" w:rsidP="007A6410">
            <w:pPr>
              <w:rPr>
                <w:rFonts w:asciiTheme="majorHAnsi" w:hAnsiTheme="majorHAnsi" w:cs="Times New Roman"/>
              </w:rPr>
            </w:pPr>
            <w:r>
              <w:rPr>
                <w:rFonts w:asciiTheme="majorHAnsi" w:hAnsiTheme="majorHAnsi" w:cs="Times New Roman"/>
              </w:rPr>
              <w:t>7</w:t>
            </w:r>
            <w:r w:rsidRPr="001B0DAE">
              <w:rPr>
                <w:rFonts w:asciiTheme="majorHAnsi" w:hAnsiTheme="majorHAnsi" w:cs="Times New Roman"/>
              </w:rPr>
              <w:t>.84±2.04</w:t>
            </w:r>
          </w:p>
        </w:tc>
        <w:tc>
          <w:tcPr>
            <w:tcW w:w="2430" w:type="dxa"/>
          </w:tcPr>
          <w:p w14:paraId="46D52703" w14:textId="77777777" w:rsidR="00EE03CF" w:rsidRPr="001B0DAE" w:rsidRDefault="00EE03CF" w:rsidP="007A6410">
            <w:pPr>
              <w:rPr>
                <w:rFonts w:asciiTheme="majorHAnsi" w:hAnsiTheme="majorHAnsi" w:cs="Times New Roman"/>
              </w:rPr>
            </w:pPr>
            <w:r>
              <w:rPr>
                <w:rFonts w:asciiTheme="majorHAnsi" w:hAnsiTheme="majorHAnsi" w:cs="Times New Roman"/>
              </w:rPr>
              <w:t>16</w:t>
            </w:r>
            <w:r w:rsidRPr="001B0DAE">
              <w:rPr>
                <w:rFonts w:asciiTheme="majorHAnsi" w:hAnsiTheme="majorHAnsi" w:cs="Times New Roman"/>
              </w:rPr>
              <w:t>.1±0.04</w:t>
            </w:r>
            <w:r>
              <w:rPr>
                <w:rFonts w:asciiTheme="majorHAnsi" w:hAnsiTheme="majorHAnsi" w:cs="Times New Roman"/>
              </w:rPr>
              <w:t xml:space="preserve">    ***</w:t>
            </w:r>
          </w:p>
        </w:tc>
      </w:tr>
      <w:tr w:rsidR="00EE03CF" w14:paraId="0AD1A1F0" w14:textId="77777777" w:rsidTr="007A6410">
        <w:trPr>
          <w:trHeight w:val="420"/>
        </w:trPr>
        <w:tc>
          <w:tcPr>
            <w:tcW w:w="2445" w:type="dxa"/>
          </w:tcPr>
          <w:p w14:paraId="7DCCA79C" w14:textId="1A0F96AA" w:rsidR="00EE03CF" w:rsidRPr="001B0DAE" w:rsidRDefault="00EE03CF" w:rsidP="007A6410">
            <w:pPr>
              <w:rPr>
                <w:rFonts w:asciiTheme="majorHAnsi" w:hAnsiTheme="majorHAnsi" w:cs="Times New Roman"/>
              </w:rPr>
            </w:pPr>
            <w:r w:rsidRPr="001B0DAE">
              <w:rPr>
                <w:rFonts w:asciiTheme="majorHAnsi" w:hAnsiTheme="majorHAnsi" w:cs="Times New Roman"/>
              </w:rPr>
              <w:t>Lymphocytes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2F470FC6"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8.33±2.42</w:t>
            </w:r>
          </w:p>
        </w:tc>
        <w:tc>
          <w:tcPr>
            <w:tcW w:w="2430" w:type="dxa"/>
          </w:tcPr>
          <w:p w14:paraId="5434DB65" w14:textId="77777777" w:rsidR="00EE03CF" w:rsidRPr="001B0DAE" w:rsidRDefault="00EE03CF" w:rsidP="007A6410">
            <w:pPr>
              <w:rPr>
                <w:rFonts w:asciiTheme="majorHAnsi" w:hAnsiTheme="majorHAnsi" w:cs="Times New Roman"/>
              </w:rPr>
            </w:pPr>
            <w:r>
              <w:rPr>
                <w:rFonts w:asciiTheme="majorHAnsi" w:hAnsiTheme="majorHAnsi" w:cs="Times New Roman"/>
              </w:rPr>
              <w:t>4</w:t>
            </w:r>
            <w:r w:rsidRPr="001B0DAE">
              <w:rPr>
                <w:rFonts w:asciiTheme="majorHAnsi" w:hAnsiTheme="majorHAnsi" w:cs="Times New Roman"/>
              </w:rPr>
              <w:t>5.0±0.02</w:t>
            </w:r>
            <w:r>
              <w:rPr>
                <w:rFonts w:asciiTheme="majorHAnsi" w:hAnsiTheme="majorHAnsi" w:cs="Times New Roman"/>
              </w:rPr>
              <w:t xml:space="preserve">     **</w:t>
            </w:r>
          </w:p>
        </w:tc>
      </w:tr>
      <w:tr w:rsidR="00EE03CF" w14:paraId="77667C0E" w14:textId="77777777" w:rsidTr="007A6410">
        <w:trPr>
          <w:trHeight w:val="439"/>
        </w:trPr>
        <w:tc>
          <w:tcPr>
            <w:tcW w:w="2445" w:type="dxa"/>
          </w:tcPr>
          <w:p w14:paraId="273E2B69" w14:textId="6313A576" w:rsidR="00EE03CF" w:rsidRPr="001B0DAE" w:rsidRDefault="00EE03CF" w:rsidP="007A6410">
            <w:pPr>
              <w:rPr>
                <w:rFonts w:asciiTheme="majorHAnsi" w:hAnsiTheme="majorHAnsi" w:cs="Times New Roman"/>
              </w:rPr>
            </w:pPr>
            <w:r w:rsidRPr="001B0DAE">
              <w:rPr>
                <w:rFonts w:asciiTheme="majorHAnsi" w:hAnsiTheme="majorHAnsi" w:cs="Times New Roman"/>
              </w:rPr>
              <w:t>Monocytes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17142FF7" w14:textId="77777777" w:rsidR="00EE03CF" w:rsidRPr="001B0DAE" w:rsidRDefault="00EE03CF" w:rsidP="007A6410">
            <w:pPr>
              <w:rPr>
                <w:rFonts w:asciiTheme="majorHAnsi" w:hAnsiTheme="majorHAnsi" w:cs="Times New Roman"/>
              </w:rPr>
            </w:pPr>
            <w:r>
              <w:rPr>
                <w:rFonts w:asciiTheme="majorHAnsi" w:hAnsiTheme="majorHAnsi" w:cs="Times New Roman"/>
              </w:rPr>
              <w:t>5</w:t>
            </w:r>
            <w:r w:rsidRPr="001B0DAE">
              <w:rPr>
                <w:rFonts w:asciiTheme="majorHAnsi" w:hAnsiTheme="majorHAnsi" w:cs="Times New Roman"/>
              </w:rPr>
              <w:t>.0±0.03</w:t>
            </w:r>
          </w:p>
        </w:tc>
        <w:tc>
          <w:tcPr>
            <w:tcW w:w="2430" w:type="dxa"/>
          </w:tcPr>
          <w:p w14:paraId="7C80E1E1" w14:textId="77777777" w:rsidR="00EE03CF" w:rsidRPr="001B0DAE" w:rsidRDefault="00EE03CF" w:rsidP="007A6410">
            <w:pPr>
              <w:rPr>
                <w:rFonts w:asciiTheme="majorHAnsi" w:hAnsiTheme="majorHAnsi" w:cs="Times New Roman"/>
              </w:rPr>
            </w:pPr>
            <w:r>
              <w:rPr>
                <w:rFonts w:asciiTheme="majorHAnsi" w:hAnsiTheme="majorHAnsi" w:cs="Times New Roman"/>
              </w:rPr>
              <w:t>8</w:t>
            </w:r>
            <w:r w:rsidRPr="001B0DAE">
              <w:rPr>
                <w:rFonts w:asciiTheme="majorHAnsi" w:hAnsiTheme="majorHAnsi" w:cs="Times New Roman"/>
              </w:rPr>
              <w:t>.0±0.03</w:t>
            </w:r>
            <w:r>
              <w:rPr>
                <w:rFonts w:asciiTheme="majorHAnsi" w:hAnsiTheme="majorHAnsi" w:cs="Times New Roman"/>
              </w:rPr>
              <w:t xml:space="preserve">      *</w:t>
            </w:r>
          </w:p>
        </w:tc>
      </w:tr>
      <w:tr w:rsidR="00EE03CF" w14:paraId="6D35B4CD" w14:textId="77777777" w:rsidTr="007A6410">
        <w:trPr>
          <w:trHeight w:val="456"/>
        </w:trPr>
        <w:tc>
          <w:tcPr>
            <w:tcW w:w="2445" w:type="dxa"/>
          </w:tcPr>
          <w:p w14:paraId="31B22716" w14:textId="03BF986E" w:rsidR="00EE03CF" w:rsidRPr="001B0DAE" w:rsidRDefault="00EE03CF" w:rsidP="007A6410">
            <w:pPr>
              <w:rPr>
                <w:rFonts w:asciiTheme="majorHAnsi" w:hAnsiTheme="majorHAnsi" w:cs="Times New Roman"/>
              </w:rPr>
            </w:pPr>
            <w:r w:rsidRPr="001B0DAE">
              <w:rPr>
                <w:rFonts w:asciiTheme="majorHAnsi" w:hAnsiTheme="majorHAnsi" w:cs="Times New Roman"/>
              </w:rPr>
              <w:t>Eosinophil</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1A925687" w14:textId="77777777" w:rsidR="00EE03CF" w:rsidRPr="001B0DAE" w:rsidRDefault="00EE03CF" w:rsidP="007A6410">
            <w:pPr>
              <w:rPr>
                <w:rFonts w:asciiTheme="majorHAnsi" w:hAnsiTheme="majorHAnsi" w:cs="Times New Roman"/>
              </w:rPr>
            </w:pPr>
            <w:r>
              <w:rPr>
                <w:rFonts w:asciiTheme="majorHAnsi" w:hAnsiTheme="majorHAnsi" w:cs="Times New Roman"/>
              </w:rPr>
              <w:t>2</w:t>
            </w:r>
            <w:r w:rsidRPr="001B0DAE">
              <w:rPr>
                <w:rFonts w:asciiTheme="majorHAnsi" w:hAnsiTheme="majorHAnsi" w:cs="Times New Roman"/>
              </w:rPr>
              <w:t>.0±0.03</w:t>
            </w:r>
          </w:p>
        </w:tc>
        <w:tc>
          <w:tcPr>
            <w:tcW w:w="2430" w:type="dxa"/>
          </w:tcPr>
          <w:p w14:paraId="7B0E4338" w14:textId="77777777" w:rsidR="00EE03CF" w:rsidRPr="001B0DAE" w:rsidRDefault="00EE03CF" w:rsidP="007A6410">
            <w:pPr>
              <w:rPr>
                <w:rFonts w:asciiTheme="majorHAnsi" w:hAnsiTheme="majorHAnsi" w:cs="Times New Roman"/>
              </w:rPr>
            </w:pPr>
            <w:r>
              <w:rPr>
                <w:rFonts w:asciiTheme="majorHAnsi" w:hAnsiTheme="majorHAnsi" w:cs="Times New Roman"/>
              </w:rPr>
              <w:t>3</w:t>
            </w:r>
            <w:r w:rsidRPr="001B0DAE">
              <w:rPr>
                <w:rFonts w:asciiTheme="majorHAnsi" w:hAnsiTheme="majorHAnsi" w:cs="Times New Roman"/>
              </w:rPr>
              <w:t>.0±0.02</w:t>
            </w:r>
            <w:r>
              <w:rPr>
                <w:rFonts w:asciiTheme="majorHAnsi" w:hAnsiTheme="majorHAnsi" w:cs="Times New Roman"/>
              </w:rPr>
              <w:t xml:space="preserve">       **</w:t>
            </w:r>
          </w:p>
        </w:tc>
      </w:tr>
      <w:tr w:rsidR="00EE03CF" w14:paraId="5C2EC2E1" w14:textId="77777777" w:rsidTr="007A6410">
        <w:trPr>
          <w:trHeight w:val="475"/>
        </w:trPr>
        <w:tc>
          <w:tcPr>
            <w:tcW w:w="2445" w:type="dxa"/>
          </w:tcPr>
          <w:p w14:paraId="4066073F" w14:textId="5A701CD9" w:rsidR="00EE03CF" w:rsidRPr="001B0DAE" w:rsidRDefault="00EE03CF" w:rsidP="007A6410">
            <w:pPr>
              <w:rPr>
                <w:rFonts w:asciiTheme="majorHAnsi" w:hAnsiTheme="majorHAnsi" w:cs="Times New Roman"/>
              </w:rPr>
            </w:pPr>
            <w:r w:rsidRPr="001B0DAE">
              <w:rPr>
                <w:rFonts w:asciiTheme="majorHAnsi" w:hAnsiTheme="majorHAnsi" w:cs="Times New Roman"/>
              </w:rPr>
              <w:t>Basophil</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2530CF95"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1.1 </w:t>
            </w:r>
            <w:r w:rsidRPr="001B0DAE">
              <w:rPr>
                <w:rFonts w:asciiTheme="majorHAnsi" w:hAnsiTheme="majorHAnsi" w:cs="Times New Roman"/>
              </w:rPr>
              <w:t>±0.02</w:t>
            </w:r>
          </w:p>
        </w:tc>
        <w:tc>
          <w:tcPr>
            <w:tcW w:w="2430" w:type="dxa"/>
          </w:tcPr>
          <w:p w14:paraId="5C985CD8"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1.3 </w:t>
            </w:r>
            <w:r w:rsidRPr="001B0DAE">
              <w:rPr>
                <w:rFonts w:asciiTheme="majorHAnsi" w:hAnsiTheme="majorHAnsi" w:cs="Times New Roman"/>
              </w:rPr>
              <w:t>±0.02</w:t>
            </w:r>
            <w:r>
              <w:rPr>
                <w:rFonts w:asciiTheme="majorHAnsi" w:hAnsiTheme="majorHAnsi" w:cs="Times New Roman"/>
              </w:rPr>
              <w:t xml:space="preserve">         *</w:t>
            </w:r>
          </w:p>
        </w:tc>
      </w:tr>
      <w:tr w:rsidR="00EE03CF" w14:paraId="503B7ABE" w14:textId="77777777" w:rsidTr="007A6410">
        <w:trPr>
          <w:trHeight w:val="492"/>
        </w:trPr>
        <w:tc>
          <w:tcPr>
            <w:tcW w:w="2445" w:type="dxa"/>
          </w:tcPr>
          <w:p w14:paraId="08F7079C"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PC (%values)</w:t>
            </w:r>
          </w:p>
        </w:tc>
        <w:tc>
          <w:tcPr>
            <w:tcW w:w="2523" w:type="dxa"/>
          </w:tcPr>
          <w:p w14:paraId="07EBA54C" w14:textId="77777777" w:rsidR="00EE03CF" w:rsidRPr="001B0DAE" w:rsidRDefault="00EE03CF" w:rsidP="007A6410">
            <w:pPr>
              <w:rPr>
                <w:rFonts w:asciiTheme="majorHAnsi" w:hAnsiTheme="majorHAnsi" w:cs="Times New Roman"/>
              </w:rPr>
            </w:pPr>
            <w:r>
              <w:rPr>
                <w:rFonts w:asciiTheme="majorHAnsi" w:hAnsiTheme="majorHAnsi" w:cs="Times New Roman"/>
              </w:rPr>
              <w:t>35</w:t>
            </w:r>
            <w:r w:rsidRPr="001B0DAE">
              <w:rPr>
                <w:rFonts w:asciiTheme="majorHAnsi" w:hAnsiTheme="majorHAnsi" w:cs="Times New Roman"/>
              </w:rPr>
              <w:t>.97±0.06</w:t>
            </w:r>
          </w:p>
        </w:tc>
        <w:tc>
          <w:tcPr>
            <w:tcW w:w="2430" w:type="dxa"/>
          </w:tcPr>
          <w:p w14:paraId="7630FBDE" w14:textId="77777777" w:rsidR="00EE03CF" w:rsidRPr="001B0DAE" w:rsidRDefault="00EE03CF" w:rsidP="007A6410">
            <w:pPr>
              <w:rPr>
                <w:rFonts w:asciiTheme="majorHAnsi" w:hAnsiTheme="majorHAnsi" w:cs="Times New Roman"/>
              </w:rPr>
            </w:pPr>
            <w:r>
              <w:rPr>
                <w:rFonts w:asciiTheme="majorHAnsi" w:hAnsiTheme="majorHAnsi" w:cs="Times New Roman"/>
              </w:rPr>
              <w:t>12</w:t>
            </w:r>
            <w:r w:rsidRPr="001B0DAE">
              <w:rPr>
                <w:rFonts w:asciiTheme="majorHAnsi" w:hAnsiTheme="majorHAnsi" w:cs="Times New Roman"/>
              </w:rPr>
              <w:t>.01±0.03</w:t>
            </w:r>
            <w:r>
              <w:rPr>
                <w:rFonts w:asciiTheme="majorHAnsi" w:hAnsiTheme="majorHAnsi" w:cs="Times New Roman"/>
              </w:rPr>
              <w:t xml:space="preserve">   **</w:t>
            </w:r>
          </w:p>
        </w:tc>
      </w:tr>
    </w:tbl>
    <w:p w14:paraId="14E0B80C" w14:textId="77777777" w:rsidR="00EE03CF" w:rsidRPr="00856285" w:rsidRDefault="00EE03CF" w:rsidP="00EE03CF">
      <w:pPr>
        <w:rPr>
          <w:rFonts w:ascii="Times New Roman" w:hAnsi="Times New Roman" w:cs="Times New Roman"/>
          <w:i/>
        </w:rPr>
      </w:pPr>
    </w:p>
    <w:p w14:paraId="0C0162DA" w14:textId="77777777" w:rsidR="00EE03CF" w:rsidRDefault="00EE03CF" w:rsidP="00EE03CF">
      <w:pPr>
        <w:rPr>
          <w:rFonts w:ascii="Times New Roman" w:hAnsi="Times New Roman" w:cs="Times New Roman"/>
          <w:sz w:val="28"/>
          <w:szCs w:val="28"/>
        </w:rPr>
      </w:pPr>
    </w:p>
    <w:p w14:paraId="2C3A0B68" w14:textId="77777777" w:rsidR="00EE03CF" w:rsidRDefault="00EE03CF" w:rsidP="00EE03CF">
      <w:pPr>
        <w:rPr>
          <w:rFonts w:ascii="Monotype Corsiva" w:hAnsi="Monotype Corsiva" w:cs="Times New Roman"/>
          <w:b/>
          <w:sz w:val="28"/>
          <w:szCs w:val="28"/>
        </w:rPr>
      </w:pPr>
    </w:p>
    <w:p w14:paraId="49D44FD3" w14:textId="77777777" w:rsidR="00EE03CF" w:rsidRDefault="00EE03CF" w:rsidP="00EE03CF">
      <w:pPr>
        <w:rPr>
          <w:rFonts w:ascii="Monotype Corsiva" w:hAnsi="Monotype Corsiva" w:cs="Times New Roman"/>
          <w:b/>
          <w:sz w:val="28"/>
          <w:szCs w:val="28"/>
        </w:rPr>
      </w:pPr>
    </w:p>
    <w:p w14:paraId="71073095" w14:textId="77777777" w:rsidR="00EE03CF" w:rsidRDefault="00EE03CF" w:rsidP="00EE03CF">
      <w:pPr>
        <w:rPr>
          <w:rFonts w:ascii="Monotype Corsiva" w:hAnsi="Monotype Corsiva" w:cs="Times New Roman"/>
          <w:b/>
          <w:sz w:val="28"/>
          <w:szCs w:val="28"/>
        </w:rPr>
      </w:pPr>
    </w:p>
    <w:p w14:paraId="3BDFC9A7" w14:textId="77777777" w:rsidR="00EE03CF" w:rsidRDefault="00EE03CF" w:rsidP="00EE03CF">
      <w:pPr>
        <w:rPr>
          <w:rFonts w:ascii="Monotype Corsiva" w:hAnsi="Monotype Corsiva" w:cs="Times New Roman"/>
          <w:b/>
          <w:sz w:val="28"/>
          <w:szCs w:val="28"/>
        </w:rPr>
      </w:pPr>
    </w:p>
    <w:p w14:paraId="1347D986" w14:textId="77777777" w:rsidR="00EE03CF" w:rsidRDefault="00EE03CF" w:rsidP="00EE03CF">
      <w:pPr>
        <w:rPr>
          <w:rFonts w:ascii="Monotype Corsiva" w:hAnsi="Monotype Corsiva" w:cs="Times New Roman"/>
          <w:b/>
          <w:sz w:val="28"/>
          <w:szCs w:val="28"/>
        </w:rPr>
      </w:pPr>
    </w:p>
    <w:p w14:paraId="46709297" w14:textId="77777777" w:rsidR="00EE03CF" w:rsidRDefault="00EE03CF" w:rsidP="00EE03CF">
      <w:pPr>
        <w:rPr>
          <w:rFonts w:ascii="Monotype Corsiva" w:hAnsi="Monotype Corsiva" w:cs="Times New Roman"/>
          <w:b/>
          <w:sz w:val="28"/>
          <w:szCs w:val="28"/>
        </w:rPr>
      </w:pPr>
    </w:p>
    <w:p w14:paraId="67B48B70" w14:textId="77777777" w:rsidR="00EE03CF" w:rsidRDefault="00EE03CF" w:rsidP="00EE03CF">
      <w:pPr>
        <w:rPr>
          <w:rFonts w:ascii="Monotype Corsiva" w:hAnsi="Monotype Corsiva" w:cs="Times New Roman"/>
          <w:b/>
          <w:sz w:val="28"/>
          <w:szCs w:val="28"/>
        </w:rPr>
      </w:pPr>
    </w:p>
    <w:p w14:paraId="145626B3" w14:textId="77777777" w:rsidR="00EE03CF" w:rsidRDefault="00EE03CF" w:rsidP="00EE03CF">
      <w:pPr>
        <w:rPr>
          <w:rFonts w:ascii="Monotype Corsiva" w:hAnsi="Monotype Corsiva" w:cs="Times New Roman"/>
          <w:b/>
          <w:sz w:val="28"/>
          <w:szCs w:val="28"/>
        </w:rPr>
      </w:pPr>
    </w:p>
    <w:p w14:paraId="481760CB" w14:textId="77777777" w:rsidR="00EE03CF" w:rsidRDefault="00EE03CF" w:rsidP="00EE03CF">
      <w:pPr>
        <w:rPr>
          <w:rFonts w:ascii="Monotype Corsiva" w:hAnsi="Monotype Corsiva" w:cs="Times New Roman"/>
          <w:b/>
          <w:sz w:val="28"/>
          <w:szCs w:val="28"/>
        </w:rPr>
      </w:pPr>
    </w:p>
    <w:p w14:paraId="43E91553" w14:textId="77777777" w:rsidR="00EE03CF" w:rsidRDefault="00EE03CF" w:rsidP="00EE03CF">
      <w:pPr>
        <w:rPr>
          <w:rFonts w:ascii="Monotype Corsiva" w:hAnsi="Monotype Corsiva" w:cs="Times New Roman"/>
          <w:b/>
          <w:sz w:val="28"/>
          <w:szCs w:val="28"/>
        </w:rPr>
      </w:pPr>
    </w:p>
    <w:p w14:paraId="5FE3F93A" w14:textId="77777777" w:rsidR="00EE03CF" w:rsidRPr="0096660E" w:rsidRDefault="00EE03CF" w:rsidP="00EE03CF">
      <w:pPr>
        <w:rPr>
          <w:rFonts w:ascii="Monotype Corsiva" w:hAnsi="Monotype Corsiva" w:cs="Times New Roman"/>
          <w:b/>
          <w:sz w:val="28"/>
          <w:szCs w:val="28"/>
        </w:rPr>
      </w:pPr>
      <w:r w:rsidRPr="0096660E">
        <w:rPr>
          <w:rFonts w:ascii="Monotype Corsiva" w:hAnsi="Monotype Corsiva" w:cs="Times New Roman"/>
          <w:b/>
          <w:sz w:val="28"/>
          <w:szCs w:val="28"/>
        </w:rPr>
        <w:t>Values are mean ± SE of 5 individual observations:-</w:t>
      </w:r>
    </w:p>
    <w:p w14:paraId="47DD0B60" w14:textId="77777777" w:rsidR="00EE03CF" w:rsidRPr="006A34E2" w:rsidRDefault="00EE03CF" w:rsidP="00EE03CF">
      <w:pPr>
        <w:spacing w:line="240" w:lineRule="auto"/>
        <w:jc w:val="both"/>
        <w:rPr>
          <w:rFonts w:ascii="Monotype Corsiva" w:hAnsi="Monotype Corsiva" w:cs="Times New Roman"/>
          <w:sz w:val="20"/>
          <w:szCs w:val="20"/>
        </w:rPr>
      </w:pPr>
      <w:r w:rsidRPr="006A34E2">
        <w:rPr>
          <w:rFonts w:ascii="Monotype Corsiva" w:hAnsi="Monotype Corsiva" w:cs="Times New Roman"/>
          <w:sz w:val="20"/>
          <w:szCs w:val="20"/>
        </w:rPr>
        <w:t xml:space="preserve"> *         P&lt;0.5     Non Significant</w:t>
      </w:r>
    </w:p>
    <w:p w14:paraId="060A2B89" w14:textId="77777777" w:rsidR="00EE03CF" w:rsidRPr="006A34E2" w:rsidRDefault="00EE03CF" w:rsidP="00EE03CF">
      <w:pPr>
        <w:pStyle w:val="ListParagraph"/>
        <w:spacing w:line="360" w:lineRule="auto"/>
        <w:ind w:left="0"/>
        <w:jc w:val="both"/>
        <w:rPr>
          <w:rFonts w:ascii="Monotype Corsiva" w:hAnsi="Monotype Corsiva" w:cs="Times New Roman"/>
          <w:sz w:val="20"/>
          <w:szCs w:val="20"/>
        </w:rPr>
      </w:pPr>
      <w:r w:rsidRPr="006A34E2">
        <w:rPr>
          <w:rFonts w:ascii="Monotype Corsiva" w:hAnsi="Monotype Corsiva" w:cs="Times New Roman"/>
          <w:sz w:val="20"/>
          <w:szCs w:val="20"/>
        </w:rPr>
        <w:t xml:space="preserve"> **         P&lt;0.01     Significant</w:t>
      </w:r>
    </w:p>
    <w:p w14:paraId="4F34C916" w14:textId="77777777" w:rsidR="00EE03CF" w:rsidRPr="006A34E2" w:rsidRDefault="00EE03CF" w:rsidP="00EE03CF">
      <w:pPr>
        <w:pStyle w:val="ListParagraph"/>
        <w:spacing w:line="360" w:lineRule="auto"/>
        <w:ind w:left="0"/>
        <w:jc w:val="both"/>
        <w:rPr>
          <w:rFonts w:ascii="Monotype Corsiva" w:hAnsi="Monotype Corsiva" w:cs="Times New Roman"/>
          <w:sz w:val="20"/>
          <w:szCs w:val="20"/>
        </w:rPr>
      </w:pPr>
      <w:r w:rsidRPr="006A34E2">
        <w:rPr>
          <w:rFonts w:ascii="Monotype Corsiva" w:hAnsi="Monotype Corsiva" w:cs="Times New Roman"/>
          <w:sz w:val="20"/>
          <w:szCs w:val="20"/>
        </w:rPr>
        <w:t>***        P&lt;0.001   Highly Significant</w:t>
      </w:r>
    </w:p>
    <w:p w14:paraId="2D03D665" w14:textId="77777777" w:rsidR="000E5BF3" w:rsidRDefault="000E5BF3" w:rsidP="00EE03CF">
      <w:pPr>
        <w:spacing w:line="360" w:lineRule="auto"/>
        <w:jc w:val="center"/>
        <w:rPr>
          <w:rFonts w:ascii="Times New Roman" w:hAnsi="Times New Roman" w:cs="Times New Roman"/>
          <w:b/>
          <w:u w:val="single"/>
        </w:rPr>
      </w:pPr>
    </w:p>
    <w:p w14:paraId="6E061B01" w14:textId="77777777" w:rsidR="000E5BF3" w:rsidRDefault="000E5BF3" w:rsidP="00EE03CF">
      <w:pPr>
        <w:spacing w:line="360" w:lineRule="auto"/>
        <w:jc w:val="center"/>
        <w:rPr>
          <w:rFonts w:ascii="Times New Roman" w:hAnsi="Times New Roman" w:cs="Times New Roman"/>
          <w:b/>
          <w:u w:val="single"/>
        </w:rPr>
      </w:pPr>
    </w:p>
    <w:p w14:paraId="4EF217CC" w14:textId="77777777" w:rsidR="000E5BF3" w:rsidRDefault="000E5BF3" w:rsidP="00EE03CF">
      <w:pPr>
        <w:spacing w:line="360" w:lineRule="auto"/>
        <w:jc w:val="center"/>
        <w:rPr>
          <w:rFonts w:ascii="Times New Roman" w:hAnsi="Times New Roman" w:cs="Times New Roman"/>
          <w:b/>
          <w:u w:val="single"/>
        </w:rPr>
      </w:pPr>
    </w:p>
    <w:p w14:paraId="4F6EC157" w14:textId="77777777" w:rsidR="000E5BF3" w:rsidRDefault="000E5BF3" w:rsidP="00EE03CF">
      <w:pPr>
        <w:spacing w:line="360" w:lineRule="auto"/>
        <w:jc w:val="center"/>
        <w:rPr>
          <w:rFonts w:ascii="Times New Roman" w:hAnsi="Times New Roman" w:cs="Times New Roman"/>
          <w:b/>
          <w:u w:val="single"/>
        </w:rPr>
      </w:pPr>
    </w:p>
    <w:p w14:paraId="3713322D" w14:textId="3887DE7A" w:rsidR="00EE03CF" w:rsidRDefault="00EE03CF" w:rsidP="00EE03CF">
      <w:pPr>
        <w:spacing w:line="360" w:lineRule="auto"/>
        <w:jc w:val="center"/>
        <w:rPr>
          <w:rFonts w:ascii="Times New Roman" w:hAnsi="Times New Roman" w:cs="Times New Roman"/>
          <w:b/>
          <w:u w:val="single"/>
        </w:rPr>
      </w:pPr>
      <w:r>
        <w:rPr>
          <w:rFonts w:ascii="Times New Roman" w:hAnsi="Times New Roman" w:cs="Times New Roman"/>
          <w:b/>
          <w:u w:val="single"/>
        </w:rPr>
        <w:t>Figure-1</w:t>
      </w:r>
    </w:p>
    <w:p w14:paraId="199FDA3A" w14:textId="77777777" w:rsidR="00134BCB" w:rsidRDefault="00EE03CF" w:rsidP="00EE03CF">
      <w:pPr>
        <w:spacing w:line="360" w:lineRule="auto"/>
        <w:jc w:val="center"/>
        <w:rPr>
          <w:rFonts w:ascii="Times New Roman" w:hAnsi="Times New Roman"/>
          <w:b/>
          <w:bCs/>
          <w:i/>
          <w:iCs/>
          <w:shd w:val="clear" w:color="auto" w:fill="F8F9FA"/>
        </w:rPr>
      </w:pPr>
      <w:r w:rsidRPr="00AC6C6F">
        <w:rPr>
          <w:rFonts w:ascii="Times New Roman" w:hAnsi="Times New Roman" w:cs="Times New Roman"/>
          <w:b/>
        </w:rPr>
        <w:t xml:space="preserve">Showing the effect of </w:t>
      </w:r>
      <w:r w:rsidR="000E5BF3">
        <w:rPr>
          <w:rFonts w:ascii="Times New Roman" w:hAnsi="Times New Roman" w:cs="Times New Roman"/>
          <w:b/>
        </w:rPr>
        <w:t>decamethrin</w:t>
      </w:r>
      <w:r w:rsidRPr="00AC6C6F">
        <w:rPr>
          <w:rFonts w:ascii="Times New Roman" w:hAnsi="Times New Roman" w:cs="Times New Roman"/>
          <w:b/>
        </w:rPr>
        <w:t xml:space="preserve"> on Hb, RBC, WBC in </w:t>
      </w:r>
      <w:r w:rsidR="000E5BF3" w:rsidRPr="000E5BF3">
        <w:rPr>
          <w:rFonts w:ascii="Times New Roman" w:hAnsi="Times New Roman"/>
          <w:b/>
          <w:bCs/>
          <w:i/>
          <w:iCs/>
          <w:shd w:val="clear" w:color="auto" w:fill="F8F9FA"/>
        </w:rPr>
        <w:t>Anabas testudineus</w:t>
      </w:r>
    </w:p>
    <w:p w14:paraId="7678B260" w14:textId="02CD50C2" w:rsidR="00EE03CF" w:rsidRDefault="000E5BF3" w:rsidP="00EE03CF">
      <w:pPr>
        <w:spacing w:line="360" w:lineRule="auto"/>
        <w:jc w:val="center"/>
        <w:rPr>
          <w:rFonts w:ascii="Times New Roman" w:hAnsi="Times New Roman" w:cs="Times New Roman"/>
          <w:b/>
        </w:rPr>
      </w:pPr>
      <w:r w:rsidRPr="00D13965">
        <w:rPr>
          <w:rFonts w:ascii="Times New Roman" w:hAnsi="Times New Roman"/>
          <w:i/>
          <w:iCs/>
          <w:shd w:val="clear" w:color="auto" w:fill="F8F9FA"/>
        </w:rPr>
        <w:t xml:space="preserve"> </w:t>
      </w:r>
      <w:r w:rsidR="00EE03CF">
        <w:rPr>
          <w:rFonts w:ascii="Times New Roman" w:hAnsi="Times New Roman" w:cs="Times New Roman"/>
          <w:b/>
        </w:rPr>
        <w:t>(</w:t>
      </w:r>
      <w:r w:rsidR="00134BCB">
        <w:rPr>
          <w:rFonts w:ascii="Times New Roman" w:hAnsi="Times New Roman" w:cs="Times New Roman"/>
          <w:b/>
        </w:rPr>
        <w:t>20 days</w:t>
      </w:r>
      <w:r w:rsidR="00EE03CF" w:rsidRPr="00AC6C6F">
        <w:rPr>
          <w:rFonts w:ascii="Times New Roman" w:hAnsi="Times New Roman" w:cs="Times New Roman"/>
          <w:b/>
        </w:rPr>
        <w:t>) ***P &lt; 0.001.</w:t>
      </w:r>
    </w:p>
    <w:p w14:paraId="0F5FF867" w14:textId="77777777" w:rsidR="00EE03CF" w:rsidRPr="00886125" w:rsidRDefault="00EE03CF" w:rsidP="00EE03CF">
      <w:pPr>
        <w:spacing w:line="360" w:lineRule="auto"/>
        <w:jc w:val="center"/>
        <w:rPr>
          <w:rFonts w:ascii="Times New Roman" w:hAnsi="Times New Roman" w:cs="Times New Roman"/>
        </w:rPr>
      </w:pPr>
      <w:r>
        <w:rPr>
          <w:noProof/>
          <w:lang w:eastAsia="en-IN"/>
        </w:rPr>
        <w:lastRenderedPageBreak/>
        <w:drawing>
          <wp:inline distT="0" distB="0" distL="0" distR="0" wp14:anchorId="66F36393" wp14:editId="2CFAB2EE">
            <wp:extent cx="4975860" cy="3299460"/>
            <wp:effectExtent l="0" t="0" r="1524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C92DB4" w14:textId="519AE20E" w:rsidR="00EE03CF" w:rsidRDefault="00EE03CF" w:rsidP="00EE03CF">
      <w:pPr>
        <w:spacing w:line="360" w:lineRule="auto"/>
        <w:jc w:val="center"/>
        <w:rPr>
          <w:rFonts w:ascii="Times New Roman" w:hAnsi="Times New Roman" w:cs="Times New Roman"/>
        </w:rPr>
      </w:pPr>
    </w:p>
    <w:p w14:paraId="3183EBD2" w14:textId="77777777" w:rsidR="00134BCB" w:rsidRDefault="00134BCB" w:rsidP="00EE03CF">
      <w:pPr>
        <w:spacing w:line="360" w:lineRule="auto"/>
        <w:jc w:val="center"/>
        <w:rPr>
          <w:rFonts w:ascii="Times New Roman" w:hAnsi="Times New Roman" w:cs="Times New Roman"/>
        </w:rPr>
      </w:pPr>
    </w:p>
    <w:p w14:paraId="3D6BE621" w14:textId="77777777" w:rsidR="00EE03CF" w:rsidRDefault="00EE03CF" w:rsidP="00EE03CF">
      <w:pPr>
        <w:spacing w:line="360" w:lineRule="auto"/>
        <w:jc w:val="center"/>
        <w:rPr>
          <w:rFonts w:ascii="Times New Roman" w:hAnsi="Times New Roman" w:cs="Times New Roman"/>
          <w:b/>
          <w:u w:val="single"/>
        </w:rPr>
      </w:pPr>
      <w:r>
        <w:rPr>
          <w:rFonts w:ascii="Times New Roman" w:hAnsi="Times New Roman" w:cs="Times New Roman"/>
          <w:b/>
          <w:u w:val="single"/>
        </w:rPr>
        <w:t>Figure-2</w:t>
      </w:r>
    </w:p>
    <w:p w14:paraId="6F68497E" w14:textId="3937A67A" w:rsidR="00EE03CF" w:rsidRPr="00266F5F" w:rsidRDefault="00EE03CF" w:rsidP="00EE03CF">
      <w:pPr>
        <w:spacing w:line="360" w:lineRule="auto"/>
        <w:jc w:val="center"/>
        <w:rPr>
          <w:rFonts w:ascii="Times New Roman" w:hAnsi="Times New Roman" w:cs="Times New Roman"/>
          <w:b/>
        </w:rPr>
      </w:pPr>
      <w:r w:rsidRPr="00266F5F">
        <w:rPr>
          <w:rFonts w:ascii="Times New Roman" w:hAnsi="Times New Roman" w:cs="Times New Roman"/>
          <w:b/>
        </w:rPr>
        <w:t xml:space="preserve">Showing the effect of </w:t>
      </w:r>
      <w:r w:rsidR="000E5BF3">
        <w:rPr>
          <w:rFonts w:ascii="Times New Roman" w:hAnsi="Times New Roman" w:cs="Times New Roman"/>
          <w:b/>
        </w:rPr>
        <w:t>decamethrin</w:t>
      </w:r>
      <w:r w:rsidRPr="00266F5F">
        <w:rPr>
          <w:rFonts w:ascii="Times New Roman" w:hAnsi="Times New Roman" w:cs="Times New Roman"/>
          <w:b/>
        </w:rPr>
        <w:t xml:space="preserve"> on Neutrophil, Monocyte, Basophil in </w:t>
      </w:r>
      <w:r w:rsidR="000E5BF3" w:rsidRPr="000E5BF3">
        <w:rPr>
          <w:rFonts w:ascii="Times New Roman" w:hAnsi="Times New Roman"/>
          <w:b/>
          <w:bCs/>
          <w:i/>
          <w:iCs/>
          <w:shd w:val="clear" w:color="auto" w:fill="F8F9FA"/>
        </w:rPr>
        <w:t>Anabas testudineus</w:t>
      </w:r>
      <w:r w:rsidR="000E5BF3" w:rsidRPr="00D13965">
        <w:rPr>
          <w:rFonts w:ascii="Times New Roman" w:hAnsi="Times New Roman"/>
          <w:i/>
          <w:iCs/>
          <w:shd w:val="clear" w:color="auto" w:fill="F8F9FA"/>
        </w:rPr>
        <w:t xml:space="preserve"> </w:t>
      </w:r>
      <w:r w:rsidRPr="00266F5F">
        <w:rPr>
          <w:rFonts w:ascii="Times New Roman" w:hAnsi="Times New Roman" w:cs="Times New Roman"/>
          <w:b/>
        </w:rPr>
        <w:t>(</w:t>
      </w:r>
      <w:r w:rsidR="00134BCB">
        <w:rPr>
          <w:rFonts w:ascii="Times New Roman" w:hAnsi="Times New Roman" w:cs="Times New Roman"/>
          <w:b/>
        </w:rPr>
        <w:t>20 days</w:t>
      </w:r>
      <w:r w:rsidRPr="00266F5F">
        <w:rPr>
          <w:rFonts w:ascii="Times New Roman" w:hAnsi="Times New Roman" w:cs="Times New Roman"/>
          <w:b/>
        </w:rPr>
        <w:t>) *P&lt;0.05, *** P&lt;0.001.</w:t>
      </w:r>
    </w:p>
    <w:p w14:paraId="0ED847E2" w14:textId="77777777" w:rsidR="00EE03CF" w:rsidRPr="000B5147" w:rsidRDefault="00EE03CF" w:rsidP="00EE03CF">
      <w:pPr>
        <w:spacing w:line="360" w:lineRule="auto"/>
        <w:jc w:val="center"/>
        <w:rPr>
          <w:rFonts w:ascii="Times New Roman" w:hAnsi="Times New Roman" w:cs="Times New Roman"/>
          <w:color w:val="95DCF7" w:themeColor="accent4" w:themeTint="66"/>
        </w:rPr>
      </w:pPr>
      <w:r>
        <w:rPr>
          <w:noProof/>
          <w:lang w:eastAsia="en-IN"/>
        </w:rPr>
        <w:drawing>
          <wp:inline distT="0" distB="0" distL="0" distR="0" wp14:anchorId="08EF9653" wp14:editId="7DC0CBF6">
            <wp:extent cx="5151120" cy="2773680"/>
            <wp:effectExtent l="0" t="0" r="1143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17A1ED" w14:textId="77777777" w:rsidR="00CE17DB" w:rsidRDefault="00CE17DB" w:rsidP="00EE03CF">
      <w:pPr>
        <w:spacing w:line="360" w:lineRule="auto"/>
        <w:jc w:val="center"/>
        <w:rPr>
          <w:rFonts w:ascii="Times New Roman" w:hAnsi="Times New Roman" w:cs="Times New Roman"/>
        </w:rPr>
      </w:pPr>
    </w:p>
    <w:p w14:paraId="3424508A" w14:textId="77777777" w:rsidR="00EE03CF" w:rsidRDefault="00EE03CF" w:rsidP="00EE03CF">
      <w:pPr>
        <w:spacing w:line="360" w:lineRule="auto"/>
        <w:jc w:val="center"/>
        <w:rPr>
          <w:rFonts w:ascii="Times New Roman" w:hAnsi="Times New Roman" w:cs="Times New Roman"/>
          <w:b/>
          <w:u w:val="single"/>
        </w:rPr>
      </w:pPr>
      <w:r>
        <w:rPr>
          <w:rFonts w:ascii="Times New Roman" w:hAnsi="Times New Roman" w:cs="Times New Roman"/>
          <w:b/>
          <w:u w:val="single"/>
        </w:rPr>
        <w:t>Figure:-3</w:t>
      </w:r>
    </w:p>
    <w:p w14:paraId="70328A55" w14:textId="514465CE" w:rsidR="00EE03CF" w:rsidRDefault="00EE03CF" w:rsidP="00EE03CF">
      <w:pPr>
        <w:spacing w:line="360" w:lineRule="auto"/>
        <w:jc w:val="center"/>
        <w:rPr>
          <w:rFonts w:ascii="Times New Roman" w:hAnsi="Times New Roman" w:cs="Times New Roman"/>
          <w:b/>
        </w:rPr>
      </w:pPr>
      <w:r w:rsidRPr="00AC6C6F">
        <w:rPr>
          <w:rFonts w:ascii="Times New Roman" w:hAnsi="Times New Roman" w:cs="Times New Roman"/>
          <w:b/>
        </w:rPr>
        <w:lastRenderedPageBreak/>
        <w:t xml:space="preserve">Showing the effect of </w:t>
      </w:r>
      <w:r w:rsidR="000E5BF3">
        <w:rPr>
          <w:rFonts w:ascii="Times New Roman" w:hAnsi="Times New Roman" w:cs="Times New Roman"/>
          <w:b/>
        </w:rPr>
        <w:t>decamethri</w:t>
      </w:r>
      <w:r w:rsidR="00E978E7">
        <w:rPr>
          <w:rFonts w:ascii="Times New Roman" w:hAnsi="Times New Roman" w:cs="Times New Roman"/>
          <w:b/>
        </w:rPr>
        <w:t>n</w:t>
      </w:r>
      <w:r w:rsidRPr="00AC6C6F">
        <w:rPr>
          <w:rFonts w:ascii="Times New Roman" w:hAnsi="Times New Roman" w:cs="Times New Roman"/>
          <w:b/>
        </w:rPr>
        <w:t xml:space="preserve"> on Lymphocyte, Eosinophil, PCV, in </w:t>
      </w:r>
      <w:r w:rsidR="00E978E7" w:rsidRPr="000E5BF3">
        <w:rPr>
          <w:rFonts w:ascii="Times New Roman" w:hAnsi="Times New Roman"/>
          <w:b/>
          <w:bCs/>
          <w:i/>
          <w:iCs/>
          <w:shd w:val="clear" w:color="auto" w:fill="F8F9FA"/>
        </w:rPr>
        <w:t>Anabas testudine</w:t>
      </w:r>
      <w:r w:rsidRPr="00AC6C6F">
        <w:rPr>
          <w:rFonts w:ascii="Times New Roman" w:hAnsi="Times New Roman" w:cs="Times New Roman"/>
          <w:b/>
          <w:i/>
        </w:rPr>
        <w:t xml:space="preserve">us </w:t>
      </w:r>
      <w:r>
        <w:rPr>
          <w:rFonts w:ascii="Times New Roman" w:hAnsi="Times New Roman" w:cs="Times New Roman"/>
          <w:b/>
        </w:rPr>
        <w:t>(</w:t>
      </w:r>
      <w:r w:rsidR="00134BCB">
        <w:rPr>
          <w:rFonts w:ascii="Times New Roman" w:hAnsi="Times New Roman" w:cs="Times New Roman"/>
          <w:b/>
        </w:rPr>
        <w:t>20 days</w:t>
      </w:r>
      <w:r w:rsidRPr="00AC6C6F">
        <w:rPr>
          <w:rFonts w:ascii="Times New Roman" w:hAnsi="Times New Roman" w:cs="Times New Roman"/>
          <w:b/>
        </w:rPr>
        <w:t>) ** P&lt;0.01.</w:t>
      </w:r>
    </w:p>
    <w:p w14:paraId="21786C47" w14:textId="77777777" w:rsidR="00EE03CF" w:rsidRDefault="00EE03CF" w:rsidP="00EE03CF">
      <w:pPr>
        <w:spacing w:line="360" w:lineRule="auto"/>
        <w:jc w:val="center"/>
        <w:rPr>
          <w:rFonts w:ascii="Times New Roman" w:hAnsi="Times New Roman" w:cs="Times New Roman"/>
        </w:rPr>
      </w:pPr>
      <w:r>
        <w:rPr>
          <w:noProof/>
          <w:lang w:eastAsia="en-IN"/>
        </w:rPr>
        <w:drawing>
          <wp:inline distT="0" distB="0" distL="0" distR="0" wp14:anchorId="7F5343A6" wp14:editId="6CE507DB">
            <wp:extent cx="4309110" cy="2887980"/>
            <wp:effectExtent l="0" t="0" r="1524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DEB690" w14:textId="03477351" w:rsidR="00EE03CF" w:rsidRDefault="00EE03CF" w:rsidP="00EE03CF">
      <w:pPr>
        <w:spacing w:line="360" w:lineRule="auto"/>
        <w:jc w:val="center"/>
        <w:rPr>
          <w:rFonts w:ascii="Times New Roman" w:hAnsi="Times New Roman" w:cs="Times New Roman"/>
        </w:rPr>
      </w:pPr>
    </w:p>
    <w:p w14:paraId="320E72D4" w14:textId="77777777" w:rsidR="00EE03CF" w:rsidRPr="000529BA" w:rsidRDefault="00EE03CF" w:rsidP="00EE03CF">
      <w:pPr>
        <w:spacing w:line="360" w:lineRule="auto"/>
        <w:ind w:left="1134"/>
        <w:jc w:val="both"/>
        <w:rPr>
          <w:rFonts w:ascii="Times New Roman" w:hAnsi="Times New Roman" w:cs="Times New Roman"/>
        </w:rPr>
      </w:pPr>
    </w:p>
    <w:p w14:paraId="6F57F18D" w14:textId="77777777" w:rsidR="00EE03CF" w:rsidRPr="00266F5F" w:rsidRDefault="00EE03CF" w:rsidP="00EE03CF">
      <w:pPr>
        <w:spacing w:after="0" w:line="360" w:lineRule="auto"/>
        <w:jc w:val="both"/>
        <w:rPr>
          <w:rFonts w:ascii="Times New Roman" w:hAnsi="Times New Roman" w:cs="Times New Roman"/>
          <w:b/>
          <w:bCs/>
        </w:rPr>
      </w:pPr>
      <w:r w:rsidRPr="00266F5F">
        <w:rPr>
          <w:rFonts w:ascii="Times New Roman" w:hAnsi="Times New Roman" w:cs="Times New Roman"/>
          <w:b/>
          <w:bCs/>
        </w:rPr>
        <w:t>DISCUSSION :</w:t>
      </w:r>
    </w:p>
    <w:p w14:paraId="1BDA9374" w14:textId="77777777" w:rsidR="00EE03CF" w:rsidRPr="00266F5F" w:rsidRDefault="00EE03CF" w:rsidP="00EE03CF">
      <w:pPr>
        <w:spacing w:after="0" w:line="360" w:lineRule="auto"/>
        <w:jc w:val="both"/>
        <w:rPr>
          <w:rFonts w:ascii="Times New Roman" w:hAnsi="Times New Roman" w:cs="Times New Roman"/>
          <w:b/>
          <w:bCs/>
        </w:rPr>
      </w:pPr>
    </w:p>
    <w:p w14:paraId="66476E9C"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In the present study, certain deformities and abnormal swimming patterns were observed in </w:t>
      </w:r>
      <w:r w:rsidRPr="0080478E">
        <w:rPr>
          <w:rFonts w:ascii="Times New Roman" w:hAnsi="Times New Roman" w:cs="Times New Roman"/>
          <w:i/>
          <w:iCs/>
        </w:rPr>
        <w:t>Anabas testudineus</w:t>
      </w:r>
      <w:r w:rsidRPr="0080478E">
        <w:rPr>
          <w:rFonts w:ascii="Times New Roman" w:hAnsi="Times New Roman" w:cs="Times New Roman"/>
        </w:rPr>
        <w:t xml:space="preserve"> exposed to decamethrin. The experimental fish exhibited recovery when transferred to freshwater, suggesting that the toxic effects of decamethrin may be reversible under sublethal exposure conditions. This indicates that decamethrin possesses considerable toxic potential in shallow aquatic environments and should therefore be used cautiously in agricultural areas located near water bodies. The behavioural responses observed in the present investigation are in close agreement with those reported by earlier workers under various stress conditions (Paul and Banerjee, 1996; Rani </w:t>
      </w:r>
      <w:r w:rsidRPr="0080478E">
        <w:rPr>
          <w:rFonts w:ascii="Times New Roman" w:hAnsi="Times New Roman" w:cs="Times New Roman"/>
          <w:i/>
          <w:iCs/>
        </w:rPr>
        <w:t>et al</w:t>
      </w:r>
      <w:r w:rsidRPr="0080478E">
        <w:rPr>
          <w:rFonts w:ascii="Times New Roman" w:hAnsi="Times New Roman" w:cs="Times New Roman"/>
        </w:rPr>
        <w:t xml:space="preserve">., 1997; Palanivelu </w:t>
      </w:r>
      <w:r w:rsidRPr="0080478E">
        <w:rPr>
          <w:rFonts w:ascii="Times New Roman" w:hAnsi="Times New Roman" w:cs="Times New Roman"/>
          <w:i/>
          <w:iCs/>
        </w:rPr>
        <w:t>et al</w:t>
      </w:r>
      <w:r w:rsidRPr="0080478E">
        <w:rPr>
          <w:rFonts w:ascii="Times New Roman" w:hAnsi="Times New Roman" w:cs="Times New Roman"/>
        </w:rPr>
        <w:t xml:space="preserve">., 2005; Ufodike and Onusiriuka, 2008; Lata </w:t>
      </w:r>
      <w:r w:rsidRPr="0080478E">
        <w:rPr>
          <w:rFonts w:ascii="Times New Roman" w:hAnsi="Times New Roman" w:cs="Times New Roman"/>
          <w:i/>
          <w:iCs/>
        </w:rPr>
        <w:t>et al</w:t>
      </w:r>
      <w:r w:rsidRPr="0080478E">
        <w:rPr>
          <w:rFonts w:ascii="Times New Roman" w:hAnsi="Times New Roman" w:cs="Times New Roman"/>
        </w:rPr>
        <w:t>., 2008).</w:t>
      </w:r>
    </w:p>
    <w:p w14:paraId="5D6B3993"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Behavioural responses are considered among the most sensitive indicators of toxic stress in fishes (EIFAC, 1983). Similar acute toxic effects have been reported in zebrafish exposed to mercuric chloride (Vutukuru and Basani, 2013). Likewise, toxic effects of the surfactant dodecyl dimethyl benzyl ammonium chloride on zebrafish larval locomotor activity were observed by Yanan </w:t>
      </w:r>
      <w:r w:rsidRPr="0080478E">
        <w:rPr>
          <w:rFonts w:ascii="Times New Roman" w:hAnsi="Times New Roman" w:cs="Times New Roman"/>
          <w:i/>
          <w:iCs/>
        </w:rPr>
        <w:t xml:space="preserve">et al. </w:t>
      </w:r>
      <w:r w:rsidRPr="0080478E">
        <w:rPr>
          <w:rFonts w:ascii="Times New Roman" w:hAnsi="Times New Roman" w:cs="Times New Roman"/>
        </w:rPr>
        <w:t xml:space="preserve">(2015). Thus, it may be concluded that the toxicity of decamethrin </w:t>
      </w:r>
      <w:r w:rsidRPr="0080478E">
        <w:rPr>
          <w:rFonts w:ascii="Times New Roman" w:hAnsi="Times New Roman" w:cs="Times New Roman"/>
        </w:rPr>
        <w:lastRenderedPageBreak/>
        <w:t>depends upon several physical, chemical, and biological factors, each of which may influence its toxic action in fish.</w:t>
      </w:r>
    </w:p>
    <w:p w14:paraId="758CB39C"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Haematological Study</w:t>
      </w:r>
    </w:p>
    <w:p w14:paraId="31D36780"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Haemoglobin (Hb)</w:t>
      </w:r>
    </w:p>
    <w:p w14:paraId="16366ED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decrease in haemoglobin level observed in the present study is in conformity with earlier findings. Raizada and Gupta (1982) reported a decline in RBC count and haemoglobin content in Trichogaster fasciatus following exposure to the fungicide RH-216. In Clarias batrachus, haemoglobin content decreased significantly after 96 hours of exposure to Rogor. Similar reductions in haemoglobin level have also been reported by Muthalagi (2006) in Cirrhinus mrigala under sewage exposure, by Arjun </w:t>
      </w:r>
      <w:r w:rsidRPr="0080478E">
        <w:rPr>
          <w:rFonts w:ascii="Times New Roman" w:hAnsi="Times New Roman" w:cs="Times New Roman"/>
          <w:i/>
          <w:iCs/>
        </w:rPr>
        <w:t>et al</w:t>
      </w:r>
      <w:r w:rsidRPr="0080478E">
        <w:rPr>
          <w:rFonts w:ascii="Times New Roman" w:hAnsi="Times New Roman" w:cs="Times New Roman"/>
        </w:rPr>
        <w:t xml:space="preserve">. (2009) under chromium exposure, and by Pratibha and Kumar (2013) under mercury chloride exposure. Comparable decreases have also been reported in mammalian studies by Revathi </w:t>
      </w:r>
      <w:r w:rsidRPr="0080478E">
        <w:rPr>
          <w:rFonts w:ascii="Times New Roman" w:hAnsi="Times New Roman" w:cs="Times New Roman"/>
          <w:i/>
          <w:iCs/>
        </w:rPr>
        <w:t xml:space="preserve">et al. </w:t>
      </w:r>
      <w:r w:rsidRPr="0080478E">
        <w:rPr>
          <w:rFonts w:ascii="Times New Roman" w:hAnsi="Times New Roman" w:cs="Times New Roman"/>
        </w:rPr>
        <w:t xml:space="preserve">(2003), Shipra </w:t>
      </w:r>
      <w:r w:rsidRPr="0080478E">
        <w:rPr>
          <w:rFonts w:ascii="Times New Roman" w:hAnsi="Times New Roman" w:cs="Times New Roman"/>
          <w:i/>
          <w:iCs/>
        </w:rPr>
        <w:t>et al.</w:t>
      </w:r>
      <w:r w:rsidRPr="0080478E">
        <w:rPr>
          <w:rFonts w:ascii="Times New Roman" w:hAnsi="Times New Roman" w:cs="Times New Roman"/>
        </w:rPr>
        <w:t xml:space="preserve"> (2005), and Anwar and Choudhary (2009).</w:t>
      </w:r>
    </w:p>
    <w:p w14:paraId="41472A09"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Red Blood Cell (RBC)</w:t>
      </w:r>
    </w:p>
    <w:p w14:paraId="622485BE"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reduction in RBC count observed in the present study is in agreement with the findings of Mishra and Srivastava (1983), who reported a significant decrease in RBC count in Heteropneustes fossilis exposed to malathion. Similar declines in RBC levels have been reported by Muthalagi (2006) in sewage-treated Cirrhinus mrigala, Arjun </w:t>
      </w:r>
      <w:r w:rsidRPr="0080478E">
        <w:rPr>
          <w:rFonts w:ascii="Times New Roman" w:hAnsi="Times New Roman" w:cs="Times New Roman"/>
          <w:i/>
          <w:iCs/>
        </w:rPr>
        <w:t>et al</w:t>
      </w:r>
      <w:r w:rsidRPr="0080478E">
        <w:rPr>
          <w:rFonts w:ascii="Times New Roman" w:hAnsi="Times New Roman" w:cs="Times New Roman"/>
        </w:rPr>
        <w:t>. (2009) in chromium-exposed Clarias batrachus, and Pratibha and Kumar (2013) in mercury chloride-treated Heteropneustes fossilis.</w:t>
      </w:r>
    </w:p>
    <w:p w14:paraId="2E2BA823"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decrease in RBC count may be attributed to disruption of erythropoietic activity and inhibition of glycolysis, resulting in impaired synthesis of blood cells. Toxicants may also directly damage erythrocytes, causing haemolysis and leading to significant reduction in RBC count and haemoglobin concentration.</w:t>
      </w:r>
    </w:p>
    <w:p w14:paraId="5BDDFF96"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White Blood Cell (WBC)</w:t>
      </w:r>
    </w:p>
    <w:p w14:paraId="6EA2F22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decrease in WBC count observed in the present investigation is consistent with earlier reports on fish and mammals exposed to toxicants such as fertilizers, pesticides, alkaloids, and heavy metals. Similar decreases in WBC count have been reported by Muthalagi (2006) in sewage-exposed Cirrhinus mrigala and by Arjun (2010) in chromium-exposed Clarias batrachus.</w:t>
      </w:r>
    </w:p>
    <w:p w14:paraId="7C30F27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lastRenderedPageBreak/>
        <w:t>A reduction in WBC count, termed leucopenia, indicates suppression of the immune defence system. This may result from toxic damage to blood-forming tissues or excessive utilization of leukocytes during physiological stress.</w:t>
      </w:r>
    </w:p>
    <w:p w14:paraId="7CD2F53A"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Differential Leukocyte Count (DLC)</w:t>
      </w:r>
    </w:p>
    <w:p w14:paraId="4416BA37"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present study revealed increased neutrophil, monocyte, and eosinophil counts, while lymphocyte and basophil counts decreased in the treated group. These findings are in close conformity with the observations of Muthalagi (2006), Arjun (2010), and Pratibha and Kumar (2012) under exposure to sewage, chromium, and mercury chloride.</w:t>
      </w:r>
    </w:p>
    <w:p w14:paraId="36F2AB78"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increase in neutrophils and monocytes may indicate activation of defence mechanisms against toxic stress, whereas lymphopenia may be associated with increased secretion of stress hormones such as adrenaline and corticosteroids. Similar observations have been reported in both fish and mammalian toxicological studies.</w:t>
      </w:r>
    </w:p>
    <w:p w14:paraId="16A8EC1E"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Packed Cell Volume (PCV)</w:t>
      </w:r>
    </w:p>
    <w:p w14:paraId="6977065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significant decrease in packed cell volume (PCV) observed in the present study is in agreement with earlier reports by Muthalagi (2006), Arjun (2010), and Pratibha and Kumar (2013) under exposure to sewage, chromium, and cadmium chloride. Revathi et al. (2003) also reported a decrease in PCV, mean corpuscular volume (MCV), mean corpuscular haemoglobin (MCH), and mean corpuscular haemoglobin concentration (MCHC) with increasing concentrations of tannery effluents.</w:t>
      </w:r>
    </w:p>
    <w:p w14:paraId="163B812A"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decline in PCV reflects anaemic conditions and reduced oxygen-carrying capacity of blood, indicating severe physiological stress induced by decamethrin exposure.</w:t>
      </w:r>
    </w:p>
    <w:p w14:paraId="03D6F344"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Overall, the present study clearly demonstrates that exposure to decamethrin causes significant behavioural and haematological alterations in </w:t>
      </w:r>
      <w:r w:rsidRPr="0080478E">
        <w:rPr>
          <w:rFonts w:ascii="Times New Roman" w:hAnsi="Times New Roman" w:cs="Times New Roman"/>
          <w:i/>
          <w:iCs/>
        </w:rPr>
        <w:t>Anabas testudineus</w:t>
      </w:r>
      <w:r w:rsidRPr="0080478E">
        <w:rPr>
          <w:rFonts w:ascii="Times New Roman" w:hAnsi="Times New Roman" w:cs="Times New Roman"/>
        </w:rPr>
        <w:t>, indicating its toxic impact on fish health and survival.</w:t>
      </w:r>
    </w:p>
    <w:p w14:paraId="7B68984A" w14:textId="77777777" w:rsidR="0080478E" w:rsidRDefault="0080478E" w:rsidP="0080478E">
      <w:pPr>
        <w:spacing w:line="360" w:lineRule="auto"/>
        <w:jc w:val="both"/>
        <w:rPr>
          <w:rFonts w:ascii="Times New Roman" w:hAnsi="Times New Roman" w:cs="Times New Roman"/>
          <w:b/>
        </w:rPr>
      </w:pPr>
    </w:p>
    <w:p w14:paraId="3083144B" w14:textId="044C3A63" w:rsidR="00EE03CF" w:rsidRPr="00F03765" w:rsidRDefault="00EE03CF" w:rsidP="0080478E">
      <w:pPr>
        <w:spacing w:line="360" w:lineRule="auto"/>
        <w:jc w:val="both"/>
        <w:rPr>
          <w:rFonts w:ascii="Times New Roman" w:hAnsi="Times New Roman" w:cs="Times New Roman"/>
          <w:b/>
        </w:rPr>
      </w:pPr>
      <w:r w:rsidRPr="00F03765">
        <w:rPr>
          <w:rFonts w:ascii="Times New Roman" w:hAnsi="Times New Roman" w:cs="Times New Roman"/>
          <w:b/>
        </w:rPr>
        <w:t>CONCLUSION:</w:t>
      </w:r>
    </w:p>
    <w:p w14:paraId="2FAE4B94" w14:textId="39BE3041" w:rsidR="00EE03CF" w:rsidRDefault="00EE03CF" w:rsidP="0080478E">
      <w:pPr>
        <w:spacing w:line="360" w:lineRule="auto"/>
        <w:jc w:val="both"/>
        <w:rPr>
          <w:rFonts w:ascii="Times New Roman" w:hAnsi="Times New Roman" w:cs="Times New Roman"/>
        </w:rPr>
      </w:pPr>
      <w:r w:rsidRPr="00F03765">
        <w:rPr>
          <w:rFonts w:ascii="Times New Roman" w:hAnsi="Times New Roman" w:cs="Times New Roman"/>
        </w:rPr>
        <w:t xml:space="preserve">It could be concluded that </w:t>
      </w:r>
      <w:r w:rsidR="00E978E7" w:rsidRPr="00E978E7">
        <w:rPr>
          <w:rFonts w:ascii="Times New Roman" w:hAnsi="Times New Roman"/>
          <w:i/>
          <w:iCs/>
          <w:shd w:val="clear" w:color="auto" w:fill="F8F9FA"/>
        </w:rPr>
        <w:t>Anabas testudine</w:t>
      </w:r>
      <w:r w:rsidRPr="00E978E7">
        <w:rPr>
          <w:rFonts w:ascii="Times New Roman" w:hAnsi="Times New Roman" w:cs="Times New Roman"/>
          <w:i/>
        </w:rPr>
        <w:t>us</w:t>
      </w:r>
      <w:r w:rsidRPr="00F03765">
        <w:rPr>
          <w:rFonts w:ascii="Times New Roman" w:hAnsi="Times New Roman" w:cs="Times New Roman"/>
        </w:rPr>
        <w:t xml:space="preserve"> with average weight 30.0± 4.0 g, were more suitable to culture at water </w:t>
      </w:r>
      <w:r w:rsidR="00E978E7">
        <w:rPr>
          <w:rFonts w:ascii="Times New Roman" w:hAnsi="Times New Roman" w:cs="Times New Roman"/>
        </w:rPr>
        <w:t>decamethrin insecticide</w:t>
      </w:r>
      <w:r w:rsidRPr="00F03765">
        <w:rPr>
          <w:rFonts w:ascii="Times New Roman" w:hAnsi="Times New Roman" w:cs="Times New Roman"/>
        </w:rPr>
        <w:t xml:space="preserve"> concentration of &lt; </w:t>
      </w:r>
      <w:r w:rsidR="00E978E7">
        <w:rPr>
          <w:rFonts w:ascii="Times New Roman" w:hAnsi="Times New Roman" w:cs="Times New Roman"/>
        </w:rPr>
        <w:t>0.8</w:t>
      </w:r>
      <w:r w:rsidRPr="00F03765">
        <w:rPr>
          <w:rFonts w:ascii="Times New Roman" w:hAnsi="Times New Roman" w:cs="Times New Roman"/>
        </w:rPr>
        <w:t xml:space="preserve"> mg/l for optimum growth performance and survival rate than other water conditions. Therefore, it can be recommended to be carried out under the similar experimental conditions.</w:t>
      </w:r>
    </w:p>
    <w:p w14:paraId="5E2D0B8B" w14:textId="77777777" w:rsidR="00E978E7" w:rsidRPr="00F03765" w:rsidRDefault="00E978E7" w:rsidP="0080478E">
      <w:pPr>
        <w:spacing w:line="360" w:lineRule="auto"/>
        <w:jc w:val="both"/>
        <w:rPr>
          <w:rFonts w:ascii="Times New Roman" w:hAnsi="Times New Roman" w:cs="Times New Roman"/>
        </w:rPr>
      </w:pPr>
    </w:p>
    <w:p w14:paraId="4C96276F" w14:textId="77777777" w:rsidR="00EE03CF" w:rsidRDefault="00EE03CF" w:rsidP="00EE03CF">
      <w:pPr>
        <w:spacing w:after="0" w:line="240" w:lineRule="auto"/>
        <w:jc w:val="both"/>
        <w:rPr>
          <w:rFonts w:ascii="Times New Roman" w:hAnsi="Times New Roman" w:cs="Times New Roman"/>
          <w:b/>
          <w:i/>
          <w:iCs/>
        </w:rPr>
      </w:pPr>
      <w:r w:rsidRPr="00F20B18">
        <w:rPr>
          <w:rFonts w:ascii="Times New Roman" w:hAnsi="Times New Roman" w:cs="Times New Roman"/>
          <w:b/>
          <w:i/>
          <w:iCs/>
        </w:rPr>
        <w:t>ACKNOWLEDGEMENT:</w:t>
      </w:r>
    </w:p>
    <w:p w14:paraId="39CC717C" w14:textId="77777777" w:rsidR="00F20B18" w:rsidRPr="00F20B18" w:rsidRDefault="00F20B18" w:rsidP="00EE03CF">
      <w:pPr>
        <w:spacing w:after="0" w:line="240" w:lineRule="auto"/>
        <w:jc w:val="both"/>
        <w:rPr>
          <w:rFonts w:ascii="Times New Roman" w:hAnsi="Times New Roman" w:cs="Times New Roman"/>
          <w:b/>
          <w:i/>
          <w:iCs/>
        </w:rPr>
      </w:pPr>
    </w:p>
    <w:p w14:paraId="3773AFC8" w14:textId="768D72DA" w:rsidR="00EE03CF" w:rsidRPr="00F20B18" w:rsidRDefault="00EE03CF" w:rsidP="00EE03CF">
      <w:pPr>
        <w:jc w:val="both"/>
        <w:rPr>
          <w:rFonts w:ascii="Times New Roman" w:hAnsi="Times New Roman" w:cs="Times New Roman"/>
          <w:i/>
          <w:iCs/>
        </w:rPr>
      </w:pPr>
      <w:r w:rsidRPr="00F20B18">
        <w:rPr>
          <w:rFonts w:ascii="Times New Roman" w:hAnsi="Times New Roman" w:cs="Times New Roman"/>
          <w:i/>
          <w:iCs/>
        </w:rPr>
        <w:t xml:space="preserve">The authors are thankful to the Department of Zoology, </w:t>
      </w:r>
      <w:r w:rsidR="00E978E7" w:rsidRPr="00F20B18">
        <w:rPr>
          <w:rFonts w:ascii="Times New Roman" w:hAnsi="Times New Roman" w:cs="Times New Roman"/>
          <w:i/>
          <w:iCs/>
        </w:rPr>
        <w:t xml:space="preserve">MLSM college Darbhanga, </w:t>
      </w:r>
      <w:r w:rsidRPr="00F20B18">
        <w:rPr>
          <w:rFonts w:ascii="Times New Roman" w:hAnsi="Times New Roman" w:cs="Times New Roman"/>
          <w:i/>
          <w:iCs/>
        </w:rPr>
        <w:t>LNM University, Darbhanga, for the provision of laboratory facilities used in this study.</w:t>
      </w:r>
    </w:p>
    <w:p w14:paraId="6C2B590E" w14:textId="77777777" w:rsidR="00EE03CF" w:rsidRPr="00F20B18" w:rsidRDefault="00EE03CF" w:rsidP="00EE03CF">
      <w:pPr>
        <w:spacing w:after="0"/>
        <w:jc w:val="both"/>
        <w:rPr>
          <w:rFonts w:ascii="Times New Roman" w:hAnsi="Times New Roman" w:cs="Times New Roman"/>
          <w:b/>
          <w:bCs/>
          <w:i/>
          <w:iCs/>
        </w:rPr>
      </w:pPr>
    </w:p>
    <w:p w14:paraId="56046047" w14:textId="77777777" w:rsidR="00EE03CF" w:rsidRDefault="00EE03CF" w:rsidP="00EE03CF">
      <w:pPr>
        <w:spacing w:after="0"/>
        <w:jc w:val="both"/>
        <w:rPr>
          <w:rFonts w:ascii="Times New Roman" w:hAnsi="Times New Roman" w:cs="Times New Roman"/>
          <w:b/>
          <w:bCs/>
        </w:rPr>
      </w:pPr>
      <w:r w:rsidRPr="00F03765">
        <w:rPr>
          <w:rFonts w:ascii="Times New Roman" w:hAnsi="Times New Roman" w:cs="Times New Roman"/>
          <w:b/>
          <w:bCs/>
        </w:rPr>
        <w:t>REFERENCES :</w:t>
      </w:r>
    </w:p>
    <w:p w14:paraId="00EE56BE" w14:textId="77777777" w:rsidR="00EE03CF" w:rsidRPr="00F03765" w:rsidRDefault="00EE03CF" w:rsidP="00EE03CF">
      <w:pPr>
        <w:spacing w:after="0"/>
        <w:jc w:val="both"/>
        <w:rPr>
          <w:rFonts w:ascii="Times New Roman" w:hAnsi="Times New Roman" w:cs="Times New Roman"/>
          <w:b/>
          <w:bCs/>
        </w:rPr>
      </w:pPr>
    </w:p>
    <w:p w14:paraId="52826D6C" w14:textId="2B7C1639"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Abedi, Z., Khalesi, M.K. Eskandari S.K. 2013: Biochemical and H</w:t>
      </w:r>
      <w:r w:rsidR="00E978E7">
        <w:rPr>
          <w:rFonts w:ascii="Times New Roman" w:hAnsi="Times New Roman" w:cs="Times New Roman"/>
        </w:rPr>
        <w:t>a</w:t>
      </w:r>
      <w:r w:rsidRPr="000B6572">
        <w:rPr>
          <w:rFonts w:ascii="Times New Roman" w:hAnsi="Times New Roman" w:cs="Times New Roman"/>
        </w:rPr>
        <w:t>ematological Profiles of  Common carp (</w:t>
      </w:r>
      <w:r w:rsidRPr="000B6572">
        <w:rPr>
          <w:rFonts w:ascii="Times New Roman" w:hAnsi="Times New Roman" w:cs="Times New Roman"/>
          <w:i/>
        </w:rPr>
        <w:t>C. carpio</w:t>
      </w:r>
      <w:r w:rsidRPr="000B6572">
        <w:rPr>
          <w:rFonts w:ascii="Times New Roman" w:hAnsi="Times New Roman" w:cs="Times New Roman"/>
        </w:rPr>
        <w:t>) under sublethal Effects of Trivalent chromium. Iran J. Toxicol.7:782-792.</w:t>
      </w:r>
    </w:p>
    <w:p w14:paraId="70AC9D20" w14:textId="77777777" w:rsidR="00EE03CF" w:rsidRDefault="00EE03CF" w:rsidP="00EE03CF">
      <w:pPr>
        <w:pStyle w:val="Default"/>
        <w:spacing w:line="360" w:lineRule="auto"/>
        <w:ind w:hanging="360"/>
        <w:jc w:val="both"/>
      </w:pPr>
      <w:r>
        <w:t>Anwar and Choudhary 2009:</w:t>
      </w:r>
      <w:r w:rsidRPr="000B6572">
        <w:t xml:space="preserve"> Effects of Quinine and Atropine to rat. J. of Natural conservatives Indian, 21(2), pp. 325-329.</w:t>
      </w:r>
    </w:p>
    <w:p w14:paraId="2914D893" w14:textId="77777777" w:rsidR="00EE03CF" w:rsidRPr="000B6572" w:rsidRDefault="00EE03CF" w:rsidP="00EE03CF">
      <w:pPr>
        <w:pStyle w:val="Default"/>
        <w:spacing w:line="360" w:lineRule="auto"/>
        <w:ind w:hanging="360"/>
        <w:jc w:val="both"/>
      </w:pPr>
    </w:p>
    <w:p w14:paraId="1FC5544C"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Arjun </w:t>
      </w:r>
      <w:r>
        <w:rPr>
          <w:rFonts w:ascii="Times New Roman" w:hAnsi="Times New Roman" w:cs="Times New Roman"/>
        </w:rPr>
        <w:t>Sah, Roy, D. N. Nutan 2009:</w:t>
      </w:r>
      <w:r w:rsidRPr="000B6572">
        <w:rPr>
          <w:rFonts w:ascii="Times New Roman" w:hAnsi="Times New Roman" w:cs="Times New Roman"/>
        </w:rPr>
        <w:t xml:space="preserve"> Effect of Hb parameters on chromium to </w:t>
      </w:r>
      <w:r w:rsidRPr="000B6572">
        <w:rPr>
          <w:rFonts w:ascii="Times New Roman" w:hAnsi="Times New Roman" w:cs="Times New Roman"/>
          <w:i/>
        </w:rPr>
        <w:t>C.batrachus.</w:t>
      </w:r>
      <w:r w:rsidRPr="000B6572">
        <w:rPr>
          <w:rFonts w:ascii="Times New Roman" w:hAnsi="Times New Roman" w:cs="Times New Roman"/>
        </w:rPr>
        <w:t xml:space="preserve"> J. of Environ &amp; Ecoplaning 16 (1), 93-101.</w:t>
      </w:r>
    </w:p>
    <w:p w14:paraId="703FB9B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57C517C5"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Arjun S. 2010:</w:t>
      </w:r>
      <w:r w:rsidRPr="000B6572">
        <w:rPr>
          <w:rFonts w:ascii="Times New Roman" w:hAnsi="Times New Roman" w:cs="Times New Roman"/>
        </w:rPr>
        <w:t xml:space="preserve"> Effects of  chromium on haematological and histopathological parameters, </w:t>
      </w:r>
      <w:r w:rsidRPr="000B6572">
        <w:rPr>
          <w:rFonts w:ascii="Times New Roman" w:hAnsi="Times New Roman" w:cs="Times New Roman"/>
          <w:i/>
        </w:rPr>
        <w:t xml:space="preserve">C. batrachus. </w:t>
      </w:r>
      <w:r w:rsidRPr="000B6572">
        <w:rPr>
          <w:rFonts w:ascii="Times New Roman" w:hAnsi="Times New Roman" w:cs="Times New Roman"/>
        </w:rPr>
        <w:t>Ph. D. thesis, L.N.M.U., Darbhanga.</w:t>
      </w:r>
    </w:p>
    <w:p w14:paraId="3F2DBC81"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p>
    <w:p w14:paraId="58A575D5" w14:textId="77777777" w:rsidR="00EE03CF" w:rsidRPr="00531FE5" w:rsidRDefault="00EE03CF" w:rsidP="00EE03CF">
      <w:pPr>
        <w:pStyle w:val="Default"/>
        <w:ind w:hanging="360"/>
        <w:jc w:val="both"/>
      </w:pPr>
      <w:r w:rsidRPr="00531FE5">
        <w:t xml:space="preserve">Barbieri </w:t>
      </w:r>
      <w:r w:rsidRPr="00531FE5">
        <w:rPr>
          <w:i/>
        </w:rPr>
        <w:t>et al.</w:t>
      </w:r>
      <w:r w:rsidRPr="00531FE5">
        <w:t xml:space="preserve"> </w:t>
      </w:r>
      <w:r>
        <w:t>2019:</w:t>
      </w:r>
      <w:r w:rsidRPr="00531FE5">
        <w:t xml:space="preserve"> </w:t>
      </w:r>
      <w:r>
        <w:t>L</w:t>
      </w:r>
      <w:r w:rsidRPr="00531FE5">
        <w:t xml:space="preserve">ethal and sublethal effects of ammonia in </w:t>
      </w:r>
      <w:r>
        <w:rPr>
          <w:i/>
          <w:iCs/>
        </w:rPr>
        <w:t>D</w:t>
      </w:r>
      <w:r w:rsidRPr="00531FE5">
        <w:rPr>
          <w:i/>
          <w:iCs/>
        </w:rPr>
        <w:t xml:space="preserve">euterodon iguape </w:t>
      </w:r>
      <w:r>
        <w:t>(E</w:t>
      </w:r>
      <w:r w:rsidRPr="00531FE5">
        <w:t>igenman</w:t>
      </w:r>
      <w:r>
        <w:t>n 1907), potential species for B</w:t>
      </w:r>
      <w:r w:rsidRPr="00531FE5">
        <w:t xml:space="preserve">razilian </w:t>
      </w:r>
      <w:r>
        <w:t>A</w:t>
      </w:r>
      <w:r w:rsidRPr="00531FE5">
        <w:t>quaculture</w:t>
      </w:r>
      <w:r>
        <w:t>.</w:t>
      </w:r>
      <w:r w:rsidRPr="00531FE5">
        <w:t xml:space="preserve"> ‍Bol. Inst. Pesca 2019, 45(1): e440. DOI: 10.20950/1678-2305.2019.45.1.440</w:t>
      </w:r>
    </w:p>
    <w:p w14:paraId="5EA64578" w14:textId="77777777" w:rsidR="00EE03CF" w:rsidRPr="000B6572" w:rsidRDefault="00EE03CF" w:rsidP="00EE03CF">
      <w:pPr>
        <w:pStyle w:val="Default"/>
        <w:spacing w:line="360" w:lineRule="auto"/>
        <w:ind w:hanging="360"/>
        <w:jc w:val="both"/>
      </w:pPr>
    </w:p>
    <w:p w14:paraId="2BC3E54F"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EIFAC (European Inland Fish</w:t>
      </w:r>
      <w:r>
        <w:rPr>
          <w:rFonts w:ascii="Times New Roman" w:hAnsi="Times New Roman" w:cs="Times New Roman"/>
        </w:rPr>
        <w:t xml:space="preserve">eries Advisory Commission).1973: </w:t>
      </w:r>
      <w:r w:rsidRPr="000B6572">
        <w:rPr>
          <w:rFonts w:ascii="Times New Roman" w:hAnsi="Times New Roman" w:cs="Times New Roman"/>
        </w:rPr>
        <w:t>Water quality criteria for European freshwaterfish report on ammonia and inland fisheries. Water Research, 7: 1011-1022.</w:t>
      </w:r>
    </w:p>
    <w:p w14:paraId="1540E3F0" w14:textId="77777777" w:rsidR="00EE03CF" w:rsidRPr="000B6572" w:rsidRDefault="00EE03CF" w:rsidP="00EE03CF">
      <w:pPr>
        <w:spacing w:after="0"/>
        <w:ind w:hanging="360"/>
        <w:jc w:val="both"/>
        <w:rPr>
          <w:rFonts w:ascii="Times New Roman" w:hAnsi="Times New Roman" w:cs="Times New Roman"/>
        </w:rPr>
      </w:pPr>
    </w:p>
    <w:p w14:paraId="757538AA" w14:textId="77777777" w:rsidR="00EE03CF" w:rsidRPr="000B6572" w:rsidRDefault="00EE03CF" w:rsidP="00EE03CF">
      <w:pPr>
        <w:ind w:hanging="360"/>
        <w:jc w:val="both"/>
        <w:rPr>
          <w:rFonts w:ascii="Times New Roman" w:hAnsi="Times New Roman" w:cs="Times New Roman"/>
        </w:rPr>
      </w:pPr>
      <w:r>
        <w:rPr>
          <w:rFonts w:ascii="Times New Roman" w:hAnsi="Times New Roman" w:cs="Times New Roman"/>
        </w:rPr>
        <w:t>Finney D.J. 1978:</w:t>
      </w:r>
      <w:r w:rsidRPr="000B6572">
        <w:rPr>
          <w:rFonts w:ascii="Times New Roman" w:hAnsi="Times New Roman" w:cs="Times New Roman"/>
        </w:rPr>
        <w:t xml:space="preserve"> Statistical methods in biological assay. 3rd ed. London UK: Griffin Press;  p. 508.</w:t>
      </w:r>
    </w:p>
    <w:p w14:paraId="2D0BC0BA"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Goel, K. A., and Maya 1986:</w:t>
      </w:r>
      <w:r w:rsidRPr="000B6572">
        <w:rPr>
          <w:rFonts w:ascii="Times New Roman" w:hAnsi="Times New Roman" w:cs="Times New Roman"/>
        </w:rPr>
        <w:t xml:space="preserve"> Haematological anomalies in </w:t>
      </w:r>
      <w:r w:rsidRPr="000B6572">
        <w:rPr>
          <w:rFonts w:ascii="Times New Roman" w:hAnsi="Times New Roman" w:cs="Times New Roman"/>
          <w:i/>
        </w:rPr>
        <w:t>Clarius butrachus</w:t>
      </w:r>
      <w:r w:rsidRPr="000B6572">
        <w:rPr>
          <w:rFonts w:ascii="Times New Roman" w:hAnsi="Times New Roman" w:cs="Times New Roman"/>
        </w:rPr>
        <w:t xml:space="preserve"> under the stress of Rogor. Adv. Biosci. 5, 187-192.</w:t>
      </w:r>
    </w:p>
    <w:p w14:paraId="74EDFCC5" w14:textId="77777777" w:rsidR="00013B09" w:rsidRDefault="00013B09" w:rsidP="00EE03CF">
      <w:pPr>
        <w:autoSpaceDE w:val="0"/>
        <w:autoSpaceDN w:val="0"/>
        <w:adjustRightInd w:val="0"/>
        <w:spacing w:after="0" w:line="360" w:lineRule="auto"/>
        <w:ind w:hanging="360"/>
        <w:jc w:val="both"/>
        <w:rPr>
          <w:rFonts w:ascii="Times New Roman" w:hAnsi="Times New Roman" w:cs="Times New Roman"/>
        </w:rPr>
      </w:pPr>
    </w:p>
    <w:p w14:paraId="29F1413A" w14:textId="77777777" w:rsidR="00DD6B82" w:rsidRPr="00DD6B82" w:rsidRDefault="00DD6B82" w:rsidP="00DD6B82">
      <w:pPr>
        <w:autoSpaceDE w:val="0"/>
        <w:autoSpaceDN w:val="0"/>
        <w:adjustRightInd w:val="0"/>
        <w:spacing w:after="0" w:line="240" w:lineRule="auto"/>
        <w:ind w:hanging="360"/>
        <w:jc w:val="both"/>
        <w:rPr>
          <w:rFonts w:ascii="Times New Roman" w:hAnsi="Times New Roman" w:cs="Times New Roman"/>
        </w:rPr>
      </w:pPr>
      <w:r w:rsidRPr="00DD6B82">
        <w:rPr>
          <w:rFonts w:ascii="Times New Roman" w:hAnsi="Times New Roman" w:cs="Times New Roman"/>
        </w:rPr>
        <w:t xml:space="preserve">Khan, A., Ahmad, L. and Khan, M.Z., 2012. Hemato-biochemical changes induced by pyrethroid insecticides in avian, fish and mammalian species. </w:t>
      </w:r>
      <w:r w:rsidRPr="00DD6B82">
        <w:rPr>
          <w:rFonts w:ascii="Times New Roman" w:hAnsi="Times New Roman" w:cs="Times New Roman"/>
          <w:i/>
          <w:iCs/>
        </w:rPr>
        <w:t>Int. J. Agric. Biol</w:t>
      </w:r>
      <w:r w:rsidRPr="00DD6B82">
        <w:rPr>
          <w:rFonts w:ascii="Times New Roman" w:hAnsi="Times New Roman" w:cs="Times New Roman"/>
        </w:rPr>
        <w:t>. 14: 834–842.</w:t>
      </w:r>
    </w:p>
    <w:p w14:paraId="2F6DFF8B" w14:textId="77777777" w:rsidR="00DD6B82" w:rsidRPr="000B6572" w:rsidRDefault="00DD6B82" w:rsidP="00EE03CF">
      <w:pPr>
        <w:autoSpaceDE w:val="0"/>
        <w:autoSpaceDN w:val="0"/>
        <w:adjustRightInd w:val="0"/>
        <w:spacing w:after="0" w:line="360" w:lineRule="auto"/>
        <w:ind w:hanging="360"/>
        <w:jc w:val="both"/>
        <w:rPr>
          <w:rFonts w:ascii="Times New Roman" w:hAnsi="Times New Roman" w:cs="Times New Roman"/>
        </w:rPr>
      </w:pPr>
    </w:p>
    <w:p w14:paraId="36ED79DC"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lastRenderedPageBreak/>
        <w:t>Klesius, P. H., C. A. S</w:t>
      </w:r>
      <w:r>
        <w:rPr>
          <w:rFonts w:ascii="Times New Roman" w:hAnsi="Times New Roman" w:cs="Times New Roman"/>
        </w:rPr>
        <w:t>hoemaker, and J. J. Evans. 2000:</w:t>
      </w:r>
      <w:r w:rsidRPr="000B6572">
        <w:rPr>
          <w:rFonts w:ascii="Times New Roman" w:hAnsi="Times New Roman" w:cs="Times New Roman"/>
        </w:rPr>
        <w:t xml:space="preserve"> Efficacy of a single and combined Streptococcus iniaeisolate vaccine administered by intraperitoneal and intramuscular routes in tilapia (</w:t>
      </w:r>
      <w:r w:rsidRPr="000B6572">
        <w:rPr>
          <w:rFonts w:ascii="Times New Roman" w:hAnsi="Times New Roman" w:cs="Times New Roman"/>
          <w:i/>
        </w:rPr>
        <w:t>Oreochromis niloticus</w:t>
      </w:r>
      <w:r w:rsidRPr="000B6572">
        <w:rPr>
          <w:rFonts w:ascii="Times New Roman" w:hAnsi="Times New Roman" w:cs="Times New Roman"/>
        </w:rPr>
        <w:t>). Aquaculture 188:237–246.</w:t>
      </w:r>
    </w:p>
    <w:p w14:paraId="4F68C20A"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Lata, S., Sriwastwa,V.M.S., Maur</w:t>
      </w:r>
      <w:r>
        <w:rPr>
          <w:rFonts w:ascii="Times New Roman" w:hAnsi="Times New Roman" w:cs="Times New Roman"/>
        </w:rPr>
        <w:t>ya, J.P. and Chaudhary,S.K.2008:</w:t>
      </w:r>
      <w:r w:rsidRPr="000B6572">
        <w:rPr>
          <w:rFonts w:ascii="Times New Roman" w:hAnsi="Times New Roman" w:cs="Times New Roman"/>
        </w:rPr>
        <w:t xml:space="preserve"> Ureainduced testicular changes in </w:t>
      </w:r>
      <w:r w:rsidRPr="000B6572">
        <w:rPr>
          <w:rFonts w:ascii="Times New Roman" w:hAnsi="Times New Roman" w:cs="Times New Roman"/>
          <w:i/>
        </w:rPr>
        <w:t>Mystusvittatus</w:t>
      </w:r>
      <w:r w:rsidRPr="000B6572">
        <w:rPr>
          <w:rFonts w:ascii="Times New Roman" w:hAnsi="Times New Roman" w:cs="Times New Roman"/>
        </w:rPr>
        <w:t>. J. Eco. Biol., 23:11- 17.</w:t>
      </w:r>
    </w:p>
    <w:p w14:paraId="00E8E0A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Mishra, J., and srivastava, A. K</w:t>
      </w:r>
      <w:r>
        <w:rPr>
          <w:rFonts w:ascii="Times New Roman" w:hAnsi="Times New Roman" w:cs="Times New Roman"/>
        </w:rPr>
        <w:t>. 1983:</w:t>
      </w:r>
      <w:r w:rsidRPr="000B6572">
        <w:rPr>
          <w:rFonts w:ascii="Times New Roman" w:hAnsi="Times New Roman" w:cs="Times New Roman"/>
        </w:rPr>
        <w:t xml:space="preserve"> Malathion-induced haematological and biochemical changes in the Indian catfish, </w:t>
      </w:r>
      <w:r w:rsidRPr="000B6572">
        <w:rPr>
          <w:rFonts w:ascii="Times New Roman" w:hAnsi="Times New Roman" w:cs="Times New Roman"/>
          <w:i/>
        </w:rPr>
        <w:t>Heteropneustes fossilis</w:t>
      </w:r>
      <w:r w:rsidRPr="000B6572">
        <w:rPr>
          <w:rFonts w:ascii="Times New Roman" w:hAnsi="Times New Roman" w:cs="Times New Roman"/>
        </w:rPr>
        <w:t>. Environ. Res. 30,393-398.</w:t>
      </w:r>
    </w:p>
    <w:p w14:paraId="00FF83DF" w14:textId="77777777" w:rsidR="00EE03CF" w:rsidRPr="000B6572" w:rsidRDefault="00EE03CF" w:rsidP="00EE03CF">
      <w:pPr>
        <w:spacing w:line="240" w:lineRule="auto"/>
        <w:ind w:hanging="360"/>
        <w:jc w:val="both"/>
        <w:rPr>
          <w:rFonts w:ascii="Times New Roman" w:hAnsi="Times New Roman" w:cs="Times New Roman"/>
        </w:rPr>
      </w:pPr>
    </w:p>
    <w:p w14:paraId="6572B8A2"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Muthalgi,</w:t>
      </w:r>
      <w:r>
        <w:rPr>
          <w:rFonts w:ascii="Times New Roman" w:hAnsi="Times New Roman" w:cs="Times New Roman"/>
        </w:rPr>
        <w:t xml:space="preserve"> S. 2006:</w:t>
      </w:r>
      <w:r w:rsidRPr="000B6572">
        <w:rPr>
          <w:rFonts w:ascii="Times New Roman" w:hAnsi="Times New Roman" w:cs="Times New Roman"/>
        </w:rPr>
        <w:t xml:space="preserve"> Effect of different concentration of sewage on the haematological parameters of </w:t>
      </w:r>
      <w:r w:rsidRPr="000B6572">
        <w:rPr>
          <w:rFonts w:ascii="Times New Roman" w:hAnsi="Times New Roman" w:cs="Times New Roman"/>
          <w:i/>
        </w:rPr>
        <w:t xml:space="preserve">C. mirgila. </w:t>
      </w:r>
      <w:r w:rsidRPr="000B6572">
        <w:rPr>
          <w:rFonts w:ascii="Times New Roman" w:hAnsi="Times New Roman" w:cs="Times New Roman"/>
        </w:rPr>
        <w:t>Indian J. Eniron.&amp; Ecoplan 12(2), 409-412.</w:t>
      </w:r>
    </w:p>
    <w:p w14:paraId="7D221425"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1F6BD99D"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Palanivelu, V., Vijayavel, K., Ezhilarasi Balasubramanian, S. </w:t>
      </w:r>
      <w:r>
        <w:rPr>
          <w:rFonts w:ascii="Times New Roman" w:hAnsi="Times New Roman" w:cs="Times New Roman"/>
        </w:rPr>
        <w:t>and Balasubramanian, M.P. 2005:</w:t>
      </w:r>
      <w:r w:rsidRPr="000B6572">
        <w:rPr>
          <w:rFonts w:ascii="Times New Roman" w:hAnsi="Times New Roman" w:cs="Times New Roman"/>
        </w:rPr>
        <w:t xml:space="preserve"> Impact of fertilizer (urea) on oxygen consumption and feeding the freshwater fish </w:t>
      </w:r>
      <w:r w:rsidRPr="000B6572">
        <w:rPr>
          <w:rFonts w:ascii="Times New Roman" w:hAnsi="Times New Roman" w:cs="Times New Roman"/>
          <w:i/>
          <w:iCs/>
        </w:rPr>
        <w:t>Oreochromis mossambicus</w:t>
      </w:r>
      <w:r w:rsidRPr="000B6572">
        <w:rPr>
          <w:rFonts w:ascii="Times New Roman" w:hAnsi="Times New Roman" w:cs="Times New Roman"/>
        </w:rPr>
        <w:t>. Environmental Toxicology and Pharmacology, 19: 351–355.</w:t>
      </w:r>
    </w:p>
    <w:p w14:paraId="07880D6B" w14:textId="77777777" w:rsidR="00EE03CF" w:rsidRPr="000B6572" w:rsidRDefault="00EE03CF" w:rsidP="00EE03CF">
      <w:pPr>
        <w:ind w:hanging="360"/>
        <w:jc w:val="both"/>
        <w:rPr>
          <w:rFonts w:ascii="Times New Roman" w:hAnsi="Times New Roman" w:cs="Times New Roman"/>
        </w:rPr>
      </w:pPr>
    </w:p>
    <w:p w14:paraId="097769E3"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Palanivelu, V. 1997</w:t>
      </w:r>
      <w:r>
        <w:rPr>
          <w:rFonts w:ascii="Times New Roman" w:hAnsi="Times New Roman" w:cs="Times New Roman"/>
        </w:rPr>
        <w:t>:</w:t>
      </w:r>
      <w:r w:rsidRPr="000B6572">
        <w:rPr>
          <w:rFonts w:ascii="Times New Roman" w:hAnsi="Times New Roman" w:cs="Times New Roman"/>
        </w:rPr>
        <w:t>.</w:t>
      </w:r>
      <w:r w:rsidRPr="000B6572">
        <w:rPr>
          <w:rFonts w:ascii="Times New Roman" w:hAnsi="Times New Roman" w:cs="Times New Roman"/>
          <w:i/>
          <w:iCs/>
        </w:rPr>
        <w:t xml:space="preserve">Influence of cartap andurea on the physiology of fresh water fish Oroechromis mossambicus. </w:t>
      </w:r>
      <w:r w:rsidRPr="000B6572">
        <w:rPr>
          <w:rFonts w:ascii="Times New Roman" w:hAnsi="Times New Roman" w:cs="Times New Roman"/>
        </w:rPr>
        <w:t>Universityof Madras, Ph. D Thesis.</w:t>
      </w:r>
    </w:p>
    <w:p w14:paraId="4525DCCA" w14:textId="77777777" w:rsidR="00EE03CF" w:rsidRPr="000B6572" w:rsidRDefault="00EE03CF" w:rsidP="00EE03CF">
      <w:pPr>
        <w:ind w:hanging="360"/>
        <w:jc w:val="both"/>
        <w:rPr>
          <w:rFonts w:ascii="Times New Roman" w:hAnsi="Times New Roman" w:cs="Times New Roman"/>
        </w:rPr>
      </w:pPr>
    </w:p>
    <w:p w14:paraId="58941B7B"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Pau</w:t>
      </w:r>
      <w:r>
        <w:rPr>
          <w:rFonts w:ascii="Times New Roman" w:hAnsi="Times New Roman" w:cs="Times New Roman"/>
        </w:rPr>
        <w:t>l, V.I. and Banerjee, T.K. 1996:</w:t>
      </w:r>
      <w:r w:rsidRPr="000B6572">
        <w:rPr>
          <w:rFonts w:ascii="Times New Roman" w:hAnsi="Times New Roman" w:cs="Times New Roman"/>
        </w:rPr>
        <w:t xml:space="preserve"> Ammonium sulphate induced stress related alterations in the respiratory epithelium of the air breathing organ of the catfish (</w:t>
      </w:r>
      <w:r w:rsidRPr="000B6572">
        <w:rPr>
          <w:rFonts w:ascii="Times New Roman" w:hAnsi="Times New Roman" w:cs="Times New Roman"/>
          <w:i/>
        </w:rPr>
        <w:t>Heteropneustes fossilis</w:t>
      </w:r>
      <w:r w:rsidRPr="000B6572">
        <w:rPr>
          <w:rFonts w:ascii="Times New Roman" w:hAnsi="Times New Roman" w:cs="Times New Roman"/>
        </w:rPr>
        <w:t>). Journal of Biosciences, 21: 519-526.</w:t>
      </w:r>
    </w:p>
    <w:p w14:paraId="44EF1F51"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Pratibha </w:t>
      </w:r>
      <w:r>
        <w:rPr>
          <w:rFonts w:ascii="Times New Roman" w:hAnsi="Times New Roman" w:cs="Times New Roman"/>
        </w:rPr>
        <w:t>&amp; Kumar 2011:</w:t>
      </w:r>
      <w:r w:rsidRPr="000B6572">
        <w:rPr>
          <w:rFonts w:ascii="Times New Roman" w:hAnsi="Times New Roman" w:cs="Times New Roman"/>
        </w:rPr>
        <w:t xml:space="preserve"> Effects of mercury chloride on haematological parameters of </w:t>
      </w:r>
      <w:r w:rsidRPr="000B6572">
        <w:rPr>
          <w:rFonts w:ascii="Times New Roman" w:hAnsi="Times New Roman" w:cs="Times New Roman"/>
          <w:i/>
        </w:rPr>
        <w:t>Heteropneustes fossilis.</w:t>
      </w:r>
      <w:r w:rsidRPr="000B6572">
        <w:rPr>
          <w:rFonts w:ascii="Times New Roman" w:hAnsi="Times New Roman" w:cs="Times New Roman"/>
        </w:rPr>
        <w:t>J. of Env.&amp;Ecoplann, Vol.18(23).</w:t>
      </w:r>
    </w:p>
    <w:p w14:paraId="249133E7"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7180F7B6"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Pratibha, K. 2013:</w:t>
      </w:r>
      <w:r w:rsidRPr="000B6572">
        <w:rPr>
          <w:rFonts w:ascii="Times New Roman" w:hAnsi="Times New Roman" w:cs="Times New Roman"/>
        </w:rPr>
        <w:t xml:space="preserve"> Haematological &amp; bio-chemical effects of mercuric chloride to </w:t>
      </w:r>
      <w:r w:rsidRPr="000B6572">
        <w:rPr>
          <w:rFonts w:ascii="Times New Roman" w:hAnsi="Times New Roman" w:cs="Times New Roman"/>
          <w:i/>
        </w:rPr>
        <w:t xml:space="preserve">Heteropneustes fossilis. </w:t>
      </w:r>
      <w:r w:rsidRPr="000B6572">
        <w:rPr>
          <w:rFonts w:ascii="Times New Roman" w:hAnsi="Times New Roman" w:cs="Times New Roman"/>
        </w:rPr>
        <w:t>Ph.D. thesis of L.N.M.U. Darbhanga.</w:t>
      </w:r>
    </w:p>
    <w:p w14:paraId="7BABF64D" w14:textId="77777777" w:rsidR="00EE03CF" w:rsidRPr="000B6572" w:rsidRDefault="00EE03CF" w:rsidP="00EE03CF">
      <w:pPr>
        <w:ind w:hanging="360"/>
        <w:jc w:val="both"/>
        <w:rPr>
          <w:rFonts w:ascii="Times New Roman" w:hAnsi="Times New Roman" w:cs="Times New Roman"/>
        </w:rPr>
      </w:pPr>
    </w:p>
    <w:p w14:paraId="0F14EB7A" w14:textId="732A68A0"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Raizada, M. N., and Gupta, A</w:t>
      </w:r>
      <w:r>
        <w:rPr>
          <w:rFonts w:ascii="Times New Roman" w:hAnsi="Times New Roman" w:cs="Times New Roman"/>
        </w:rPr>
        <w:t>. 1982:</w:t>
      </w:r>
      <w:r w:rsidRPr="000B6572">
        <w:rPr>
          <w:rFonts w:ascii="Times New Roman" w:hAnsi="Times New Roman" w:cs="Times New Roman"/>
        </w:rPr>
        <w:t xml:space="preserve"> Toxic effect of Rh-2 16 (a systemic fungicide) from total etythro- cyte counts (RBC) and haemoglobin (Hb) content of </w:t>
      </w:r>
      <w:r w:rsidRPr="00F20B18">
        <w:rPr>
          <w:rFonts w:ascii="Times New Roman" w:hAnsi="Times New Roman" w:cs="Times New Roman"/>
          <w:i/>
          <w:iCs/>
        </w:rPr>
        <w:t>Trichogaster</w:t>
      </w:r>
      <w:r w:rsidR="00F20B18" w:rsidRPr="00F20B18">
        <w:rPr>
          <w:rFonts w:ascii="Times New Roman" w:hAnsi="Times New Roman" w:cs="Times New Roman"/>
          <w:i/>
          <w:iCs/>
        </w:rPr>
        <w:t xml:space="preserve"> </w:t>
      </w:r>
      <w:r w:rsidRPr="00F20B18">
        <w:rPr>
          <w:rFonts w:ascii="Times New Roman" w:hAnsi="Times New Roman" w:cs="Times New Roman"/>
          <w:i/>
          <w:iCs/>
        </w:rPr>
        <w:t>fasciatus</w:t>
      </w:r>
      <w:r w:rsidRPr="000B6572">
        <w:rPr>
          <w:rFonts w:ascii="Times New Roman" w:hAnsi="Times New Roman" w:cs="Times New Roman"/>
        </w:rPr>
        <w:t xml:space="preserve">. Comp. Physiol. Ecol. 7( 1), 29-30. </w:t>
      </w:r>
    </w:p>
    <w:p w14:paraId="309A5268" w14:textId="77777777" w:rsidR="00EE03CF" w:rsidRPr="000B6572" w:rsidRDefault="00EE03CF" w:rsidP="00EE03CF">
      <w:pPr>
        <w:ind w:hanging="360"/>
        <w:jc w:val="both"/>
        <w:rPr>
          <w:rFonts w:ascii="Times New Roman" w:hAnsi="Times New Roman" w:cs="Times New Roman"/>
        </w:rPr>
      </w:pPr>
    </w:p>
    <w:p w14:paraId="2B582444"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Rani, E.F, M. Elum</w:t>
      </w:r>
      <w:r>
        <w:rPr>
          <w:rFonts w:ascii="Times New Roman" w:hAnsi="Times New Roman" w:cs="Times New Roman"/>
        </w:rPr>
        <w:t>alai, M.P. Balasubramanian 1997:</w:t>
      </w:r>
      <w:r w:rsidRPr="000B6572">
        <w:rPr>
          <w:rFonts w:ascii="Times New Roman" w:hAnsi="Times New Roman" w:cs="Times New Roman"/>
        </w:rPr>
        <w:t xml:space="preserve"> The toxicity of mixtures of monocrotophos and ammonium chloride to a freshwater fish </w:t>
      </w:r>
      <w:r w:rsidRPr="000B6572">
        <w:rPr>
          <w:rFonts w:ascii="Times New Roman" w:hAnsi="Times New Roman" w:cs="Times New Roman"/>
          <w:i/>
          <w:iCs/>
        </w:rPr>
        <w:t>Oreochromis mossambicus</w:t>
      </w:r>
      <w:r w:rsidRPr="000B6572">
        <w:rPr>
          <w:rFonts w:ascii="Times New Roman" w:hAnsi="Times New Roman" w:cs="Times New Roman"/>
        </w:rPr>
        <w:t xml:space="preserve">. </w:t>
      </w:r>
      <w:r w:rsidRPr="000B6572">
        <w:rPr>
          <w:rFonts w:ascii="Times New Roman" w:hAnsi="Times New Roman" w:cs="Times New Roman"/>
          <w:i/>
          <w:iCs/>
        </w:rPr>
        <w:t>Biomedical Lett</w:t>
      </w:r>
      <w:r w:rsidRPr="000B6572">
        <w:rPr>
          <w:rFonts w:ascii="Times New Roman" w:hAnsi="Times New Roman" w:cs="Times New Roman"/>
        </w:rPr>
        <w:t>.,</w:t>
      </w:r>
      <w:r w:rsidRPr="000B6572">
        <w:rPr>
          <w:rFonts w:ascii="Times New Roman" w:hAnsi="Times New Roman" w:cs="Times New Roman"/>
          <w:b/>
          <w:bCs/>
        </w:rPr>
        <w:t xml:space="preserve">55 </w:t>
      </w:r>
      <w:r w:rsidRPr="000B6572">
        <w:rPr>
          <w:rFonts w:ascii="Times New Roman" w:hAnsi="Times New Roman" w:cs="Times New Roman"/>
        </w:rPr>
        <w:t>: 193-198.</w:t>
      </w:r>
    </w:p>
    <w:p w14:paraId="6F741F4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lastRenderedPageBreak/>
        <w:t xml:space="preserve">Rewathi, K.M. </w:t>
      </w:r>
      <w:r>
        <w:rPr>
          <w:rFonts w:ascii="Times New Roman" w:hAnsi="Times New Roman" w:cs="Times New Roman"/>
        </w:rPr>
        <w:t>Yogananda&amp; K. Kaplarasi 2003:</w:t>
      </w:r>
      <w:r w:rsidRPr="000B6572">
        <w:rPr>
          <w:rFonts w:ascii="Times New Roman" w:hAnsi="Times New Roman" w:cs="Times New Roman"/>
        </w:rPr>
        <w:t xml:space="preserve">  of tannary effluent on the bio-chemical and haematology of wistar albino rats. Indian J. Environ &amp; Ecoplan, 7(3):629-632.</w:t>
      </w:r>
    </w:p>
    <w:p w14:paraId="54E14AE0" w14:textId="77777777" w:rsidR="00EE03CF" w:rsidRPr="000B6572" w:rsidRDefault="00EE03CF" w:rsidP="00EE03CF">
      <w:pPr>
        <w:ind w:hanging="360"/>
        <w:jc w:val="both"/>
        <w:rPr>
          <w:rFonts w:ascii="Times New Roman" w:hAnsi="Times New Roman" w:cs="Times New Roman"/>
        </w:rPr>
      </w:pPr>
    </w:p>
    <w:p w14:paraId="620249E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Shipra, Shamra, R.P. Goyal, Geetanjali Chakravaraty </w:t>
      </w:r>
      <w:r>
        <w:rPr>
          <w:rFonts w:ascii="Times New Roman" w:hAnsi="Times New Roman" w:cs="Times New Roman"/>
        </w:rPr>
        <w:t>&amp; Anjali Sharma 2005:</w:t>
      </w:r>
      <w:r w:rsidRPr="000B6572">
        <w:rPr>
          <w:rFonts w:ascii="Times New Roman" w:hAnsi="Times New Roman" w:cs="Times New Roman"/>
        </w:rPr>
        <w:t xml:space="preserve"> Orange red, a blend of permitted food colour induced haematological changes in swiss albino mice, 24(2) : 99-103.</w:t>
      </w:r>
    </w:p>
    <w:p w14:paraId="0CDA8E59" w14:textId="77777777" w:rsidR="00EE03CF" w:rsidRPr="000B6572" w:rsidRDefault="00EE03CF" w:rsidP="00EE03CF">
      <w:pPr>
        <w:pStyle w:val="Default"/>
        <w:ind w:hanging="360"/>
        <w:jc w:val="both"/>
      </w:pPr>
    </w:p>
    <w:p w14:paraId="379394DE" w14:textId="77777777" w:rsidR="00EE03CF" w:rsidRDefault="00EE03CF" w:rsidP="00EE03CF">
      <w:pPr>
        <w:pStyle w:val="Default"/>
        <w:ind w:hanging="360"/>
        <w:jc w:val="both"/>
      </w:pPr>
      <w:r>
        <w:t>Sprague, J.B., 1971:</w:t>
      </w:r>
      <w:r w:rsidRPr="000B6572">
        <w:t xml:space="preserve"> Measurement of pollution toxicity to fish. III. Sub – lethal effects and ‘safe’ concentration, Water Res.5: 245- 266.</w:t>
      </w:r>
    </w:p>
    <w:p w14:paraId="2F61F29A" w14:textId="77777777" w:rsidR="00DD6B82" w:rsidRDefault="00DD6B82" w:rsidP="00EE03CF">
      <w:pPr>
        <w:pStyle w:val="Default"/>
        <w:ind w:hanging="360"/>
        <w:jc w:val="both"/>
      </w:pPr>
    </w:p>
    <w:p w14:paraId="6C342A26" w14:textId="77777777" w:rsidR="00DD6B82" w:rsidRPr="00DD6B82" w:rsidRDefault="00DD6B82" w:rsidP="00DD6B82">
      <w:pPr>
        <w:autoSpaceDE w:val="0"/>
        <w:autoSpaceDN w:val="0"/>
        <w:adjustRightInd w:val="0"/>
        <w:spacing w:after="0" w:line="240" w:lineRule="auto"/>
        <w:ind w:hanging="360"/>
        <w:jc w:val="both"/>
      </w:pPr>
      <w:r w:rsidRPr="00DD6B82">
        <w:rPr>
          <w:rFonts w:ascii="Times New Roman" w:hAnsi="Times New Roman" w:cs="Times New Roman"/>
        </w:rPr>
        <w:t xml:space="preserve">Summarwar, S. and Verma, S., 2012. Study of selected haematological indices of freshwater fish from Bisalpur reservoir. </w:t>
      </w:r>
      <w:r w:rsidRPr="00DD6B82">
        <w:rPr>
          <w:rFonts w:ascii="Times New Roman" w:hAnsi="Times New Roman" w:cs="Times New Roman"/>
          <w:i/>
          <w:iCs/>
        </w:rPr>
        <w:t>I.J.Fundament. Appl. Lif. Sci</w:t>
      </w:r>
      <w:r w:rsidRPr="00DD6B82">
        <w:rPr>
          <w:rFonts w:ascii="Times New Roman" w:hAnsi="Times New Roman" w:cs="Times New Roman"/>
        </w:rPr>
        <w:t>. 2(2): 51-54.</w:t>
      </w:r>
    </w:p>
    <w:p w14:paraId="2841F68E" w14:textId="77777777" w:rsidR="00DD6B82" w:rsidRPr="00DD6B82" w:rsidRDefault="00DD6B82" w:rsidP="00DD6B82">
      <w:pPr>
        <w:pStyle w:val="Default"/>
        <w:ind w:hanging="360"/>
        <w:jc w:val="both"/>
      </w:pPr>
    </w:p>
    <w:p w14:paraId="45B2820E" w14:textId="77777777" w:rsidR="00DD6B82" w:rsidRPr="00DD6B82" w:rsidRDefault="00DD6B82" w:rsidP="00EE03CF">
      <w:pPr>
        <w:pStyle w:val="Default"/>
        <w:ind w:hanging="360"/>
        <w:jc w:val="both"/>
      </w:pPr>
    </w:p>
    <w:p w14:paraId="33C2ECC1" w14:textId="77777777" w:rsidR="00EE03CF" w:rsidRPr="000B6572" w:rsidRDefault="00EE03CF" w:rsidP="00EE03CF">
      <w:pPr>
        <w:pStyle w:val="Default"/>
        <w:ind w:hanging="360"/>
        <w:jc w:val="both"/>
      </w:pPr>
    </w:p>
    <w:p w14:paraId="5801755D"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Todgham, A. E. Ander</w:t>
      </w:r>
      <w:r>
        <w:rPr>
          <w:rFonts w:ascii="Times New Roman" w:hAnsi="Times New Roman" w:cs="Times New Roman"/>
        </w:rPr>
        <w:t>son, P.M. and Wright, P.A. 2001:</w:t>
      </w:r>
      <w:r w:rsidRPr="000B6572">
        <w:rPr>
          <w:rFonts w:ascii="Times New Roman" w:hAnsi="Times New Roman" w:cs="Times New Roman"/>
        </w:rPr>
        <w:t xml:space="preserve"> Effects of exercise on nitrogen excretion, carbamoyl phosphate synthetase III activity and related urea cycle enzymes in muscle and liver tissues of juvenile rainbow trout (</w:t>
      </w:r>
      <w:r w:rsidRPr="000B6572">
        <w:rPr>
          <w:rFonts w:ascii="Times New Roman" w:hAnsi="Times New Roman" w:cs="Times New Roman"/>
          <w:i/>
        </w:rPr>
        <w:t>Oncorhynchus mykiss).</w:t>
      </w:r>
      <w:r w:rsidRPr="000B6572">
        <w:rPr>
          <w:rFonts w:ascii="Times New Roman" w:hAnsi="Times New Roman" w:cs="Times New Roman"/>
        </w:rPr>
        <w:t xml:space="preserve"> Comparative Biochemistry and Physiology, 129: 527-539.</w:t>
      </w:r>
    </w:p>
    <w:p w14:paraId="4B00550A" w14:textId="77777777" w:rsidR="00EE03CF" w:rsidRPr="000B6572" w:rsidRDefault="00EE03CF" w:rsidP="00EE03CF">
      <w:pPr>
        <w:ind w:hanging="360"/>
        <w:jc w:val="both"/>
        <w:rPr>
          <w:rFonts w:ascii="Times New Roman" w:hAnsi="Times New Roman" w:cs="Times New Roman"/>
        </w:rPr>
      </w:pPr>
    </w:p>
    <w:p w14:paraId="66CB3BD2"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Ufodike, E</w:t>
      </w:r>
      <w:r>
        <w:rPr>
          <w:rFonts w:ascii="Times New Roman" w:hAnsi="Times New Roman" w:cs="Times New Roman"/>
        </w:rPr>
        <w:t>.B.C. and Onusiriuka, B.C. 2008:</w:t>
      </w:r>
      <w:r w:rsidRPr="000B6572">
        <w:rPr>
          <w:rFonts w:ascii="Times New Roman" w:hAnsi="Times New Roman" w:cs="Times New Roman"/>
        </w:rPr>
        <w:t xml:space="preserve"> Acute toxicity of inorganic fertilizers to African catfish, </w:t>
      </w:r>
      <w:r w:rsidRPr="000B6572">
        <w:rPr>
          <w:rFonts w:ascii="Times New Roman" w:hAnsi="Times New Roman" w:cs="Times New Roman"/>
          <w:i/>
        </w:rPr>
        <w:t>Clarias gariepinus</w:t>
      </w:r>
      <w:r w:rsidRPr="000B6572">
        <w:rPr>
          <w:rFonts w:ascii="Times New Roman" w:hAnsi="Times New Roman" w:cs="Times New Roman"/>
        </w:rPr>
        <w:t xml:space="preserve"> (Teugals). Aquaculture Research, 21: 181186.</w:t>
      </w:r>
    </w:p>
    <w:p w14:paraId="1DC2C34E"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Vidal, M., Lopez, A., Sant</w:t>
      </w:r>
      <w:r>
        <w:rPr>
          <w:rFonts w:ascii="Times New Roman" w:hAnsi="Times New Roman" w:cs="Times New Roman"/>
        </w:rPr>
        <w:t>oalla, M.C. and Valles, V. 2000:</w:t>
      </w:r>
      <w:r w:rsidRPr="000B6572">
        <w:rPr>
          <w:rFonts w:ascii="Times New Roman" w:hAnsi="Times New Roman" w:cs="Times New Roman"/>
        </w:rPr>
        <w:t xml:space="preserve"> Factor analysis for the study of water resources contamination due to the use of livestock slurries as fertilizer. Agricultural Water Management, 45: 1-15.</w:t>
      </w:r>
    </w:p>
    <w:p w14:paraId="53CB3CE9" w14:textId="77777777" w:rsidR="00EE03CF" w:rsidRPr="000B6572" w:rsidRDefault="00EE03CF" w:rsidP="00EE03CF">
      <w:pPr>
        <w:ind w:hanging="360"/>
        <w:jc w:val="both"/>
        <w:rPr>
          <w:rFonts w:ascii="Times New Roman" w:hAnsi="Times New Roman" w:cs="Times New Roman"/>
        </w:rPr>
      </w:pPr>
      <w:r>
        <w:rPr>
          <w:rFonts w:ascii="Times New Roman" w:hAnsi="Times New Roman" w:cs="Times New Roman"/>
        </w:rPr>
        <w:t>Vutukuru S.S., Basani K. 2013:</w:t>
      </w:r>
      <w:r w:rsidRPr="000B6572">
        <w:rPr>
          <w:rFonts w:ascii="Times New Roman" w:hAnsi="Times New Roman" w:cs="Times New Roman"/>
        </w:rPr>
        <w:t xml:space="preserve"> Acute effects of mercuric chloride on glycogen and protein content of Zebra fish ,Daniorerio. J. Environ Biol. 34:277–281.</w:t>
      </w:r>
    </w:p>
    <w:p w14:paraId="36EC8B9D"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Wicks, B.J., Joensen, R.,</w:t>
      </w:r>
      <w:r>
        <w:rPr>
          <w:rFonts w:ascii="Times New Roman" w:hAnsi="Times New Roman" w:cs="Times New Roman"/>
        </w:rPr>
        <w:t xml:space="preserve"> Tang, Q. and Randall D.J. 2002:</w:t>
      </w:r>
      <w:r w:rsidRPr="000B6572">
        <w:rPr>
          <w:rFonts w:ascii="Times New Roman" w:hAnsi="Times New Roman" w:cs="Times New Roman"/>
        </w:rPr>
        <w:t xml:space="preserve"> Swimming and ammonia toxicity in salmonids: the effect of sub lethal ammonia exposure on the swimming performance of coho salmon and the acute toxicity of ammonia in swimming and resting rainbow trout. Aquatic Toxicology, 59: 55–69.</w:t>
      </w:r>
    </w:p>
    <w:p w14:paraId="2BB4DF20"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54E0A757"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Yanan, W,.Y</w:t>
      </w:r>
      <w:r>
        <w:rPr>
          <w:rFonts w:ascii="Times New Roman" w:hAnsi="Times New Roman" w:cs="Times New Roman"/>
        </w:rPr>
        <w:t xml:space="preserve">uan Z., Sun M., and Zhu W. 2015: </w:t>
      </w:r>
      <w:r w:rsidRPr="000B6572">
        <w:rPr>
          <w:rFonts w:ascii="Times New Roman" w:hAnsi="Times New Roman" w:cs="Times New Roman"/>
        </w:rPr>
        <w:t>Exploring the effects of different types of surfactants on zebrafish embryos and larvae.Springer Nature.Sc.Rep. article No. 10107.</w:t>
      </w:r>
    </w:p>
    <w:p w14:paraId="498090D8" w14:textId="77777777" w:rsidR="00EE03CF" w:rsidRPr="000B6572" w:rsidRDefault="00EE03CF" w:rsidP="00EE03CF">
      <w:pPr>
        <w:spacing w:after="0"/>
        <w:ind w:hanging="360"/>
        <w:jc w:val="both"/>
        <w:rPr>
          <w:rFonts w:ascii="Times New Roman" w:hAnsi="Times New Roman" w:cs="Times New Roman"/>
        </w:rPr>
      </w:pPr>
    </w:p>
    <w:p w14:paraId="644178F2" w14:textId="77777777" w:rsidR="00EE03CF" w:rsidRPr="000B6572" w:rsidRDefault="00EE03CF" w:rsidP="00EE03CF">
      <w:pPr>
        <w:spacing w:after="0" w:line="240" w:lineRule="auto"/>
        <w:ind w:hanging="360"/>
        <w:jc w:val="center"/>
        <w:rPr>
          <w:rFonts w:ascii="Times New Roman" w:hAnsi="Times New Roman" w:cs="Times New Roman"/>
        </w:rPr>
      </w:pPr>
      <w:r w:rsidRPr="000B6572">
        <w:rPr>
          <w:rFonts w:ascii="Times New Roman" w:hAnsi="Times New Roman" w:cs="Times New Roman"/>
        </w:rPr>
        <w:t>***</w:t>
      </w:r>
    </w:p>
    <w:p w14:paraId="3EC9CAE2" w14:textId="77777777" w:rsidR="00EE03CF" w:rsidRPr="000B6572" w:rsidRDefault="00EE03CF" w:rsidP="00EE03CF">
      <w:pPr>
        <w:ind w:hanging="360"/>
        <w:jc w:val="both"/>
        <w:rPr>
          <w:rFonts w:ascii="Times New Roman" w:hAnsi="Times New Roman" w:cs="Times New Roman"/>
        </w:rPr>
      </w:pPr>
    </w:p>
    <w:p w14:paraId="2293B51B" w14:textId="5E791A50" w:rsidR="009F5EBC" w:rsidRPr="009F5EBC" w:rsidRDefault="009F5EBC" w:rsidP="004F47DD">
      <w:pPr>
        <w:spacing w:line="360" w:lineRule="auto"/>
        <w:jc w:val="both"/>
        <w:rPr>
          <w:rFonts w:ascii="Times New Roman" w:hAnsi="Times New Roman" w:cs="Times New Roman"/>
          <w:lang w:val="en-US"/>
        </w:rPr>
      </w:pPr>
    </w:p>
    <w:sectPr w:rsidR="009F5EBC" w:rsidRPr="009F5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E0"/>
    <w:rsid w:val="000019C4"/>
    <w:rsid w:val="00013B09"/>
    <w:rsid w:val="000636D3"/>
    <w:rsid w:val="000B5147"/>
    <w:rsid w:val="000E5BF3"/>
    <w:rsid w:val="00134BCB"/>
    <w:rsid w:val="001D77E0"/>
    <w:rsid w:val="003948F0"/>
    <w:rsid w:val="004240E0"/>
    <w:rsid w:val="00470012"/>
    <w:rsid w:val="004F47DD"/>
    <w:rsid w:val="00515527"/>
    <w:rsid w:val="005E5471"/>
    <w:rsid w:val="006105B2"/>
    <w:rsid w:val="007E14D9"/>
    <w:rsid w:val="0080478E"/>
    <w:rsid w:val="00807C58"/>
    <w:rsid w:val="0083230B"/>
    <w:rsid w:val="00867350"/>
    <w:rsid w:val="009F5EBC"/>
    <w:rsid w:val="00A61663"/>
    <w:rsid w:val="00AC59EB"/>
    <w:rsid w:val="00B5603B"/>
    <w:rsid w:val="00C4064B"/>
    <w:rsid w:val="00C46818"/>
    <w:rsid w:val="00CE17DB"/>
    <w:rsid w:val="00DD6B82"/>
    <w:rsid w:val="00E978E7"/>
    <w:rsid w:val="00EA6FAE"/>
    <w:rsid w:val="00EE03CF"/>
    <w:rsid w:val="00F20B18"/>
    <w:rsid w:val="00F92BE4"/>
    <w:rsid w:val="00FE00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7E0"/>
    <w:rPr>
      <w:rFonts w:eastAsiaTheme="majorEastAsia" w:cstheme="majorBidi"/>
      <w:color w:val="272727" w:themeColor="text1" w:themeTint="D8"/>
    </w:rPr>
  </w:style>
  <w:style w:type="paragraph" w:styleId="Title">
    <w:name w:val="Title"/>
    <w:basedOn w:val="Normal"/>
    <w:next w:val="Normal"/>
    <w:link w:val="TitleChar"/>
    <w:uiPriority w:val="10"/>
    <w:qFormat/>
    <w:rsid w:val="001D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7E0"/>
    <w:pPr>
      <w:spacing w:before="160"/>
      <w:jc w:val="center"/>
    </w:pPr>
    <w:rPr>
      <w:i/>
      <w:iCs/>
      <w:color w:val="404040" w:themeColor="text1" w:themeTint="BF"/>
    </w:rPr>
  </w:style>
  <w:style w:type="character" w:customStyle="1" w:styleId="QuoteChar">
    <w:name w:val="Quote Char"/>
    <w:basedOn w:val="DefaultParagraphFont"/>
    <w:link w:val="Quote"/>
    <w:uiPriority w:val="29"/>
    <w:rsid w:val="001D77E0"/>
    <w:rPr>
      <w:i/>
      <w:iCs/>
      <w:color w:val="404040" w:themeColor="text1" w:themeTint="BF"/>
    </w:rPr>
  </w:style>
  <w:style w:type="paragraph" w:styleId="ListParagraph">
    <w:name w:val="List Paragraph"/>
    <w:basedOn w:val="Normal"/>
    <w:uiPriority w:val="34"/>
    <w:qFormat/>
    <w:rsid w:val="001D77E0"/>
    <w:pPr>
      <w:ind w:left="720"/>
      <w:contextualSpacing/>
    </w:pPr>
  </w:style>
  <w:style w:type="character" w:styleId="IntenseEmphasis">
    <w:name w:val="Intense Emphasis"/>
    <w:basedOn w:val="DefaultParagraphFont"/>
    <w:uiPriority w:val="21"/>
    <w:qFormat/>
    <w:rsid w:val="001D77E0"/>
    <w:rPr>
      <w:i/>
      <w:iCs/>
      <w:color w:val="0F4761" w:themeColor="accent1" w:themeShade="BF"/>
    </w:rPr>
  </w:style>
  <w:style w:type="paragraph" w:styleId="IntenseQuote">
    <w:name w:val="Intense Quote"/>
    <w:basedOn w:val="Normal"/>
    <w:next w:val="Normal"/>
    <w:link w:val="IntenseQuoteChar"/>
    <w:uiPriority w:val="30"/>
    <w:qFormat/>
    <w:rsid w:val="001D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7E0"/>
    <w:rPr>
      <w:i/>
      <w:iCs/>
      <w:color w:val="0F4761" w:themeColor="accent1" w:themeShade="BF"/>
    </w:rPr>
  </w:style>
  <w:style w:type="character" w:styleId="IntenseReference">
    <w:name w:val="Intense Reference"/>
    <w:basedOn w:val="DefaultParagraphFont"/>
    <w:uiPriority w:val="32"/>
    <w:qFormat/>
    <w:rsid w:val="001D77E0"/>
    <w:rPr>
      <w:b/>
      <w:bCs/>
      <w:smallCaps/>
      <w:color w:val="0F4761" w:themeColor="accent1" w:themeShade="BF"/>
      <w:spacing w:val="5"/>
    </w:rPr>
  </w:style>
  <w:style w:type="paragraph" w:styleId="BodyText">
    <w:name w:val="Body Text"/>
    <w:basedOn w:val="Normal"/>
    <w:link w:val="BodyTextChar"/>
    <w:semiHidden/>
    <w:rsid w:val="00EE03CF"/>
    <w:pPr>
      <w:spacing w:after="0" w:line="480" w:lineRule="auto"/>
      <w:jc w:val="both"/>
    </w:pPr>
    <w:rPr>
      <w:rFonts w:ascii="Bookman Old Style" w:eastAsia="Times New Roman" w:hAnsi="Bookman Old Style" w:cs="Times New Roman"/>
      <w:kern w:val="0"/>
      <w:lang w:val="en-US"/>
      <w14:ligatures w14:val="none"/>
    </w:rPr>
  </w:style>
  <w:style w:type="character" w:customStyle="1" w:styleId="BodyTextChar">
    <w:name w:val="Body Text Char"/>
    <w:basedOn w:val="DefaultParagraphFont"/>
    <w:link w:val="BodyText"/>
    <w:semiHidden/>
    <w:rsid w:val="00EE03CF"/>
    <w:rPr>
      <w:rFonts w:ascii="Bookman Old Style" w:eastAsia="Times New Roman" w:hAnsi="Bookman Old Style" w:cs="Times New Roman"/>
      <w:kern w:val="0"/>
      <w:lang w:val="en-US"/>
      <w14:ligatures w14:val="none"/>
    </w:rPr>
  </w:style>
  <w:style w:type="paragraph" w:styleId="BodyText2">
    <w:name w:val="Body Text 2"/>
    <w:basedOn w:val="Normal"/>
    <w:link w:val="BodyText2Char"/>
    <w:semiHidden/>
    <w:rsid w:val="00EE03CF"/>
    <w:pPr>
      <w:spacing w:after="120" w:line="240" w:lineRule="auto"/>
      <w:jc w:val="both"/>
    </w:pPr>
    <w:rPr>
      <w:rFonts w:ascii="Bookman Old Style" w:eastAsia="Times New Roman" w:hAnsi="Bookman Old Style" w:cs="Times New Roman"/>
      <w:kern w:val="0"/>
      <w:sz w:val="22"/>
      <w:lang w:val="en-US"/>
      <w14:ligatures w14:val="none"/>
    </w:rPr>
  </w:style>
  <w:style w:type="character" w:customStyle="1" w:styleId="BodyText2Char">
    <w:name w:val="Body Text 2 Char"/>
    <w:basedOn w:val="DefaultParagraphFont"/>
    <w:link w:val="BodyText2"/>
    <w:semiHidden/>
    <w:rsid w:val="00EE03CF"/>
    <w:rPr>
      <w:rFonts w:ascii="Bookman Old Style" w:eastAsia="Times New Roman" w:hAnsi="Bookman Old Style" w:cs="Times New Roman"/>
      <w:kern w:val="0"/>
      <w:sz w:val="22"/>
      <w:lang w:val="en-US"/>
      <w14:ligatures w14:val="none"/>
    </w:rPr>
  </w:style>
  <w:style w:type="paragraph" w:customStyle="1" w:styleId="Default">
    <w:name w:val="Default"/>
    <w:rsid w:val="00EE03CF"/>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EE03C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6B82"/>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semiHidden/>
    <w:unhideWhenUsed/>
    <w:rsid w:val="003948F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7E0"/>
    <w:rPr>
      <w:rFonts w:eastAsiaTheme="majorEastAsia" w:cstheme="majorBidi"/>
      <w:color w:val="272727" w:themeColor="text1" w:themeTint="D8"/>
    </w:rPr>
  </w:style>
  <w:style w:type="paragraph" w:styleId="Title">
    <w:name w:val="Title"/>
    <w:basedOn w:val="Normal"/>
    <w:next w:val="Normal"/>
    <w:link w:val="TitleChar"/>
    <w:uiPriority w:val="10"/>
    <w:qFormat/>
    <w:rsid w:val="001D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7E0"/>
    <w:pPr>
      <w:spacing w:before="160"/>
      <w:jc w:val="center"/>
    </w:pPr>
    <w:rPr>
      <w:i/>
      <w:iCs/>
      <w:color w:val="404040" w:themeColor="text1" w:themeTint="BF"/>
    </w:rPr>
  </w:style>
  <w:style w:type="character" w:customStyle="1" w:styleId="QuoteChar">
    <w:name w:val="Quote Char"/>
    <w:basedOn w:val="DefaultParagraphFont"/>
    <w:link w:val="Quote"/>
    <w:uiPriority w:val="29"/>
    <w:rsid w:val="001D77E0"/>
    <w:rPr>
      <w:i/>
      <w:iCs/>
      <w:color w:val="404040" w:themeColor="text1" w:themeTint="BF"/>
    </w:rPr>
  </w:style>
  <w:style w:type="paragraph" w:styleId="ListParagraph">
    <w:name w:val="List Paragraph"/>
    <w:basedOn w:val="Normal"/>
    <w:uiPriority w:val="34"/>
    <w:qFormat/>
    <w:rsid w:val="001D77E0"/>
    <w:pPr>
      <w:ind w:left="720"/>
      <w:contextualSpacing/>
    </w:pPr>
  </w:style>
  <w:style w:type="character" w:styleId="IntenseEmphasis">
    <w:name w:val="Intense Emphasis"/>
    <w:basedOn w:val="DefaultParagraphFont"/>
    <w:uiPriority w:val="21"/>
    <w:qFormat/>
    <w:rsid w:val="001D77E0"/>
    <w:rPr>
      <w:i/>
      <w:iCs/>
      <w:color w:val="0F4761" w:themeColor="accent1" w:themeShade="BF"/>
    </w:rPr>
  </w:style>
  <w:style w:type="paragraph" w:styleId="IntenseQuote">
    <w:name w:val="Intense Quote"/>
    <w:basedOn w:val="Normal"/>
    <w:next w:val="Normal"/>
    <w:link w:val="IntenseQuoteChar"/>
    <w:uiPriority w:val="30"/>
    <w:qFormat/>
    <w:rsid w:val="001D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7E0"/>
    <w:rPr>
      <w:i/>
      <w:iCs/>
      <w:color w:val="0F4761" w:themeColor="accent1" w:themeShade="BF"/>
    </w:rPr>
  </w:style>
  <w:style w:type="character" w:styleId="IntenseReference">
    <w:name w:val="Intense Reference"/>
    <w:basedOn w:val="DefaultParagraphFont"/>
    <w:uiPriority w:val="32"/>
    <w:qFormat/>
    <w:rsid w:val="001D77E0"/>
    <w:rPr>
      <w:b/>
      <w:bCs/>
      <w:smallCaps/>
      <w:color w:val="0F4761" w:themeColor="accent1" w:themeShade="BF"/>
      <w:spacing w:val="5"/>
    </w:rPr>
  </w:style>
  <w:style w:type="paragraph" w:styleId="BodyText">
    <w:name w:val="Body Text"/>
    <w:basedOn w:val="Normal"/>
    <w:link w:val="BodyTextChar"/>
    <w:semiHidden/>
    <w:rsid w:val="00EE03CF"/>
    <w:pPr>
      <w:spacing w:after="0" w:line="480" w:lineRule="auto"/>
      <w:jc w:val="both"/>
    </w:pPr>
    <w:rPr>
      <w:rFonts w:ascii="Bookman Old Style" w:eastAsia="Times New Roman" w:hAnsi="Bookman Old Style" w:cs="Times New Roman"/>
      <w:kern w:val="0"/>
      <w:lang w:val="en-US"/>
      <w14:ligatures w14:val="none"/>
    </w:rPr>
  </w:style>
  <w:style w:type="character" w:customStyle="1" w:styleId="BodyTextChar">
    <w:name w:val="Body Text Char"/>
    <w:basedOn w:val="DefaultParagraphFont"/>
    <w:link w:val="BodyText"/>
    <w:semiHidden/>
    <w:rsid w:val="00EE03CF"/>
    <w:rPr>
      <w:rFonts w:ascii="Bookman Old Style" w:eastAsia="Times New Roman" w:hAnsi="Bookman Old Style" w:cs="Times New Roman"/>
      <w:kern w:val="0"/>
      <w:lang w:val="en-US"/>
      <w14:ligatures w14:val="none"/>
    </w:rPr>
  </w:style>
  <w:style w:type="paragraph" w:styleId="BodyText2">
    <w:name w:val="Body Text 2"/>
    <w:basedOn w:val="Normal"/>
    <w:link w:val="BodyText2Char"/>
    <w:semiHidden/>
    <w:rsid w:val="00EE03CF"/>
    <w:pPr>
      <w:spacing w:after="120" w:line="240" w:lineRule="auto"/>
      <w:jc w:val="both"/>
    </w:pPr>
    <w:rPr>
      <w:rFonts w:ascii="Bookman Old Style" w:eastAsia="Times New Roman" w:hAnsi="Bookman Old Style" w:cs="Times New Roman"/>
      <w:kern w:val="0"/>
      <w:sz w:val="22"/>
      <w:lang w:val="en-US"/>
      <w14:ligatures w14:val="none"/>
    </w:rPr>
  </w:style>
  <w:style w:type="character" w:customStyle="1" w:styleId="BodyText2Char">
    <w:name w:val="Body Text 2 Char"/>
    <w:basedOn w:val="DefaultParagraphFont"/>
    <w:link w:val="BodyText2"/>
    <w:semiHidden/>
    <w:rsid w:val="00EE03CF"/>
    <w:rPr>
      <w:rFonts w:ascii="Bookman Old Style" w:eastAsia="Times New Roman" w:hAnsi="Bookman Old Style" w:cs="Times New Roman"/>
      <w:kern w:val="0"/>
      <w:sz w:val="22"/>
      <w:lang w:val="en-US"/>
      <w14:ligatures w14:val="none"/>
    </w:rPr>
  </w:style>
  <w:style w:type="paragraph" w:customStyle="1" w:styleId="Default">
    <w:name w:val="Default"/>
    <w:rsid w:val="00EE03CF"/>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EE03C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6B82"/>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semiHidden/>
    <w:unhideWhenUsed/>
    <w:rsid w:val="003948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laptop\Desktop\fish\A%20madom\Document\hol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r>
              <a:rPr lang="en-IN" b="1">
                <a:solidFill>
                  <a:schemeClr val="accent1"/>
                </a:solidFill>
              </a:rPr>
              <a:t>Effect of decamethrin on Hb, RBC, WBC in </a:t>
            </a:r>
            <a:r>
              <a:rPr lang="en-IN" b="1" i="1">
                <a:solidFill>
                  <a:schemeClr val="accent1"/>
                </a:solidFill>
              </a:rPr>
              <a:t>Anabas testudineus </a:t>
            </a:r>
          </a:p>
        </c:rich>
      </c:tx>
      <c:layout>
        <c:manualLayout>
          <c:xMode val="edge"/>
          <c:yMode val="edge"/>
          <c:x val="0.21531393568147014"/>
          <c:y val="2.0533663084262277E-3"/>
        </c:manualLayout>
      </c:layout>
      <c:overlay val="0"/>
      <c:spPr>
        <a:noFill/>
        <a:ln>
          <a:noFill/>
        </a:ln>
        <a:effectLst/>
      </c:spPr>
    </c:title>
    <c:autoTitleDeleted val="0"/>
    <c:plotArea>
      <c:layout>
        <c:manualLayout>
          <c:layoutTarget val="inner"/>
          <c:xMode val="edge"/>
          <c:yMode val="edge"/>
          <c:x val="0.13756838013931261"/>
          <c:y val="0.21153673631442721"/>
          <c:w val="0.75248801212252758"/>
          <c:h val="0.60059161196074506"/>
        </c:manualLayout>
      </c:layout>
      <c:barChart>
        <c:barDir val="col"/>
        <c:grouping val="clustered"/>
        <c:varyColors val="0"/>
        <c:ser>
          <c:idx val="0"/>
          <c:order val="0"/>
          <c:tx>
            <c:strRef>
              <c:f>Sheet3!$A$4</c:f>
              <c:strCache>
                <c:ptCount val="1"/>
                <c:pt idx="0">
                  <c:v>Control</c:v>
                </c:pt>
              </c:strCache>
            </c:strRef>
          </c:tx>
          <c:spPr>
            <a:solidFill>
              <a:schemeClr val="accent1"/>
            </a:solidFill>
            <a:ln>
              <a:noFill/>
            </a:ln>
            <a:effectLst/>
          </c:spPr>
          <c:invertIfNegative val="0"/>
          <c:dLbls>
            <c:dLbl>
              <c:idx val="0"/>
              <c:tx>
                <c:rich>
                  <a:bodyPr/>
                  <a:lstStyle/>
                  <a:p>
                    <a:fld id="{97E9646B-A529-48D7-9D6A-70A467F92C30}" type="VALUE">
                      <a:rPr lang="en-US"/>
                      <a:pPr/>
                      <a:t>[VALUE]</a:t>
                    </a:fld>
                    <a:endParaRPr lang="en-IN"/>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E56D-440A-8E99-63A08AB177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Sheet3!$B$3:$D$3</c:f>
              <c:strCache>
                <c:ptCount val="3"/>
                <c:pt idx="0">
                  <c:v>Hb</c:v>
                </c:pt>
                <c:pt idx="1">
                  <c:v>RBC</c:v>
                </c:pt>
                <c:pt idx="2">
                  <c:v>WBC</c:v>
                </c:pt>
              </c:strCache>
            </c:strRef>
          </c:cat>
          <c:val>
            <c:numRef>
              <c:f>Sheet3!$B$4:$D$4</c:f>
              <c:numCache>
                <c:formatCode>General</c:formatCode>
                <c:ptCount val="3"/>
                <c:pt idx="0">
                  <c:v>12.56</c:v>
                </c:pt>
                <c:pt idx="1">
                  <c:v>6.39</c:v>
                </c:pt>
                <c:pt idx="2">
                  <c:v>3.9</c:v>
                </c:pt>
              </c:numCache>
            </c:numRef>
          </c:val>
          <c:extLst xmlns:c16r2="http://schemas.microsoft.com/office/drawing/2015/06/chart">
            <c:ext xmlns:c16="http://schemas.microsoft.com/office/drawing/2014/chart" uri="{C3380CC4-5D6E-409C-BE32-E72D297353CC}">
              <c16:uniqueId val="{00000000-E56D-440A-8E99-63A08AB17748}"/>
            </c:ext>
          </c:extLst>
        </c:ser>
        <c:ser>
          <c:idx val="1"/>
          <c:order val="1"/>
          <c:tx>
            <c:strRef>
              <c:f>Sheet3!$A$5</c:f>
              <c:strCache>
                <c:ptCount val="1"/>
                <c:pt idx="0">
                  <c:v>Treated</c:v>
                </c:pt>
              </c:strCache>
            </c:strRef>
          </c:tx>
          <c:spPr>
            <a:solidFill>
              <a:schemeClr val="accent2"/>
            </a:solidFill>
            <a:ln>
              <a:noFill/>
            </a:ln>
            <a:effectLst/>
          </c:spPr>
          <c:invertIfNegative val="0"/>
          <c:dLbls>
            <c:dLbl>
              <c:idx val="0"/>
              <c:tx>
                <c:rich>
                  <a:bodyPr/>
                  <a:lstStyle/>
                  <a:p>
                    <a:fld id="{4E9C701A-4922-47DF-BA2B-09BD56917A40}"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E56D-440A-8E99-63A08AB17748}"/>
                </c:ext>
              </c:extLst>
            </c:dLbl>
            <c:dLbl>
              <c:idx val="1"/>
              <c:tx>
                <c:rich>
                  <a:bodyPr/>
                  <a:lstStyle/>
                  <a:p>
                    <a:fld id="{98389B55-FD81-48A9-9282-A1DE86C8B45D}"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E56D-440A-8E99-63A08AB17748}"/>
                </c:ext>
              </c:extLst>
            </c:dLbl>
            <c:dLbl>
              <c:idx val="2"/>
              <c:tx>
                <c:rich>
                  <a:bodyPr/>
                  <a:lstStyle/>
                  <a:p>
                    <a:fld id="{4EB7EB24-1A8D-49FA-9DE5-BFEDA901150C}"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E56D-440A-8E99-63A08AB177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Sheet3!$B$3:$D$3</c:f>
              <c:strCache>
                <c:ptCount val="3"/>
                <c:pt idx="0">
                  <c:v>Hb</c:v>
                </c:pt>
                <c:pt idx="1">
                  <c:v>RBC</c:v>
                </c:pt>
                <c:pt idx="2">
                  <c:v>WBC</c:v>
                </c:pt>
              </c:strCache>
            </c:strRef>
          </c:cat>
          <c:val>
            <c:numRef>
              <c:f>Sheet3!$B$5:$D$5</c:f>
              <c:numCache>
                <c:formatCode>General</c:formatCode>
                <c:ptCount val="3"/>
                <c:pt idx="0">
                  <c:v>6.79</c:v>
                </c:pt>
                <c:pt idx="1">
                  <c:v>4.58</c:v>
                </c:pt>
                <c:pt idx="2">
                  <c:v>2.7</c:v>
                </c:pt>
              </c:numCache>
            </c:numRef>
          </c:val>
          <c:extLst xmlns:c16r2="http://schemas.microsoft.com/office/drawing/2015/06/chart">
            <c:ext xmlns:c16="http://schemas.microsoft.com/office/drawing/2014/chart" uri="{C3380CC4-5D6E-409C-BE32-E72D297353CC}">
              <c16:uniqueId val="{00000001-E56D-440A-8E99-63A08AB17748}"/>
            </c:ext>
          </c:extLst>
        </c:ser>
        <c:dLbls>
          <c:dLblPos val="outEnd"/>
          <c:showLegendKey val="0"/>
          <c:showVal val="1"/>
          <c:showCatName val="0"/>
          <c:showSerName val="0"/>
          <c:showPercent val="0"/>
          <c:showBubbleSize val="0"/>
        </c:dLbls>
        <c:gapWidth val="219"/>
        <c:overlap val="-27"/>
        <c:axId val="180711424"/>
        <c:axId val="150745600"/>
      </c:barChart>
      <c:catAx>
        <c:axId val="180711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parameters</a:t>
                </a:r>
              </a:p>
            </c:rich>
          </c:tx>
          <c:layout>
            <c:manualLayout>
              <c:xMode val="edge"/>
              <c:yMode val="edge"/>
              <c:x val="0.43968017588919311"/>
              <c:y val="0.89726409776145188"/>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45600"/>
        <c:crosses val="autoZero"/>
        <c:auto val="1"/>
        <c:lblAlgn val="ctr"/>
        <c:lblOffset val="100"/>
        <c:noMultiLvlLbl val="0"/>
      </c:catAx>
      <c:valAx>
        <c:axId val="15074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11424"/>
        <c:crosses val="autoZero"/>
        <c:crossBetween val="between"/>
      </c:valAx>
      <c:spPr>
        <a:solidFill>
          <a:schemeClr val="accent3">
            <a:lumMod val="20000"/>
            <a:lumOff val="80000"/>
          </a:schemeClr>
        </a:solidFill>
        <a:ln>
          <a:noFill/>
        </a:ln>
        <a:effectLst/>
      </c:spPr>
    </c:plotArea>
    <c:legend>
      <c:legendPos val="b"/>
      <c:layout>
        <c:manualLayout>
          <c:xMode val="edge"/>
          <c:yMode val="edge"/>
          <c:x val="0.67046982833118285"/>
          <c:y val="0.21141217047638103"/>
          <c:w val="0.24098989923349934"/>
          <c:h val="6.49542652434034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IN" sz="1100" b="1" i="0" u="none" strike="noStrike" baseline="0">
                <a:solidFill>
                  <a:srgbClr val="EE0000"/>
                </a:solidFill>
                <a:effectLst/>
              </a:rPr>
              <a:t>effect of decamethrin on Neutrophil, Monocyte, Basophil in </a:t>
            </a:r>
            <a:r>
              <a:rPr lang="en-IN" sz="1100" b="1" i="1" u="none" strike="noStrike" baseline="0">
                <a:solidFill>
                  <a:srgbClr val="EE0000"/>
                </a:solidFill>
                <a:effectLst/>
              </a:rPr>
              <a:t>Anabas testudineus </a:t>
            </a:r>
            <a:endParaRPr lang="en-IN" sz="1100">
              <a:solidFill>
                <a:srgbClr val="EE0000"/>
              </a:solidFill>
            </a:endParaRPr>
          </a:p>
        </c:rich>
      </c:tx>
      <c:overlay val="0"/>
    </c:title>
    <c:autoTitleDeleted val="0"/>
    <c:plotArea>
      <c:layout/>
      <c:barChart>
        <c:barDir val="col"/>
        <c:grouping val="clustered"/>
        <c:varyColors val="0"/>
        <c:ser>
          <c:idx val="0"/>
          <c:order val="0"/>
          <c:tx>
            <c:strRef>
              <c:f>Sheet3!$A$24</c:f>
              <c:strCache>
                <c:ptCount val="1"/>
                <c:pt idx="0">
                  <c:v>Control</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Sheet3!$B$23:$D$23</c:f>
              <c:strCache>
                <c:ptCount val="3"/>
                <c:pt idx="0">
                  <c:v>Neutrophil</c:v>
                </c:pt>
                <c:pt idx="1">
                  <c:v>Monocyte</c:v>
                </c:pt>
                <c:pt idx="2">
                  <c:v>Basophil</c:v>
                </c:pt>
              </c:strCache>
            </c:strRef>
          </c:cat>
          <c:val>
            <c:numRef>
              <c:f>Sheet3!$B$24:$D$24</c:f>
              <c:numCache>
                <c:formatCode>General</c:formatCode>
                <c:ptCount val="3"/>
                <c:pt idx="0">
                  <c:v>7.84</c:v>
                </c:pt>
                <c:pt idx="1">
                  <c:v>5</c:v>
                </c:pt>
                <c:pt idx="2">
                  <c:v>1.1000000000000001</c:v>
                </c:pt>
              </c:numCache>
            </c:numRef>
          </c:val>
          <c:extLst xmlns:c16r2="http://schemas.microsoft.com/office/drawing/2015/06/chart">
            <c:ext xmlns:c16="http://schemas.microsoft.com/office/drawing/2014/chart" uri="{C3380CC4-5D6E-409C-BE32-E72D297353CC}">
              <c16:uniqueId val="{00000000-75BD-4D9A-B88C-B9CD8321A967}"/>
            </c:ext>
          </c:extLst>
        </c:ser>
        <c:ser>
          <c:idx val="1"/>
          <c:order val="1"/>
          <c:tx>
            <c:strRef>
              <c:f>Sheet3!$A$25</c:f>
              <c:strCache>
                <c:ptCount val="1"/>
                <c:pt idx="0">
                  <c:v>Treated</c:v>
                </c:pt>
              </c:strCache>
            </c:strRef>
          </c:tx>
          <c:invertIfNegative val="0"/>
          <c:dLbls>
            <c:dLbl>
              <c:idx val="0"/>
              <c:tx>
                <c:rich>
                  <a:bodyPr wrap="square" lIns="38100" tIns="19050" rIns="38100" bIns="19050" anchor="ctr">
                    <a:noAutofit/>
                  </a:bodyPr>
                  <a:lstStyle/>
                  <a:p>
                    <a:pPr>
                      <a:defRPr/>
                    </a:pPr>
                    <a:fld id="{7C2962B4-5CDA-4532-87E1-B6F3D936363A}"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3380274581061989E-2"/>
                      <c:h val="0.15661648063222863"/>
                    </c:manualLayout>
                  </c15:layout>
                  <c15:dlblFieldTable/>
                  <c15:showDataLabelsRange val="0"/>
                </c:ext>
                <c:ext xmlns:c16="http://schemas.microsoft.com/office/drawing/2014/chart" uri="{C3380CC4-5D6E-409C-BE32-E72D297353CC}">
                  <c16:uniqueId val="{00000004-75BD-4D9A-B88C-B9CD8321A967}"/>
                </c:ext>
              </c:extLst>
            </c:dLbl>
            <c:dLbl>
              <c:idx val="1"/>
              <c:tx>
                <c:rich>
                  <a:bodyPr wrap="square" lIns="38100" tIns="19050" rIns="38100" bIns="19050" anchor="ctr">
                    <a:noAutofit/>
                  </a:bodyPr>
                  <a:lstStyle/>
                  <a:p>
                    <a:pPr>
                      <a:defRPr/>
                    </a:pPr>
                    <a:fld id="{CD4B21F1-B980-4DB7-AEB9-20F7B0601FB2}"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0009861932938856E-2"/>
                      <c:h val="0.17035274436849238"/>
                    </c:manualLayout>
                  </c15:layout>
                  <c15:dlblFieldTable/>
                  <c15:showDataLabelsRange val="0"/>
                </c:ext>
                <c:ext xmlns:c16="http://schemas.microsoft.com/office/drawing/2014/chart" uri="{C3380CC4-5D6E-409C-BE32-E72D297353CC}">
                  <c16:uniqueId val="{00000002-75BD-4D9A-B88C-B9CD8321A967}"/>
                </c:ext>
              </c:extLst>
            </c:dLbl>
            <c:dLbl>
              <c:idx val="2"/>
              <c:tx>
                <c:rich>
                  <a:bodyPr wrap="square" lIns="38100" tIns="19050" rIns="38100" bIns="19050" anchor="ctr">
                    <a:noAutofit/>
                  </a:bodyPr>
                  <a:lstStyle/>
                  <a:p>
                    <a:pPr>
                      <a:defRPr/>
                    </a:pPr>
                    <a:fld id="{022FF6A1-5BF8-4E4E-9F77-94B29172D9BD}"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2818144403547183E-2"/>
                      <c:h val="0.13830146231721036"/>
                    </c:manualLayout>
                  </c15:layout>
                  <c15:dlblFieldTable/>
                  <c15:showDataLabelsRange val="0"/>
                </c:ext>
                <c:ext xmlns:c16="http://schemas.microsoft.com/office/drawing/2014/chart" uri="{C3380CC4-5D6E-409C-BE32-E72D297353CC}">
                  <c16:uniqueId val="{00000003-75BD-4D9A-B88C-B9CD8321A967}"/>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Sheet3!$B$23:$D$23</c:f>
              <c:strCache>
                <c:ptCount val="3"/>
                <c:pt idx="0">
                  <c:v>Neutrophil</c:v>
                </c:pt>
                <c:pt idx="1">
                  <c:v>Monocyte</c:v>
                </c:pt>
                <c:pt idx="2">
                  <c:v>Basophil</c:v>
                </c:pt>
              </c:strCache>
            </c:strRef>
          </c:cat>
          <c:val>
            <c:numRef>
              <c:f>Sheet3!$B$25:$D$25</c:f>
              <c:numCache>
                <c:formatCode>General</c:formatCode>
                <c:ptCount val="3"/>
                <c:pt idx="0">
                  <c:v>16.100000000000001</c:v>
                </c:pt>
                <c:pt idx="1">
                  <c:v>8</c:v>
                </c:pt>
                <c:pt idx="2">
                  <c:v>1.3</c:v>
                </c:pt>
              </c:numCache>
            </c:numRef>
          </c:val>
          <c:extLst xmlns:c16r2="http://schemas.microsoft.com/office/drawing/2015/06/chart">
            <c:ext xmlns:c16="http://schemas.microsoft.com/office/drawing/2014/chart" uri="{C3380CC4-5D6E-409C-BE32-E72D297353CC}">
              <c16:uniqueId val="{00000001-75BD-4D9A-B88C-B9CD8321A967}"/>
            </c:ext>
          </c:extLst>
        </c:ser>
        <c:dLbls>
          <c:dLblPos val="outEnd"/>
          <c:showLegendKey val="0"/>
          <c:showVal val="1"/>
          <c:showCatName val="0"/>
          <c:showSerName val="0"/>
          <c:showPercent val="0"/>
          <c:showBubbleSize val="0"/>
        </c:dLbls>
        <c:gapWidth val="150"/>
        <c:axId val="180740608"/>
        <c:axId val="150743872"/>
      </c:barChart>
      <c:catAx>
        <c:axId val="180740608"/>
        <c:scaling>
          <c:orientation val="minMax"/>
        </c:scaling>
        <c:delete val="0"/>
        <c:axPos val="b"/>
        <c:title>
          <c:tx>
            <c:rich>
              <a:bodyPr/>
              <a:lstStyle/>
              <a:p>
                <a:pPr>
                  <a:defRPr/>
                </a:pPr>
                <a:r>
                  <a:rPr lang="en-IN"/>
                  <a:t>parameters</a:t>
                </a:r>
              </a:p>
            </c:rich>
          </c:tx>
          <c:overlay val="0"/>
        </c:title>
        <c:numFmt formatCode="General" sourceLinked="0"/>
        <c:majorTickMark val="out"/>
        <c:minorTickMark val="none"/>
        <c:tickLblPos val="nextTo"/>
        <c:crossAx val="150743872"/>
        <c:crosses val="autoZero"/>
        <c:auto val="1"/>
        <c:lblAlgn val="ctr"/>
        <c:lblOffset val="100"/>
        <c:noMultiLvlLbl val="0"/>
      </c:catAx>
      <c:valAx>
        <c:axId val="150743872"/>
        <c:scaling>
          <c:orientation val="minMax"/>
        </c:scaling>
        <c:delete val="0"/>
        <c:axPos val="l"/>
        <c:majorGridlines/>
        <c:title>
          <c:tx>
            <c:rich>
              <a:bodyPr/>
              <a:lstStyle/>
              <a:p>
                <a:pPr>
                  <a:defRPr/>
                </a:pPr>
                <a:r>
                  <a:rPr lang="en-IN">
                    <a:latin typeface="Aptos" panose="020B0004020202020204" pitchFamily="34" charset="0"/>
                  </a:rPr>
                  <a:t>µg/l</a:t>
                </a:r>
                <a:endParaRPr lang="en-IN"/>
              </a:p>
            </c:rich>
          </c:tx>
          <c:overlay val="0"/>
        </c:title>
        <c:numFmt formatCode="General" sourceLinked="1"/>
        <c:majorTickMark val="out"/>
        <c:minorTickMark val="none"/>
        <c:tickLblPos val="nextTo"/>
        <c:crossAx val="180740608"/>
        <c:crosses val="autoZero"/>
        <c:crossBetween val="between"/>
      </c:valAx>
    </c:plotArea>
    <c:legend>
      <c:legendPos val="r"/>
      <c:overlay val="0"/>
    </c:legend>
    <c:plotVisOnly val="1"/>
    <c:dispBlanksAs val="gap"/>
    <c:showDLblsOverMax val="0"/>
  </c:chart>
  <c:spPr>
    <a:solidFill>
      <a:schemeClr val="accent2">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IN" sz="1100"/>
              <a:t>effect of decamethrin on Lymphocyte, Eosinophil, PCV, in </a:t>
            </a:r>
            <a:r>
              <a:rPr lang="en-IN" sz="1100" i="1"/>
              <a:t>Anabas testudineus</a:t>
            </a:r>
          </a:p>
        </c:rich>
      </c:tx>
      <c:overlay val="0"/>
    </c:title>
    <c:autoTitleDeleted val="0"/>
    <c:plotArea>
      <c:layout/>
      <c:barChart>
        <c:barDir val="col"/>
        <c:grouping val="clustered"/>
        <c:varyColors val="0"/>
        <c:ser>
          <c:idx val="0"/>
          <c:order val="0"/>
          <c:tx>
            <c:strRef>
              <c:f>Sheet3!$A$45</c:f>
              <c:strCache>
                <c:ptCount val="1"/>
                <c:pt idx="0">
                  <c:v>Control</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Sheet3!$B$44:$D$44</c:f>
              <c:strCache>
                <c:ptCount val="3"/>
                <c:pt idx="0">
                  <c:v>Lymphocytes</c:v>
                </c:pt>
                <c:pt idx="1">
                  <c:v>Eosinophil</c:v>
                </c:pt>
                <c:pt idx="2">
                  <c:v>PCV</c:v>
                </c:pt>
              </c:strCache>
            </c:strRef>
          </c:cat>
          <c:val>
            <c:numRef>
              <c:f>Sheet3!$B$45:$D$45</c:f>
              <c:numCache>
                <c:formatCode>General</c:formatCode>
                <c:ptCount val="3"/>
                <c:pt idx="0">
                  <c:v>68.33</c:v>
                </c:pt>
                <c:pt idx="1">
                  <c:v>2</c:v>
                </c:pt>
                <c:pt idx="2">
                  <c:v>35.9</c:v>
                </c:pt>
              </c:numCache>
            </c:numRef>
          </c:val>
          <c:extLst xmlns:c16r2="http://schemas.microsoft.com/office/drawing/2015/06/chart">
            <c:ext xmlns:c16="http://schemas.microsoft.com/office/drawing/2014/chart" uri="{C3380CC4-5D6E-409C-BE32-E72D297353CC}">
              <c16:uniqueId val="{00000000-432E-4F46-88E4-892ECB7E690B}"/>
            </c:ext>
          </c:extLst>
        </c:ser>
        <c:ser>
          <c:idx val="1"/>
          <c:order val="1"/>
          <c:tx>
            <c:strRef>
              <c:f>Sheet3!$A$46</c:f>
              <c:strCache>
                <c:ptCount val="1"/>
                <c:pt idx="0">
                  <c:v>Treated</c:v>
                </c:pt>
              </c:strCache>
            </c:strRef>
          </c:tx>
          <c:invertIfNegative val="0"/>
          <c:dLbls>
            <c:dLbl>
              <c:idx val="0"/>
              <c:tx>
                <c:rich>
                  <a:bodyPr/>
                  <a:lstStyle/>
                  <a:p>
                    <a:fld id="{279EC4F1-F047-4D0B-94B8-0B76FA5824ED}"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7474211612142652E-2"/>
                      <c:h val="0.15442249166706923"/>
                    </c:manualLayout>
                  </c15:layout>
                  <c15:dlblFieldTable/>
                  <c15:showDataLabelsRange val="0"/>
                </c:ext>
                <c:ext xmlns:c16="http://schemas.microsoft.com/office/drawing/2014/chart" uri="{C3380CC4-5D6E-409C-BE32-E72D297353CC}">
                  <c16:uniqueId val="{00000002-432E-4F46-88E4-892ECB7E690B}"/>
                </c:ext>
              </c:extLst>
            </c:dLbl>
            <c:dLbl>
              <c:idx val="1"/>
              <c:tx>
                <c:rich>
                  <a:bodyPr/>
                  <a:lstStyle/>
                  <a:p>
                    <a:fld id="{8179D991-3A21-4450-97A7-37CC256D8D5A}"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9419392867668715E-2"/>
                      <c:h val="0.14419754279181357"/>
                    </c:manualLayout>
                  </c15:layout>
                  <c15:dlblFieldTable/>
                  <c15:showDataLabelsRange val="0"/>
                </c:ext>
                <c:ext xmlns:c16="http://schemas.microsoft.com/office/drawing/2014/chart" uri="{C3380CC4-5D6E-409C-BE32-E72D297353CC}">
                  <c16:uniqueId val="{00000003-432E-4F46-88E4-892ECB7E690B}"/>
                </c:ext>
              </c:extLst>
            </c:dLbl>
            <c:dLbl>
              <c:idx val="2"/>
              <c:tx>
                <c:rich>
                  <a:bodyPr/>
                  <a:lstStyle/>
                  <a:p>
                    <a:fld id="{599752EC-4A5A-4E02-9C76-C87EC3051CF6}" type="VALUE">
                      <a:rPr lang="en-US"/>
                      <a:pPr/>
                      <a:t>[VALUE]</a:t>
                    </a:fld>
                    <a:endParaRPr lang="en-US"/>
                  </a:p>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0996284615616679E-2"/>
                      <c:h val="0.17487238941758046"/>
                    </c:manualLayout>
                  </c15:layout>
                  <c15:dlblFieldTable/>
                  <c15:showDataLabelsRange val="0"/>
                </c:ext>
                <c:ext xmlns:c16="http://schemas.microsoft.com/office/drawing/2014/chart" uri="{C3380CC4-5D6E-409C-BE32-E72D297353CC}">
                  <c16:uniqueId val="{00000004-432E-4F46-88E4-892ECB7E690B}"/>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Sheet3!$B$44:$D$44</c:f>
              <c:strCache>
                <c:ptCount val="3"/>
                <c:pt idx="0">
                  <c:v>Lymphocytes</c:v>
                </c:pt>
                <c:pt idx="1">
                  <c:v>Eosinophil</c:v>
                </c:pt>
                <c:pt idx="2">
                  <c:v>PCV</c:v>
                </c:pt>
              </c:strCache>
            </c:strRef>
          </c:cat>
          <c:val>
            <c:numRef>
              <c:f>Sheet3!$B$46:$D$46</c:f>
              <c:numCache>
                <c:formatCode>General</c:formatCode>
                <c:ptCount val="3"/>
                <c:pt idx="0">
                  <c:v>45</c:v>
                </c:pt>
                <c:pt idx="1">
                  <c:v>3</c:v>
                </c:pt>
                <c:pt idx="2">
                  <c:v>12.1</c:v>
                </c:pt>
              </c:numCache>
            </c:numRef>
          </c:val>
          <c:extLst xmlns:c16r2="http://schemas.microsoft.com/office/drawing/2015/06/chart">
            <c:ext xmlns:c16="http://schemas.microsoft.com/office/drawing/2014/chart" uri="{C3380CC4-5D6E-409C-BE32-E72D297353CC}">
              <c16:uniqueId val="{00000001-432E-4F46-88E4-892ECB7E690B}"/>
            </c:ext>
          </c:extLst>
        </c:ser>
        <c:dLbls>
          <c:dLblPos val="outEnd"/>
          <c:showLegendKey val="0"/>
          <c:showVal val="1"/>
          <c:showCatName val="0"/>
          <c:showSerName val="0"/>
          <c:showPercent val="0"/>
          <c:showBubbleSize val="0"/>
        </c:dLbls>
        <c:gapWidth val="150"/>
        <c:axId val="180571648"/>
        <c:axId val="228163584"/>
      </c:barChart>
      <c:catAx>
        <c:axId val="180571648"/>
        <c:scaling>
          <c:orientation val="minMax"/>
        </c:scaling>
        <c:delete val="0"/>
        <c:axPos val="b"/>
        <c:title>
          <c:tx>
            <c:rich>
              <a:bodyPr/>
              <a:lstStyle/>
              <a:p>
                <a:pPr>
                  <a:defRPr/>
                </a:pPr>
                <a:r>
                  <a:rPr lang="en-IN"/>
                  <a:t>parameters</a:t>
                </a:r>
              </a:p>
            </c:rich>
          </c:tx>
          <c:overlay val="0"/>
        </c:title>
        <c:numFmt formatCode="General" sourceLinked="0"/>
        <c:majorTickMark val="out"/>
        <c:minorTickMark val="none"/>
        <c:tickLblPos val="nextTo"/>
        <c:crossAx val="228163584"/>
        <c:crosses val="autoZero"/>
        <c:auto val="1"/>
        <c:lblAlgn val="ctr"/>
        <c:lblOffset val="100"/>
        <c:noMultiLvlLbl val="0"/>
      </c:catAx>
      <c:valAx>
        <c:axId val="228163584"/>
        <c:scaling>
          <c:orientation val="minMax"/>
        </c:scaling>
        <c:delete val="0"/>
        <c:axPos val="l"/>
        <c:majorGridlines/>
        <c:title>
          <c:tx>
            <c:rich>
              <a:bodyPr/>
              <a:lstStyle/>
              <a:p>
                <a:pPr>
                  <a:defRPr/>
                </a:pPr>
                <a:r>
                  <a:rPr lang="en-IN"/>
                  <a:t>µg/l</a:t>
                </a:r>
              </a:p>
            </c:rich>
          </c:tx>
          <c:overlay val="0"/>
        </c:title>
        <c:numFmt formatCode="General" sourceLinked="1"/>
        <c:majorTickMark val="out"/>
        <c:minorTickMark val="none"/>
        <c:tickLblPos val="nextTo"/>
        <c:crossAx val="180571648"/>
        <c:crosses val="autoZero"/>
        <c:crossBetween val="between"/>
      </c:valAx>
      <c:spPr>
        <a:solidFill>
          <a:schemeClr val="accent5">
            <a:lumMod val="20000"/>
            <a:lumOff val="80000"/>
          </a:schemeClr>
        </a:solidFill>
      </c:spPr>
    </c:plotArea>
    <c:legend>
      <c:legendPos val="r"/>
      <c:overlay val="0"/>
    </c:legend>
    <c:plotVisOnly val="1"/>
    <c:dispBlanksAs val="gap"/>
    <c:showDLblsOverMax val="0"/>
  </c:chart>
  <c:txPr>
    <a:bodyPr/>
    <a:lstStyle/>
    <a:p>
      <a:pPr>
        <a:defRPr>
          <a:solidFill>
            <a:schemeClr val="tx2"/>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13</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kumar</dc:creator>
  <cp:keywords/>
  <dc:description/>
  <cp:lastModifiedBy>qwert</cp:lastModifiedBy>
  <cp:revision>12</cp:revision>
  <dcterms:created xsi:type="dcterms:W3CDTF">2026-05-08T18:23:00Z</dcterms:created>
  <dcterms:modified xsi:type="dcterms:W3CDTF">2026-05-18T07:35:00Z</dcterms:modified>
</cp:coreProperties>
</file>